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Default Extension="png" ContentType="image/png"/>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4.84pt;margin-top:21.199982pt;width:485.65pt;height:28.25pt;mso-position-horizontal-relative:page;mso-position-vertical-relative:page;z-index:-947992" coordorigin="1097,424" coordsize="9713,565">
            <v:group style="position:absolute;left:1104;top:982;width:9698;height:2" coordorigin="1104,982" coordsize="9698,2">
              <v:shape style="position:absolute;left:1104;top:982;width:9698;height:2" coordorigin="1104,982" coordsize="9698,0" path="m1104,982l10802,982e" filled="false" stroked="true" strokeweight=".72pt" strokecolor="#000000">
                <v:path arrowok="t"/>
              </v:shape>
              <v:shape style="position:absolute;left:1194;top:424;width:521;height:543"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p>
      <w:pPr>
        <w:spacing w:line="1932" w:lineRule="exact"/>
        <w:ind w:left="419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1177874" cy="122682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1177874" cy="1226820"/>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715" w:lineRule="auto" w:before="131"/>
        <w:ind w:left="2423" w:right="2423" w:firstLine="0"/>
        <w:jc w:val="center"/>
        <w:rPr>
          <w:rFonts w:ascii="黑体" w:hAnsi="黑体" w:cs="黑体" w:eastAsia="黑体" w:hint="default"/>
          <w:sz w:val="44"/>
          <w:szCs w:val="44"/>
        </w:rPr>
      </w:pPr>
      <w:r>
        <w:rPr>
          <w:rFonts w:ascii="黑体" w:hAnsi="黑体" w:cs="黑体" w:eastAsia="黑体" w:hint="default"/>
          <w:b/>
          <w:bCs/>
          <w:spacing w:val="2"/>
          <w:w w:val="95"/>
          <w:sz w:val="44"/>
          <w:szCs w:val="44"/>
        </w:rPr>
        <w:t>河南汉威电子股份有限公司</w:t>
      </w:r>
      <w:r>
        <w:rPr>
          <w:rFonts w:ascii="黑体" w:hAnsi="黑体" w:cs="黑体" w:eastAsia="黑体" w:hint="default"/>
          <w:b/>
          <w:bCs/>
          <w:spacing w:val="18"/>
          <w:w w:val="95"/>
          <w:sz w:val="44"/>
          <w:szCs w:val="44"/>
        </w:rPr>
        <w:t> </w:t>
      </w:r>
      <w:r>
        <w:rPr>
          <w:rFonts w:ascii="黑体" w:hAnsi="黑体" w:cs="黑体" w:eastAsia="黑体" w:hint="default"/>
          <w:b/>
          <w:bCs/>
          <w:sz w:val="44"/>
          <w:szCs w:val="44"/>
        </w:rPr>
        <w:t>2012</w:t>
      </w:r>
      <w:r>
        <w:rPr>
          <w:rFonts w:ascii="黑体" w:hAnsi="黑体" w:cs="黑体" w:eastAsia="黑体" w:hint="default"/>
          <w:b/>
          <w:bCs/>
          <w:spacing w:val="-119"/>
          <w:sz w:val="44"/>
          <w:szCs w:val="44"/>
        </w:rPr>
        <w:t> </w:t>
      </w:r>
      <w:r>
        <w:rPr>
          <w:rFonts w:ascii="黑体" w:hAnsi="黑体" w:cs="黑体" w:eastAsia="黑体" w:hint="default"/>
          <w:b/>
          <w:bCs/>
          <w:sz w:val="44"/>
          <w:szCs w:val="44"/>
        </w:rPr>
        <w:t>年年度报告</w:t>
      </w:r>
      <w:r>
        <w:rPr>
          <w:rFonts w:ascii="黑体" w:hAnsi="黑体" w:cs="黑体" w:eastAsia="黑体" w:hint="default"/>
          <w:sz w:val="44"/>
          <w:szCs w:val="44"/>
        </w:rPr>
      </w:r>
    </w:p>
    <w:p>
      <w:pPr>
        <w:spacing w:line="393" w:lineRule="auto" w:before="283"/>
        <w:ind w:left="3708" w:right="3706" w:hanging="3"/>
        <w:jc w:val="center"/>
        <w:rPr>
          <w:rFonts w:ascii="黑体" w:hAnsi="黑体" w:cs="黑体" w:eastAsia="黑体" w:hint="default"/>
          <w:sz w:val="28"/>
          <w:szCs w:val="28"/>
        </w:rPr>
      </w:pPr>
      <w:r>
        <w:rPr>
          <w:rFonts w:ascii="黑体" w:hAnsi="黑体" w:cs="黑体" w:eastAsia="黑体" w:hint="default"/>
          <w:b/>
          <w:bCs/>
          <w:w w:val="95"/>
          <w:sz w:val="28"/>
          <w:szCs w:val="28"/>
        </w:rPr>
        <w:t>证券代码：</w:t>
      </w:r>
      <w:r>
        <w:rPr>
          <w:rFonts w:ascii="黑体" w:hAnsi="黑体" w:cs="黑体" w:eastAsia="黑体" w:hint="default"/>
          <w:b/>
          <w:bCs/>
          <w:w w:val="95"/>
          <w:sz w:val="28"/>
          <w:szCs w:val="28"/>
        </w:rPr>
        <w:t>300007</w:t>
      </w:r>
      <w:r>
        <w:rPr>
          <w:rFonts w:ascii="黑体" w:hAnsi="黑体" w:cs="黑体" w:eastAsia="黑体" w:hint="default"/>
          <w:b/>
          <w:bCs/>
          <w:w w:val="92"/>
          <w:sz w:val="28"/>
          <w:szCs w:val="28"/>
        </w:rPr>
        <w:t> </w:t>
      </w:r>
      <w:r>
        <w:rPr>
          <w:rFonts w:ascii="黑体" w:hAnsi="黑体" w:cs="黑体" w:eastAsia="黑体" w:hint="default"/>
          <w:b/>
          <w:bCs/>
          <w:sz w:val="28"/>
          <w:szCs w:val="28"/>
        </w:rPr>
        <w:t>证券简称：汉威电子</w:t>
      </w:r>
      <w:r>
        <w:rPr>
          <w:rFonts w:ascii="黑体" w:hAnsi="黑体" w:cs="黑体" w:eastAsia="黑体" w:hint="default"/>
          <w:sz w:val="28"/>
          <w:szCs w:val="28"/>
        </w:rPr>
      </w: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12"/>
        <w:rPr>
          <w:rFonts w:ascii="黑体" w:hAnsi="黑体" w:cs="黑体" w:eastAsia="黑体" w:hint="default"/>
          <w:b/>
          <w:bCs/>
          <w:sz w:val="36"/>
          <w:szCs w:val="36"/>
        </w:rPr>
      </w:pPr>
    </w:p>
    <w:p>
      <w:pPr>
        <w:spacing w:before="0"/>
        <w:ind w:left="2423" w:right="2423"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2013</w:t>
      </w:r>
      <w:r>
        <w:rPr>
          <w:rFonts w:ascii="宋体" w:hAnsi="宋体" w:cs="宋体" w:eastAsia="宋体" w:hint="default"/>
          <w:b/>
          <w:bCs/>
          <w:sz w:val="44"/>
          <w:szCs w:val="44"/>
        </w:rPr>
        <w:t>年</w:t>
      </w:r>
      <w:r>
        <w:rPr>
          <w:rFonts w:ascii="Times New Roman" w:hAnsi="Times New Roman" w:cs="Times New Roman" w:eastAsia="Times New Roman" w:hint="default"/>
          <w:b/>
          <w:bCs/>
          <w:sz w:val="44"/>
          <w:szCs w:val="44"/>
        </w:rPr>
        <w:t>03</w:t>
      </w:r>
      <w:r>
        <w:rPr>
          <w:rFonts w:ascii="宋体" w:hAnsi="宋体" w:cs="宋体" w:eastAsia="宋体" w:hint="default"/>
          <w:b/>
          <w:bCs/>
          <w:sz w:val="44"/>
          <w:szCs w:val="44"/>
        </w:rPr>
        <w:t>月</w:t>
      </w:r>
      <w:r>
        <w:rPr>
          <w:rFonts w:ascii="宋体" w:hAnsi="宋体" w:cs="宋体" w:eastAsia="宋体" w:hint="default"/>
          <w:sz w:val="44"/>
          <w:szCs w:val="44"/>
        </w:rPr>
      </w:r>
    </w:p>
    <w:p>
      <w:pPr>
        <w:spacing w:after="0"/>
        <w:jc w:val="center"/>
        <w:rPr>
          <w:rFonts w:ascii="宋体" w:hAnsi="宋体" w:cs="宋体" w:eastAsia="宋体" w:hint="default"/>
          <w:sz w:val="44"/>
          <w:szCs w:val="44"/>
        </w:rPr>
        <w:sectPr>
          <w:headerReference w:type="default" r:id="rId5"/>
          <w:footerReference w:type="default" r:id="rId6"/>
          <w:type w:val="continuous"/>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group style="position:absolute;margin-left:54.84pt;margin-top:27.749985pt;width:485.65pt;height:28.2pt;mso-position-horizontal-relative:page;mso-position-vertical-relative:page;z-index:1048" coordorigin="1097,555" coordsize="9713,564">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1194;top:555;width:521;height:543" type="#_x0000_t75" stroked="false">
                <v:imagedata r:id="rId8" o:title=""/>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11"/>
        <w:rPr>
          <w:rFonts w:ascii="宋体" w:hAnsi="宋体" w:cs="宋体" w:eastAsia="宋体" w:hint="default"/>
          <w:b/>
          <w:bCs/>
          <w:sz w:val="44"/>
          <w:szCs w:val="44"/>
        </w:rPr>
      </w:pPr>
    </w:p>
    <w:p>
      <w:pPr>
        <w:pStyle w:val="BodyText"/>
        <w:spacing w:line="357" w:lineRule="auto" w:before="0"/>
        <w:ind w:right="159" w:firstLine="480"/>
        <w:jc w:val="both"/>
        <w:rPr>
          <w:rFonts w:ascii="宋体" w:hAnsi="宋体" w:cs="宋体" w:eastAsia="宋体" w:hint="default"/>
        </w:rPr>
      </w:pPr>
      <w:r>
        <w:rPr>
          <w:rFonts w:ascii="宋体" w:hAnsi="宋体" w:cs="宋体" w:eastAsia="宋体" w:hint="default"/>
        </w:rPr>
        <w:t>本公司董事会、监事会及董事、监事、高级管理人员保证本报告所载资料不存在任何虚 假记载、误导性陈述或者重大遗漏，并对其内容的真实性、准确性和完整性承担个别及连带</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责任。</w:t>
      </w:r>
    </w:p>
    <w:p>
      <w:pPr>
        <w:pStyle w:val="BodyText"/>
        <w:spacing w:line="240" w:lineRule="auto" w:before="137"/>
        <w:ind w:left="633" w:right="0"/>
        <w:jc w:val="left"/>
        <w:rPr>
          <w:rFonts w:ascii="宋体" w:hAnsi="宋体" w:cs="宋体" w:eastAsia="宋体" w:hint="default"/>
        </w:rPr>
      </w:pPr>
      <w:r>
        <w:rPr>
          <w:rFonts w:ascii="宋体" w:hAnsi="宋体" w:cs="宋体" w:eastAsia="宋体" w:hint="default"/>
        </w:rPr>
        <w:t>所有董事均已出席了审议本报告的董事会会议。</w:t>
      </w:r>
    </w:p>
    <w:p>
      <w:pPr>
        <w:spacing w:line="240" w:lineRule="auto" w:before="6"/>
        <w:rPr>
          <w:rFonts w:ascii="宋体" w:hAnsi="宋体" w:cs="宋体" w:eastAsia="宋体" w:hint="default"/>
          <w:sz w:val="19"/>
          <w:szCs w:val="19"/>
        </w:rPr>
      </w:pPr>
    </w:p>
    <w:p>
      <w:pPr>
        <w:pStyle w:val="BodyText"/>
        <w:spacing w:line="338" w:lineRule="auto" w:before="0"/>
        <w:ind w:right="151" w:firstLine="480"/>
        <w:jc w:val="both"/>
        <w:rPr>
          <w:rFonts w:ascii="宋体" w:hAnsi="宋体" w:cs="宋体" w:eastAsia="宋体" w:hint="default"/>
        </w:rPr>
      </w:pPr>
      <w:r>
        <w:rPr>
          <w:rFonts w:ascii="宋体" w:hAnsi="宋体" w:cs="宋体" w:eastAsia="宋体" w:hint="default"/>
          <w:spacing w:val="2"/>
        </w:rPr>
        <w:t>公司负责人任红军、主管会计工作负责人刘瑞玲及会计机构负责人</w:t>
      </w:r>
      <w:r>
        <w:rPr>
          <w:rFonts w:ascii="Times New Roman" w:hAnsi="Times New Roman" w:cs="Times New Roman" w:eastAsia="Times New Roman" w:hint="default"/>
          <w:spacing w:val="2"/>
        </w:rPr>
        <w:t>(</w:t>
      </w:r>
      <w:r>
        <w:rPr>
          <w:rFonts w:ascii="宋体" w:hAnsi="宋体" w:cs="宋体" w:eastAsia="宋体" w:hint="default"/>
          <w:spacing w:val="2"/>
        </w:rPr>
        <w:t>会计主管人员</w:t>
      </w:r>
      <w:r>
        <w:rPr>
          <w:rFonts w:ascii="Times New Roman" w:hAnsi="Times New Roman" w:cs="Times New Roman" w:eastAsia="Times New Roman" w:hint="default"/>
          <w:spacing w:val="2"/>
        </w:rPr>
        <w:t>)</w:t>
      </w:r>
      <w:r>
        <w:rPr>
          <w:rFonts w:ascii="宋体" w:hAnsi="宋体" w:cs="宋体" w:eastAsia="宋体" w:hint="default"/>
          <w:spacing w:val="2"/>
        </w:rPr>
        <w:t>钱英 </w:t>
      </w:r>
      <w:r>
        <w:rPr>
          <w:rFonts w:ascii="宋体" w:hAnsi="宋体" w:cs="宋体" w:eastAsia="宋体" w:hint="default"/>
        </w:rPr>
        <w:t>声明：保证年度报告中财务报告的真实、准确、完整。</w:t>
      </w:r>
    </w:p>
    <w:p>
      <w:pPr>
        <w:pStyle w:val="BodyText"/>
        <w:spacing w:line="357" w:lineRule="auto" w:before="154"/>
        <w:ind w:right="159" w:firstLine="480"/>
        <w:jc w:val="both"/>
        <w:rPr>
          <w:rFonts w:ascii="宋体" w:hAnsi="宋体" w:cs="宋体" w:eastAsia="宋体" w:hint="default"/>
        </w:rPr>
      </w:pPr>
      <w:r>
        <w:rPr>
          <w:rFonts w:ascii="宋体" w:hAnsi="宋体" w:cs="宋体" w:eastAsia="宋体" w:hint="default"/>
        </w:rPr>
        <w:t>本报告中如有涉及未来的计划、业绩预测等方面的内容，均不构成本公司对任何投资者 及相关人士的承诺，投资者及相关人士均应对此保持足够的风险认识，并且应当理解计划、</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预测与承诺之间的差异。</w:t>
      </w:r>
    </w:p>
    <w:p>
      <w:pPr>
        <w:spacing w:after="0" w:line="357" w:lineRule="auto"/>
        <w:jc w:val="both"/>
        <w:rPr>
          <w:rFonts w:ascii="宋体" w:hAnsi="宋体" w:cs="宋体" w:eastAsia="宋体" w:hint="default"/>
        </w:rPr>
        <w:sectPr>
          <w:footerReference w:type="default" r:id="rId9"/>
          <w:pgSz w:w="11910" w:h="16840"/>
          <w:pgMar w:footer="980" w:header="745" w:top="1060" w:bottom="1160" w:left="980" w:right="980"/>
          <w:pgNumType w:start="2"/>
        </w:sectPr>
      </w:pPr>
    </w:p>
    <w:p>
      <w:pPr>
        <w:spacing w:line="240" w:lineRule="auto" w:before="0"/>
        <w:rPr>
          <w:rFonts w:ascii="宋体" w:hAnsi="宋体" w:cs="宋体" w:eastAsia="宋体" w:hint="default"/>
          <w:sz w:val="20"/>
          <w:szCs w:val="20"/>
        </w:rPr>
      </w:pPr>
      <w:r>
        <w:rPr/>
        <w:pict>
          <v:group style="position:absolute;margin-left:54.84pt;margin-top:27.749985pt;width:485.65pt;height:28.2pt;mso-position-horizontal-relative:page;mso-position-vertical-relative:page;z-index:1072" coordorigin="1097,555" coordsize="9713,564">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1194;top:555;width:521;height:543" type="#_x0000_t75" stroked="false">
                <v:imagedata r:id="rId8"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5"/>
        <w:ind w:left="2423" w:right="2423"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31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489"/>
            <w:ind w:right="0"/>
            <w:jc w:val="left"/>
            <w:rPr>
              <w:rFonts w:ascii="Times New Roman" w:hAnsi="Times New Roman" w:cs="Times New Roman" w:eastAsia="Times New Roman" w:hint="default"/>
            </w:rPr>
          </w:pPr>
          <w:hyperlink w:history="true" w:anchor="_TOC_250008">
            <w:r>
              <w:rPr/>
              <w:t>第二节 公司基本情况简介</w:t>
            </w:r>
            <w:r>
              <w:rPr>
                <w:rFonts w:ascii="Times New Roman" w:hAnsi="Times New Roman" w:cs="Times New Roman" w:eastAsia="Times New Roman" w:hint="default"/>
              </w:rPr>
              <w:tab/>
              <w:t>6</w:t>
            </w:r>
          </w:hyperlink>
        </w:p>
        <w:p>
          <w:pPr>
            <w:pStyle w:val="TOC1"/>
            <w:tabs>
              <w:tab w:pos="9783" w:val="right" w:leader="dot"/>
            </w:tabs>
            <w:spacing w:line="240" w:lineRule="auto" w:before="486"/>
            <w:ind w:right="0"/>
            <w:jc w:val="left"/>
            <w:rPr>
              <w:rFonts w:ascii="Times New Roman" w:hAnsi="Times New Roman" w:cs="Times New Roman" w:eastAsia="Times New Roman" w:hint="default"/>
            </w:rPr>
          </w:pPr>
          <w:hyperlink w:history="true" w:anchor="_TOC_250007">
            <w:r>
              <w:rPr/>
              <w:t>第三节 会计数据和财务指标摘要</w:t>
            </w:r>
            <w:r>
              <w:rPr>
                <w:rFonts w:ascii="Times New Roman" w:hAnsi="Times New Roman" w:cs="Times New Roman" w:eastAsia="Times New Roman" w:hint="default"/>
              </w:rPr>
              <w:tab/>
              <w:t>8</w:t>
            </w:r>
          </w:hyperlink>
        </w:p>
        <w:p>
          <w:pPr>
            <w:pStyle w:val="TOC1"/>
            <w:tabs>
              <w:tab w:pos="9773" w:val="right" w:leader="dot"/>
            </w:tabs>
            <w:spacing w:line="240" w:lineRule="auto"/>
            <w:ind w:right="0"/>
            <w:jc w:val="left"/>
            <w:rPr>
              <w:rFonts w:ascii="Times New Roman" w:hAnsi="Times New Roman" w:cs="Times New Roman" w:eastAsia="Times New Roman" w:hint="default"/>
            </w:rPr>
          </w:pPr>
          <w:hyperlink w:history="true" w:anchor="_TOC_250006">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0"/>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5">
            <w:r>
              <w:rPr/>
              <w:t>第五节 重要事项</w:t>
            </w:r>
            <w:r>
              <w:rPr>
                <w:rFonts w:ascii="Times New Roman" w:hAnsi="Times New Roman" w:cs="Times New Roman" w:eastAsia="Times New Roman" w:hint="default"/>
              </w:rPr>
              <w:tab/>
              <w:t>58</w:t>
            </w:r>
          </w:hyperlink>
        </w:p>
        <w:p>
          <w:pPr>
            <w:pStyle w:val="TOC1"/>
            <w:tabs>
              <w:tab w:pos="9783" w:val="right" w:leader="dot"/>
            </w:tabs>
            <w:spacing w:line="240" w:lineRule="auto" w:before="486"/>
            <w:ind w:right="0"/>
            <w:jc w:val="left"/>
            <w:rPr>
              <w:rFonts w:ascii="Times New Roman" w:hAnsi="Times New Roman" w:cs="Times New Roman" w:eastAsia="Times New Roman" w:hint="default"/>
            </w:rPr>
          </w:pPr>
          <w:hyperlink w:history="true" w:anchor="_TOC_250004">
            <w:r>
              <w:rPr/>
              <w:t>第六节 股份变动及股东情况</w:t>
            </w:r>
            <w:r>
              <w:rPr>
                <w:rFonts w:ascii="Times New Roman" w:hAnsi="Times New Roman" w:cs="Times New Roman" w:eastAsia="Times New Roman" w:hint="default"/>
              </w:rPr>
              <w:tab/>
              <w:t>66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3">
            <w:r>
              <w:rPr/>
              <w:t>第七节 董事、监事、高级管理人员和员工情况</w:t>
            </w:r>
            <w:r>
              <w:rPr>
                <w:rFonts w:ascii="Times New Roman" w:hAnsi="Times New Roman" w:cs="Times New Roman" w:eastAsia="Times New Roman" w:hint="default"/>
              </w:rPr>
              <w:tab/>
              <w:t>71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2">
            <w:r>
              <w:rPr/>
              <w:t>第八节 公司治理</w:t>
            </w:r>
            <w:r>
              <w:rPr>
                <w:rFonts w:ascii="Times New Roman" w:hAnsi="Times New Roman" w:cs="Times New Roman" w:eastAsia="Times New Roman" w:hint="default"/>
              </w:rPr>
              <w:tab/>
              <w:t>78</w:t>
            </w:r>
          </w:hyperlink>
        </w:p>
        <w:p>
          <w:pPr>
            <w:pStyle w:val="TOC1"/>
            <w:tabs>
              <w:tab w:pos="9783" w:val="right" w:leader="dot"/>
            </w:tabs>
            <w:spacing w:line="240" w:lineRule="auto" w:before="486"/>
            <w:ind w:right="0"/>
            <w:jc w:val="left"/>
            <w:rPr>
              <w:rFonts w:ascii="Times New Roman" w:hAnsi="Times New Roman" w:cs="Times New Roman" w:eastAsia="Times New Roman" w:hint="default"/>
            </w:rPr>
          </w:pPr>
          <w:hyperlink w:history="true" w:anchor="_TOC_250001">
            <w:r>
              <w:rPr/>
              <w:t>第九节 财务报告</w:t>
            </w:r>
            <w:r>
              <w:rPr>
                <w:rFonts w:ascii="Times New Roman" w:hAnsi="Times New Roman" w:cs="Times New Roman" w:eastAsia="Times New Roman" w:hint="default"/>
              </w:rPr>
              <w:tab/>
              <w:t>84</w:t>
            </w:r>
          </w:hyperlink>
        </w:p>
        <w:p>
          <w:pPr>
            <w:pStyle w:val="TOC1"/>
            <w:tabs>
              <w:tab w:pos="9783" w:val="right" w:leader="dot"/>
            </w:tabs>
            <w:spacing w:line="240" w:lineRule="auto" w:before="489"/>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t>178</w:t>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10"/>
        <w:rPr>
          <w:rFonts w:ascii="Times New Roman" w:hAnsi="Times New Roman" w:cs="Times New Roman" w:eastAsia="Times New Roman" w:hint="default"/>
          <w:sz w:val="25"/>
          <w:szCs w:val="25"/>
        </w:rPr>
      </w:pPr>
    </w:p>
    <w:p>
      <w:pPr>
        <w:spacing w:before="0"/>
        <w:ind w:left="2420" w:right="2423" w:firstLine="0"/>
        <w:jc w:val="center"/>
        <w:rPr>
          <w:rFonts w:ascii="宋体" w:hAnsi="宋体" w:cs="宋体" w:eastAsia="宋体" w:hint="default"/>
          <w:sz w:val="32"/>
          <w:szCs w:val="32"/>
        </w:rPr>
      </w:pPr>
      <w:r>
        <w:rPr>
          <w:rFonts w:ascii="宋体" w:hAnsi="宋体" w:cs="宋体" w:eastAsia="宋体" w:hint="default"/>
          <w:b/>
          <w:bCs/>
          <w:sz w:val="32"/>
          <w:szCs w:val="32"/>
        </w:rPr>
        <w:t>释</w:t>
      </w:r>
      <w:r>
        <w:rPr>
          <w:rFonts w:ascii="宋体" w:hAnsi="宋体" w:cs="宋体" w:eastAsia="宋体" w:hint="default"/>
          <w:b/>
          <w:bCs/>
          <w:spacing w:val="-4"/>
          <w:sz w:val="32"/>
          <w:szCs w:val="32"/>
        </w:rPr>
        <w:t> </w:t>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tbl>
      <w:tblPr>
        <w:tblW w:w="0" w:type="auto"/>
        <w:jc w:val="left"/>
        <w:tblInd w:w="172" w:type="dxa"/>
        <w:tblLayout w:type="fixed"/>
        <w:tblCellMar>
          <w:top w:w="0" w:type="dxa"/>
          <w:left w:w="0" w:type="dxa"/>
          <w:bottom w:w="0" w:type="dxa"/>
          <w:right w:w="0" w:type="dxa"/>
        </w:tblCellMar>
        <w:tblLook w:val="01E0"/>
      </w:tblPr>
      <w:tblGrid>
        <w:gridCol w:w="3527"/>
        <w:gridCol w:w="619"/>
        <w:gridCol w:w="5425"/>
      </w:tblGrid>
      <w:tr>
        <w:trPr>
          <w:trHeight w:val="456" w:hRule="exact"/>
        </w:trPr>
        <w:tc>
          <w:tcPr>
            <w:tcW w:w="352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1"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568"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c>
      </w:tr>
      <w:tr>
        <w:trPr>
          <w:trHeight w:val="568"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5"/>
              <w:ind w:left="18" w:right="0"/>
              <w:jc w:val="left"/>
              <w:rPr>
                <w:rFonts w:ascii="宋体" w:hAnsi="宋体" w:cs="宋体" w:eastAsia="宋体" w:hint="default"/>
                <w:sz w:val="18"/>
                <w:szCs w:val="18"/>
              </w:rPr>
            </w:pPr>
            <w:r>
              <w:rPr>
                <w:rFonts w:ascii="宋体" w:hAnsi="宋体" w:cs="宋体" w:eastAsia="宋体" w:hint="default"/>
                <w:sz w:val="18"/>
                <w:szCs w:val="18"/>
              </w:rPr>
              <w:t>郑州炜盛电子科技有限公司，公司全资子公司</w:t>
            </w:r>
          </w:p>
        </w:tc>
      </w:tr>
      <w:tr>
        <w:trPr>
          <w:trHeight w:val="567"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创威煤安</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宋体" w:hAnsi="宋体" w:cs="宋体" w:eastAsia="宋体" w:hint="default"/>
                <w:sz w:val="18"/>
                <w:szCs w:val="18"/>
              </w:rPr>
              <w:t>郑州创威煤安科技有限公司，公司全资子公司</w:t>
            </w:r>
          </w:p>
        </w:tc>
      </w:tr>
      <w:tr>
        <w:trPr>
          <w:trHeight w:val="566"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宋体" w:hAnsi="宋体" w:cs="宋体" w:eastAsia="宋体" w:hint="default"/>
                <w:sz w:val="18"/>
                <w:szCs w:val="18"/>
              </w:rPr>
              <w:t>北京智威宇讯科技有限公司，公司全资子公司</w:t>
            </w:r>
          </w:p>
        </w:tc>
      </w:tr>
      <w:tr>
        <w:trPr>
          <w:trHeight w:val="568"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郑州春泉</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宋体" w:hAnsi="宋体" w:cs="宋体" w:eastAsia="宋体" w:hint="default"/>
                <w:sz w:val="18"/>
                <w:szCs w:val="18"/>
              </w:rPr>
              <w:t>郑州春泉暖通节能设备有限公司，公司控股子公司</w:t>
            </w:r>
          </w:p>
        </w:tc>
      </w:tr>
      <w:tr>
        <w:trPr>
          <w:trHeight w:val="568"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5"/>
              <w:ind w:left="18" w:right="0"/>
              <w:jc w:val="left"/>
              <w:rPr>
                <w:rFonts w:ascii="宋体" w:hAnsi="宋体" w:cs="宋体" w:eastAsia="宋体" w:hint="default"/>
                <w:sz w:val="18"/>
                <w:szCs w:val="18"/>
              </w:rPr>
            </w:pPr>
            <w:r>
              <w:rPr>
                <w:rFonts w:ascii="宋体" w:hAnsi="宋体" w:cs="宋体" w:eastAsia="宋体" w:hint="default"/>
                <w:sz w:val="18"/>
                <w:szCs w:val="18"/>
              </w:rPr>
              <w:t>沈阳汉威科技有限公司，公司控股子公司</w:t>
            </w:r>
          </w:p>
        </w:tc>
      </w:tr>
      <w:tr>
        <w:trPr>
          <w:trHeight w:val="522"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宋体" w:hAnsi="宋体" w:cs="宋体" w:eastAsia="宋体" w:hint="default"/>
                <w:sz w:val="18"/>
                <w:szCs w:val="18"/>
              </w:rPr>
              <w:t>上海中威天安公共安全科技有限公司，公司控股子公司</w:t>
            </w:r>
          </w:p>
        </w:tc>
      </w:tr>
      <w:tr>
        <w:trPr>
          <w:trHeight w:val="163" w:hRule="exact"/>
        </w:trPr>
        <w:tc>
          <w:tcPr>
            <w:tcW w:w="3527"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619" w:type="dxa"/>
            <w:tcBorders>
              <w:top w:val="single" w:sz="6" w:space="0" w:color="000000"/>
              <w:left w:val="single" w:sz="6" w:space="0" w:color="000000"/>
              <w:bottom w:val="nil" w:sz="6" w:space="0" w:color="auto"/>
              <w:right w:val="single" w:sz="6" w:space="0" w:color="000000"/>
            </w:tcBorders>
            <w:shd w:val="clear" w:color="auto" w:fill="D2D2D2"/>
          </w:tcPr>
          <w:p>
            <w:pPr/>
          </w:p>
        </w:tc>
        <w:tc>
          <w:tcPr>
            <w:tcW w:w="5425" w:type="dxa"/>
            <w:vMerge w:val="restart"/>
            <w:tcBorders>
              <w:top w:val="single" w:sz="6" w:space="0" w:color="000000"/>
              <w:left w:val="single" w:sz="9" w:space="0" w:color="D2D2D2"/>
              <w:right w:val="single" w:sz="12" w:space="0" w:color="000000"/>
            </w:tcBorders>
          </w:tcPr>
          <w:p>
            <w:pPr>
              <w:pStyle w:val="TableParagraph"/>
              <w:spacing w:line="314" w:lineRule="auto" w:before="51"/>
              <w:ind w:left="18" w:right="14"/>
              <w:jc w:val="left"/>
              <w:rPr>
                <w:rFonts w:ascii="宋体" w:hAnsi="宋体" w:cs="宋体" w:eastAsia="宋体" w:hint="default"/>
                <w:sz w:val="18"/>
                <w:szCs w:val="18"/>
              </w:rPr>
            </w:pPr>
            <w:r>
              <w:rPr>
                <w:rFonts w:ascii="宋体" w:hAnsi="宋体" w:cs="宋体" w:eastAsia="宋体" w:hint="default"/>
                <w:spacing w:val="-2"/>
                <w:sz w:val="18"/>
                <w:szCs w:val="18"/>
              </w:rPr>
              <w:t>哈尔滨盈江科技有限公司，原名“哈尔滨盈江传感器工程技术中心有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8"/>
                <w:sz w:val="18"/>
                <w:szCs w:val="18"/>
              </w:rPr>
              <w:t>限公司”，公司控股子公司</w:t>
            </w:r>
          </w:p>
        </w:tc>
      </w:tr>
      <w:tr>
        <w:trPr>
          <w:trHeight w:val="391" w:hRule="exact"/>
        </w:trPr>
        <w:tc>
          <w:tcPr>
            <w:tcW w:w="3527" w:type="dxa"/>
            <w:vMerge/>
            <w:tcBorders>
              <w:left w:val="single" w:sz="12" w:space="0" w:color="000000"/>
              <w:right w:val="single" w:sz="9" w:space="0" w:color="D2D2D2"/>
            </w:tcBorders>
          </w:tcPr>
          <w:p>
            <w:pPr/>
          </w:p>
        </w:tc>
        <w:tc>
          <w:tcPr>
            <w:tcW w:w="6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12" w:space="0" w:color="000000"/>
            </w:tcBorders>
          </w:tcPr>
          <w:p>
            <w:pPr/>
          </w:p>
        </w:tc>
      </w:tr>
      <w:tr>
        <w:trPr>
          <w:trHeight w:val="202" w:hRule="exact"/>
        </w:trPr>
        <w:tc>
          <w:tcPr>
            <w:tcW w:w="3527" w:type="dxa"/>
            <w:vMerge/>
            <w:tcBorders>
              <w:left w:val="single" w:sz="12" w:space="0" w:color="000000"/>
              <w:bottom w:val="single" w:sz="6" w:space="0" w:color="FFFFFF"/>
              <w:right w:val="single" w:sz="9" w:space="0" w:color="D2D2D2"/>
            </w:tcBorders>
          </w:tcPr>
          <w:p>
            <w:pPr/>
          </w:p>
        </w:tc>
        <w:tc>
          <w:tcPr>
            <w:tcW w:w="619" w:type="dxa"/>
            <w:tcBorders>
              <w:top w:val="nil" w:sz="6" w:space="0" w:color="auto"/>
              <w:left w:val="single" w:sz="6" w:space="0" w:color="000000"/>
              <w:bottom w:val="single" w:sz="6" w:space="0" w:color="FFFFFF"/>
              <w:right w:val="single" w:sz="6" w:space="0" w:color="000000"/>
            </w:tcBorders>
            <w:shd w:val="clear" w:color="auto" w:fill="D2D2D2"/>
          </w:tcPr>
          <w:p>
            <w:pPr/>
          </w:p>
        </w:tc>
        <w:tc>
          <w:tcPr>
            <w:tcW w:w="5425" w:type="dxa"/>
            <w:vMerge/>
            <w:tcBorders>
              <w:left w:val="single" w:sz="9" w:space="0" w:color="D2D2D2"/>
              <w:bottom w:val="single" w:sz="6" w:space="0" w:color="FFFFFF"/>
              <w:right w:val="single" w:sz="12" w:space="0" w:color="000000"/>
            </w:tcBorders>
          </w:tcPr>
          <w:p>
            <w:pPr/>
          </w:p>
        </w:tc>
      </w:tr>
      <w:tr>
        <w:trPr>
          <w:trHeight w:val="560" w:hRule="exact"/>
        </w:trPr>
        <w:tc>
          <w:tcPr>
            <w:tcW w:w="3527" w:type="dxa"/>
            <w:tcBorders>
              <w:top w:val="single" w:sz="6" w:space="0" w:color="FFFFFF"/>
              <w:left w:val="single" w:sz="12" w:space="0" w:color="000000"/>
              <w:bottom w:val="single" w:sz="6" w:space="0" w:color="000000"/>
              <w:right w:val="single" w:sz="14" w:space="0" w:color="D2D2D2"/>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长春应化所</w:t>
            </w:r>
          </w:p>
        </w:tc>
        <w:tc>
          <w:tcPr>
            <w:tcW w:w="619"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FFFFFF"/>
              <w:left w:val="single" w:sz="9" w:space="0" w:color="D2D2D2"/>
              <w:bottom w:val="single" w:sz="6" w:space="0" w:color="000000"/>
              <w:right w:val="single" w:sz="12" w:space="0" w:color="000000"/>
            </w:tcBorders>
          </w:tcPr>
          <w:p>
            <w:pPr>
              <w:pStyle w:val="TableParagraph"/>
              <w:spacing w:line="240" w:lineRule="auto" w:before="82"/>
              <w:ind w:left="18" w:right="0"/>
              <w:jc w:val="left"/>
              <w:rPr>
                <w:rFonts w:ascii="宋体" w:hAnsi="宋体" w:cs="宋体" w:eastAsia="宋体" w:hint="default"/>
                <w:sz w:val="18"/>
                <w:szCs w:val="18"/>
              </w:rPr>
            </w:pPr>
            <w:r>
              <w:rPr>
                <w:rFonts w:ascii="宋体" w:hAnsi="宋体" w:cs="宋体" w:eastAsia="宋体" w:hint="default"/>
                <w:sz w:val="18"/>
                <w:szCs w:val="18"/>
              </w:rPr>
              <w:t>中国科学院长春应用化学研究所</w:t>
            </w:r>
          </w:p>
        </w:tc>
      </w:tr>
      <w:tr>
        <w:trPr>
          <w:trHeight w:val="568"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汉威安仪</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5"/>
              <w:ind w:left="18" w:right="0"/>
              <w:jc w:val="left"/>
              <w:rPr>
                <w:rFonts w:ascii="宋体" w:hAnsi="宋体" w:cs="宋体" w:eastAsia="宋体" w:hint="default"/>
                <w:sz w:val="18"/>
                <w:szCs w:val="18"/>
              </w:rPr>
            </w:pPr>
            <w:r>
              <w:rPr>
                <w:rFonts w:ascii="宋体" w:hAnsi="宋体" w:cs="宋体" w:eastAsia="宋体" w:hint="default"/>
                <w:sz w:val="18"/>
                <w:szCs w:val="18"/>
              </w:rPr>
              <w:t>北京汉威安仪科技有限公司，已注销</w:t>
            </w:r>
          </w:p>
        </w:tc>
      </w:tr>
      <w:tr>
        <w:trPr>
          <w:trHeight w:val="566"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河南汉威电子股份有限公司董事会</w:t>
            </w:r>
          </w:p>
        </w:tc>
      </w:tr>
      <w:tr>
        <w:trPr>
          <w:trHeight w:val="568"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河南汉威电子股份有限公司股东大会</w:t>
            </w:r>
          </w:p>
        </w:tc>
      </w:tr>
      <w:tr>
        <w:trPr>
          <w:trHeight w:val="566"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5"/>
              <w:ind w:left="18"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568"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5"/>
              <w:ind w:left="1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5"/>
              <w:ind w:left="1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567"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报告期、上年同期</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r>
      <w:tr>
        <w:trPr>
          <w:trHeight w:val="524" w:hRule="exact"/>
        </w:trPr>
        <w:tc>
          <w:tcPr>
            <w:tcW w:w="3527"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86"/>
              <w:ind w:left="1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86"/>
              <w:ind w:left="18"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163" w:hRule="exact"/>
        </w:trPr>
        <w:tc>
          <w:tcPr>
            <w:tcW w:w="3527"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619" w:type="dxa"/>
            <w:tcBorders>
              <w:top w:val="single" w:sz="6" w:space="0" w:color="000000"/>
              <w:left w:val="single" w:sz="6" w:space="0" w:color="000000"/>
              <w:bottom w:val="nil" w:sz="6" w:space="0" w:color="auto"/>
              <w:right w:val="single" w:sz="6" w:space="0" w:color="000000"/>
            </w:tcBorders>
            <w:shd w:val="clear" w:color="auto" w:fill="D2D2D2"/>
          </w:tcPr>
          <w:p>
            <w:pPr/>
          </w:p>
        </w:tc>
        <w:tc>
          <w:tcPr>
            <w:tcW w:w="5425" w:type="dxa"/>
            <w:vMerge w:val="restart"/>
            <w:tcBorders>
              <w:top w:val="single" w:sz="6" w:space="0" w:color="000000"/>
              <w:left w:val="single" w:sz="9" w:space="0" w:color="D2D2D2"/>
              <w:right w:val="single" w:sz="12" w:space="0" w:color="000000"/>
            </w:tcBorders>
          </w:tcPr>
          <w:p>
            <w:pPr>
              <w:pStyle w:val="TableParagraph"/>
              <w:spacing w:line="316" w:lineRule="auto" w:before="49"/>
              <w:ind w:left="18" w:right="10"/>
              <w:jc w:val="left"/>
              <w:rPr>
                <w:rFonts w:ascii="宋体" w:hAnsi="宋体" w:cs="宋体" w:eastAsia="宋体" w:hint="default"/>
                <w:sz w:val="18"/>
                <w:szCs w:val="18"/>
              </w:rPr>
            </w:pPr>
            <w:r>
              <w:rPr>
                <w:rFonts w:ascii="宋体" w:hAnsi="宋体" w:cs="宋体" w:eastAsia="宋体" w:hint="default"/>
                <w:spacing w:val="-2"/>
                <w:sz w:val="18"/>
                <w:szCs w:val="18"/>
              </w:rPr>
              <w:t>利用特定气体发生物理或化学变化所释放出的有效信号，从而实现对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该种气体成分、浓度进行感知和测量的元器件</w:t>
            </w:r>
          </w:p>
        </w:tc>
      </w:tr>
      <w:tr>
        <w:trPr>
          <w:trHeight w:val="391" w:hRule="exact"/>
        </w:trPr>
        <w:tc>
          <w:tcPr>
            <w:tcW w:w="3527" w:type="dxa"/>
            <w:vMerge/>
            <w:tcBorders>
              <w:left w:val="single" w:sz="12" w:space="0" w:color="000000"/>
              <w:right w:val="single" w:sz="9" w:space="0" w:color="D2D2D2"/>
            </w:tcBorders>
          </w:tcPr>
          <w:p>
            <w:pPr/>
          </w:p>
        </w:tc>
        <w:tc>
          <w:tcPr>
            <w:tcW w:w="6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12" w:space="0" w:color="000000"/>
            </w:tcBorders>
          </w:tcPr>
          <w:p>
            <w:pPr/>
          </w:p>
        </w:tc>
      </w:tr>
      <w:tr>
        <w:trPr>
          <w:trHeight w:val="163" w:hRule="exact"/>
        </w:trPr>
        <w:tc>
          <w:tcPr>
            <w:tcW w:w="3527" w:type="dxa"/>
            <w:vMerge/>
            <w:tcBorders>
              <w:left w:val="single" w:sz="12" w:space="0" w:color="000000"/>
              <w:bottom w:val="single" w:sz="6" w:space="0" w:color="000000"/>
              <w:right w:val="single" w:sz="9" w:space="0" w:color="D2D2D2"/>
            </w:tcBorders>
          </w:tcPr>
          <w:p>
            <w:pPr/>
          </w:p>
        </w:tc>
        <w:tc>
          <w:tcPr>
            <w:tcW w:w="619" w:type="dxa"/>
            <w:tcBorders>
              <w:top w:val="nil" w:sz="6" w:space="0" w:color="auto"/>
              <w:left w:val="single" w:sz="6" w:space="0" w:color="000000"/>
              <w:bottom w:val="single" w:sz="6" w:space="0" w:color="000000"/>
              <w:right w:val="single" w:sz="6" w:space="0" w:color="000000"/>
            </w:tcBorders>
            <w:shd w:val="clear" w:color="auto" w:fill="D2D2D2"/>
          </w:tcPr>
          <w:p>
            <w:pPr/>
          </w:p>
        </w:tc>
        <w:tc>
          <w:tcPr>
            <w:tcW w:w="5425" w:type="dxa"/>
            <w:vMerge/>
            <w:tcBorders>
              <w:left w:val="single" w:sz="9" w:space="0" w:color="D2D2D2"/>
              <w:bottom w:val="single" w:sz="6" w:space="0" w:color="000000"/>
              <w:right w:val="single" w:sz="12" w:space="0" w:color="000000"/>
            </w:tcBorders>
          </w:tcPr>
          <w:p>
            <w:pPr/>
          </w:p>
        </w:tc>
      </w:tr>
      <w:tr>
        <w:trPr>
          <w:trHeight w:val="163" w:hRule="exact"/>
        </w:trPr>
        <w:tc>
          <w:tcPr>
            <w:tcW w:w="3527"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半导体类气体传感器</w:t>
            </w:r>
          </w:p>
        </w:tc>
        <w:tc>
          <w:tcPr>
            <w:tcW w:w="619" w:type="dxa"/>
            <w:tcBorders>
              <w:top w:val="single" w:sz="6" w:space="0" w:color="000000"/>
              <w:left w:val="single" w:sz="6" w:space="0" w:color="000000"/>
              <w:bottom w:val="nil" w:sz="6" w:space="0" w:color="auto"/>
              <w:right w:val="single" w:sz="6" w:space="0" w:color="000000"/>
            </w:tcBorders>
            <w:shd w:val="clear" w:color="auto" w:fill="D2D2D2"/>
          </w:tcPr>
          <w:p>
            <w:pPr/>
          </w:p>
        </w:tc>
        <w:tc>
          <w:tcPr>
            <w:tcW w:w="5425" w:type="dxa"/>
            <w:vMerge w:val="restart"/>
            <w:tcBorders>
              <w:top w:val="single" w:sz="6" w:space="0" w:color="000000"/>
              <w:left w:val="single" w:sz="9" w:space="0" w:color="D2D2D2"/>
              <w:right w:val="single" w:sz="12" w:space="0" w:color="000000"/>
            </w:tcBorders>
          </w:tcPr>
          <w:p>
            <w:pPr>
              <w:pStyle w:val="TableParagraph"/>
              <w:spacing w:line="316" w:lineRule="auto" w:before="49"/>
              <w:ind w:left="18" w:right="159"/>
              <w:jc w:val="left"/>
              <w:rPr>
                <w:rFonts w:ascii="宋体" w:hAnsi="宋体" w:cs="宋体" w:eastAsia="宋体" w:hint="default"/>
                <w:sz w:val="18"/>
                <w:szCs w:val="18"/>
              </w:rPr>
            </w:pPr>
            <w:r>
              <w:rPr>
                <w:rFonts w:ascii="宋体" w:hAnsi="宋体" w:cs="宋体" w:eastAsia="宋体" w:hint="default"/>
                <w:sz w:val="18"/>
                <w:szCs w:val="18"/>
              </w:rPr>
              <w:t>半导体类气体传感器是利用气体在半导体气敏材料表面所进行的吸 附或反应而引起元件电信号的变化来进行检测的气体传感器</w:t>
            </w:r>
          </w:p>
        </w:tc>
      </w:tr>
      <w:tr>
        <w:trPr>
          <w:trHeight w:val="394" w:hRule="exact"/>
        </w:trPr>
        <w:tc>
          <w:tcPr>
            <w:tcW w:w="3527" w:type="dxa"/>
            <w:vMerge/>
            <w:tcBorders>
              <w:left w:val="single" w:sz="12" w:space="0" w:color="000000"/>
              <w:right w:val="single" w:sz="9" w:space="0" w:color="D2D2D2"/>
            </w:tcBorders>
          </w:tcPr>
          <w:p>
            <w:pPr/>
          </w:p>
        </w:tc>
        <w:tc>
          <w:tcPr>
            <w:tcW w:w="6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12" w:space="0" w:color="000000"/>
            </w:tcBorders>
          </w:tcPr>
          <w:p>
            <w:pPr/>
          </w:p>
        </w:tc>
      </w:tr>
      <w:tr>
        <w:trPr>
          <w:trHeight w:val="163" w:hRule="exact"/>
        </w:trPr>
        <w:tc>
          <w:tcPr>
            <w:tcW w:w="3527" w:type="dxa"/>
            <w:vMerge/>
            <w:tcBorders>
              <w:left w:val="single" w:sz="12" w:space="0" w:color="000000"/>
              <w:bottom w:val="single" w:sz="6" w:space="0" w:color="000000"/>
              <w:right w:val="single" w:sz="9" w:space="0" w:color="D2D2D2"/>
            </w:tcBorders>
          </w:tcPr>
          <w:p>
            <w:pPr/>
          </w:p>
        </w:tc>
        <w:tc>
          <w:tcPr>
            <w:tcW w:w="619" w:type="dxa"/>
            <w:tcBorders>
              <w:top w:val="nil" w:sz="6" w:space="0" w:color="auto"/>
              <w:left w:val="single" w:sz="6" w:space="0" w:color="000000"/>
              <w:bottom w:val="single" w:sz="6" w:space="0" w:color="000000"/>
              <w:right w:val="single" w:sz="6" w:space="0" w:color="000000"/>
            </w:tcBorders>
            <w:shd w:val="clear" w:color="auto" w:fill="D2D2D2"/>
          </w:tcPr>
          <w:p>
            <w:pPr/>
          </w:p>
        </w:tc>
        <w:tc>
          <w:tcPr>
            <w:tcW w:w="5425" w:type="dxa"/>
            <w:vMerge/>
            <w:tcBorders>
              <w:left w:val="single" w:sz="9" w:space="0" w:color="D2D2D2"/>
              <w:bottom w:val="single" w:sz="6" w:space="0" w:color="000000"/>
              <w:right w:val="single" w:sz="12" w:space="0" w:color="000000"/>
            </w:tcBorders>
          </w:tcPr>
          <w:p>
            <w:pPr/>
          </w:p>
        </w:tc>
      </w:tr>
      <w:tr>
        <w:trPr>
          <w:trHeight w:val="163" w:hRule="exact"/>
        </w:trPr>
        <w:tc>
          <w:tcPr>
            <w:tcW w:w="3527" w:type="dxa"/>
            <w:vMerge w:val="restart"/>
            <w:tcBorders>
              <w:top w:val="single" w:sz="6" w:space="0" w:color="000000"/>
              <w:left w:val="single" w:sz="12"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催化燃烧类气体传感器</w:t>
            </w:r>
          </w:p>
        </w:tc>
        <w:tc>
          <w:tcPr>
            <w:tcW w:w="619" w:type="dxa"/>
            <w:tcBorders>
              <w:top w:val="single" w:sz="6" w:space="0" w:color="000000"/>
              <w:left w:val="single" w:sz="6" w:space="0" w:color="000000"/>
              <w:bottom w:val="nil" w:sz="6" w:space="0" w:color="auto"/>
              <w:right w:val="single" w:sz="6" w:space="0" w:color="000000"/>
            </w:tcBorders>
            <w:shd w:val="clear" w:color="auto" w:fill="D2D2D2"/>
          </w:tcPr>
          <w:p>
            <w:pPr/>
          </w:p>
        </w:tc>
        <w:tc>
          <w:tcPr>
            <w:tcW w:w="5425" w:type="dxa"/>
            <w:vMerge w:val="restart"/>
            <w:tcBorders>
              <w:top w:val="single" w:sz="6" w:space="0" w:color="000000"/>
              <w:left w:val="single" w:sz="9" w:space="0" w:color="D2D2D2"/>
              <w:right w:val="single" w:sz="12" w:space="0" w:color="000000"/>
            </w:tcBorders>
          </w:tcPr>
          <w:p>
            <w:pPr>
              <w:pStyle w:val="TableParagraph"/>
              <w:spacing w:line="316" w:lineRule="auto" w:before="49"/>
              <w:ind w:left="18" w:right="10"/>
              <w:jc w:val="left"/>
              <w:rPr>
                <w:rFonts w:ascii="宋体" w:hAnsi="宋体" w:cs="宋体" w:eastAsia="宋体" w:hint="default"/>
                <w:sz w:val="18"/>
                <w:szCs w:val="18"/>
              </w:rPr>
            </w:pPr>
            <w:r>
              <w:rPr>
                <w:rFonts w:ascii="宋体" w:hAnsi="宋体" w:cs="宋体" w:eastAsia="宋体" w:hint="default"/>
                <w:spacing w:val="-2"/>
                <w:sz w:val="18"/>
                <w:szCs w:val="18"/>
              </w:rPr>
              <w:t>利用可燃性气体氧化燃烧放热使电热丝温度升高、电阻值发生变化的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原理进行气体检测的气体传感器</w:t>
            </w:r>
          </w:p>
        </w:tc>
      </w:tr>
      <w:tr>
        <w:trPr>
          <w:trHeight w:val="391" w:hRule="exact"/>
        </w:trPr>
        <w:tc>
          <w:tcPr>
            <w:tcW w:w="3527" w:type="dxa"/>
            <w:vMerge/>
            <w:tcBorders>
              <w:left w:val="single" w:sz="12" w:space="0" w:color="000000"/>
              <w:right w:val="single" w:sz="9" w:space="0" w:color="D2D2D2"/>
            </w:tcBorders>
          </w:tcPr>
          <w:p>
            <w:pPr/>
          </w:p>
        </w:tc>
        <w:tc>
          <w:tcPr>
            <w:tcW w:w="61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12" w:space="0" w:color="000000"/>
            </w:tcBorders>
          </w:tcPr>
          <w:p>
            <w:pPr/>
          </w:p>
        </w:tc>
      </w:tr>
      <w:tr>
        <w:trPr>
          <w:trHeight w:val="170" w:hRule="exact"/>
        </w:trPr>
        <w:tc>
          <w:tcPr>
            <w:tcW w:w="3527" w:type="dxa"/>
            <w:vMerge/>
            <w:tcBorders>
              <w:left w:val="single" w:sz="12" w:space="0" w:color="000000"/>
              <w:bottom w:val="single" w:sz="12" w:space="0" w:color="000000"/>
              <w:right w:val="single" w:sz="9" w:space="0" w:color="D2D2D2"/>
            </w:tcBorders>
          </w:tcPr>
          <w:p>
            <w:pPr/>
          </w:p>
        </w:tc>
        <w:tc>
          <w:tcPr>
            <w:tcW w:w="619" w:type="dxa"/>
            <w:tcBorders>
              <w:top w:val="nil" w:sz="6" w:space="0" w:color="auto"/>
              <w:left w:val="single" w:sz="6" w:space="0" w:color="000000"/>
              <w:bottom w:val="single" w:sz="12" w:space="0" w:color="000000"/>
              <w:right w:val="single" w:sz="6" w:space="0" w:color="000000"/>
            </w:tcBorders>
            <w:shd w:val="clear" w:color="auto" w:fill="D2D2D2"/>
          </w:tcPr>
          <w:p>
            <w:pPr/>
          </w:p>
        </w:tc>
        <w:tc>
          <w:tcPr>
            <w:tcW w:w="5425" w:type="dxa"/>
            <w:vMerge/>
            <w:tcBorders>
              <w:left w:val="single" w:sz="9" w:space="0" w:color="D2D2D2"/>
              <w:bottom w:val="single" w:sz="12" w:space="0" w:color="000000"/>
              <w:right w:val="single" w:sz="12" w:space="0" w:color="000000"/>
            </w:tcBorders>
          </w:tcPr>
          <w:p>
            <w:pPr/>
          </w:p>
        </w:tc>
      </w:tr>
    </w:tbl>
    <w:p>
      <w:pPr>
        <w:spacing w:after="0"/>
        <w:sectPr>
          <w:headerReference w:type="default" r:id="rId10"/>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3527"/>
        <w:gridCol w:w="619"/>
        <w:gridCol w:w="5425"/>
      </w:tblGrid>
      <w:tr>
        <w:trPr>
          <w:trHeight w:val="1040" w:hRule="exact"/>
        </w:trPr>
        <w:tc>
          <w:tcPr>
            <w:tcW w:w="35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宋体" w:hAnsi="宋体" w:cs="宋体" w:eastAsia="宋体" w:hint="default"/>
                <w:sz w:val="18"/>
                <w:szCs w:val="18"/>
              </w:rPr>
              <w:t>电化学类气体传感器</w:t>
            </w:r>
          </w:p>
        </w:tc>
        <w:tc>
          <w:tcPr>
            <w:tcW w:w="6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12" w:space="0" w:color="000000"/>
              <w:left w:val="single" w:sz="6" w:space="0" w:color="000000"/>
              <w:bottom w:val="single" w:sz="6" w:space="0" w:color="000000"/>
              <w:right w:val="single" w:sz="12" w:space="0" w:color="000000"/>
            </w:tcBorders>
          </w:tcPr>
          <w:p>
            <w:pPr>
              <w:pStyle w:val="TableParagraph"/>
              <w:spacing w:line="307" w:lineRule="auto" w:before="51"/>
              <w:ind w:left="21" w:right="10"/>
              <w:jc w:val="left"/>
              <w:rPr>
                <w:rFonts w:ascii="宋体" w:hAnsi="宋体" w:cs="宋体" w:eastAsia="宋体" w:hint="default"/>
                <w:sz w:val="18"/>
                <w:szCs w:val="18"/>
              </w:rPr>
            </w:pPr>
            <w:r>
              <w:rPr>
                <w:rFonts w:ascii="宋体" w:hAnsi="宋体" w:cs="宋体" w:eastAsia="宋体" w:hint="default"/>
                <w:spacing w:val="-2"/>
                <w:sz w:val="18"/>
                <w:szCs w:val="18"/>
              </w:rPr>
              <w:t>利用气体的电化学效应进行检测的传感器。气体在传感器电极上发生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电化学氧化</w:t>
            </w:r>
            <w:r>
              <w:rPr>
                <w:rFonts w:ascii="Times New Roman" w:hAnsi="Times New Roman" w:cs="Times New Roman" w:eastAsia="Times New Roman" w:hint="default"/>
                <w:sz w:val="18"/>
                <w:szCs w:val="18"/>
              </w:rPr>
              <w:t>-</w:t>
            </w:r>
            <w:r>
              <w:rPr>
                <w:rFonts w:ascii="宋体" w:hAnsi="宋体" w:cs="宋体" w:eastAsia="宋体" w:hint="default"/>
                <w:sz w:val="18"/>
                <w:szCs w:val="18"/>
              </w:rPr>
              <w:t>还原反应并释放出电荷</w:t>
            </w:r>
            <w:r>
              <w:rPr>
                <w:rFonts w:ascii="Times New Roman" w:hAnsi="Times New Roman" w:cs="Times New Roman" w:eastAsia="Times New Roman" w:hint="default"/>
                <w:sz w:val="18"/>
                <w:szCs w:val="18"/>
              </w:rPr>
              <w:t>,</w:t>
            </w:r>
            <w:r>
              <w:rPr>
                <w:rFonts w:ascii="宋体" w:hAnsi="宋体" w:cs="宋体" w:eastAsia="宋体" w:hint="default"/>
                <w:sz w:val="18"/>
                <w:szCs w:val="18"/>
              </w:rPr>
              <w:t>产生电信号</w:t>
            </w:r>
            <w:r>
              <w:rPr>
                <w:rFonts w:ascii="Times New Roman" w:hAnsi="Times New Roman" w:cs="Times New Roman" w:eastAsia="Times New Roman" w:hint="default"/>
                <w:sz w:val="18"/>
                <w:szCs w:val="18"/>
              </w:rPr>
              <w:t>,</w:t>
            </w:r>
            <w:r>
              <w:rPr>
                <w:rFonts w:ascii="宋体" w:hAnsi="宋体" w:cs="宋体" w:eastAsia="宋体" w:hint="default"/>
                <w:sz w:val="18"/>
                <w:szCs w:val="18"/>
              </w:rPr>
              <w:t>电信号的大小与气 体浓度成正比</w:t>
            </w:r>
          </w:p>
        </w:tc>
      </w:tr>
      <w:tr>
        <w:trPr>
          <w:trHeight w:val="1030"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宋体" w:hAnsi="宋体" w:cs="宋体" w:eastAsia="宋体" w:hint="default"/>
                <w:sz w:val="18"/>
                <w:szCs w:val="18"/>
              </w:rPr>
              <w:t>红外光学类气体传感器</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0"/>
              <w:jc w:val="left"/>
              <w:rPr>
                <w:rFonts w:ascii="宋体" w:hAnsi="宋体" w:cs="宋体" w:eastAsia="宋体" w:hint="default"/>
                <w:sz w:val="18"/>
                <w:szCs w:val="18"/>
              </w:rPr>
            </w:pPr>
            <w:r>
              <w:rPr>
                <w:rFonts w:ascii="宋体" w:hAnsi="宋体" w:cs="宋体" w:eastAsia="宋体" w:hint="default"/>
                <w:sz w:val="18"/>
                <w:szCs w:val="18"/>
              </w:rPr>
              <w:t>利用不同气体对红外线不同波谱段的光谱吸收原理来检测气体的种 </w:t>
            </w:r>
            <w:r>
              <w:rPr>
                <w:rFonts w:ascii="宋体" w:hAnsi="宋体" w:cs="宋体" w:eastAsia="宋体" w:hint="default"/>
                <w:spacing w:val="-2"/>
                <w:sz w:val="18"/>
                <w:szCs w:val="18"/>
              </w:rPr>
              <w:t>类及浓度，利用此种原理工作的气体传感器称为红外光学类气体传感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器</w:t>
            </w:r>
          </w:p>
        </w:tc>
      </w:tr>
      <w:tr>
        <w:trPr>
          <w:trHeight w:val="720"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68"/>
              <w:jc w:val="left"/>
              <w:rPr>
                <w:rFonts w:ascii="宋体" w:hAnsi="宋体" w:cs="宋体" w:eastAsia="宋体" w:hint="default"/>
                <w:sz w:val="18"/>
                <w:szCs w:val="18"/>
              </w:rPr>
            </w:pPr>
            <w:r>
              <w:rPr>
                <w:rFonts w:ascii="宋体" w:hAnsi="宋体" w:cs="宋体" w:eastAsia="宋体" w:hint="default"/>
                <w:sz w:val="18"/>
                <w:szCs w:val="18"/>
              </w:rPr>
              <w:t>气体检测仪器仪表（气体探测器、气体探测 仪、气体报警器）</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3"/>
              <w:jc w:val="left"/>
              <w:rPr>
                <w:rFonts w:ascii="宋体" w:hAnsi="宋体" w:cs="宋体" w:eastAsia="宋体" w:hint="default"/>
                <w:sz w:val="18"/>
                <w:szCs w:val="18"/>
              </w:rPr>
            </w:pPr>
            <w:r>
              <w:rPr>
                <w:rFonts w:ascii="宋体" w:hAnsi="宋体" w:cs="宋体" w:eastAsia="宋体" w:hint="default"/>
                <w:spacing w:val="-2"/>
                <w:sz w:val="18"/>
                <w:szCs w:val="18"/>
              </w:rPr>
              <w:t>利用气体传感器采集生成的气体浓度信号，由配套电路进行处理，实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现气体探测及控制等各项具体功能的仪器仪表</w:t>
            </w:r>
          </w:p>
        </w:tc>
      </w:tr>
      <w:tr>
        <w:trPr>
          <w:trHeight w:val="566"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半导体类气体检测仪器仪表</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left="21" w:right="0"/>
              <w:jc w:val="left"/>
              <w:rPr>
                <w:rFonts w:ascii="宋体" w:hAnsi="宋体" w:cs="宋体" w:eastAsia="宋体" w:hint="default"/>
                <w:sz w:val="18"/>
                <w:szCs w:val="18"/>
              </w:rPr>
            </w:pPr>
            <w:r>
              <w:rPr>
                <w:rFonts w:ascii="宋体" w:hAnsi="宋体" w:cs="宋体" w:eastAsia="宋体" w:hint="default"/>
                <w:sz w:val="18"/>
                <w:szCs w:val="18"/>
              </w:rPr>
              <w:t>以半导体类气体传感器为核心元器件制成的气体检测仪器仪表</w:t>
            </w:r>
          </w:p>
        </w:tc>
      </w:tr>
      <w:tr>
        <w:trPr>
          <w:trHeight w:val="567"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催化燃烧类气体检测仪器仪表</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left="21" w:right="0"/>
              <w:jc w:val="left"/>
              <w:rPr>
                <w:rFonts w:ascii="宋体" w:hAnsi="宋体" w:cs="宋体" w:eastAsia="宋体" w:hint="default"/>
                <w:sz w:val="18"/>
                <w:szCs w:val="18"/>
              </w:rPr>
            </w:pPr>
            <w:r>
              <w:rPr>
                <w:rFonts w:ascii="宋体" w:hAnsi="宋体" w:cs="宋体" w:eastAsia="宋体" w:hint="default"/>
                <w:sz w:val="18"/>
                <w:szCs w:val="18"/>
              </w:rPr>
              <w:t>以催化燃烧类气体传感器为核心元器件制成的气体检测仪器仪表</w:t>
            </w:r>
          </w:p>
        </w:tc>
      </w:tr>
      <w:tr>
        <w:trPr>
          <w:trHeight w:val="569"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电化学类气体检测仪器仪表</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left="21" w:right="0"/>
              <w:jc w:val="left"/>
              <w:rPr>
                <w:rFonts w:ascii="宋体" w:hAnsi="宋体" w:cs="宋体" w:eastAsia="宋体" w:hint="default"/>
                <w:sz w:val="18"/>
                <w:szCs w:val="18"/>
              </w:rPr>
            </w:pPr>
            <w:r>
              <w:rPr>
                <w:rFonts w:ascii="宋体" w:hAnsi="宋体" w:cs="宋体" w:eastAsia="宋体" w:hint="default"/>
                <w:sz w:val="18"/>
                <w:szCs w:val="18"/>
              </w:rPr>
              <w:t>以电化学类气体传感器为核心元器件制成的气体检测仪器仪表</w:t>
            </w:r>
          </w:p>
        </w:tc>
      </w:tr>
      <w:tr>
        <w:trPr>
          <w:trHeight w:val="566"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红外光学类气体检测仪器仪表</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以红外光学类气体传感器为核心元器件制成的气体检测仪器仪表</w:t>
            </w:r>
          </w:p>
        </w:tc>
      </w:tr>
      <w:tr>
        <w:trPr>
          <w:trHeight w:val="1344"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酒精检测仪</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312" w:lineRule="auto" w:before="49"/>
              <w:ind w:left="21" w:right="10"/>
              <w:jc w:val="left"/>
              <w:rPr>
                <w:rFonts w:ascii="宋体" w:hAnsi="宋体" w:cs="宋体" w:eastAsia="宋体" w:hint="default"/>
                <w:sz w:val="18"/>
                <w:szCs w:val="18"/>
              </w:rPr>
            </w:pPr>
            <w:r>
              <w:rPr>
                <w:rFonts w:ascii="宋体" w:hAnsi="宋体" w:cs="宋体" w:eastAsia="宋体" w:hint="default"/>
                <w:sz w:val="18"/>
                <w:szCs w:val="18"/>
              </w:rPr>
              <w:t>用于督察酒后驾驶和危险作业的检测呼出气体中酒精气体含量的仪 </w:t>
            </w:r>
            <w:r>
              <w:rPr>
                <w:rFonts w:ascii="宋体" w:hAnsi="宋体" w:cs="宋体" w:eastAsia="宋体" w:hint="default"/>
                <w:spacing w:val="-2"/>
                <w:sz w:val="18"/>
                <w:szCs w:val="18"/>
              </w:rPr>
              <w:t>器，分为警察执法用呼出气体酒精含量检测仪和个人使用的商业化酒</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w w:val="99"/>
                <w:sz w:val="18"/>
                <w:szCs w:val="18"/>
              </w:rPr>
              <w:t>精检测仪。其中</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警用呼出气体酒精含量检测仪</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简称为</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警用酒精检测</w:t>
            </w:r>
            <w:r>
              <w:rPr>
                <w:rFonts w:ascii="宋体" w:hAnsi="宋体" w:cs="宋体" w:eastAsia="宋体" w:hint="default"/>
                <w:spacing w:val="-68"/>
                <w:w w:val="99"/>
                <w:sz w:val="18"/>
                <w:szCs w:val="18"/>
              </w:rPr>
              <w:t> </w:t>
            </w:r>
            <w:r>
              <w:rPr>
                <w:rFonts w:ascii="宋体" w:hAnsi="宋体" w:cs="宋体" w:eastAsia="宋体" w:hint="default"/>
                <w:spacing w:val="-68"/>
                <w:w w:val="99"/>
                <w:sz w:val="18"/>
                <w:szCs w:val="18"/>
              </w:rPr>
            </w:r>
            <w:r>
              <w:rPr>
                <w:rFonts w:ascii="宋体" w:hAnsi="宋体" w:cs="宋体" w:eastAsia="宋体" w:hint="default"/>
                <w:sz w:val="18"/>
                <w:szCs w:val="18"/>
              </w:rPr>
              <w:t>仪</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8"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EN50194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9"/>
              <w:ind w:left="21" w:right="10"/>
              <w:jc w:val="left"/>
              <w:rPr>
                <w:rFonts w:ascii="宋体" w:hAnsi="宋体" w:cs="宋体" w:eastAsia="宋体" w:hint="default"/>
                <w:sz w:val="18"/>
                <w:szCs w:val="18"/>
              </w:rPr>
            </w:pPr>
            <w:r>
              <w:rPr>
                <w:rFonts w:ascii="宋体" w:hAnsi="宋体" w:cs="宋体" w:eastAsia="宋体" w:hint="default"/>
                <w:spacing w:val="-2"/>
                <w:sz w:val="18"/>
                <w:szCs w:val="18"/>
              </w:rPr>
              <w:t>可燃气体报警器的欧盟标准，多数欧盟成员国把这类认证作为该类产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品的市场准入条件。</w:t>
            </w:r>
          </w:p>
        </w:tc>
      </w:tr>
      <w:tr>
        <w:trPr>
          <w:trHeight w:val="1032" w:hRule="exact"/>
        </w:trPr>
        <w:tc>
          <w:tcPr>
            <w:tcW w:w="3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ATEX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认证</w:t>
            </w:r>
          </w:p>
        </w:tc>
        <w:tc>
          <w:tcPr>
            <w:tcW w:w="6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49"/>
              <w:ind w:left="21" w:right="9"/>
              <w:jc w:val="both"/>
              <w:rPr>
                <w:rFonts w:ascii="宋体" w:hAnsi="宋体" w:cs="宋体" w:eastAsia="宋体" w:hint="default"/>
                <w:sz w:val="18"/>
                <w:szCs w:val="18"/>
              </w:rPr>
            </w:pPr>
            <w:r>
              <w:rPr>
                <w:rFonts w:ascii="宋体" w:hAnsi="宋体" w:cs="宋体" w:eastAsia="宋体" w:hint="default"/>
                <w:spacing w:val="-2"/>
                <w:sz w:val="18"/>
                <w:szCs w:val="18"/>
              </w:rPr>
              <w:t>是针对产品防爆功能的一个全球普遍认可的认证，在潜在爆炸危险的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环境中使用的设备和仪器仪表大部分要求通过此认证，通常也被各国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列为工业领域仪器仪表市场的准入条件和各类竞标的基本条件。</w:t>
            </w:r>
          </w:p>
        </w:tc>
      </w:tr>
      <w:tr>
        <w:trPr>
          <w:trHeight w:val="1349" w:hRule="exact"/>
        </w:trPr>
        <w:tc>
          <w:tcPr>
            <w:tcW w:w="35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w:t>
            </w:r>
          </w:p>
        </w:tc>
        <w:tc>
          <w:tcPr>
            <w:tcW w:w="61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6" w:space="0" w:color="000000"/>
              <w:left w:val="single" w:sz="6" w:space="0" w:color="000000"/>
              <w:bottom w:val="single" w:sz="12" w:space="0" w:color="000000"/>
              <w:right w:val="single" w:sz="12" w:space="0" w:color="000000"/>
            </w:tcBorders>
          </w:tcPr>
          <w:p>
            <w:pPr>
              <w:pStyle w:val="TableParagraph"/>
              <w:spacing w:line="307" w:lineRule="auto" w:before="49"/>
              <w:ind w:left="2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SIL</w:t>
            </w:r>
            <w:r>
              <w:rPr>
                <w:rFonts w:ascii="宋体" w:hAnsi="宋体" w:cs="宋体" w:eastAsia="宋体" w:hint="default"/>
                <w:sz w:val="18"/>
                <w:szCs w:val="18"/>
              </w:rPr>
              <w:t>，中文全称为安全完整性等级，是一个由国际电工委员会提出的</w:t>
            </w:r>
            <w:r>
              <w:rPr>
                <w:rFonts w:ascii="宋体" w:hAnsi="宋体" w:cs="宋体" w:eastAsia="宋体" w:hint="default"/>
                <w:w w:val="99"/>
                <w:sz w:val="18"/>
                <w:szCs w:val="18"/>
              </w:rPr>
              <w:t> </w:t>
            </w:r>
            <w:r>
              <w:rPr>
                <w:rFonts w:ascii="宋体" w:hAnsi="宋体" w:cs="宋体" w:eastAsia="宋体" w:hint="default"/>
                <w:sz w:val="18"/>
                <w:szCs w:val="18"/>
              </w:rPr>
              <w:t>评定仪表产品在安全仪表系统中的适用度量化分级指标，一共四级，</w:t>
            </w:r>
            <w:r>
              <w:rPr>
                <w:rFonts w:ascii="宋体" w:hAnsi="宋体" w:cs="宋体" w:eastAsia="宋体" w:hint="default"/>
                <w:w w:val="99"/>
                <w:sz w:val="18"/>
                <w:szCs w:val="18"/>
              </w:rPr>
              <w:t> </w:t>
            </w: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SIL1 </w:t>
            </w:r>
            <w:r>
              <w:rPr>
                <w:rFonts w:ascii="宋体" w:hAnsi="宋体" w:cs="宋体" w:eastAsia="宋体" w:hint="default"/>
                <w:sz w:val="18"/>
                <w:szCs w:val="18"/>
              </w:rPr>
              <w:t>为最低级，</w:t>
            </w:r>
            <w:r>
              <w:rPr>
                <w:rFonts w:ascii="Times New Roman" w:hAnsi="Times New Roman" w:cs="Times New Roman" w:eastAsia="Times New Roman" w:hint="default"/>
                <w:sz w:val="18"/>
                <w:szCs w:val="18"/>
              </w:rPr>
              <w:t>SIL4 </w:t>
            </w:r>
            <w:r>
              <w:rPr>
                <w:rFonts w:ascii="宋体" w:hAnsi="宋体" w:cs="宋体" w:eastAsia="宋体" w:hint="default"/>
                <w:sz w:val="18"/>
                <w:szCs w:val="18"/>
              </w:rPr>
              <w:t>为最高级。一般的工业过程控制安全仪表</w:t>
            </w:r>
            <w:r>
              <w:rPr>
                <w:rFonts w:ascii="宋体" w:hAnsi="宋体" w:cs="宋体" w:eastAsia="宋体" w:hint="default"/>
                <w:w w:val="99"/>
                <w:sz w:val="18"/>
                <w:szCs w:val="18"/>
              </w:rPr>
              <w:t> </w:t>
            </w:r>
            <w:r>
              <w:rPr>
                <w:rFonts w:ascii="宋体" w:hAnsi="宋体" w:cs="宋体" w:eastAsia="宋体" w:hint="default"/>
                <w:sz w:val="18"/>
                <w:szCs w:val="18"/>
              </w:rPr>
              <w:t>系统为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SIL2 </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SIL3 </w:t>
            </w:r>
            <w:r>
              <w:rPr>
                <w:rFonts w:ascii="宋体" w:hAnsi="宋体" w:cs="宋体" w:eastAsia="宋体" w:hint="default"/>
                <w:sz w:val="18"/>
                <w:szCs w:val="18"/>
              </w:rPr>
              <w:t>级，火气监测系统常用的量化等级为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SIL2 </w:t>
            </w:r>
            <w:r>
              <w:rPr>
                <w:rFonts w:ascii="宋体" w:hAnsi="宋体" w:cs="宋体" w:eastAsia="宋体" w:hint="default"/>
                <w:sz w:val="18"/>
                <w:szCs w:val="18"/>
              </w:rPr>
              <w:t>级。</w:t>
            </w:r>
          </w:p>
        </w:tc>
      </w:tr>
    </w:tbl>
    <w:p>
      <w:pPr>
        <w:spacing w:after="0" w:line="307" w:lineRule="auto"/>
        <w:jc w:val="left"/>
        <w:rPr>
          <w:rFonts w:ascii="宋体" w:hAnsi="宋体" w:cs="宋体" w:eastAsia="宋体" w:hint="default"/>
          <w:sz w:val="18"/>
          <w:szCs w:val="18"/>
        </w:rPr>
        <w:sectPr>
          <w:pgSz w:w="11910" w:h="16840"/>
          <w:pgMar w:header="555" w:footer="980"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79" w:type="dxa"/>
        <w:tblLayout w:type="fixed"/>
        <w:tblCellMar>
          <w:top w:w="0" w:type="dxa"/>
          <w:left w:w="0" w:type="dxa"/>
          <w:bottom w:w="0" w:type="dxa"/>
          <w:right w:w="0" w:type="dxa"/>
        </w:tblCellMar>
        <w:tblLook w:val="01E0"/>
      </w:tblPr>
      <w:tblGrid>
        <w:gridCol w:w="2915"/>
        <w:gridCol w:w="2326"/>
        <w:gridCol w:w="2136"/>
        <w:gridCol w:w="2187"/>
      </w:tblGrid>
      <w:tr>
        <w:trPr>
          <w:trHeight w:val="414" w:hRule="exact"/>
        </w:trPr>
        <w:tc>
          <w:tcPr>
            <w:tcW w:w="29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6" w:type="dxa"/>
            <w:tcBorders>
              <w:top w:val="single" w:sz="12" w:space="0" w:color="000000"/>
              <w:left w:val="single" w:sz="9" w:space="0" w:color="D2D2D2"/>
              <w:bottom w:val="single" w:sz="6" w:space="0" w:color="000000"/>
              <w:right w:val="single" w:sz="15" w:space="0" w:color="D2D2D2"/>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汉威电子</w:t>
            </w:r>
          </w:p>
        </w:tc>
        <w:tc>
          <w:tcPr>
            <w:tcW w:w="21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300007</w:t>
            </w:r>
          </w:p>
        </w:tc>
      </w:tr>
      <w:tr>
        <w:trPr>
          <w:trHeight w:val="408"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49" w:type="dxa"/>
            <w:gridSpan w:val="3"/>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6"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p>
        </w:tc>
      </w:tr>
      <w:tr>
        <w:trPr>
          <w:trHeight w:val="408"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汉威电子</w:t>
            </w:r>
          </w:p>
        </w:tc>
      </w:tr>
      <w:tr>
        <w:trPr>
          <w:trHeight w:val="406"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Henan Hanwei Electronics</w:t>
            </w:r>
            <w:r>
              <w:rPr>
                <w:rFonts w:ascii="Times New Roman"/>
                <w:spacing w:val="-11"/>
                <w:sz w:val="18"/>
              </w:rPr>
              <w:t> </w:t>
            </w:r>
            <w:r>
              <w:rPr>
                <w:rFonts w:ascii="Times New Roman"/>
                <w:sz w:val="18"/>
              </w:rPr>
              <w:t>Co.,Ltd.</w:t>
            </w:r>
          </w:p>
        </w:tc>
      </w:tr>
      <w:tr>
        <w:trPr>
          <w:trHeight w:val="408"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任红军</w:t>
            </w:r>
          </w:p>
        </w:tc>
      </w:tr>
      <w:tr>
        <w:trPr>
          <w:trHeight w:val="406"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8"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450001</w:t>
            </w:r>
          </w:p>
        </w:tc>
      </w:tr>
      <w:tr>
        <w:trPr>
          <w:trHeight w:val="408"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6"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450001</w:t>
            </w:r>
          </w:p>
        </w:tc>
      </w:tr>
      <w:tr>
        <w:trPr>
          <w:trHeight w:val="408"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1">
              <w:r>
                <w:rPr>
                  <w:rFonts w:ascii="Times New Roman"/>
                  <w:sz w:val="18"/>
                </w:rPr>
                <w:t>www.hwsensor.com</w:t>
              </w:r>
            </w:hyperlink>
          </w:p>
        </w:tc>
      </w:tr>
      <w:tr>
        <w:trPr>
          <w:trHeight w:val="406"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2">
              <w:r>
                <w:rPr>
                  <w:rFonts w:ascii="Times New Roman"/>
                  <w:sz w:val="18"/>
                </w:rPr>
                <w:t>hwdz@hwsensor.com</w:t>
              </w:r>
            </w:hyperlink>
          </w:p>
        </w:tc>
      </w:tr>
      <w:tr>
        <w:trPr>
          <w:trHeight w:val="408" w:hRule="exact"/>
        </w:trPr>
        <w:tc>
          <w:tcPr>
            <w:tcW w:w="291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9" w:type="dxa"/>
            <w:gridSpan w:val="3"/>
            <w:tcBorders>
              <w:top w:val="single" w:sz="6" w:space="0" w:color="000000"/>
              <w:left w:val="single" w:sz="9" w:space="0" w:color="D2D2D2"/>
              <w:bottom w:val="single" w:sz="6"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13" w:hRule="exact"/>
        </w:trPr>
        <w:tc>
          <w:tcPr>
            <w:tcW w:w="291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9" w:type="dxa"/>
            <w:gridSpan w:val="3"/>
            <w:tcBorders>
              <w:top w:val="single" w:sz="6" w:space="0" w:color="000000"/>
              <w:left w:val="single" w:sz="9"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北京市丰台区桥南科学城星火路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79" w:type="dxa"/>
        <w:tblLayout w:type="fixed"/>
        <w:tblCellMar>
          <w:top w:w="0" w:type="dxa"/>
          <w:left w:w="0" w:type="dxa"/>
          <w:bottom w:w="0" w:type="dxa"/>
          <w:right w:w="0" w:type="dxa"/>
        </w:tblCellMar>
        <w:tblLook w:val="01E0"/>
      </w:tblPr>
      <w:tblGrid>
        <w:gridCol w:w="3174"/>
        <w:gridCol w:w="3200"/>
        <w:gridCol w:w="3190"/>
      </w:tblGrid>
      <w:tr>
        <w:trPr>
          <w:trHeight w:val="412" w:hRule="exact"/>
        </w:trPr>
        <w:tc>
          <w:tcPr>
            <w:tcW w:w="317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2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8"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肖锋</w:t>
            </w:r>
          </w:p>
        </w:tc>
      </w:tr>
      <w:tr>
        <w:trPr>
          <w:trHeight w:val="408"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郑州高新技术开发区雪松路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6"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0371-67169159</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0371-67169159</w:t>
            </w:r>
          </w:p>
        </w:tc>
      </w:tr>
      <w:tr>
        <w:trPr>
          <w:trHeight w:val="408" w:hRule="exact"/>
        </w:trPr>
        <w:tc>
          <w:tcPr>
            <w:tcW w:w="317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0371-67169196</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0371-67169196</w:t>
            </w:r>
          </w:p>
        </w:tc>
      </w:tr>
      <w:tr>
        <w:trPr>
          <w:trHeight w:val="413" w:hRule="exact"/>
        </w:trPr>
        <w:tc>
          <w:tcPr>
            <w:tcW w:w="317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2">
              <w:r>
                <w:rPr>
                  <w:rFonts w:ascii="Times New Roman"/>
                  <w:sz w:val="18"/>
                </w:rPr>
                <w:t>hwdz@hwsensor.com</w:t>
              </w:r>
            </w:hyperlink>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hyperlink r:id="rId12">
              <w:r>
                <w:rPr>
                  <w:rFonts w:ascii="Times New Roman"/>
                  <w:sz w:val="18"/>
                </w:rPr>
                <w:t>hwdz@hwsensor.com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853"/>
        <w:gridCol w:w="5708"/>
      </w:tblGrid>
      <w:tr>
        <w:trPr>
          <w:trHeight w:val="414" w:hRule="exact"/>
        </w:trPr>
        <w:tc>
          <w:tcPr>
            <w:tcW w:w="385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8" w:hRule="exact"/>
        </w:trPr>
        <w:tc>
          <w:tcPr>
            <w:tcW w:w="385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中国证监会指定网站</w:t>
            </w:r>
            <w:r>
              <w:rPr>
                <w:rFonts w:ascii="宋体" w:hAnsi="宋体" w:cs="宋体" w:eastAsia="宋体" w:hint="default"/>
                <w:spacing w:val="-22"/>
                <w:sz w:val="18"/>
                <w:szCs w:val="18"/>
              </w:rPr>
              <w:t> </w:t>
            </w:r>
            <w:hyperlink r:id="rId13">
              <w:r>
                <w:rPr>
                  <w:rFonts w:ascii="Times New Roman" w:hAnsi="Times New Roman" w:cs="Times New Roman" w:eastAsia="Times New Roman" w:hint="default"/>
                  <w:sz w:val="18"/>
                  <w:szCs w:val="18"/>
                </w:rPr>
                <w:t>www.cninfo.com.cn</w:t>
              </w:r>
            </w:hyperlink>
          </w:p>
        </w:tc>
      </w:tr>
      <w:tr>
        <w:trPr>
          <w:trHeight w:val="413" w:hRule="exact"/>
        </w:trPr>
        <w:tc>
          <w:tcPr>
            <w:tcW w:w="385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公司证券投资部办公室</w:t>
            </w:r>
          </w:p>
        </w:tc>
      </w:tr>
    </w:tbl>
    <w:p>
      <w:pPr>
        <w:spacing w:after="0" w:line="240" w:lineRule="auto"/>
        <w:jc w:val="left"/>
        <w:rPr>
          <w:rFonts w:ascii="宋体" w:hAnsi="宋体" w:cs="宋体" w:eastAsia="宋体" w:hint="default"/>
          <w:sz w:val="18"/>
          <w:szCs w:val="18"/>
        </w:rPr>
        <w:sectPr>
          <w:pgSz w:w="11910" w:h="16840"/>
          <w:pgMar w:header="555" w:footer="980" w:top="1100" w:bottom="116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70" w:hRule="exact"/>
        </w:trPr>
        <w:tc>
          <w:tcPr>
            <w:tcW w:w="159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59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59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596"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523" w:right="69"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594"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391" w:hRule="exact"/>
        </w:trPr>
        <w:tc>
          <w:tcPr>
            <w:tcW w:w="1596" w:type="dxa"/>
            <w:tcBorders>
              <w:top w:val="nil" w:sz="6" w:space="0" w:color="auto"/>
              <w:left w:val="single" w:sz="12" w:space="0" w:color="000000"/>
              <w:bottom w:val="nil" w:sz="6" w:space="0" w:color="auto"/>
              <w:right w:val="single" w:sz="6" w:space="0" w:color="000000"/>
            </w:tcBorders>
            <w:shd w:val="clear" w:color="auto" w:fill="D2D2D2"/>
          </w:tcPr>
          <w:p>
            <w:pPr/>
          </w:p>
        </w:tc>
        <w:tc>
          <w:tcPr>
            <w:tcW w:w="15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3" w:hRule="exact"/>
        </w:trPr>
        <w:tc>
          <w:tcPr>
            <w:tcW w:w="15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4"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166" w:hRule="exact"/>
        </w:trPr>
        <w:tc>
          <w:tcPr>
            <w:tcW w:w="1596" w:type="dxa"/>
            <w:tcBorders>
              <w:top w:val="single" w:sz="6" w:space="0" w:color="000000"/>
              <w:left w:val="single" w:sz="12" w:space="0" w:color="000000"/>
              <w:bottom w:val="nil" w:sz="6" w:space="0" w:color="auto"/>
              <w:right w:val="single" w:sz="6" w:space="0" w:color="000000"/>
            </w:tcBorders>
            <w:shd w:val="clear" w:color="auto" w:fill="D2D2D2"/>
          </w:tcPr>
          <w:p>
            <w:pPr/>
          </w:p>
        </w:tc>
        <w:tc>
          <w:tcPr>
            <w:tcW w:w="1594"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vMerge w:val="restart"/>
            <w:tcBorders>
              <w:top w:val="single" w:sz="6" w:space="0" w:color="000000"/>
              <w:left w:val="single" w:sz="6" w:space="0" w:color="000000"/>
              <w:right w:val="single" w:sz="6" w:space="0" w:color="000000"/>
            </w:tcBorders>
          </w:tcPr>
          <w:p>
            <w:pPr>
              <w:pStyle w:val="TableParagraph"/>
              <w:spacing w:line="314" w:lineRule="auto" w:before="51"/>
              <w:ind w:left="21" w:right="115"/>
              <w:jc w:val="left"/>
              <w:rPr>
                <w:rFonts w:ascii="宋体" w:hAnsi="宋体" w:cs="宋体" w:eastAsia="宋体" w:hint="default"/>
                <w:sz w:val="18"/>
                <w:szCs w:val="18"/>
              </w:rPr>
            </w:pPr>
            <w:r>
              <w:rPr>
                <w:rFonts w:ascii="宋体" w:hAnsi="宋体" w:cs="宋体" w:eastAsia="宋体" w:hint="default"/>
                <w:sz w:val="18"/>
                <w:szCs w:val="18"/>
              </w:rPr>
              <w:t>郑州高新技术开发 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410000100020749</w:t>
            </w:r>
          </w:p>
        </w:tc>
        <w:tc>
          <w:tcPr>
            <w:tcW w:w="159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410102706785831</w:t>
            </w:r>
          </w:p>
        </w:tc>
        <w:tc>
          <w:tcPr>
            <w:tcW w:w="1594" w:type="dxa"/>
            <w:vMerge w:val="restart"/>
            <w:tcBorders>
              <w:top w:val="single" w:sz="6" w:space="0" w:color="000000"/>
              <w:left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70678583-1</w:t>
            </w:r>
          </w:p>
        </w:tc>
      </w:tr>
      <w:tr>
        <w:trPr>
          <w:trHeight w:val="391" w:hRule="exact"/>
        </w:trPr>
        <w:tc>
          <w:tcPr>
            <w:tcW w:w="1596"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6" w:space="0" w:color="000000"/>
            </w:tcBorders>
          </w:tcPr>
          <w:p>
            <w:pPr/>
          </w:p>
        </w:tc>
        <w:tc>
          <w:tcPr>
            <w:tcW w:w="1594" w:type="dxa"/>
            <w:vMerge/>
            <w:tcBorders>
              <w:left w:val="single" w:sz="6" w:space="0" w:color="000000"/>
              <w:right w:val="single" w:sz="6" w:space="0" w:color="000000"/>
            </w:tcBorders>
          </w:tcPr>
          <w:p>
            <w:pPr/>
          </w:p>
        </w:tc>
        <w:tc>
          <w:tcPr>
            <w:tcW w:w="1596" w:type="dxa"/>
            <w:vMerge/>
            <w:tcBorders>
              <w:left w:val="single" w:sz="6" w:space="0" w:color="000000"/>
              <w:right w:val="single" w:sz="6" w:space="0" w:color="000000"/>
            </w:tcBorders>
          </w:tcPr>
          <w:p>
            <w:pPr/>
          </w:p>
        </w:tc>
        <w:tc>
          <w:tcPr>
            <w:tcW w:w="1594" w:type="dxa"/>
            <w:vMerge/>
            <w:tcBorders>
              <w:left w:val="single" w:sz="6" w:space="0" w:color="000000"/>
              <w:right w:val="single" w:sz="6" w:space="0" w:color="000000"/>
            </w:tcBorders>
          </w:tcPr>
          <w:p>
            <w:pPr/>
          </w:p>
        </w:tc>
        <w:tc>
          <w:tcPr>
            <w:tcW w:w="1594" w:type="dxa"/>
            <w:vMerge/>
            <w:tcBorders>
              <w:left w:val="single" w:sz="6" w:space="0" w:color="000000"/>
              <w:right w:val="single" w:sz="12" w:space="0" w:color="000000"/>
            </w:tcBorders>
          </w:tcPr>
          <w:p>
            <w:pPr/>
          </w:p>
        </w:tc>
      </w:tr>
      <w:tr>
        <w:trPr>
          <w:trHeight w:val="163" w:hRule="exact"/>
        </w:trPr>
        <w:tc>
          <w:tcPr>
            <w:tcW w:w="15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94" w:type="dxa"/>
            <w:vMerge/>
            <w:tcBorders>
              <w:left w:val="single" w:sz="9" w:space="0" w:color="D2D2D2"/>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6" w:space="0" w:color="000000"/>
            </w:tcBorders>
          </w:tcPr>
          <w:p>
            <w:pPr/>
          </w:p>
        </w:tc>
        <w:tc>
          <w:tcPr>
            <w:tcW w:w="1596" w:type="dxa"/>
            <w:vMerge/>
            <w:tcBorders>
              <w:left w:val="single" w:sz="6" w:space="0" w:color="000000"/>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6" w:space="0" w:color="000000"/>
            </w:tcBorders>
          </w:tcPr>
          <w:p>
            <w:pPr/>
          </w:p>
        </w:tc>
        <w:tc>
          <w:tcPr>
            <w:tcW w:w="1594" w:type="dxa"/>
            <w:vMerge/>
            <w:tcBorders>
              <w:left w:val="single" w:sz="6" w:space="0" w:color="000000"/>
              <w:bottom w:val="single" w:sz="6" w:space="0" w:color="000000"/>
              <w:right w:val="single" w:sz="12" w:space="0" w:color="000000"/>
            </w:tcBorders>
          </w:tcPr>
          <w:p>
            <w:pPr/>
          </w:p>
        </w:tc>
      </w:tr>
      <w:tr>
        <w:trPr>
          <w:trHeight w:val="720" w:hRule="exact"/>
        </w:trPr>
        <w:tc>
          <w:tcPr>
            <w:tcW w:w="159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18"/>
              <w:jc w:val="left"/>
              <w:rPr>
                <w:rFonts w:ascii="宋体" w:hAnsi="宋体" w:cs="宋体" w:eastAsia="宋体" w:hint="default"/>
                <w:sz w:val="18"/>
                <w:szCs w:val="18"/>
              </w:rPr>
            </w:pPr>
            <w:r>
              <w:rPr>
                <w:rFonts w:ascii="宋体" w:hAnsi="宋体" w:cs="宋体" w:eastAsia="宋体" w:hint="default"/>
                <w:sz w:val="18"/>
                <w:szCs w:val="18"/>
              </w:rPr>
              <w:t>资本及经营范围注 册</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115"/>
              <w:jc w:val="left"/>
              <w:rPr>
                <w:rFonts w:ascii="宋体" w:hAnsi="宋体" w:cs="宋体" w:eastAsia="宋体" w:hint="default"/>
                <w:sz w:val="18"/>
                <w:szCs w:val="18"/>
              </w:rPr>
            </w:pPr>
            <w:r>
              <w:rPr>
                <w:rFonts w:ascii="宋体" w:hAnsi="宋体" w:cs="宋体" w:eastAsia="宋体" w:hint="default"/>
                <w:sz w:val="18"/>
                <w:szCs w:val="18"/>
              </w:rPr>
              <w:t>郑州高新技术开发 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410000100020749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pacing w:val="-1"/>
                <w:sz w:val="18"/>
              </w:rPr>
              <w:t>410102706785831</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70678583-1</w:t>
            </w:r>
          </w:p>
        </w:tc>
      </w:tr>
      <w:tr>
        <w:trPr>
          <w:trHeight w:val="725" w:hRule="exact"/>
        </w:trPr>
        <w:tc>
          <w:tcPr>
            <w:tcW w:w="15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经营范围注册</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49"/>
              <w:ind w:left="21" w:right="115"/>
              <w:jc w:val="left"/>
              <w:rPr>
                <w:rFonts w:ascii="宋体" w:hAnsi="宋体" w:cs="宋体" w:eastAsia="宋体" w:hint="default"/>
                <w:sz w:val="18"/>
                <w:szCs w:val="18"/>
              </w:rPr>
            </w:pPr>
            <w:r>
              <w:rPr>
                <w:rFonts w:ascii="宋体" w:hAnsi="宋体" w:cs="宋体" w:eastAsia="宋体" w:hint="default"/>
                <w:sz w:val="18"/>
                <w:szCs w:val="18"/>
              </w:rPr>
              <w:t>郑州高新技术开发 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410000100020749</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pacing w:val="-1"/>
                <w:sz w:val="18"/>
              </w:rPr>
              <w:t>410102706785831</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70678583-1</w:t>
            </w:r>
          </w:p>
        </w:tc>
      </w:tr>
    </w:tbl>
    <w:p>
      <w:pPr>
        <w:spacing w:after="0" w:line="240" w:lineRule="auto"/>
        <w:jc w:val="lef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8"/>
        <w:rPr>
          <w:rFonts w:ascii="宋体" w:hAnsi="宋体" w:cs="宋体" w:eastAsia="宋体" w:hint="default"/>
          <w:b/>
          <w:bCs/>
          <w:sz w:val="28"/>
          <w:szCs w:val="28"/>
        </w:rPr>
      </w:pPr>
    </w:p>
    <w:p>
      <w:pPr>
        <w:pStyle w:val="BodyText"/>
        <w:spacing w:line="240" w:lineRule="auto" w:before="0"/>
        <w:ind w:right="0"/>
        <w:jc w:val="left"/>
      </w:pPr>
      <w:r>
        <w:rPr/>
        <w:t>公司是否因会计政策变更及会计差错更正等追溯调整或重述以前年度会计数据</w:t>
      </w:r>
    </w:p>
    <w:p>
      <w:pPr>
        <w:spacing w:line="386" w:lineRule="auto" w:before="194"/>
        <w:ind w:left="152" w:right="8087" w:firstLine="0"/>
        <w:jc w:val="left"/>
        <w:rPr>
          <w:rFonts w:ascii="新宋体" w:hAnsi="新宋体" w:cs="新宋体" w:eastAsia="新宋体" w:hint="default"/>
          <w:sz w:val="24"/>
          <w:szCs w:val="24"/>
        </w:rPr>
      </w:pPr>
      <w:r>
        <w:rPr>
          <w:rFonts w:ascii="新宋体" w:hAnsi="新宋体" w:cs="新宋体" w:eastAsia="新宋体" w:hint="default"/>
          <w:sz w:val="24"/>
          <w:szCs w:val="24"/>
        </w:rPr>
        <w:t>□ 是 √</w:t>
      </w:r>
      <w:r>
        <w:rPr>
          <w:rFonts w:ascii="新宋体" w:hAnsi="新宋体" w:cs="新宋体" w:eastAsia="新宋体" w:hint="default"/>
          <w:spacing w:val="-1"/>
          <w:sz w:val="24"/>
          <w:szCs w:val="24"/>
        </w:rPr>
        <w:t> </w:t>
      </w:r>
      <w:r>
        <w:rPr>
          <w:rFonts w:ascii="新宋体" w:hAnsi="新宋体" w:cs="新宋体" w:eastAsia="新宋体" w:hint="default"/>
          <w:sz w:val="24"/>
          <w:szCs w:val="24"/>
        </w:rPr>
        <w:t>否</w:t>
      </w:r>
      <w:r>
        <w:rPr>
          <w:rFonts w:ascii="新宋体" w:hAnsi="新宋体" w:cs="新宋体" w:eastAsia="新宋体" w:hint="default"/>
          <w:sz w:val="24"/>
          <w:szCs w:val="24"/>
        </w:rPr>
        <w:t> </w:t>
      </w:r>
      <w:r>
        <w:rPr>
          <w:rFonts w:ascii="新宋体" w:hAnsi="新宋体" w:cs="新宋体" w:eastAsia="新宋体" w:hint="default"/>
          <w:b/>
          <w:bCs/>
          <w:sz w:val="24"/>
          <w:szCs w:val="24"/>
        </w:rPr>
        <w:t>主要会计数据：</w:t>
      </w:r>
      <w:r>
        <w:rPr>
          <w:rFonts w:ascii="新宋体" w:hAnsi="新宋体" w:cs="新宋体" w:eastAsia="新宋体" w:hint="default"/>
          <w:sz w:val="24"/>
          <w:szCs w:val="24"/>
        </w:rPr>
      </w:r>
    </w:p>
    <w:tbl>
      <w:tblPr>
        <w:tblW w:w="0" w:type="auto"/>
        <w:jc w:val="left"/>
        <w:tblInd w:w="172" w:type="dxa"/>
        <w:tblLayout w:type="fixed"/>
        <w:tblCellMar>
          <w:top w:w="0" w:type="dxa"/>
          <w:left w:w="0" w:type="dxa"/>
          <w:bottom w:w="0" w:type="dxa"/>
          <w:right w:w="0" w:type="dxa"/>
        </w:tblCellMar>
        <w:tblLook w:val="01E0"/>
      </w:tblPr>
      <w:tblGrid>
        <w:gridCol w:w="2619"/>
        <w:gridCol w:w="1740"/>
        <w:gridCol w:w="1738"/>
        <w:gridCol w:w="1738"/>
        <w:gridCol w:w="1735"/>
      </w:tblGrid>
      <w:tr>
        <w:trPr>
          <w:trHeight w:val="415" w:hRule="exact"/>
        </w:trPr>
        <w:tc>
          <w:tcPr>
            <w:tcW w:w="2619"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71"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68" w:right="0"/>
              <w:jc w:val="left"/>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5"/>
                <w:sz w:val="18"/>
                <w:szCs w:val="18"/>
              </w:rPr>
              <w:t> </w:t>
            </w:r>
            <w:r>
              <w:rPr>
                <w:rFonts w:ascii="新宋体" w:hAnsi="新宋体" w:cs="新宋体" w:eastAsia="新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6" w:right="0"/>
              <w:jc w:val="left"/>
              <w:rPr>
                <w:rFonts w:ascii="新宋体" w:hAnsi="新宋体" w:cs="新宋体" w:eastAsia="新宋体" w:hint="default"/>
                <w:sz w:val="18"/>
                <w:szCs w:val="18"/>
              </w:rPr>
            </w:pPr>
            <w:r>
              <w:rPr>
                <w:rFonts w:ascii="新宋体" w:hAnsi="新宋体" w:cs="新宋体" w:eastAsia="新宋体" w:hint="default"/>
                <w:sz w:val="18"/>
                <w:szCs w:val="18"/>
              </w:rPr>
              <w:t>本年比上年增减</w:t>
            </w:r>
            <w:r>
              <w:rPr>
                <w:rFonts w:ascii="新宋体" w:hAnsi="新宋体" w:cs="新宋体" w:eastAsia="新宋体" w:hint="default"/>
                <w:sz w:val="18"/>
                <w:szCs w:val="18"/>
              </w:rPr>
              <w:t>(%)</w:t>
            </w:r>
          </w:p>
        </w:tc>
        <w:tc>
          <w:tcPr>
            <w:tcW w:w="17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568" w:right="0"/>
              <w:jc w:val="left"/>
              <w:rPr>
                <w:rFonts w:ascii="新宋体" w:hAnsi="新宋体" w:cs="新宋体" w:eastAsia="新宋体" w:hint="default"/>
                <w:sz w:val="18"/>
                <w:szCs w:val="18"/>
              </w:rPr>
            </w:pPr>
            <w:r>
              <w:rPr>
                <w:rFonts w:ascii="新宋体" w:hAnsi="新宋体" w:cs="新宋体" w:eastAsia="新宋体" w:hint="default"/>
                <w:sz w:val="18"/>
                <w:szCs w:val="18"/>
              </w:rPr>
              <w:t>2010</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r>
      <w:tr>
        <w:trPr>
          <w:trHeight w:val="408"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营业总收入（元）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264,491,528.48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261,311,217.63</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1.22%</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新宋体" w:hAnsi="新宋体" w:cs="新宋体" w:eastAsia="新宋体" w:hint="default"/>
                <w:sz w:val="18"/>
                <w:szCs w:val="18"/>
              </w:rPr>
            </w:pPr>
            <w:r>
              <w:rPr>
                <w:rFonts w:ascii="新宋体"/>
                <w:spacing w:val="-1"/>
                <w:sz w:val="18"/>
              </w:rPr>
              <w:t>173,949,445.74</w:t>
            </w:r>
          </w:p>
        </w:tc>
      </w:tr>
      <w:tr>
        <w:trPr>
          <w:trHeight w:val="406"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营业利润（元）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32,324,784.47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58,899,281.36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-45.12%</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39,339,226.01</w:t>
            </w:r>
          </w:p>
        </w:tc>
      </w:tr>
      <w:tr>
        <w:trPr>
          <w:trHeight w:val="408"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利润总额（元）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56,294,579.36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77,551,254.09</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-27.41%</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50,650,784.91</w:t>
            </w:r>
          </w:p>
        </w:tc>
      </w:tr>
      <w:tr>
        <w:trPr>
          <w:trHeight w:val="718"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归属于上市公司股东的净利润</w:t>
            </w:r>
          </w:p>
          <w:p>
            <w:pPr>
              <w:pStyle w:val="TableParagraph"/>
              <w:spacing w:line="240" w:lineRule="auto" w:before="76"/>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pacing w:val="-1"/>
                <w:sz w:val="18"/>
              </w:rPr>
              <w:t>47,339,574.86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pacing w:val="-1"/>
                <w:sz w:val="18"/>
              </w:rPr>
              <w:t>64,641,439.37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z w:val="18"/>
              </w:rPr>
              <w:t>-26.77%</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9"/>
              <w:jc w:val="right"/>
              <w:rPr>
                <w:rFonts w:ascii="新宋体" w:hAnsi="新宋体" w:cs="新宋体" w:eastAsia="新宋体" w:hint="default"/>
                <w:sz w:val="18"/>
                <w:szCs w:val="18"/>
              </w:rPr>
            </w:pPr>
            <w:r>
              <w:rPr>
                <w:rFonts w:ascii="新宋体"/>
                <w:spacing w:val="-1"/>
                <w:sz w:val="18"/>
              </w:rPr>
              <w:t>42,324,462.28</w:t>
            </w:r>
          </w:p>
        </w:tc>
      </w:tr>
      <w:tr>
        <w:trPr>
          <w:trHeight w:val="720"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14" w:right="60"/>
              <w:jc w:val="left"/>
              <w:rPr>
                <w:rFonts w:ascii="新宋体" w:hAnsi="新宋体" w:cs="新宋体" w:eastAsia="新宋体" w:hint="default"/>
                <w:sz w:val="18"/>
                <w:szCs w:val="18"/>
              </w:rPr>
            </w:pPr>
            <w:r>
              <w:rPr>
                <w:rFonts w:ascii="新宋体" w:hAnsi="新宋体" w:cs="新宋体" w:eastAsia="新宋体" w:hint="default"/>
                <w:sz w:val="18"/>
                <w:szCs w:val="18"/>
              </w:rPr>
              <w:t>归属于上市公司股东的扣除非经 常性损益的净利润（元）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pacing w:val="-1"/>
                <w:sz w:val="18"/>
              </w:rPr>
              <w:t>28,358,910.81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pacing w:val="-1"/>
                <w:sz w:val="18"/>
              </w:rPr>
              <w:t>49,444,230.98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z w:val="18"/>
              </w:rPr>
              <w:t>-42.64%</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right="9"/>
              <w:jc w:val="right"/>
              <w:rPr>
                <w:rFonts w:ascii="新宋体" w:hAnsi="新宋体" w:cs="新宋体" w:eastAsia="新宋体" w:hint="default"/>
                <w:sz w:val="18"/>
                <w:szCs w:val="18"/>
              </w:rPr>
            </w:pPr>
            <w:r>
              <w:rPr>
                <w:rFonts w:ascii="新宋体"/>
                <w:spacing w:val="-1"/>
                <w:sz w:val="18"/>
              </w:rPr>
              <w:t>33,050,124.90</w:t>
            </w:r>
          </w:p>
        </w:tc>
      </w:tr>
      <w:tr>
        <w:trPr>
          <w:trHeight w:val="719"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经营活动产生的现金流量净额</w:t>
            </w:r>
          </w:p>
          <w:p>
            <w:pPr>
              <w:pStyle w:val="TableParagraph"/>
              <w:spacing w:line="240" w:lineRule="auto" w:before="76"/>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pacing w:val="-1"/>
                <w:sz w:val="18"/>
              </w:rPr>
              <w:t>25,437,893.07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pacing w:val="-1"/>
                <w:sz w:val="18"/>
              </w:rPr>
              <w:t>24,054,840.38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z w:val="18"/>
              </w:rPr>
              <w:t>5.75%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9"/>
              <w:jc w:val="right"/>
              <w:rPr>
                <w:rFonts w:ascii="新宋体" w:hAnsi="新宋体" w:cs="新宋体" w:eastAsia="新宋体" w:hint="default"/>
                <w:sz w:val="18"/>
                <w:szCs w:val="18"/>
              </w:rPr>
            </w:pPr>
            <w:r>
              <w:rPr>
                <w:rFonts w:ascii="新宋体"/>
                <w:spacing w:val="-1"/>
                <w:sz w:val="18"/>
              </w:rPr>
              <w:t>30,618,544.83</w:t>
            </w:r>
          </w:p>
        </w:tc>
      </w:tr>
      <w:tr>
        <w:trPr>
          <w:trHeight w:val="165" w:hRule="exact"/>
        </w:trPr>
        <w:tc>
          <w:tcPr>
            <w:tcW w:w="2619" w:type="dxa"/>
            <w:tcBorders>
              <w:top w:val="single" w:sz="6" w:space="0" w:color="000000"/>
              <w:left w:val="single" w:sz="12" w:space="0" w:color="000000"/>
              <w:bottom w:val="nil" w:sz="6" w:space="0" w:color="auto"/>
              <w:right w:val="single" w:sz="6" w:space="0" w:color="000000"/>
            </w:tcBorders>
            <w:shd w:val="clear" w:color="auto" w:fill="D2D2D2"/>
          </w:tcPr>
          <w:p>
            <w:pPr/>
          </w:p>
        </w:tc>
        <w:tc>
          <w:tcPr>
            <w:tcW w:w="1740" w:type="dxa"/>
            <w:tcBorders>
              <w:top w:val="single" w:sz="6" w:space="0" w:color="000000"/>
              <w:left w:val="single" w:sz="6" w:space="0" w:color="000000"/>
              <w:bottom w:val="nil" w:sz="6" w:space="0" w:color="auto"/>
              <w:right w:val="single" w:sz="6" w:space="0" w:color="000000"/>
            </w:tcBorders>
            <w:shd w:val="clear" w:color="auto" w:fill="D2D2D2"/>
          </w:tcPr>
          <w:p>
            <w:pPr/>
          </w:p>
        </w:tc>
        <w:tc>
          <w:tcPr>
            <w:tcW w:w="17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738"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0"/>
              <w:ind w:left="727" w:right="50" w:hanging="675"/>
              <w:jc w:val="left"/>
              <w:rPr>
                <w:rFonts w:ascii="新宋体" w:hAnsi="新宋体" w:cs="新宋体" w:eastAsia="新宋体" w:hint="default"/>
                <w:sz w:val="18"/>
                <w:szCs w:val="18"/>
              </w:rPr>
            </w:pPr>
            <w:r>
              <w:rPr>
                <w:rFonts w:ascii="新宋体" w:hAnsi="新宋体" w:cs="新宋体" w:eastAsia="新宋体" w:hint="default"/>
                <w:sz w:val="18"/>
                <w:szCs w:val="18"/>
              </w:rPr>
              <w:t>本年末比上年末增减 </w:t>
            </w:r>
            <w:r>
              <w:rPr>
                <w:rFonts w:ascii="新宋体" w:hAnsi="新宋体" w:cs="新宋体" w:eastAsia="新宋体" w:hint="default"/>
                <w:sz w:val="18"/>
                <w:szCs w:val="18"/>
              </w:rPr>
              <w:t>(%)</w:t>
            </w:r>
          </w:p>
        </w:tc>
        <w:tc>
          <w:tcPr>
            <w:tcW w:w="1735"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391" w:hRule="exact"/>
        </w:trPr>
        <w:tc>
          <w:tcPr>
            <w:tcW w:w="2619" w:type="dxa"/>
            <w:tcBorders>
              <w:top w:val="nil" w:sz="6" w:space="0" w:color="auto"/>
              <w:left w:val="single" w:sz="12" w:space="0" w:color="000000"/>
              <w:bottom w:val="nil" w:sz="6" w:space="0" w:color="auto"/>
              <w:right w:val="single" w:sz="6" w:space="0" w:color="000000"/>
            </w:tcBorders>
            <w:shd w:val="clear" w:color="auto" w:fill="D2D2D2"/>
          </w:tcPr>
          <w:p>
            <w:pPr/>
          </w:p>
        </w:tc>
        <w:tc>
          <w:tcPr>
            <w:tcW w:w="174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482"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年末</w:t>
            </w:r>
          </w:p>
        </w:tc>
        <w:tc>
          <w:tcPr>
            <w:tcW w:w="173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479" w:right="0"/>
              <w:jc w:val="left"/>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5"/>
                <w:sz w:val="18"/>
                <w:szCs w:val="18"/>
              </w:rPr>
              <w:t> </w:t>
            </w:r>
            <w:r>
              <w:rPr>
                <w:rFonts w:ascii="新宋体" w:hAnsi="新宋体" w:cs="新宋体" w:eastAsia="新宋体" w:hint="default"/>
                <w:sz w:val="18"/>
                <w:szCs w:val="18"/>
              </w:rPr>
              <w:t>年末</w:t>
            </w:r>
          </w:p>
        </w:tc>
        <w:tc>
          <w:tcPr>
            <w:tcW w:w="1738" w:type="dxa"/>
            <w:vMerge/>
            <w:tcBorders>
              <w:left w:val="single" w:sz="6" w:space="0" w:color="000000"/>
              <w:right w:val="single" w:sz="6" w:space="0" w:color="000000"/>
            </w:tcBorders>
            <w:shd w:val="clear" w:color="auto" w:fill="D2D2D2"/>
          </w:tcPr>
          <w:p>
            <w:pPr/>
          </w:p>
        </w:tc>
        <w:tc>
          <w:tcPr>
            <w:tcW w:w="1735"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49"/>
              <w:ind w:left="477" w:right="0"/>
              <w:jc w:val="left"/>
              <w:rPr>
                <w:rFonts w:ascii="新宋体" w:hAnsi="新宋体" w:cs="新宋体" w:eastAsia="新宋体" w:hint="default"/>
                <w:sz w:val="18"/>
                <w:szCs w:val="18"/>
              </w:rPr>
            </w:pPr>
            <w:r>
              <w:rPr>
                <w:rFonts w:ascii="新宋体" w:hAnsi="新宋体" w:cs="新宋体" w:eastAsia="新宋体" w:hint="default"/>
                <w:sz w:val="18"/>
                <w:szCs w:val="18"/>
              </w:rPr>
              <w:t>2010</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年末</w:t>
            </w:r>
          </w:p>
        </w:tc>
      </w:tr>
      <w:tr>
        <w:trPr>
          <w:trHeight w:val="163" w:hRule="exact"/>
        </w:trPr>
        <w:tc>
          <w:tcPr>
            <w:tcW w:w="2619"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40" w:type="dxa"/>
            <w:tcBorders>
              <w:top w:val="nil" w:sz="6" w:space="0" w:color="auto"/>
              <w:left w:val="single" w:sz="6" w:space="0" w:color="000000"/>
              <w:bottom w:val="single" w:sz="6" w:space="0" w:color="000000"/>
              <w:right w:val="single" w:sz="6" w:space="0" w:color="000000"/>
            </w:tcBorders>
            <w:shd w:val="clear" w:color="auto" w:fill="D2D2D2"/>
          </w:tcPr>
          <w:p>
            <w:pPr/>
          </w:p>
        </w:tc>
        <w:tc>
          <w:tcPr>
            <w:tcW w:w="1738" w:type="dxa"/>
            <w:tcBorders>
              <w:top w:val="nil" w:sz="6" w:space="0" w:color="auto"/>
              <w:left w:val="single" w:sz="6" w:space="0" w:color="000000"/>
              <w:bottom w:val="single" w:sz="6" w:space="0" w:color="000000"/>
              <w:right w:val="single" w:sz="6" w:space="0" w:color="000000"/>
            </w:tcBorders>
            <w:shd w:val="clear" w:color="auto" w:fill="D2D2D2"/>
          </w:tcPr>
          <w:p>
            <w:pPr/>
          </w:p>
        </w:tc>
        <w:tc>
          <w:tcPr>
            <w:tcW w:w="1738" w:type="dxa"/>
            <w:vMerge/>
            <w:tcBorders>
              <w:left w:val="single" w:sz="6" w:space="0" w:color="000000"/>
              <w:bottom w:val="single" w:sz="6" w:space="0" w:color="000000"/>
              <w:right w:val="single" w:sz="6" w:space="0" w:color="000000"/>
            </w:tcBorders>
            <w:shd w:val="clear" w:color="auto" w:fill="D2D2D2"/>
          </w:tcPr>
          <w:p>
            <w:pPr/>
          </w:p>
        </w:tc>
        <w:tc>
          <w:tcPr>
            <w:tcW w:w="1735"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8"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资产总额（元）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734,992,654.25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696,348,739.12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5.55%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新宋体" w:hAnsi="新宋体" w:cs="新宋体" w:eastAsia="新宋体" w:hint="default"/>
                <w:sz w:val="18"/>
                <w:szCs w:val="18"/>
              </w:rPr>
            </w:pPr>
            <w:r>
              <w:rPr>
                <w:rFonts w:ascii="新宋体"/>
                <w:spacing w:val="-1"/>
                <w:sz w:val="18"/>
              </w:rPr>
              <w:t>593,596,193.64</w:t>
            </w:r>
          </w:p>
        </w:tc>
      </w:tr>
      <w:tr>
        <w:trPr>
          <w:trHeight w:val="406"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负债总额（元）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92,692,561.62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108,893,692.82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-14.88%</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63,503,903.93</w:t>
            </w:r>
          </w:p>
        </w:tc>
      </w:tr>
      <w:tr>
        <w:trPr>
          <w:trHeight w:val="720" w:hRule="exact"/>
        </w:trPr>
        <w:tc>
          <w:tcPr>
            <w:tcW w:w="26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60"/>
              <w:jc w:val="left"/>
              <w:rPr>
                <w:rFonts w:ascii="新宋体" w:hAnsi="新宋体" w:cs="新宋体" w:eastAsia="新宋体" w:hint="default"/>
                <w:sz w:val="18"/>
                <w:szCs w:val="18"/>
              </w:rPr>
            </w:pPr>
            <w:r>
              <w:rPr>
                <w:rFonts w:ascii="新宋体" w:hAnsi="新宋体" w:cs="新宋体" w:eastAsia="新宋体" w:hint="default"/>
                <w:sz w:val="18"/>
                <w:szCs w:val="18"/>
              </w:rPr>
              <w:t>归属于上市公司股东的所有者权 益（元）</w:t>
            </w:r>
          </w:p>
        </w:tc>
        <w:tc>
          <w:tcPr>
            <w:tcW w:w="174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pacing w:val="-1"/>
                <w:sz w:val="18"/>
              </w:rPr>
              <w:t>608,707,589.90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pacing w:val="-1"/>
                <w:sz w:val="18"/>
              </w:rPr>
              <w:t>572,860,715.04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z w:val="18"/>
              </w:rPr>
              <w:t>6.26%</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1"/>
              <w:jc w:val="right"/>
              <w:rPr>
                <w:rFonts w:ascii="新宋体" w:hAnsi="新宋体" w:cs="新宋体" w:eastAsia="新宋体" w:hint="default"/>
                <w:sz w:val="18"/>
                <w:szCs w:val="18"/>
              </w:rPr>
            </w:pPr>
            <w:r>
              <w:rPr>
                <w:rFonts w:ascii="新宋体"/>
                <w:spacing w:val="-1"/>
                <w:sz w:val="18"/>
              </w:rPr>
              <w:t>520,004,075.67</w:t>
            </w:r>
          </w:p>
        </w:tc>
      </w:tr>
      <w:tr>
        <w:trPr>
          <w:trHeight w:val="413" w:hRule="exact"/>
        </w:trPr>
        <w:tc>
          <w:tcPr>
            <w:tcW w:w="26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期末总股本（股）</w:t>
            </w:r>
          </w:p>
        </w:tc>
        <w:tc>
          <w:tcPr>
            <w:tcW w:w="174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118,000,000.00</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118,000,000.00</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5"/>
              <w:jc w:val="right"/>
              <w:rPr>
                <w:rFonts w:ascii="新宋体" w:hAnsi="新宋体" w:cs="新宋体" w:eastAsia="新宋体" w:hint="default"/>
                <w:sz w:val="18"/>
                <w:szCs w:val="18"/>
              </w:rPr>
            </w:pPr>
            <w:r>
              <w:rPr>
                <w:rFonts w:ascii="新宋体"/>
                <w:sz w:val="18"/>
              </w:rPr>
              <w:t>0%</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新宋体" w:hAnsi="新宋体" w:cs="新宋体" w:eastAsia="新宋体" w:hint="default"/>
                <w:sz w:val="18"/>
                <w:szCs w:val="18"/>
              </w:rPr>
            </w:pPr>
            <w:r>
              <w:rPr>
                <w:rFonts w:ascii="新宋体"/>
                <w:spacing w:val="-1"/>
                <w:sz w:val="18"/>
              </w:rPr>
              <w:t>118,000,000.00</w:t>
            </w:r>
          </w:p>
        </w:tc>
      </w:tr>
    </w:tbl>
    <w:p>
      <w:pPr>
        <w:spacing w:line="240" w:lineRule="auto" w:before="1"/>
        <w:rPr>
          <w:rFonts w:ascii="新宋体" w:hAnsi="新宋体" w:cs="新宋体" w:eastAsia="新宋体" w:hint="default"/>
          <w:b/>
          <w:bCs/>
          <w:sz w:val="5"/>
          <w:szCs w:val="5"/>
        </w:rPr>
      </w:pPr>
    </w:p>
    <w:p>
      <w:pPr>
        <w:pStyle w:val="Heading2"/>
        <w:spacing w:line="240" w:lineRule="auto" w:before="26"/>
        <w:ind w:right="0"/>
        <w:jc w:val="left"/>
        <w:rPr>
          <w:b w:val="0"/>
          <w:bCs w:val="0"/>
        </w:rPr>
      </w:pPr>
      <w:r>
        <w:rPr/>
        <w:t>主要财务指标：</w:t>
      </w:r>
      <w:r>
        <w:rPr>
          <w:b w:val="0"/>
          <w:bCs w:val="0"/>
        </w:rPr>
      </w:r>
    </w:p>
    <w:p>
      <w:pPr>
        <w:spacing w:line="240" w:lineRule="auto" w:before="11"/>
        <w:rPr>
          <w:rFonts w:ascii="宋体" w:hAnsi="宋体" w:cs="宋体" w:eastAsia="宋体" w:hint="default"/>
          <w:b/>
          <w:bCs/>
          <w:sz w:val="11"/>
          <w:szCs w:val="11"/>
        </w:rPr>
      </w:pPr>
    </w:p>
    <w:tbl>
      <w:tblPr>
        <w:tblW w:w="0" w:type="auto"/>
        <w:jc w:val="left"/>
        <w:tblInd w:w="179" w:type="dxa"/>
        <w:tblLayout w:type="fixed"/>
        <w:tblCellMar>
          <w:top w:w="0" w:type="dxa"/>
          <w:left w:w="0" w:type="dxa"/>
          <w:bottom w:w="0" w:type="dxa"/>
          <w:right w:w="0" w:type="dxa"/>
        </w:tblCellMar>
        <w:tblLook w:val="01E0"/>
      </w:tblPr>
      <w:tblGrid>
        <w:gridCol w:w="2608"/>
        <w:gridCol w:w="1746"/>
        <w:gridCol w:w="1738"/>
        <w:gridCol w:w="1736"/>
        <w:gridCol w:w="1735"/>
      </w:tblGrid>
      <w:tr>
        <w:trPr>
          <w:trHeight w:val="414" w:hRule="exact"/>
        </w:trPr>
        <w:tc>
          <w:tcPr>
            <w:tcW w:w="260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79"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17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568" w:right="0"/>
              <w:jc w:val="left"/>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5"/>
                <w:sz w:val="18"/>
                <w:szCs w:val="18"/>
              </w:rPr>
              <w:t> </w:t>
            </w:r>
            <w:r>
              <w:rPr>
                <w:rFonts w:ascii="新宋体" w:hAnsi="新宋体" w:cs="新宋体" w:eastAsia="新宋体" w:hint="default"/>
                <w:sz w:val="18"/>
                <w:szCs w:val="18"/>
              </w:rPr>
              <w:t>年</w:t>
            </w:r>
          </w:p>
        </w:tc>
        <w:tc>
          <w:tcPr>
            <w:tcW w:w="17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96" w:right="0"/>
              <w:jc w:val="left"/>
              <w:rPr>
                <w:rFonts w:ascii="新宋体" w:hAnsi="新宋体" w:cs="新宋体" w:eastAsia="新宋体" w:hint="default"/>
                <w:sz w:val="18"/>
                <w:szCs w:val="18"/>
              </w:rPr>
            </w:pPr>
            <w:r>
              <w:rPr>
                <w:rFonts w:ascii="新宋体" w:hAnsi="新宋体" w:cs="新宋体" w:eastAsia="新宋体" w:hint="default"/>
                <w:sz w:val="18"/>
                <w:szCs w:val="18"/>
              </w:rPr>
              <w:t>本年比上年增减</w:t>
            </w:r>
            <w:r>
              <w:rPr>
                <w:rFonts w:ascii="新宋体" w:hAnsi="新宋体" w:cs="新宋体" w:eastAsia="新宋体" w:hint="default"/>
                <w:sz w:val="18"/>
                <w:szCs w:val="18"/>
              </w:rPr>
              <w:t>(%)</w:t>
            </w:r>
          </w:p>
        </w:tc>
        <w:tc>
          <w:tcPr>
            <w:tcW w:w="173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568" w:right="0"/>
              <w:jc w:val="left"/>
              <w:rPr>
                <w:rFonts w:ascii="新宋体" w:hAnsi="新宋体" w:cs="新宋体" w:eastAsia="新宋体" w:hint="default"/>
                <w:sz w:val="18"/>
                <w:szCs w:val="18"/>
              </w:rPr>
            </w:pPr>
            <w:r>
              <w:rPr>
                <w:rFonts w:ascii="新宋体" w:hAnsi="新宋体" w:cs="新宋体" w:eastAsia="新宋体" w:hint="default"/>
                <w:sz w:val="18"/>
                <w:szCs w:val="18"/>
              </w:rPr>
              <w:t>2010</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r>
      <w:tr>
        <w:trPr>
          <w:trHeight w:val="409" w:hRule="exact"/>
        </w:trPr>
        <w:tc>
          <w:tcPr>
            <w:tcW w:w="26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基本每股收益（元</w:t>
            </w:r>
            <w:r>
              <w:rPr>
                <w:rFonts w:ascii="新宋体" w:hAnsi="新宋体" w:cs="新宋体" w:eastAsia="新宋体" w:hint="default"/>
                <w:sz w:val="18"/>
                <w:szCs w:val="18"/>
              </w:rPr>
              <w:t>/</w:t>
            </w:r>
            <w:r>
              <w:rPr>
                <w:rFonts w:ascii="新宋体" w:hAnsi="新宋体" w:cs="新宋体" w:eastAsia="新宋体" w:hint="default"/>
                <w:sz w:val="18"/>
                <w:szCs w:val="18"/>
              </w:rPr>
              <w:t>股）</w:t>
            </w:r>
          </w:p>
        </w:tc>
        <w:tc>
          <w:tcPr>
            <w:tcW w:w="1746" w:type="dxa"/>
            <w:tcBorders>
              <w:top w:val="single" w:sz="6" w:space="0" w:color="000000"/>
              <w:left w:val="single" w:sz="15" w:space="0" w:color="D2D2D2"/>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0.40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新宋体" w:hAnsi="新宋体" w:cs="新宋体" w:eastAsia="新宋体" w:hint="default"/>
                <w:sz w:val="18"/>
                <w:szCs w:val="18"/>
              </w:rPr>
            </w:pPr>
            <w:r>
              <w:rPr>
                <w:rFonts w:ascii="新宋体"/>
                <w:sz w:val="18"/>
              </w:rPr>
              <w:t>0.55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-27.27%</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0.36</w:t>
            </w:r>
          </w:p>
        </w:tc>
      </w:tr>
      <w:tr>
        <w:trPr>
          <w:trHeight w:val="406" w:hRule="exact"/>
        </w:trPr>
        <w:tc>
          <w:tcPr>
            <w:tcW w:w="26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稀释每股收益（元</w:t>
            </w:r>
            <w:r>
              <w:rPr>
                <w:rFonts w:ascii="新宋体" w:hAnsi="新宋体" w:cs="新宋体" w:eastAsia="新宋体" w:hint="default"/>
                <w:sz w:val="18"/>
                <w:szCs w:val="18"/>
              </w:rPr>
              <w:t>/</w:t>
            </w:r>
            <w:r>
              <w:rPr>
                <w:rFonts w:ascii="新宋体" w:hAnsi="新宋体" w:cs="新宋体" w:eastAsia="新宋体" w:hint="default"/>
                <w:sz w:val="18"/>
                <w:szCs w:val="18"/>
              </w:rPr>
              <w:t>股）</w:t>
            </w:r>
          </w:p>
        </w:tc>
        <w:tc>
          <w:tcPr>
            <w:tcW w:w="1746" w:type="dxa"/>
            <w:tcBorders>
              <w:top w:val="single" w:sz="6" w:space="0" w:color="000000"/>
              <w:left w:val="single" w:sz="15" w:space="0" w:color="D2D2D2"/>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0.40</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新宋体" w:hAnsi="新宋体" w:cs="新宋体" w:eastAsia="新宋体" w:hint="default"/>
                <w:sz w:val="18"/>
                <w:szCs w:val="18"/>
              </w:rPr>
            </w:pPr>
            <w:r>
              <w:rPr>
                <w:rFonts w:ascii="新宋体"/>
                <w:sz w:val="18"/>
              </w:rPr>
              <w:t>0.55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-27.27%</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0.36</w:t>
            </w:r>
          </w:p>
        </w:tc>
      </w:tr>
      <w:tr>
        <w:trPr>
          <w:trHeight w:val="720" w:hRule="exact"/>
        </w:trPr>
        <w:tc>
          <w:tcPr>
            <w:tcW w:w="26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57"/>
              <w:jc w:val="left"/>
              <w:rPr>
                <w:rFonts w:ascii="新宋体" w:hAnsi="新宋体" w:cs="新宋体" w:eastAsia="新宋体" w:hint="default"/>
                <w:sz w:val="18"/>
                <w:szCs w:val="18"/>
              </w:rPr>
            </w:pPr>
            <w:r>
              <w:rPr>
                <w:rFonts w:ascii="新宋体" w:hAnsi="新宋体" w:cs="新宋体" w:eastAsia="新宋体" w:hint="default"/>
                <w:sz w:val="18"/>
                <w:szCs w:val="18"/>
              </w:rPr>
              <w:t>扣除非经常性损益后的基本每股 收益（元</w:t>
            </w:r>
            <w:r>
              <w:rPr>
                <w:rFonts w:ascii="新宋体" w:hAnsi="新宋体" w:cs="新宋体" w:eastAsia="新宋体" w:hint="default"/>
                <w:sz w:val="18"/>
                <w:szCs w:val="18"/>
              </w:rPr>
              <w:t>/</w:t>
            </w:r>
            <w:r>
              <w:rPr>
                <w:rFonts w:ascii="新宋体" w:hAnsi="新宋体" w:cs="新宋体" w:eastAsia="新宋体" w:hint="default"/>
                <w:sz w:val="18"/>
                <w:szCs w:val="18"/>
              </w:rPr>
              <w:t>股）</w:t>
            </w:r>
          </w:p>
        </w:tc>
        <w:tc>
          <w:tcPr>
            <w:tcW w:w="1746" w:type="dxa"/>
            <w:tcBorders>
              <w:top w:val="single" w:sz="6" w:space="0" w:color="000000"/>
              <w:left w:val="single" w:sz="15"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right"/>
              <w:rPr>
                <w:rFonts w:ascii="新宋体" w:hAnsi="新宋体" w:cs="新宋体" w:eastAsia="新宋体" w:hint="default"/>
                <w:sz w:val="18"/>
                <w:szCs w:val="18"/>
              </w:rPr>
            </w:pPr>
            <w:r>
              <w:rPr>
                <w:rFonts w:ascii="新宋体"/>
                <w:sz w:val="18"/>
              </w:rPr>
              <w:t>0.24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新宋体" w:hAnsi="新宋体" w:cs="新宋体" w:eastAsia="新宋体" w:hint="default"/>
                <w:sz w:val="18"/>
                <w:szCs w:val="18"/>
              </w:rPr>
            </w:pPr>
            <w:r>
              <w:rPr>
                <w:rFonts w:ascii="新宋体"/>
                <w:sz w:val="18"/>
              </w:rPr>
              <w:t>0.42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z w:val="18"/>
              </w:rPr>
              <w:t>-42.86%</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right"/>
              <w:rPr>
                <w:rFonts w:ascii="新宋体" w:hAnsi="新宋体" w:cs="新宋体" w:eastAsia="新宋体" w:hint="default"/>
                <w:sz w:val="18"/>
                <w:szCs w:val="18"/>
              </w:rPr>
            </w:pPr>
            <w:r>
              <w:rPr>
                <w:rFonts w:ascii="新宋体"/>
                <w:sz w:val="18"/>
              </w:rPr>
              <w:t>0.28</w:t>
            </w:r>
          </w:p>
        </w:tc>
      </w:tr>
      <w:tr>
        <w:trPr>
          <w:trHeight w:val="406" w:hRule="exact"/>
        </w:trPr>
        <w:tc>
          <w:tcPr>
            <w:tcW w:w="26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全面摊薄净资产收益率（</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746" w:type="dxa"/>
            <w:tcBorders>
              <w:top w:val="single" w:sz="6" w:space="0" w:color="000000"/>
              <w:left w:val="single" w:sz="15" w:space="0" w:color="D2D2D2"/>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7.78%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新宋体" w:hAnsi="新宋体" w:cs="新宋体" w:eastAsia="新宋体" w:hint="default"/>
                <w:sz w:val="18"/>
                <w:szCs w:val="18"/>
              </w:rPr>
            </w:pPr>
            <w:r>
              <w:rPr>
                <w:rFonts w:ascii="新宋体"/>
                <w:spacing w:val="-1"/>
                <w:sz w:val="18"/>
              </w:rPr>
              <w:t>11.28%</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-3.5%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8.14%</w:t>
            </w:r>
          </w:p>
        </w:tc>
      </w:tr>
      <w:tr>
        <w:trPr>
          <w:trHeight w:val="408" w:hRule="exact"/>
        </w:trPr>
        <w:tc>
          <w:tcPr>
            <w:tcW w:w="260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加权平均净资产收益率（</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746" w:type="dxa"/>
            <w:tcBorders>
              <w:top w:val="single" w:sz="6" w:space="0" w:color="000000"/>
              <w:left w:val="single" w:sz="15" w:space="0" w:color="D2D2D2"/>
              <w:bottom w:val="single" w:sz="6"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z w:val="18"/>
              </w:rPr>
              <w:t>8.04%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新宋体" w:hAnsi="新宋体" w:cs="新宋体" w:eastAsia="新宋体" w:hint="default"/>
                <w:sz w:val="18"/>
                <w:szCs w:val="18"/>
              </w:rPr>
            </w:pPr>
            <w:r>
              <w:rPr>
                <w:rFonts w:ascii="新宋体"/>
                <w:spacing w:val="-1"/>
                <w:sz w:val="18"/>
              </w:rPr>
              <w:t>11.83%</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pacing w:val="-1"/>
                <w:sz w:val="18"/>
              </w:rPr>
              <w:t>-3.79%</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新宋体" w:hAnsi="新宋体" w:cs="新宋体" w:eastAsia="新宋体" w:hint="default"/>
                <w:sz w:val="18"/>
                <w:szCs w:val="18"/>
              </w:rPr>
            </w:pPr>
            <w:r>
              <w:rPr>
                <w:rFonts w:ascii="新宋体"/>
                <w:sz w:val="18"/>
              </w:rPr>
              <w:t>8.39%</w:t>
            </w:r>
          </w:p>
        </w:tc>
      </w:tr>
      <w:tr>
        <w:trPr>
          <w:trHeight w:val="413" w:hRule="exact"/>
        </w:trPr>
        <w:tc>
          <w:tcPr>
            <w:tcW w:w="260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68"/>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扣除非经常性损益后全面摊薄净</w:t>
            </w:r>
          </w:p>
        </w:tc>
        <w:tc>
          <w:tcPr>
            <w:tcW w:w="1746" w:type="dxa"/>
            <w:tcBorders>
              <w:top w:val="single" w:sz="6" w:space="0" w:color="000000"/>
              <w:left w:val="single" w:sz="15" w:space="0" w:color="D2D2D2"/>
              <w:bottom w:val="single" w:sz="12"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4.66%</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新宋体" w:hAnsi="新宋体" w:cs="新宋体" w:eastAsia="新宋体" w:hint="default"/>
                <w:sz w:val="18"/>
                <w:szCs w:val="18"/>
              </w:rPr>
            </w:pPr>
            <w:r>
              <w:rPr>
                <w:rFonts w:ascii="新宋体"/>
                <w:sz w:val="18"/>
              </w:rPr>
              <w:t>8.63%</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-3.97%</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6.36%</w:t>
            </w:r>
          </w:p>
        </w:tc>
      </w:tr>
    </w:tbl>
    <w:p>
      <w:pPr>
        <w:spacing w:after="0" w:line="240" w:lineRule="auto"/>
        <w:jc w:val="right"/>
        <w:rPr>
          <w:rFonts w:ascii="新宋体" w:hAnsi="新宋体" w:cs="新宋体" w:eastAsia="新宋体"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72" w:type="dxa"/>
        <w:tblLayout w:type="fixed"/>
        <w:tblCellMar>
          <w:top w:w="0" w:type="dxa"/>
          <w:left w:w="0" w:type="dxa"/>
          <w:bottom w:w="0" w:type="dxa"/>
          <w:right w:w="0" w:type="dxa"/>
        </w:tblCellMar>
        <w:tblLook w:val="01E0"/>
      </w:tblPr>
      <w:tblGrid>
        <w:gridCol w:w="2627"/>
        <w:gridCol w:w="1735"/>
        <w:gridCol w:w="1738"/>
        <w:gridCol w:w="1736"/>
        <w:gridCol w:w="1735"/>
      </w:tblGrid>
      <w:tr>
        <w:trPr>
          <w:trHeight w:val="375" w:hRule="exact"/>
        </w:trPr>
        <w:tc>
          <w:tcPr>
            <w:tcW w:w="262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资产收益率（</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735" w:type="dxa"/>
            <w:tcBorders>
              <w:top w:val="single" w:sz="12" w:space="0" w:color="000000"/>
              <w:left w:val="single" w:sz="15" w:space="0" w:color="D2D2D2"/>
              <w:bottom w:val="single" w:sz="6" w:space="0" w:color="000000"/>
              <w:right w:val="single" w:sz="6" w:space="0" w:color="000000"/>
            </w:tcBorders>
          </w:tcPr>
          <w:p>
            <w:pPr/>
          </w:p>
        </w:tc>
        <w:tc>
          <w:tcPr>
            <w:tcW w:w="1738" w:type="dxa"/>
            <w:tcBorders>
              <w:top w:val="single" w:sz="12" w:space="0" w:color="000000"/>
              <w:left w:val="single" w:sz="6" w:space="0" w:color="000000"/>
              <w:bottom w:val="single" w:sz="6" w:space="0" w:color="000000"/>
              <w:right w:val="single" w:sz="6" w:space="0" w:color="000000"/>
            </w:tcBorders>
          </w:tcPr>
          <w:p>
            <w:pPr/>
          </w:p>
        </w:tc>
        <w:tc>
          <w:tcPr>
            <w:tcW w:w="1736" w:type="dxa"/>
            <w:tcBorders>
              <w:top w:val="single" w:sz="12" w:space="0" w:color="000000"/>
              <w:left w:val="single" w:sz="6" w:space="0" w:color="000000"/>
              <w:bottom w:val="single" w:sz="6" w:space="0" w:color="000000"/>
              <w:right w:val="single" w:sz="6" w:space="0" w:color="000000"/>
            </w:tcBorders>
          </w:tcPr>
          <w:p>
            <w:pPr/>
          </w:p>
        </w:tc>
        <w:tc>
          <w:tcPr>
            <w:tcW w:w="1735"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26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68"/>
              <w:jc w:val="left"/>
              <w:rPr>
                <w:rFonts w:ascii="新宋体" w:hAnsi="新宋体" w:cs="新宋体" w:eastAsia="新宋体" w:hint="default"/>
                <w:sz w:val="18"/>
                <w:szCs w:val="18"/>
              </w:rPr>
            </w:pPr>
            <w:r>
              <w:rPr>
                <w:rFonts w:ascii="新宋体" w:hAnsi="新宋体" w:cs="新宋体" w:eastAsia="新宋体" w:hint="default"/>
                <w:sz w:val="18"/>
                <w:szCs w:val="18"/>
              </w:rPr>
              <w:t>扣除非经常性损益后的加权平均 净资产收益率（</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735" w:type="dxa"/>
            <w:tcBorders>
              <w:top w:val="single" w:sz="6" w:space="0" w:color="000000"/>
              <w:left w:val="single" w:sz="15"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right"/>
              <w:rPr>
                <w:rFonts w:ascii="新宋体" w:hAnsi="新宋体" w:cs="新宋体" w:eastAsia="新宋体" w:hint="default"/>
                <w:sz w:val="18"/>
                <w:szCs w:val="18"/>
              </w:rPr>
            </w:pPr>
            <w:r>
              <w:rPr>
                <w:rFonts w:ascii="新宋体"/>
                <w:sz w:val="18"/>
              </w:rPr>
              <w:t>4.82%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新宋体" w:hAnsi="新宋体" w:cs="新宋体" w:eastAsia="新宋体" w:hint="default"/>
                <w:sz w:val="18"/>
                <w:szCs w:val="18"/>
              </w:rPr>
            </w:pPr>
            <w:r>
              <w:rPr>
                <w:rFonts w:ascii="新宋体"/>
                <w:sz w:val="18"/>
              </w:rPr>
              <w:t>9.05%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right"/>
              <w:rPr>
                <w:rFonts w:ascii="新宋体" w:hAnsi="新宋体" w:cs="新宋体" w:eastAsia="新宋体" w:hint="default"/>
                <w:sz w:val="18"/>
                <w:szCs w:val="18"/>
              </w:rPr>
            </w:pPr>
            <w:r>
              <w:rPr>
                <w:rFonts w:ascii="新宋体"/>
                <w:spacing w:val="-1"/>
                <w:sz w:val="18"/>
              </w:rPr>
              <w:t>-4.23%</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right"/>
              <w:rPr>
                <w:rFonts w:ascii="新宋体" w:hAnsi="新宋体" w:cs="新宋体" w:eastAsia="新宋体" w:hint="default"/>
                <w:sz w:val="18"/>
                <w:szCs w:val="18"/>
              </w:rPr>
            </w:pPr>
            <w:r>
              <w:rPr>
                <w:rFonts w:ascii="新宋体"/>
                <w:sz w:val="18"/>
              </w:rPr>
              <w:t>6.55%</w:t>
            </w:r>
          </w:p>
        </w:tc>
      </w:tr>
      <w:tr>
        <w:trPr>
          <w:trHeight w:val="719" w:hRule="exact"/>
        </w:trPr>
        <w:tc>
          <w:tcPr>
            <w:tcW w:w="26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68"/>
              <w:jc w:val="left"/>
              <w:rPr>
                <w:rFonts w:ascii="新宋体" w:hAnsi="新宋体" w:cs="新宋体" w:eastAsia="新宋体" w:hint="default"/>
                <w:sz w:val="18"/>
                <w:szCs w:val="18"/>
              </w:rPr>
            </w:pPr>
            <w:r>
              <w:rPr>
                <w:rFonts w:ascii="新宋体" w:hAnsi="新宋体" w:cs="新宋体" w:eastAsia="新宋体" w:hint="default"/>
                <w:sz w:val="18"/>
                <w:szCs w:val="18"/>
              </w:rPr>
              <w:t>每股经营活动产生的现金流量净 额（元</w:t>
            </w:r>
            <w:r>
              <w:rPr>
                <w:rFonts w:ascii="新宋体" w:hAnsi="新宋体" w:cs="新宋体" w:eastAsia="新宋体" w:hint="default"/>
                <w:sz w:val="18"/>
                <w:szCs w:val="18"/>
              </w:rPr>
              <w:t>/</w:t>
            </w:r>
            <w:r>
              <w:rPr>
                <w:rFonts w:ascii="新宋体" w:hAnsi="新宋体" w:cs="新宋体" w:eastAsia="新宋体" w:hint="default"/>
                <w:sz w:val="18"/>
                <w:szCs w:val="18"/>
              </w:rPr>
              <w:t>股）</w:t>
            </w:r>
          </w:p>
        </w:tc>
        <w:tc>
          <w:tcPr>
            <w:tcW w:w="1735" w:type="dxa"/>
            <w:tcBorders>
              <w:top w:val="single" w:sz="6" w:space="0" w:color="000000"/>
              <w:left w:val="single" w:sz="15"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right"/>
              <w:rPr>
                <w:rFonts w:ascii="新宋体" w:hAnsi="新宋体" w:cs="新宋体" w:eastAsia="新宋体" w:hint="default"/>
                <w:sz w:val="18"/>
                <w:szCs w:val="18"/>
              </w:rPr>
            </w:pPr>
            <w:r>
              <w:rPr>
                <w:rFonts w:ascii="新宋体"/>
                <w:sz w:val="18"/>
              </w:rPr>
              <w:t>0.22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新宋体" w:hAnsi="新宋体" w:cs="新宋体" w:eastAsia="新宋体" w:hint="default"/>
                <w:sz w:val="18"/>
                <w:szCs w:val="18"/>
              </w:rPr>
            </w:pPr>
            <w:r>
              <w:rPr>
                <w:rFonts w:ascii="新宋体"/>
                <w:sz w:val="18"/>
              </w:rPr>
              <w:t>0.20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z w:val="18"/>
              </w:rPr>
              <w:t>5.75%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right"/>
              <w:rPr>
                <w:rFonts w:ascii="新宋体" w:hAnsi="新宋体" w:cs="新宋体" w:eastAsia="新宋体" w:hint="default"/>
                <w:sz w:val="18"/>
                <w:szCs w:val="18"/>
              </w:rPr>
            </w:pPr>
            <w:r>
              <w:rPr>
                <w:rFonts w:ascii="新宋体"/>
                <w:sz w:val="18"/>
              </w:rPr>
              <w:t>0.26</w:t>
            </w:r>
          </w:p>
        </w:tc>
      </w:tr>
      <w:tr>
        <w:trPr>
          <w:trHeight w:val="164" w:hRule="exact"/>
        </w:trPr>
        <w:tc>
          <w:tcPr>
            <w:tcW w:w="2627" w:type="dxa"/>
            <w:tcBorders>
              <w:top w:val="single" w:sz="6" w:space="0" w:color="000000"/>
              <w:left w:val="single" w:sz="12" w:space="0" w:color="000000"/>
              <w:bottom w:val="nil" w:sz="6" w:space="0" w:color="auto"/>
              <w:right w:val="single" w:sz="6" w:space="0" w:color="000000"/>
            </w:tcBorders>
            <w:shd w:val="clear" w:color="auto" w:fill="D2D2D2"/>
          </w:tcPr>
          <w:p>
            <w:pPr/>
          </w:p>
        </w:tc>
        <w:tc>
          <w:tcPr>
            <w:tcW w:w="1735" w:type="dxa"/>
            <w:tcBorders>
              <w:top w:val="single" w:sz="6" w:space="0" w:color="000000"/>
              <w:left w:val="single" w:sz="6" w:space="0" w:color="000000"/>
              <w:bottom w:val="nil" w:sz="6" w:space="0" w:color="auto"/>
              <w:right w:val="single" w:sz="6" w:space="0" w:color="000000"/>
            </w:tcBorders>
            <w:shd w:val="clear" w:color="auto" w:fill="D2D2D2"/>
          </w:tcPr>
          <w:p>
            <w:pPr/>
          </w:p>
        </w:tc>
        <w:tc>
          <w:tcPr>
            <w:tcW w:w="17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73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0"/>
              <w:ind w:left="724" w:right="50" w:hanging="675"/>
              <w:jc w:val="left"/>
              <w:rPr>
                <w:rFonts w:ascii="新宋体" w:hAnsi="新宋体" w:cs="新宋体" w:eastAsia="新宋体" w:hint="default"/>
                <w:sz w:val="18"/>
                <w:szCs w:val="18"/>
              </w:rPr>
            </w:pPr>
            <w:r>
              <w:rPr>
                <w:rFonts w:ascii="新宋体" w:hAnsi="新宋体" w:cs="新宋体" w:eastAsia="新宋体" w:hint="default"/>
                <w:sz w:val="18"/>
                <w:szCs w:val="18"/>
              </w:rPr>
              <w:t>本年末比上年末增减 </w:t>
            </w:r>
            <w:r>
              <w:rPr>
                <w:rFonts w:ascii="新宋体" w:hAnsi="新宋体" w:cs="新宋体" w:eastAsia="新宋体" w:hint="default"/>
                <w:sz w:val="18"/>
                <w:szCs w:val="18"/>
              </w:rPr>
              <w:t>(%)</w:t>
            </w:r>
          </w:p>
        </w:tc>
        <w:tc>
          <w:tcPr>
            <w:tcW w:w="1735"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391" w:hRule="exact"/>
        </w:trPr>
        <w:tc>
          <w:tcPr>
            <w:tcW w:w="2627" w:type="dxa"/>
            <w:tcBorders>
              <w:top w:val="nil" w:sz="6" w:space="0" w:color="auto"/>
              <w:left w:val="single" w:sz="12" w:space="0" w:color="000000"/>
              <w:bottom w:val="nil" w:sz="6" w:space="0" w:color="auto"/>
              <w:right w:val="single" w:sz="6" w:space="0" w:color="000000"/>
            </w:tcBorders>
            <w:shd w:val="clear" w:color="auto" w:fill="D2D2D2"/>
          </w:tcPr>
          <w:p>
            <w:pPr/>
          </w:p>
        </w:tc>
        <w:tc>
          <w:tcPr>
            <w:tcW w:w="173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477"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年末</w:t>
            </w:r>
          </w:p>
        </w:tc>
        <w:tc>
          <w:tcPr>
            <w:tcW w:w="173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477" w:right="0"/>
              <w:jc w:val="left"/>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5"/>
                <w:sz w:val="18"/>
                <w:szCs w:val="18"/>
              </w:rPr>
              <w:t> </w:t>
            </w:r>
            <w:r>
              <w:rPr>
                <w:rFonts w:ascii="新宋体" w:hAnsi="新宋体" w:cs="新宋体" w:eastAsia="新宋体" w:hint="default"/>
                <w:sz w:val="18"/>
                <w:szCs w:val="18"/>
              </w:rPr>
              <w:t>年末</w:t>
            </w:r>
          </w:p>
        </w:tc>
        <w:tc>
          <w:tcPr>
            <w:tcW w:w="1736" w:type="dxa"/>
            <w:vMerge/>
            <w:tcBorders>
              <w:left w:val="single" w:sz="6" w:space="0" w:color="000000"/>
              <w:right w:val="single" w:sz="6" w:space="0" w:color="000000"/>
            </w:tcBorders>
            <w:shd w:val="clear" w:color="auto" w:fill="D2D2D2"/>
          </w:tcPr>
          <w:p>
            <w:pPr/>
          </w:p>
        </w:tc>
        <w:tc>
          <w:tcPr>
            <w:tcW w:w="1735"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49"/>
              <w:ind w:left="477" w:right="0"/>
              <w:jc w:val="left"/>
              <w:rPr>
                <w:rFonts w:ascii="新宋体" w:hAnsi="新宋体" w:cs="新宋体" w:eastAsia="新宋体" w:hint="default"/>
                <w:sz w:val="18"/>
                <w:szCs w:val="18"/>
              </w:rPr>
            </w:pPr>
            <w:r>
              <w:rPr>
                <w:rFonts w:ascii="新宋体" w:hAnsi="新宋体" w:cs="新宋体" w:eastAsia="新宋体" w:hint="default"/>
                <w:sz w:val="18"/>
                <w:szCs w:val="18"/>
              </w:rPr>
              <w:t>2010</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年末</w:t>
            </w:r>
          </w:p>
        </w:tc>
      </w:tr>
      <w:tr>
        <w:trPr>
          <w:trHeight w:val="163" w:hRule="exact"/>
        </w:trPr>
        <w:tc>
          <w:tcPr>
            <w:tcW w:w="2627" w:type="dxa"/>
            <w:tcBorders>
              <w:top w:val="nil" w:sz="6" w:space="0" w:color="auto"/>
              <w:left w:val="single" w:sz="12" w:space="0" w:color="000000"/>
              <w:bottom w:val="single" w:sz="6" w:space="0" w:color="000000"/>
              <w:right w:val="single" w:sz="6" w:space="0" w:color="000000"/>
            </w:tcBorders>
            <w:shd w:val="clear" w:color="auto" w:fill="D2D2D2"/>
          </w:tcPr>
          <w:p>
            <w:pPr/>
          </w:p>
        </w:tc>
        <w:tc>
          <w:tcPr>
            <w:tcW w:w="1735" w:type="dxa"/>
            <w:tcBorders>
              <w:top w:val="nil" w:sz="6" w:space="0" w:color="auto"/>
              <w:left w:val="single" w:sz="6" w:space="0" w:color="000000"/>
              <w:bottom w:val="single" w:sz="6" w:space="0" w:color="000000"/>
              <w:right w:val="single" w:sz="6" w:space="0" w:color="000000"/>
            </w:tcBorders>
            <w:shd w:val="clear" w:color="auto" w:fill="D2D2D2"/>
          </w:tcPr>
          <w:p>
            <w:pPr/>
          </w:p>
        </w:tc>
        <w:tc>
          <w:tcPr>
            <w:tcW w:w="1738" w:type="dxa"/>
            <w:tcBorders>
              <w:top w:val="nil" w:sz="6" w:space="0" w:color="auto"/>
              <w:left w:val="single" w:sz="6" w:space="0" w:color="000000"/>
              <w:bottom w:val="single" w:sz="6" w:space="0" w:color="000000"/>
              <w:right w:val="single" w:sz="6" w:space="0" w:color="000000"/>
            </w:tcBorders>
            <w:shd w:val="clear" w:color="auto" w:fill="D2D2D2"/>
          </w:tcPr>
          <w:p>
            <w:pPr/>
          </w:p>
        </w:tc>
        <w:tc>
          <w:tcPr>
            <w:tcW w:w="1736" w:type="dxa"/>
            <w:vMerge/>
            <w:tcBorders>
              <w:left w:val="single" w:sz="6" w:space="0" w:color="000000"/>
              <w:bottom w:val="single" w:sz="6" w:space="0" w:color="000000"/>
              <w:right w:val="single" w:sz="6" w:space="0" w:color="000000"/>
            </w:tcBorders>
            <w:shd w:val="clear" w:color="auto" w:fill="D2D2D2"/>
          </w:tcPr>
          <w:p>
            <w:pPr/>
          </w:p>
        </w:tc>
        <w:tc>
          <w:tcPr>
            <w:tcW w:w="1735"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18" w:hRule="exact"/>
        </w:trPr>
        <w:tc>
          <w:tcPr>
            <w:tcW w:w="262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68"/>
              <w:jc w:val="left"/>
              <w:rPr>
                <w:rFonts w:ascii="新宋体" w:hAnsi="新宋体" w:cs="新宋体" w:eastAsia="新宋体" w:hint="default"/>
                <w:sz w:val="18"/>
                <w:szCs w:val="18"/>
              </w:rPr>
            </w:pPr>
            <w:r>
              <w:rPr>
                <w:rFonts w:ascii="新宋体" w:hAnsi="新宋体" w:cs="新宋体" w:eastAsia="新宋体" w:hint="default"/>
                <w:sz w:val="18"/>
                <w:szCs w:val="18"/>
              </w:rPr>
              <w:t>归属于上市公司股东的每股净资 产（元</w:t>
            </w:r>
            <w:r>
              <w:rPr>
                <w:rFonts w:ascii="新宋体" w:hAnsi="新宋体" w:cs="新宋体" w:eastAsia="新宋体" w:hint="default"/>
                <w:sz w:val="18"/>
                <w:szCs w:val="18"/>
              </w:rPr>
              <w:t>/</w:t>
            </w:r>
            <w:r>
              <w:rPr>
                <w:rFonts w:ascii="新宋体" w:hAnsi="新宋体" w:cs="新宋体" w:eastAsia="新宋体" w:hint="default"/>
                <w:sz w:val="18"/>
                <w:szCs w:val="18"/>
              </w:rPr>
              <w:t>股）</w:t>
            </w:r>
          </w:p>
        </w:tc>
        <w:tc>
          <w:tcPr>
            <w:tcW w:w="1735" w:type="dxa"/>
            <w:tcBorders>
              <w:top w:val="single" w:sz="6" w:space="0" w:color="000000"/>
              <w:left w:val="single" w:sz="15"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
              <w:jc w:val="right"/>
              <w:rPr>
                <w:rFonts w:ascii="新宋体" w:hAnsi="新宋体" w:cs="新宋体" w:eastAsia="新宋体" w:hint="default"/>
                <w:sz w:val="18"/>
                <w:szCs w:val="18"/>
              </w:rPr>
            </w:pPr>
            <w:r>
              <w:rPr>
                <w:rFonts w:ascii="新宋体"/>
                <w:sz w:val="18"/>
              </w:rPr>
              <w:t>5.16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新宋体" w:hAnsi="新宋体" w:cs="新宋体" w:eastAsia="新宋体" w:hint="default"/>
                <w:sz w:val="18"/>
                <w:szCs w:val="18"/>
              </w:rPr>
            </w:pPr>
            <w:r>
              <w:rPr>
                <w:rFonts w:ascii="新宋体"/>
                <w:sz w:val="18"/>
              </w:rPr>
              <w:t>4.85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right"/>
              <w:rPr>
                <w:rFonts w:ascii="新宋体" w:hAnsi="新宋体" w:cs="新宋体" w:eastAsia="新宋体" w:hint="default"/>
                <w:sz w:val="18"/>
                <w:szCs w:val="18"/>
              </w:rPr>
            </w:pPr>
            <w:r>
              <w:rPr>
                <w:rFonts w:ascii="新宋体"/>
                <w:sz w:val="18"/>
              </w:rPr>
              <w:t>6.39%</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
              <w:jc w:val="right"/>
              <w:rPr>
                <w:rFonts w:ascii="新宋体" w:hAnsi="新宋体" w:cs="新宋体" w:eastAsia="新宋体" w:hint="default"/>
                <w:sz w:val="18"/>
                <w:szCs w:val="18"/>
              </w:rPr>
            </w:pPr>
            <w:r>
              <w:rPr>
                <w:rFonts w:ascii="新宋体"/>
                <w:sz w:val="18"/>
              </w:rPr>
              <w:t>4.41</w:t>
            </w:r>
          </w:p>
        </w:tc>
      </w:tr>
      <w:tr>
        <w:trPr>
          <w:trHeight w:val="415" w:hRule="exact"/>
        </w:trPr>
        <w:tc>
          <w:tcPr>
            <w:tcW w:w="262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资产负债率（</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735" w:type="dxa"/>
            <w:tcBorders>
              <w:top w:val="single" w:sz="6" w:space="0" w:color="000000"/>
              <w:left w:val="single" w:sz="15" w:space="0" w:color="D2D2D2"/>
              <w:bottom w:val="single" w:sz="12"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pacing w:val="-1"/>
                <w:sz w:val="18"/>
              </w:rPr>
              <w:t>12.61%</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新宋体" w:hAnsi="新宋体" w:cs="新宋体" w:eastAsia="新宋体" w:hint="default"/>
                <w:sz w:val="18"/>
                <w:szCs w:val="18"/>
              </w:rPr>
            </w:pPr>
            <w:r>
              <w:rPr>
                <w:rFonts w:ascii="新宋体"/>
                <w:spacing w:val="-1"/>
                <w:sz w:val="18"/>
              </w:rPr>
              <w:t>15.64%</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pacing w:val="-1"/>
                <w:sz w:val="18"/>
              </w:rPr>
              <w:t>-3.03%</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
              <w:jc w:val="right"/>
              <w:rPr>
                <w:rFonts w:ascii="新宋体" w:hAnsi="新宋体" w:cs="新宋体" w:eastAsia="新宋体" w:hint="default"/>
                <w:sz w:val="18"/>
                <w:szCs w:val="18"/>
              </w:rPr>
            </w:pPr>
            <w:r>
              <w:rPr>
                <w:rFonts w:ascii="新宋体"/>
                <w:sz w:val="18"/>
              </w:rPr>
              <w:t>10.7%</w:t>
            </w:r>
          </w:p>
        </w:tc>
      </w:tr>
    </w:tbl>
    <w:p>
      <w:pPr>
        <w:spacing w:line="240" w:lineRule="auto" w:before="4"/>
        <w:rPr>
          <w:rFonts w:ascii="宋体" w:hAnsi="宋体" w:cs="宋体" w:eastAsia="宋体" w:hint="default"/>
          <w:b/>
          <w:bCs/>
          <w:sz w:val="18"/>
          <w:szCs w:val="18"/>
        </w:rPr>
      </w:pPr>
    </w:p>
    <w:p>
      <w:pPr>
        <w:pStyle w:val="Heading2"/>
        <w:spacing w:line="240" w:lineRule="auto" w:before="26"/>
        <w:ind w:right="105"/>
        <w:jc w:val="left"/>
        <w:rPr>
          <w:b w:val="0"/>
          <w:bCs w:val="0"/>
        </w:rPr>
      </w:pPr>
      <w:r>
        <w:rPr/>
        <w:t>二、报告期内非经常性损益的项目及金额</w:t>
      </w:r>
      <w:r>
        <w:rPr>
          <w:b w:val="0"/>
          <w:bCs w:val="0"/>
        </w:rPr>
      </w:r>
    </w:p>
    <w:p>
      <w:pPr>
        <w:spacing w:line="240" w:lineRule="auto" w:before="12"/>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279"/>
        <w:gridCol w:w="1529"/>
        <w:gridCol w:w="1522"/>
        <w:gridCol w:w="1522"/>
        <w:gridCol w:w="1709"/>
      </w:tblGrid>
      <w:tr>
        <w:trPr>
          <w:trHeight w:val="414" w:hRule="exact"/>
        </w:trPr>
        <w:tc>
          <w:tcPr>
            <w:tcW w:w="327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0"/>
              <w:jc w:val="center"/>
              <w:rPr>
                <w:rFonts w:ascii="新宋体" w:hAnsi="新宋体" w:cs="新宋体" w:eastAsia="新宋体" w:hint="default"/>
                <w:sz w:val="18"/>
                <w:szCs w:val="18"/>
              </w:rPr>
            </w:pPr>
            <w:r>
              <w:rPr>
                <w:rFonts w:ascii="新宋体" w:hAnsi="新宋体" w:cs="新宋体" w:eastAsia="新宋体" w:hint="default"/>
                <w:sz w:val="18"/>
                <w:szCs w:val="18"/>
              </w:rPr>
              <w:t>项目</w:t>
            </w:r>
          </w:p>
        </w:tc>
        <w:tc>
          <w:tcPr>
            <w:tcW w:w="152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90"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80" w:right="0"/>
              <w:jc w:val="left"/>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5"/>
                <w:sz w:val="18"/>
                <w:szCs w:val="18"/>
              </w:rPr>
              <w:t> </w:t>
            </w:r>
            <w:r>
              <w:rPr>
                <w:rFonts w:ascii="新宋体" w:hAnsi="新宋体" w:cs="新宋体" w:eastAsia="新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80" w:right="0"/>
              <w:jc w:val="left"/>
              <w:rPr>
                <w:rFonts w:ascii="新宋体" w:hAnsi="新宋体" w:cs="新宋体" w:eastAsia="新宋体" w:hint="default"/>
                <w:sz w:val="18"/>
                <w:szCs w:val="18"/>
              </w:rPr>
            </w:pPr>
            <w:r>
              <w:rPr>
                <w:rFonts w:ascii="新宋体" w:hAnsi="新宋体" w:cs="新宋体" w:eastAsia="新宋体" w:hint="default"/>
                <w:sz w:val="18"/>
                <w:szCs w:val="18"/>
              </w:rPr>
              <w:t>2010</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年金额</w:t>
            </w:r>
          </w:p>
        </w:tc>
        <w:tc>
          <w:tcPr>
            <w:tcW w:w="170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 w:right="0"/>
              <w:jc w:val="center"/>
              <w:rPr>
                <w:rFonts w:ascii="新宋体" w:hAnsi="新宋体" w:cs="新宋体" w:eastAsia="新宋体" w:hint="default"/>
                <w:sz w:val="18"/>
                <w:szCs w:val="18"/>
              </w:rPr>
            </w:pPr>
            <w:r>
              <w:rPr>
                <w:rFonts w:ascii="新宋体" w:hAnsi="新宋体" w:cs="新宋体" w:eastAsia="新宋体" w:hint="default"/>
                <w:sz w:val="18"/>
                <w:szCs w:val="18"/>
              </w:rPr>
              <w:t>说明</w:t>
            </w:r>
          </w:p>
        </w:tc>
      </w:tr>
      <w:tr>
        <w:trPr>
          <w:trHeight w:val="71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
              <w:jc w:val="left"/>
              <w:rPr>
                <w:rFonts w:ascii="新宋体" w:hAnsi="新宋体" w:cs="新宋体" w:eastAsia="新宋体" w:hint="default"/>
                <w:sz w:val="18"/>
                <w:szCs w:val="18"/>
              </w:rPr>
            </w:pPr>
            <w:r>
              <w:rPr>
                <w:rFonts w:ascii="新宋体" w:hAnsi="新宋体" w:cs="新宋体" w:eastAsia="新宋体" w:hint="default"/>
                <w:sz w:val="18"/>
                <w:szCs w:val="18"/>
              </w:rPr>
              <w:t>非流动资产处置损益（包括已计提资产减 值准备的冲销部分）</w:t>
            </w:r>
          </w:p>
        </w:tc>
        <w:tc>
          <w:tcPr>
            <w:tcW w:w="15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新宋体" w:hAnsi="新宋体" w:cs="新宋体" w:eastAsia="新宋体" w:hint="default"/>
                <w:sz w:val="18"/>
                <w:szCs w:val="18"/>
              </w:rPr>
            </w:pPr>
            <w:r>
              <w:rPr>
                <w:rFonts w:ascii="新宋体"/>
                <w:spacing w:val="-1"/>
                <w:sz w:val="18"/>
              </w:rPr>
              <w:t>-111,332.73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新宋体" w:hAnsi="新宋体" w:cs="新宋体" w:eastAsia="新宋体" w:hint="default"/>
                <w:sz w:val="18"/>
                <w:szCs w:val="18"/>
              </w:rPr>
            </w:pPr>
            <w:r>
              <w:rPr>
                <w:rFonts w:ascii="新宋体"/>
                <w:spacing w:val="-1"/>
                <w:sz w:val="18"/>
              </w:rPr>
              <w:t>-1,022,756.22</w:t>
            </w:r>
          </w:p>
        </w:tc>
        <w:tc>
          <w:tcPr>
            <w:tcW w:w="152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7" w:right="8"/>
              <w:jc w:val="both"/>
              <w:rPr>
                <w:rFonts w:ascii="新宋体" w:hAnsi="新宋体" w:cs="新宋体" w:eastAsia="新宋体" w:hint="default"/>
                <w:sz w:val="18"/>
                <w:szCs w:val="18"/>
              </w:rPr>
            </w:pPr>
            <w:r>
              <w:rPr>
                <w:rFonts w:ascii="新宋体" w:hAnsi="新宋体" w:cs="新宋体" w:eastAsia="新宋体" w:hint="default"/>
                <w:sz w:val="18"/>
                <w:szCs w:val="18"/>
              </w:rPr>
              <w:t>计入当期损益的政府补助（与企业业务密 切相关，按照国家统一标准定额或定量享 受的政府补助除外）</w:t>
            </w:r>
          </w:p>
        </w:tc>
        <w:tc>
          <w:tcPr>
            <w:tcW w:w="15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新宋体" w:hAnsi="新宋体" w:cs="新宋体" w:eastAsia="新宋体" w:hint="default"/>
                <w:sz w:val="18"/>
                <w:szCs w:val="18"/>
              </w:rPr>
            </w:pPr>
            <w:r>
              <w:rPr>
                <w:rFonts w:ascii="新宋体"/>
                <w:spacing w:val="-1"/>
                <w:sz w:val="18"/>
              </w:rPr>
              <w:t>22,999,409.79</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新宋体" w:hAnsi="新宋体" w:cs="新宋体" w:eastAsia="新宋体" w:hint="default"/>
                <w:sz w:val="18"/>
                <w:szCs w:val="18"/>
              </w:rPr>
            </w:pPr>
            <w:r>
              <w:rPr>
                <w:rFonts w:ascii="新宋体"/>
                <w:spacing w:val="-1"/>
                <w:sz w:val="18"/>
              </w:rPr>
              <w:t>19,725,203.57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新宋体" w:hAnsi="新宋体" w:cs="新宋体" w:eastAsia="新宋体" w:hint="default"/>
                <w:sz w:val="18"/>
                <w:szCs w:val="18"/>
              </w:rPr>
            </w:pPr>
            <w:r>
              <w:rPr>
                <w:rFonts w:ascii="新宋体"/>
                <w:spacing w:val="-1"/>
                <w:sz w:val="18"/>
              </w:rPr>
              <w:t>11,407,711.15</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除上述各项之外的其他营业外收入和支出</w:t>
            </w:r>
          </w:p>
        </w:tc>
        <w:tc>
          <w:tcPr>
            <w:tcW w:w="15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1,081,717.83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-50,474.62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-96,152.25</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所得税影响额</w:t>
            </w:r>
          </w:p>
        </w:tc>
        <w:tc>
          <w:tcPr>
            <w:tcW w:w="15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2,924,880.81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新宋体" w:hAnsi="新宋体" w:cs="新宋体" w:eastAsia="新宋体" w:hint="default"/>
                <w:sz w:val="18"/>
                <w:szCs w:val="18"/>
              </w:rPr>
            </w:pPr>
            <w:r>
              <w:rPr>
                <w:rFonts w:ascii="新宋体"/>
                <w:spacing w:val="-1"/>
                <w:sz w:val="18"/>
              </w:rPr>
              <w:t>2,941,718.16</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1,696,770.39</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327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少数股东权益影响额（税后）</w:t>
            </w:r>
          </w:p>
        </w:tc>
        <w:tc>
          <w:tcPr>
            <w:tcW w:w="152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2,064,250.03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513,046.18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340,451.13</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27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合计</w:t>
            </w:r>
          </w:p>
        </w:tc>
        <w:tc>
          <w:tcPr>
            <w:tcW w:w="1529"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18,980,664.05</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15,197,208.39</w:t>
            </w:r>
          </w:p>
        </w:tc>
        <w:tc>
          <w:tcPr>
            <w:tcW w:w="1522"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pacing w:val="-1"/>
                <w:sz w:val="18"/>
              </w:rPr>
              <w:t>9,274,337.38</w:t>
            </w:r>
          </w:p>
        </w:tc>
        <w:tc>
          <w:tcPr>
            <w:tcW w:w="1709"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49"/>
              <w:ind w:left="12" w:right="0"/>
              <w:jc w:val="center"/>
              <w:rPr>
                <w:rFonts w:ascii="新宋体" w:hAnsi="新宋体" w:cs="新宋体" w:eastAsia="新宋体" w:hint="default"/>
                <w:sz w:val="18"/>
                <w:szCs w:val="18"/>
              </w:rPr>
            </w:pPr>
            <w:r>
              <w:rPr>
                <w:rFonts w:ascii="新宋体"/>
                <w:sz w:val="18"/>
              </w:rPr>
              <w:t>--</w:t>
            </w:r>
          </w:p>
        </w:tc>
      </w:tr>
    </w:tbl>
    <w:p>
      <w:pPr>
        <w:spacing w:before="51"/>
        <w:ind w:left="578" w:right="105"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w:t>
      </w:r>
    </w:p>
    <w:p>
      <w:pPr>
        <w:spacing w:line="300" w:lineRule="auto" w:before="60"/>
        <w:ind w:left="152" w:right="232" w:firstLine="0"/>
        <w:jc w:val="both"/>
        <w:rPr>
          <w:rFonts w:ascii="宋体" w:hAnsi="宋体" w:cs="宋体" w:eastAsia="宋体" w:hint="default"/>
          <w:sz w:val="18"/>
          <w:szCs w:val="18"/>
        </w:rPr>
      </w:pPr>
      <w:r>
        <w:rPr>
          <w:rFonts w:ascii="宋体" w:hAnsi="宋体" w:cs="宋体" w:eastAsia="宋体" w:hint="default"/>
          <w:spacing w:val="-2"/>
          <w:sz w:val="18"/>
          <w:szCs w:val="18"/>
        </w:rPr>
        <w:t>及把《公开发行证券的公司信息披露解释性公告第</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非经常性损益》中列举的非经常性损益项目界定为经常性损益的</w:t>
      </w:r>
      <w:r>
        <w:rPr>
          <w:rFonts w:ascii="宋体" w:hAnsi="宋体" w:cs="宋体" w:eastAsia="宋体" w:hint="default"/>
          <w:sz w:val="18"/>
          <w:szCs w:val="18"/>
        </w:rPr>
        <w:t> 项目，应说明原因</w:t>
      </w:r>
    </w:p>
    <w:p>
      <w:pPr>
        <w:spacing w:before="7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三、重大风险提示</w:t>
      </w:r>
      <w:r>
        <w:rPr>
          <w:b w:val="0"/>
          <w:bCs w:val="0"/>
        </w:rPr>
      </w:r>
    </w:p>
    <w:p>
      <w:pPr>
        <w:spacing w:line="240" w:lineRule="auto" w:before="9"/>
        <w:rPr>
          <w:rFonts w:ascii="宋体" w:hAnsi="宋体" w:cs="宋体" w:eastAsia="宋体" w:hint="default"/>
          <w:b/>
          <w:bCs/>
          <w:sz w:val="28"/>
          <w:szCs w:val="28"/>
        </w:rPr>
      </w:pPr>
    </w:p>
    <w:p>
      <w:pPr>
        <w:pStyle w:val="BodyText"/>
        <w:spacing w:line="357" w:lineRule="auto" w:before="0"/>
        <w:ind w:left="580" w:right="105"/>
        <w:jc w:val="left"/>
      </w:pPr>
      <w:r>
        <w:rPr>
          <w:rFonts w:ascii="新宋体" w:hAnsi="新宋体" w:cs="新宋体" w:eastAsia="新宋体" w:hint="default"/>
        </w:rPr>
        <w:t>1</w:t>
      </w:r>
      <w:r>
        <w:rPr/>
        <w:t>、宏观经济下行风险 </w:t>
      </w:r>
      <w:r>
        <w:rPr>
          <w:spacing w:val="-1"/>
        </w:rPr>
        <w:t>面对宏观经济下行的局面，未来冶金、化工、矿山等行业的需求仍存在较多不确定因素，</w:t>
      </w:r>
    </w:p>
    <w:p>
      <w:pPr>
        <w:pStyle w:val="BodyText"/>
        <w:spacing w:line="357" w:lineRule="auto"/>
        <w:ind w:right="270"/>
        <w:jc w:val="both"/>
      </w:pPr>
      <w:r>
        <w:rPr/>
        <w:t>公司产业仍面临受宏观经济下行影响的风险。为应对风险，公司将努力“提高发展质量、强 化公司竞争力”，调整营销策略，合理分配资源，加大对燃气、石油、化工等行业的营销力 度，保持对安监、矿山、新兴物联网等行业的投入强度，以实现业绩的持续增长。同时，继 续围绕“以多门类传感器为核心，以其下游仪器仪表为支撑，以工业安全、民生安全、工业</w:t>
      </w:r>
    </w:p>
    <w:p>
      <w:pPr>
        <w:spacing w:after="0" w:line="357" w:lineRule="auto"/>
        <w:jc w:val="both"/>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left="578" w:right="228" w:hanging="426"/>
        <w:jc w:val="left"/>
      </w:pPr>
      <w:r>
        <w:rPr/>
        <w:t>信息化领域物联网应用为导向”适度布局，构建物联网产业集团。 </w:t>
      </w:r>
      <w:r>
        <w:rPr>
          <w:rFonts w:ascii="新宋体" w:hAnsi="新宋体" w:cs="新宋体" w:eastAsia="新宋体" w:hint="default"/>
        </w:rPr>
        <w:t>2</w:t>
      </w:r>
      <w:r>
        <w:rPr/>
        <w:t>、竞争加剧带来的产品毛利率趋降风险 公司核心产品传感器、仪器仪表的行业市场优势明显，在行业中占据主导地位，拥有核</w:t>
      </w:r>
    </w:p>
    <w:p>
      <w:pPr>
        <w:pStyle w:val="BodyText"/>
        <w:spacing w:line="357" w:lineRule="auto"/>
        <w:ind w:right="190"/>
        <w:jc w:val="both"/>
      </w:pPr>
      <w:r>
        <w:rPr/>
        <w:t>心技术的气体传感器的国内市场占有率位居第一。</w:t>
      </w:r>
      <w:r>
        <w:rPr>
          <w:rFonts w:ascii="新宋体" w:hAnsi="新宋体" w:cs="新宋体" w:eastAsia="新宋体" w:hint="default"/>
        </w:rPr>
        <w:t>2012</w:t>
      </w:r>
      <w:r>
        <w:rPr/>
        <w:t>年，行业市场竞争日趋激烈，竞争者 有依靠降低产品销售价格来取得市场份额的趋势。未来如果公司在成本优化、技术创新和新 产品开发方面不能保持持续领先优势，公司面临产品毛利率下降的风险。</w:t>
      </w:r>
    </w:p>
    <w:p>
      <w:pPr>
        <w:pStyle w:val="BodyText"/>
        <w:spacing w:line="240" w:lineRule="auto"/>
        <w:ind w:left="578" w:right="0"/>
        <w:jc w:val="left"/>
      </w:pPr>
      <w:r>
        <w:rPr/>
        <w:t>公司将采取如下对策化解风险：</w:t>
      </w:r>
    </w:p>
    <w:p>
      <w:pPr>
        <w:pStyle w:val="BodyText"/>
        <w:spacing w:line="357" w:lineRule="auto" w:before="154"/>
        <w:ind w:right="150" w:firstLine="425"/>
        <w:jc w:val="both"/>
      </w:pPr>
      <w:r>
        <w:rPr>
          <w:spacing w:val="-1"/>
        </w:rPr>
        <w:t>（</w:t>
      </w:r>
      <w:r>
        <w:rPr>
          <w:rFonts w:ascii="新宋体" w:hAnsi="新宋体" w:cs="新宋体" w:eastAsia="新宋体" w:hint="default"/>
          <w:spacing w:val="-1"/>
        </w:rPr>
        <w:t>1</w:t>
      </w:r>
      <w:r>
        <w:rPr>
          <w:spacing w:val="-1"/>
        </w:rPr>
        <w:t>）进一步加强存货管理、优化生产流程，降低生产成本；控制期间费用投入，降低公</w:t>
      </w:r>
      <w:r>
        <w:rPr/>
        <w:t> 司的运营成本。</w:t>
      </w:r>
    </w:p>
    <w:p>
      <w:pPr>
        <w:pStyle w:val="BodyText"/>
        <w:spacing w:line="240" w:lineRule="auto"/>
        <w:ind w:left="578" w:right="0"/>
        <w:jc w:val="left"/>
      </w:pPr>
      <w:r>
        <w:rPr/>
        <w:t>（</w:t>
      </w:r>
      <w:r>
        <w:rPr>
          <w:rFonts w:ascii="新宋体" w:hAnsi="新宋体" w:cs="新宋体" w:eastAsia="新宋体" w:hint="default"/>
        </w:rPr>
        <w:t>2</w:t>
      </w:r>
      <w:r>
        <w:rPr/>
        <w:t>）积极拓展新兴应用型业务，努力提高产品附加值，以维持产品的高毛利水平；</w:t>
      </w:r>
    </w:p>
    <w:p>
      <w:pPr>
        <w:pStyle w:val="BodyText"/>
        <w:spacing w:line="357" w:lineRule="auto" w:before="154"/>
        <w:ind w:right="153" w:firstLine="425"/>
        <w:jc w:val="both"/>
      </w:pPr>
      <w:r>
        <w:rPr>
          <w:spacing w:val="-1"/>
        </w:rPr>
        <w:t>（</w:t>
      </w:r>
      <w:r>
        <w:rPr>
          <w:rFonts w:ascii="新宋体" w:hAnsi="新宋体" w:cs="新宋体" w:eastAsia="新宋体" w:hint="default"/>
          <w:spacing w:val="-1"/>
        </w:rPr>
        <w:t>3</w:t>
      </w:r>
      <w:r>
        <w:rPr>
          <w:spacing w:val="-1"/>
        </w:rPr>
        <w:t>）公司自主研发产品、技术优化紧跟行业发展需求，保持着合理的技术投入与应用创</w:t>
      </w:r>
      <w:r>
        <w:rPr/>
        <w:t> 新，在产品结构设计、可靠性、稳定性等方面保持较突出的领先优势，在产品质量、技术、 服务等方面，保持处于行业领先水平。</w:t>
      </w:r>
    </w:p>
    <w:p>
      <w:pPr>
        <w:spacing w:after="0" w:line="357" w:lineRule="auto"/>
        <w:jc w:val="both"/>
        <w:sectPr>
          <w:pgSz w:w="11910" w:h="16840"/>
          <w:pgMar w:header="555" w:footer="980" w:top="1100" w:bottom="1160" w:left="980" w:right="980"/>
        </w:sectPr>
      </w:pPr>
    </w:p>
    <w:p>
      <w:pPr>
        <w:spacing w:line="240" w:lineRule="auto" w:before="0"/>
        <w:rPr>
          <w:rFonts w:ascii="新宋体" w:hAnsi="新宋体" w:cs="新宋体" w:eastAsia="新宋体" w:hint="default"/>
          <w:sz w:val="20"/>
          <w:szCs w:val="20"/>
        </w:rPr>
      </w:pPr>
      <w:r>
        <w:rPr/>
        <w:pict>
          <v:group style="position:absolute;margin-left:54.84pt;margin-top:27.749985pt;width:471.5pt;height:28.2pt;mso-position-horizontal-relative:page;mso-position-vertical-relative:page;z-index:-947920" coordorigin="1097,555" coordsize="9430,564">
            <v:group style="position:absolute;left:1104;top:1111;width:9415;height:2" coordorigin="1104,1111" coordsize="9415,2">
              <v:shape style="position:absolute;left:1104;top:1111;width:9415;height:2" coordorigin="1104,1111" coordsize="9415,0" path="m1104,1111l10519,1111e" filled="false" stroked="true" strokeweight=".72pt" strokecolor="#000000">
                <v:path arrowok="t"/>
              </v:shape>
              <v:shape style="position:absolute;left:1194;top:555;width:521;height:543" type="#_x0000_t75" stroked="false">
                <v:imagedata r:id="rId8" o:title=""/>
              </v:shape>
            </v:group>
            <w10:wrap type="none"/>
          </v:group>
        </w:pict>
      </w:r>
    </w:p>
    <w:p>
      <w:pPr>
        <w:spacing w:line="240" w:lineRule="auto" w:before="0"/>
        <w:rPr>
          <w:rFonts w:ascii="新宋体" w:hAnsi="新宋体" w:cs="新宋体" w:eastAsia="新宋体" w:hint="default"/>
          <w:sz w:val="20"/>
          <w:szCs w:val="20"/>
        </w:rPr>
      </w:pPr>
    </w:p>
    <w:p>
      <w:pPr>
        <w:spacing w:line="240" w:lineRule="auto" w:before="3"/>
        <w:rPr>
          <w:rFonts w:ascii="新宋体" w:hAnsi="新宋体" w:cs="新宋体" w:eastAsia="新宋体" w:hint="default"/>
          <w:sz w:val="23"/>
          <w:szCs w:val="23"/>
        </w:rPr>
      </w:pPr>
    </w:p>
    <w:p>
      <w:pPr>
        <w:pStyle w:val="Heading1"/>
        <w:spacing w:line="240" w:lineRule="auto"/>
        <w:ind w:left="3448" w:right="3692"/>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64"/>
        <w:jc w:val="left"/>
        <w:rPr>
          <w:b w:val="0"/>
          <w:bCs w:val="0"/>
        </w:rPr>
      </w:pPr>
      <w:r>
        <w:rPr/>
        <w:t>一、管理层讨论与分析</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392" w:firstLine="425"/>
        <w:jc w:val="both"/>
      </w:pPr>
      <w:r>
        <w:rPr>
          <w:rFonts w:ascii="新宋体" w:hAnsi="新宋体" w:cs="新宋体" w:eastAsia="新宋体" w:hint="default"/>
        </w:rPr>
        <w:t>2012</w:t>
      </w:r>
      <w:r>
        <w:rPr/>
        <w:t>年，在经济增长放缓的宏观背景下，公司努力稳定业务，谋求发展，全年实现营 </w:t>
      </w:r>
      <w:r>
        <w:rPr>
          <w:spacing w:val="9"/>
        </w:rPr>
        <w:t>业收入</w:t>
      </w:r>
      <w:r>
        <w:rPr>
          <w:rFonts w:ascii="新宋体" w:hAnsi="新宋体" w:cs="新宋体" w:eastAsia="新宋体" w:hint="default"/>
          <w:spacing w:val="9"/>
        </w:rPr>
        <w:t>26,449.15</w:t>
      </w:r>
      <w:r>
        <w:rPr>
          <w:spacing w:val="9"/>
        </w:rPr>
        <w:t>万元，比上年增长</w:t>
      </w:r>
      <w:r>
        <w:rPr>
          <w:rFonts w:ascii="新宋体" w:hAnsi="新宋体" w:cs="新宋体" w:eastAsia="新宋体" w:hint="default"/>
          <w:spacing w:val="9"/>
        </w:rPr>
        <w:t>1.22%</w:t>
      </w:r>
      <w:r>
        <w:rPr>
          <w:spacing w:val="9"/>
        </w:rPr>
        <w:t>；实现营业利润</w:t>
      </w:r>
      <w:r>
        <w:rPr>
          <w:rFonts w:ascii="新宋体" w:hAnsi="新宋体" w:cs="新宋体" w:eastAsia="新宋体" w:hint="default"/>
          <w:spacing w:val="9"/>
        </w:rPr>
        <w:t>3,232.48</w:t>
      </w:r>
      <w:r>
        <w:rPr>
          <w:spacing w:val="9"/>
        </w:rPr>
        <w:t>万元，比上年下降</w:t>
      </w:r>
      <w:r>
        <w:rPr>
          <w:spacing w:val="-94"/>
        </w:rPr>
        <w:t> </w:t>
      </w:r>
      <w:r>
        <w:rPr>
          <w:spacing w:val="-94"/>
        </w:rPr>
      </w:r>
      <w:r>
        <w:rPr>
          <w:rFonts w:ascii="新宋体" w:hAnsi="新宋体" w:cs="新宋体" w:eastAsia="新宋体" w:hint="default"/>
        </w:rPr>
        <w:t>45.12%</w:t>
      </w:r>
      <w:r>
        <w:rPr/>
        <w:t>；实现利润总额</w:t>
      </w:r>
      <w:r>
        <w:rPr>
          <w:rFonts w:ascii="新宋体" w:hAnsi="新宋体" w:cs="新宋体" w:eastAsia="新宋体" w:hint="default"/>
        </w:rPr>
        <w:t>5,629.46</w:t>
      </w:r>
      <w:r>
        <w:rPr/>
        <w:t>万元，比上年下降</w:t>
      </w:r>
      <w:r>
        <w:rPr>
          <w:rFonts w:ascii="新宋体" w:hAnsi="新宋体" w:cs="新宋体" w:eastAsia="新宋体" w:hint="default"/>
        </w:rPr>
        <w:t>27.41%</w:t>
      </w:r>
      <w:r>
        <w:rPr/>
        <w:t>；实现归属于上市公司股东的净 利润</w:t>
      </w:r>
      <w:r>
        <w:rPr>
          <w:rFonts w:ascii="新宋体" w:hAnsi="新宋体" w:cs="新宋体" w:eastAsia="新宋体" w:hint="default"/>
        </w:rPr>
        <w:t>4,733.96</w:t>
      </w:r>
      <w:r>
        <w:rPr/>
        <w:t>万元，比上年下降</w:t>
      </w:r>
      <w:r>
        <w:rPr>
          <w:rFonts w:ascii="新宋体" w:hAnsi="新宋体" w:cs="新宋体" w:eastAsia="新宋体" w:hint="default"/>
        </w:rPr>
        <w:t>26.77%</w:t>
      </w:r>
      <w:r>
        <w:rPr/>
        <w:t>。报告期内，一方面受宏观经济增长放缓等不利因 素影响，公司主要业务领域如化工、矿山、冶金等行业需求减弱；另一方面，公司管理层 继续加大在技术创新、</w:t>
      </w:r>
      <w:r>
        <w:rPr>
          <w:rFonts w:ascii="宋体" w:hAnsi="宋体" w:cs="宋体" w:eastAsia="宋体" w:hint="default"/>
        </w:rPr>
        <w:t>新兴安全产业、行业物联网方面的资源投入，而</w:t>
      </w:r>
      <w:r>
        <w:rPr/>
        <w:t>相应业务领域的营</w:t>
      </w:r>
      <w:r>
        <w:rPr>
          <w:spacing w:val="-3"/>
        </w:rPr>
        <w:t> </w:t>
      </w:r>
      <w:r>
        <w:rPr/>
        <w:t>销目标在报告期内未能完全实现，使得</w:t>
      </w:r>
      <w:r>
        <w:rPr>
          <w:rFonts w:ascii="新宋体" w:hAnsi="新宋体" w:cs="新宋体" w:eastAsia="新宋体" w:hint="default"/>
        </w:rPr>
        <w:t>2012</w:t>
      </w:r>
      <w:r>
        <w:rPr/>
        <w:t>年度公司营业增速放缓。</w:t>
      </w:r>
    </w:p>
    <w:p>
      <w:pPr>
        <w:pStyle w:val="BodyText"/>
        <w:spacing w:line="357" w:lineRule="auto" w:before="74"/>
        <w:ind w:right="264" w:firstLine="425"/>
        <w:jc w:val="left"/>
      </w:pPr>
      <w:r>
        <w:rPr>
          <w:rFonts w:ascii="新宋体" w:hAnsi="新宋体" w:cs="新宋体" w:eastAsia="新宋体" w:hint="default"/>
        </w:rPr>
        <w:t>2012</w:t>
      </w:r>
      <w:r>
        <w:rPr/>
        <w:t>年，尽管公司整体经营业绩增速放缓，但公司仍积极推进各项经营计划和募集资 金项目建设，具体工作开展如下：</w:t>
      </w:r>
    </w:p>
    <w:p>
      <w:pPr>
        <w:pStyle w:val="BodyText"/>
        <w:spacing w:line="357" w:lineRule="auto"/>
        <w:ind w:left="578" w:right="264"/>
        <w:jc w:val="left"/>
      </w:pPr>
      <w:r>
        <w:rPr/>
        <w:t>（</w:t>
      </w:r>
      <w:r>
        <w:rPr>
          <w:rFonts w:ascii="新宋体" w:hAnsi="新宋体" w:cs="新宋体" w:eastAsia="新宋体" w:hint="default"/>
        </w:rPr>
        <w:t>1</w:t>
      </w:r>
      <w:r>
        <w:rPr/>
        <w:t>）业务拓展方面 </w:t>
      </w:r>
      <w:r>
        <w:rPr>
          <w:spacing w:val="-2"/>
        </w:rPr>
        <w:t>报告期内，根据宏观经济形势和市场变化，公司适时调整资源部署，重点加强对燃气、</w:t>
      </w:r>
    </w:p>
    <w:p>
      <w:pPr>
        <w:pStyle w:val="BodyText"/>
        <w:spacing w:line="357" w:lineRule="auto"/>
        <w:ind w:right="264"/>
        <w:jc w:val="left"/>
      </w:pPr>
      <w:r>
        <w:rPr>
          <w:spacing w:val="-4"/>
        </w:rPr>
        <w:t>石油、矿山等业务的投入，完善营销服务网络能力建设与提升，推进网点的独立经营能力，</w:t>
      </w:r>
      <w:r>
        <w:rPr>
          <w:spacing w:val="-83"/>
        </w:rPr>
        <w:t> </w:t>
      </w:r>
      <w:r>
        <w:rPr>
          <w:spacing w:val="-83"/>
        </w:rPr>
      </w:r>
      <w:r>
        <w:rPr/>
        <w:t>增强其区域服务及其辐射能力。持续深入研究客户需求，优化布局适销对路的产品线，完</w:t>
      </w:r>
      <w:r>
        <w:rPr/>
        <w:t> 善产品应用解决方案，推进实施产品经理和大客户策略，为客户提供“随需而动”的个性 应用需求，继续加大燃气信息化及新兴物联网行业的运营投入。</w:t>
      </w:r>
    </w:p>
    <w:p>
      <w:pPr>
        <w:pStyle w:val="BodyText"/>
        <w:spacing w:line="357" w:lineRule="auto"/>
        <w:ind w:right="374" w:firstLine="425"/>
        <w:jc w:val="left"/>
      </w:pPr>
      <w:r>
        <w:rPr/>
        <w:t>报告期内，公司国际贸易实施了向大区营销模式的顺利转型，进一步优化了外销产品 结构和代理商及直销客户结构，国际贸易团队建设也取得了很大进步。</w:t>
      </w:r>
      <w:r>
        <w:rPr>
          <w:rFonts w:ascii="新宋体" w:hAnsi="新宋体" w:cs="新宋体" w:eastAsia="新宋体" w:hint="default"/>
        </w:rPr>
        <w:t>2012</w:t>
      </w:r>
      <w:r>
        <w:rPr/>
        <w:t>年，公司积极 推进外销产品认证工作，已经取得“</w:t>
      </w:r>
      <w:r>
        <w:rPr>
          <w:rFonts w:ascii="新宋体" w:hAnsi="新宋体" w:cs="新宋体" w:eastAsia="新宋体" w:hint="default"/>
        </w:rPr>
        <w:t>EN50194</w:t>
      </w:r>
      <w:r>
        <w:rPr/>
        <w:t>”认证，同时另有一款产品通过了“</w:t>
      </w:r>
      <w:r>
        <w:rPr>
          <w:rFonts w:ascii="新宋体" w:hAnsi="新宋体" w:cs="新宋体" w:eastAsia="新宋体" w:hint="default"/>
        </w:rPr>
        <w:t>ATEX</w:t>
      </w:r>
      <w:r>
        <w:rPr/>
        <w:t>认 证”。报告期内，公司在国际合作方面整合优化国际推广平台，为今后市场深度营销和国 际合作做好了充分准备。</w:t>
      </w:r>
    </w:p>
    <w:p>
      <w:pPr>
        <w:pStyle w:val="BodyText"/>
        <w:spacing w:line="357" w:lineRule="auto"/>
        <w:ind w:left="578" w:right="428"/>
        <w:jc w:val="left"/>
      </w:pPr>
      <w:r>
        <w:rPr/>
        <w:t>（</w:t>
      </w:r>
      <w:r>
        <w:rPr>
          <w:rFonts w:ascii="新宋体" w:hAnsi="新宋体" w:cs="新宋体" w:eastAsia="新宋体" w:hint="default"/>
        </w:rPr>
        <w:t>2</w:t>
      </w:r>
      <w:r>
        <w:rPr/>
        <w:t>）研发系统建设 报告期内，公司研发系统在完成本年度研发计划的同时，积极推行研发平台的管理变</w:t>
      </w:r>
    </w:p>
    <w:p>
      <w:pPr>
        <w:pStyle w:val="BodyText"/>
        <w:spacing w:line="357" w:lineRule="auto"/>
        <w:ind w:right="264"/>
        <w:jc w:val="left"/>
      </w:pPr>
      <w:r>
        <w:rPr/>
        <w:t>革，加强“研发贴近客户”的机制建设，提升产品研发品质和效率。在公司研究院创新平 </w:t>
      </w:r>
      <w:r>
        <w:rPr>
          <w:spacing w:val="-4"/>
        </w:rPr>
        <w:t>台的统一管理下，提高了资源使用效率，以实现研发系统对于公司业绩的重大支撑。此外，</w:t>
      </w:r>
      <w:r>
        <w:rPr>
          <w:spacing w:val="-83"/>
        </w:rPr>
        <w:t> </w:t>
      </w:r>
      <w:r>
        <w:rPr>
          <w:spacing w:val="-83"/>
        </w:rPr>
      </w:r>
      <w:r>
        <w:rPr/>
        <w:t>公司两款产品的功能安全认证工作已进入后期评估阶段，初步结果为系统完整性适用于</w:t>
      </w:r>
    </w:p>
    <w:p>
      <w:pPr>
        <w:spacing w:after="0" w:line="357" w:lineRule="auto"/>
        <w:jc w:val="left"/>
        <w:sectPr>
          <w:headerReference w:type="default" r:id="rId14"/>
          <w:footerReference w:type="default" r:id="rId15"/>
          <w:pgSz w:w="11910" w:h="16840"/>
          <w:pgMar w:header="867" w:footer="980" w:top="1060" w:bottom="1160" w:left="980" w:right="1020"/>
          <w:pgNumType w:start="11"/>
        </w:sectPr>
      </w:pPr>
    </w:p>
    <w:p>
      <w:pPr>
        <w:spacing w:line="240" w:lineRule="auto" w:before="7"/>
        <w:rPr>
          <w:rFonts w:ascii="新宋体" w:hAnsi="新宋体" w:cs="新宋体" w:eastAsia="新宋体" w:hint="default"/>
          <w:sz w:val="25"/>
          <w:szCs w:val="25"/>
        </w:rPr>
      </w:pPr>
    </w:p>
    <w:p>
      <w:pPr>
        <w:pStyle w:val="BodyText"/>
        <w:spacing w:line="357" w:lineRule="auto" w:before="26"/>
        <w:ind w:left="578" w:right="268" w:hanging="426"/>
        <w:jc w:val="left"/>
      </w:pPr>
      <w:r>
        <w:rPr/>
        <w:t>“</w:t>
      </w:r>
      <w:r>
        <w:rPr>
          <w:rFonts w:ascii="新宋体" w:hAnsi="新宋体" w:cs="新宋体" w:eastAsia="新宋体" w:hint="default"/>
        </w:rPr>
        <w:t>SIL2</w:t>
      </w:r>
      <w:r>
        <w:rPr/>
        <w:t>认证”，为公司与中石油、中石化等大型客户的深入合作奠定了基础。 报告期内，公司增资入股哈尔滨盈江，借助中科院长春应用化学科技总公司的技术支</w:t>
      </w:r>
    </w:p>
    <w:p>
      <w:pPr>
        <w:pStyle w:val="BodyText"/>
        <w:spacing w:line="357" w:lineRule="auto"/>
        <w:ind w:right="231"/>
        <w:jc w:val="both"/>
      </w:pPr>
      <w:r>
        <w:rPr/>
        <w:t>撑力量，为进一步在传感器领域的研发和技术创新能力打下了基础。子公司中威天安取得 了《软件企业认定证书》，证书的取得将促使中威天安发挥在软件产品开发领域的优势， 有利于形成持续创新机制。</w:t>
      </w:r>
    </w:p>
    <w:p>
      <w:pPr>
        <w:pStyle w:val="BodyText"/>
        <w:spacing w:line="357" w:lineRule="auto"/>
        <w:ind w:right="214" w:firstLine="425"/>
        <w:jc w:val="left"/>
      </w:pPr>
      <w:r>
        <w:rPr/>
        <w:t>报告期内，公司保持在传感器、智能仪器仪表、物联网行业应用方向的研发投入，累 计投入研发费用</w:t>
      </w:r>
      <w:r>
        <w:rPr>
          <w:rFonts w:ascii="新宋体" w:hAnsi="新宋体" w:cs="新宋体" w:eastAsia="新宋体" w:hint="default"/>
        </w:rPr>
        <w:t>2,691.32</w:t>
      </w:r>
      <w:r>
        <w:rPr/>
        <w:t>万元，占当期营业收入的比例为</w:t>
      </w:r>
      <w:r>
        <w:rPr>
          <w:rFonts w:ascii="新宋体" w:hAnsi="新宋体" w:cs="新宋体" w:eastAsia="新宋体" w:hint="default"/>
        </w:rPr>
        <w:t>10.18%</w:t>
      </w:r>
      <w:r>
        <w:rPr/>
        <w:t>。报告期内，公司及子公 司新增</w:t>
      </w:r>
      <w:r>
        <w:rPr>
          <w:rFonts w:ascii="新宋体" w:hAnsi="新宋体" w:cs="新宋体" w:eastAsia="新宋体" w:hint="default"/>
        </w:rPr>
        <w:t>86</w:t>
      </w:r>
      <w:r>
        <w:rPr/>
        <w:t>项专利，其中发明专利</w:t>
      </w:r>
      <w:r>
        <w:rPr>
          <w:rFonts w:ascii="新宋体" w:hAnsi="新宋体" w:cs="新宋体" w:eastAsia="新宋体" w:hint="default"/>
        </w:rPr>
        <w:t>6</w:t>
      </w:r>
      <w:r>
        <w:rPr/>
        <w:t>项，实用新型专利</w:t>
      </w:r>
      <w:r>
        <w:rPr>
          <w:rFonts w:ascii="新宋体" w:hAnsi="新宋体" w:cs="新宋体" w:eastAsia="新宋体" w:hint="default"/>
        </w:rPr>
        <w:t>69</w:t>
      </w:r>
      <w:r>
        <w:rPr/>
        <w:t>项，外观设计专利</w:t>
      </w:r>
      <w:r>
        <w:rPr>
          <w:rFonts w:ascii="新宋体" w:hAnsi="新宋体" w:cs="新宋体" w:eastAsia="新宋体" w:hint="default"/>
        </w:rPr>
        <w:t>11</w:t>
      </w:r>
      <w:r>
        <w:rPr/>
        <w:t>项；新增</w:t>
      </w:r>
      <w:r>
        <w:rPr>
          <w:rFonts w:ascii="新宋体" w:hAnsi="新宋体" w:cs="新宋体" w:eastAsia="新宋体" w:hint="default"/>
        </w:rPr>
        <w:t>20</w:t>
      </w:r>
      <w:r>
        <w:rPr/>
        <w:t>项 计算机软件著作权；截止报告期末，公司共取得</w:t>
      </w:r>
      <w:r>
        <w:rPr>
          <w:rFonts w:ascii="新宋体" w:hAnsi="新宋体" w:cs="新宋体" w:eastAsia="新宋体" w:hint="default"/>
        </w:rPr>
        <w:t>30</w:t>
      </w:r>
      <w:r>
        <w:rPr/>
        <w:t>项专利授权通知书，其中发明</w:t>
      </w:r>
      <w:r>
        <w:rPr>
          <w:rFonts w:ascii="新宋体" w:hAnsi="新宋体" w:cs="新宋体" w:eastAsia="新宋体" w:hint="default"/>
        </w:rPr>
        <w:t>2</w:t>
      </w:r>
      <w:r>
        <w:rPr/>
        <w:t>项，实 用新型授权</w:t>
      </w:r>
      <w:r>
        <w:rPr>
          <w:rFonts w:ascii="新宋体" w:hAnsi="新宋体" w:cs="新宋体" w:eastAsia="新宋体" w:hint="default"/>
        </w:rPr>
        <w:t>24</w:t>
      </w:r>
      <w:r>
        <w:rPr/>
        <w:t>项，外观设计授权</w:t>
      </w:r>
      <w:r>
        <w:rPr>
          <w:rFonts w:ascii="新宋体" w:hAnsi="新宋体" w:cs="新宋体" w:eastAsia="新宋体" w:hint="default"/>
        </w:rPr>
        <w:t>4</w:t>
      </w:r>
      <w:r>
        <w:rPr/>
        <w:t>项，部分已授权的专利在履行缴纳专利登记费、印花税 及年费等事宜后，将陆续取得相关专利证书；截止报告期末，公司及子公司已向国家知识 产权局申报但尚未授权的专利</w:t>
      </w:r>
      <w:r>
        <w:rPr>
          <w:rFonts w:ascii="新宋体" w:hAnsi="新宋体" w:cs="新宋体" w:eastAsia="新宋体" w:hint="default"/>
        </w:rPr>
        <w:t>98</w:t>
      </w:r>
      <w:r>
        <w:rPr/>
        <w:t>项，其中申报发明专利</w:t>
      </w:r>
      <w:r>
        <w:rPr>
          <w:rFonts w:ascii="新宋体" w:hAnsi="新宋体" w:cs="新宋体" w:eastAsia="新宋体" w:hint="default"/>
        </w:rPr>
        <w:t>71</w:t>
      </w:r>
      <w:r>
        <w:rPr/>
        <w:t>项，申报实用新型专利</w:t>
      </w:r>
      <w:r>
        <w:rPr>
          <w:rFonts w:ascii="新宋体" w:hAnsi="新宋体" w:cs="新宋体" w:eastAsia="新宋体" w:hint="default"/>
        </w:rPr>
        <w:t>24</w:t>
      </w:r>
      <w:r>
        <w:rPr/>
        <w:t>项，申 报外观设计专利</w:t>
      </w:r>
      <w:r>
        <w:rPr>
          <w:rFonts w:ascii="新宋体" w:hAnsi="新宋体" w:cs="新宋体" w:eastAsia="新宋体" w:hint="default"/>
        </w:rPr>
        <w:t>3</w:t>
      </w:r>
      <w:r>
        <w:rPr/>
        <w:t>项。此外，公司在传感器、智能仪器仪表、监控系统三大产业领域已完 成及正在开发的新产品及产品升级改进共计</w:t>
      </w:r>
      <w:r>
        <w:rPr>
          <w:rFonts w:ascii="新宋体" w:hAnsi="新宋体" w:cs="新宋体" w:eastAsia="新宋体" w:hint="default"/>
        </w:rPr>
        <w:t>30</w:t>
      </w:r>
      <w:r>
        <w:rPr/>
        <w:t>余项，其中包括由工信部批复的国家电子信 息产业发展基金项目“基于双光路气体探测技术的煤矿安全监控系统”和国家物联网发 展专项“微型智能半导体气体传感器”，以及由国家发改委批复的国家物联网技术研发及 产业化专项“电化学式气体探测智能终端关键技术研发及产业化项目”。公司产品研发将 继续坚持以客户需求为导向，通过新产品、新服务的不断开发和改进，使之成为公司业绩 增长的重要支撑，逐步打造以传感技术为核心、基于行业应用的物联网企业。</w:t>
      </w:r>
    </w:p>
    <w:p>
      <w:pPr>
        <w:pStyle w:val="BodyText"/>
        <w:spacing w:line="357" w:lineRule="auto"/>
        <w:ind w:left="578" w:right="268"/>
        <w:jc w:val="left"/>
      </w:pPr>
      <w:r>
        <w:rPr/>
        <w:t>（</w:t>
      </w:r>
      <w:r>
        <w:rPr>
          <w:rFonts w:ascii="新宋体" w:hAnsi="新宋体" w:cs="新宋体" w:eastAsia="新宋体" w:hint="default"/>
        </w:rPr>
        <w:t>3</w:t>
      </w:r>
      <w:r>
        <w:rPr/>
        <w:t>）生产系统建设 报告期内，生产系统组织结构进一步优化，初步形成了快速响应、规范化的生产管理</w:t>
      </w:r>
    </w:p>
    <w:p>
      <w:pPr>
        <w:pStyle w:val="BodyText"/>
        <w:spacing w:line="357" w:lineRule="auto"/>
        <w:ind w:right="214"/>
        <w:jc w:val="left"/>
      </w:pPr>
      <w:r>
        <w:rPr>
          <w:spacing w:val="-1"/>
        </w:rPr>
        <w:t>团队。公司募集资金投资项目生产厂房逐步投入使用，技术装备全面完善，工艺技术水平</w:t>
      </w:r>
      <w:r>
        <w:rPr>
          <w:spacing w:val="-89"/>
        </w:rPr>
        <w:t> </w:t>
      </w:r>
      <w:r>
        <w:rPr>
          <w:spacing w:val="-89"/>
        </w:rPr>
      </w:r>
      <w:r>
        <w:rPr/>
        <w:t>显著提高，产能迅速提升，硬件基础进一步夯实，产业更具规模。</w:t>
      </w:r>
    </w:p>
    <w:p>
      <w:pPr>
        <w:pStyle w:val="BodyText"/>
        <w:spacing w:line="415" w:lineRule="auto" w:before="37"/>
        <w:ind w:left="580" w:right="214" w:hanging="3"/>
        <w:jc w:val="left"/>
      </w:pPr>
      <w:r>
        <w:rPr/>
        <w:t>（</w:t>
      </w:r>
      <w:r>
        <w:rPr>
          <w:rFonts w:ascii="新宋体" w:hAnsi="新宋体" w:cs="新宋体" w:eastAsia="新宋体" w:hint="default"/>
        </w:rPr>
        <w:t>4</w:t>
      </w:r>
      <w:r>
        <w:rPr/>
        <w:t>）人力资源建设 报告期内，公司有效推进集团化人力资源管控职能建设，发布了集团人力资源管理纲</w:t>
      </w:r>
    </w:p>
    <w:p>
      <w:pPr>
        <w:pStyle w:val="BodyText"/>
        <w:spacing w:line="290" w:lineRule="exact" w:before="0"/>
        <w:ind w:left="227" w:right="99"/>
        <w:jc w:val="left"/>
      </w:pPr>
      <w:r>
        <w:rPr>
          <w:spacing w:val="-6"/>
        </w:rPr>
        <w:t>要，继续完善薪酬体系和绩效管理体系。一方面，公司持续从外部引进高素质的管理人才，</w:t>
      </w:r>
    </w:p>
    <w:p>
      <w:pPr>
        <w:pStyle w:val="BodyText"/>
        <w:spacing w:line="357" w:lineRule="auto" w:before="154"/>
        <w:ind w:left="227" w:right="99"/>
        <w:jc w:val="left"/>
      </w:pPr>
      <w:r>
        <w:rPr>
          <w:spacing w:val="-2"/>
        </w:rPr>
        <w:t>其中：引进研发类人才</w:t>
      </w:r>
      <w:r>
        <w:rPr>
          <w:rFonts w:ascii="新宋体" w:hAnsi="新宋体" w:cs="新宋体" w:eastAsia="新宋体" w:hint="default"/>
          <w:spacing w:val="-2"/>
        </w:rPr>
        <w:t>16</w:t>
      </w:r>
      <w:r>
        <w:rPr>
          <w:spacing w:val="-2"/>
        </w:rPr>
        <w:t>名（其中硕士及以上学历</w:t>
      </w:r>
      <w:r>
        <w:rPr>
          <w:rFonts w:ascii="新宋体" w:hAnsi="新宋体" w:cs="新宋体" w:eastAsia="新宋体" w:hint="default"/>
          <w:spacing w:val="-2"/>
        </w:rPr>
        <w:t>6</w:t>
      </w:r>
      <w:r>
        <w:rPr>
          <w:spacing w:val="-2"/>
        </w:rPr>
        <w:t>名），营销管理类</w:t>
      </w:r>
      <w:r>
        <w:rPr>
          <w:rFonts w:ascii="新宋体" w:hAnsi="新宋体" w:cs="新宋体" w:eastAsia="新宋体" w:hint="default"/>
          <w:spacing w:val="-2"/>
        </w:rPr>
        <w:t>2</w:t>
      </w:r>
      <w:r>
        <w:rPr>
          <w:spacing w:val="-2"/>
        </w:rPr>
        <w:t>名，生产</w:t>
      </w:r>
      <w:r>
        <w:rPr>
          <w:rFonts w:ascii="新宋体" w:hAnsi="新宋体" w:cs="新宋体" w:eastAsia="新宋体" w:hint="default"/>
          <w:spacing w:val="-2"/>
        </w:rPr>
        <w:t>IE</w:t>
      </w:r>
      <w:r>
        <w:rPr>
          <w:spacing w:val="-2"/>
        </w:rPr>
        <w:t>类</w:t>
      </w:r>
      <w:r>
        <w:rPr>
          <w:rFonts w:ascii="新宋体" w:hAnsi="新宋体" w:cs="新宋体" w:eastAsia="新宋体" w:hint="default"/>
          <w:spacing w:val="-2"/>
        </w:rPr>
        <w:t>3</w:t>
      </w:r>
      <w:r>
        <w:rPr>
          <w:spacing w:val="-2"/>
        </w:rPr>
        <w:t>名，</w:t>
      </w:r>
      <w:r>
        <w:rPr>
          <w:spacing w:val="-117"/>
        </w:rPr>
        <w:t> </w:t>
      </w:r>
      <w:r>
        <w:rPr>
          <w:spacing w:val="-3"/>
        </w:rPr>
        <w:t>品质管理类</w:t>
      </w:r>
      <w:r>
        <w:rPr>
          <w:rFonts w:ascii="新宋体" w:hAnsi="新宋体" w:cs="新宋体" w:eastAsia="新宋体" w:hint="default"/>
          <w:spacing w:val="-3"/>
        </w:rPr>
        <w:t>2</w:t>
      </w:r>
      <w:r>
        <w:rPr>
          <w:spacing w:val="-3"/>
        </w:rPr>
        <w:t>名，项目管理类</w:t>
      </w:r>
      <w:r>
        <w:rPr>
          <w:rFonts w:ascii="新宋体" w:hAnsi="新宋体" w:cs="新宋体" w:eastAsia="新宋体" w:hint="default"/>
          <w:spacing w:val="-3"/>
        </w:rPr>
        <w:t>2</w:t>
      </w:r>
      <w:r>
        <w:rPr>
          <w:spacing w:val="-3"/>
        </w:rPr>
        <w:t>名，财务管理类</w:t>
      </w:r>
      <w:r>
        <w:rPr>
          <w:rFonts w:ascii="新宋体" w:hAnsi="新宋体" w:cs="新宋体" w:eastAsia="新宋体" w:hint="default"/>
          <w:spacing w:val="-3"/>
        </w:rPr>
        <w:t>2</w:t>
      </w:r>
      <w:r>
        <w:rPr>
          <w:spacing w:val="-3"/>
        </w:rPr>
        <w:t>名，法务管理类</w:t>
      </w:r>
      <w:r>
        <w:rPr>
          <w:rFonts w:ascii="新宋体" w:hAnsi="新宋体" w:cs="新宋体" w:eastAsia="新宋体" w:hint="default"/>
          <w:spacing w:val="-3"/>
        </w:rPr>
        <w:t>1</w:t>
      </w:r>
      <w:r>
        <w:rPr>
          <w:spacing w:val="-3"/>
        </w:rPr>
        <w:t>名。另一方面，公司持续</w:t>
      </w:r>
      <w:r>
        <w:rPr>
          <w:spacing w:val="-82"/>
        </w:rPr>
        <w:t> </w:t>
      </w:r>
      <w:r>
        <w:rPr>
          <w:spacing w:val="-82"/>
        </w:rPr>
      </w:r>
      <w:r>
        <w:rPr>
          <w:spacing w:val="-5"/>
        </w:rPr>
        <w:t>落实“人才森林”计划，优化人员结构，盘活人力资源，充实研发、营销及技术服务团队，</w:t>
      </w:r>
    </w:p>
    <w:p>
      <w:pPr>
        <w:spacing w:after="0" w:line="357" w:lineRule="auto"/>
        <w:jc w:val="left"/>
        <w:sectPr>
          <w:headerReference w:type="default" r:id="rId16"/>
          <w:pgSz w:w="11910" w:h="16840"/>
          <w:pgMar w:header="555" w:footer="980" w:top="1100" w:bottom="1160" w:left="980" w:right="1180"/>
        </w:sectPr>
      </w:pPr>
    </w:p>
    <w:p>
      <w:pPr>
        <w:spacing w:line="240" w:lineRule="auto" w:before="7"/>
        <w:rPr>
          <w:rFonts w:ascii="新宋体" w:hAnsi="新宋体" w:cs="新宋体" w:eastAsia="新宋体" w:hint="default"/>
          <w:sz w:val="25"/>
          <w:szCs w:val="25"/>
        </w:rPr>
      </w:pPr>
    </w:p>
    <w:p>
      <w:pPr>
        <w:pStyle w:val="BodyText"/>
        <w:spacing w:line="357" w:lineRule="auto" w:before="26"/>
        <w:ind w:left="227" w:right="132"/>
        <w:jc w:val="both"/>
      </w:pPr>
      <w:r>
        <w:rPr>
          <w:spacing w:val="-2"/>
        </w:rPr>
        <w:t>进一步保障员工可持续发展职业通道建设。公司持续推进内部讲师团队建设，巩固“学习</w:t>
      </w:r>
      <w:r>
        <w:rPr/>
        <w:t> 型组织”建设成果。</w:t>
      </w:r>
    </w:p>
    <w:p>
      <w:pPr>
        <w:pStyle w:val="BodyText"/>
        <w:spacing w:line="357" w:lineRule="auto" w:before="185"/>
        <w:ind w:left="578" w:right="168"/>
        <w:jc w:val="left"/>
      </w:pPr>
      <w:r>
        <w:rPr/>
        <w:t>（</w:t>
      </w:r>
      <w:r>
        <w:rPr>
          <w:rFonts w:ascii="新宋体" w:hAnsi="新宋体" w:cs="新宋体" w:eastAsia="新宋体" w:hint="default"/>
        </w:rPr>
        <w:t>5</w:t>
      </w:r>
      <w:r>
        <w:rPr/>
        <w:t>）募集资金项目建设 报告期内，公司募集资金投资项目主体工程已完工，生产设备已基本调试完毕，逐步</w:t>
      </w:r>
    </w:p>
    <w:p>
      <w:pPr>
        <w:pStyle w:val="BodyText"/>
        <w:spacing w:line="357" w:lineRule="auto"/>
        <w:ind w:right="136"/>
        <w:jc w:val="both"/>
      </w:pPr>
      <w:r>
        <w:rPr>
          <w:spacing w:val="-1"/>
        </w:rPr>
        <w:t>投入使用。公司将继续加强募投项目的建设管理，合理使用募集资金，科学安排募投项目</w:t>
      </w:r>
      <w:r>
        <w:rPr>
          <w:spacing w:val="-89"/>
        </w:rPr>
        <w:t> </w:t>
      </w:r>
      <w:r>
        <w:rPr>
          <w:spacing w:val="-89"/>
        </w:rPr>
      </w:r>
      <w:r>
        <w:rPr>
          <w:spacing w:val="-1"/>
        </w:rPr>
        <w:t>进度，加大市场推广力度，围绕主业、合理规划、谨慎实施，以进一步提高公司的抗风险</w:t>
      </w:r>
      <w:r>
        <w:rPr>
          <w:spacing w:val="-87"/>
        </w:rPr>
        <w:t> </w:t>
      </w:r>
      <w:r>
        <w:rPr>
          <w:spacing w:val="-87"/>
        </w:rPr>
      </w:r>
      <w:r>
        <w:rPr/>
        <w:t>能力和综合竞争能力，巩固和强化公司在行业的领先地位，形成良好的业绩回报。</w:t>
      </w:r>
    </w:p>
    <w:p>
      <w:pPr>
        <w:pStyle w:val="BodyText"/>
        <w:spacing w:line="357" w:lineRule="auto"/>
        <w:ind w:left="578" w:right="168"/>
        <w:jc w:val="left"/>
      </w:pPr>
      <w:r>
        <w:rPr/>
        <w:t>（</w:t>
      </w:r>
      <w:r>
        <w:rPr>
          <w:rFonts w:ascii="新宋体" w:hAnsi="新宋体" w:cs="新宋体" w:eastAsia="新宋体" w:hint="default"/>
        </w:rPr>
        <w:t>6</w:t>
      </w:r>
      <w:r>
        <w:rPr/>
        <w:t>）公司治理结构建设 报告期内，公司进一步按照中国证监会及深圳证券交易所相关法律法规的要求，积极</w:t>
      </w:r>
    </w:p>
    <w:p>
      <w:pPr>
        <w:pStyle w:val="BodyText"/>
        <w:spacing w:line="357" w:lineRule="auto"/>
        <w:ind w:right="131"/>
        <w:jc w:val="both"/>
      </w:pPr>
      <w:r>
        <w:rPr/>
        <w:t>推进公司内控建设，加强公司与控股企业的规范运营。公司被深圳证券交易所评为“</w:t>
      </w:r>
      <w:r>
        <w:rPr>
          <w:rFonts w:ascii="新宋体" w:hAnsi="新宋体" w:cs="新宋体" w:eastAsia="新宋体" w:hint="default"/>
        </w:rPr>
        <w:t>2011 </w:t>
      </w:r>
      <w:r>
        <w:rPr/>
        <w:t>年度信息披露优秀上市公司”，公司的信息披露及治理结构建设工作得到了监管部门的肯 定。公司将继续本着真实、准确、完整、及时、公平的原则做好信息披露工作，健全投资 者互动平台，规范投资者关系工作，促进公司与投资者之间长期、稳定的良好互动关系， 争取实现公司价值和股东利益最大化。</w:t>
      </w:r>
    </w:p>
    <w:p>
      <w:pPr>
        <w:pStyle w:val="BodyText"/>
        <w:spacing w:line="357" w:lineRule="auto"/>
        <w:ind w:right="131" w:firstLine="425"/>
        <w:jc w:val="both"/>
      </w:pPr>
      <w:r>
        <w:rPr/>
        <w:t>综上所述，报告期内，公司继续推进集团化管理模式，改革创新体系，促进技术创新 团队和市场、生产现场的有机结合，继续加强针对行业客户系统解决方案的开拓，推进自 主发展和并购整合相结合方式，打造涵盖传感器、仪器仪表、行业系统集成应用上下游业 务的三大产业板块；全面强化公司核心竞争力，并将发展质量放到重要位置。针对全年整 体运行情况，公司将积极调整营销策略，加强在受经济周期影响较小行业上的竞争优势， 同时合理分配资源，维持公司在新兴产业领域的营销力度，以期取业绩的持续增长。</w:t>
      </w:r>
    </w:p>
    <w:p>
      <w:pPr>
        <w:pStyle w:val="BodyText"/>
        <w:spacing w:line="357" w:lineRule="auto"/>
        <w:ind w:right="131" w:firstLine="425"/>
        <w:jc w:val="both"/>
      </w:pPr>
      <w:r>
        <w:rPr/>
        <w:t>面向未来，虽然宏观经济依然存在较大不确定性，但国家继续“稳中求进”的发展基 调已经确定。“十八大”提出全面建成小康社会的宏伟目标，绘制了建设“美丽中国”的 </w:t>
      </w:r>
      <w:r>
        <w:rPr>
          <w:spacing w:val="-7"/>
        </w:rPr>
        <w:t>发展蓝图，确认了大力发展“战略新兴产业”、“新型城镇化”，“改善民生、夯实农业”</w:t>
      </w:r>
      <w:r>
        <w:rPr>
          <w:spacing w:val="-84"/>
        </w:rPr>
        <w:t> </w:t>
      </w:r>
      <w:r>
        <w:rPr>
          <w:spacing w:val="-84"/>
        </w:rPr>
      </w:r>
      <w:r>
        <w:rPr/>
        <w:t>的发展路线；各行业“十二五规划”陆续出台落地措施，“智慧城市”、“中原经济区建</w:t>
      </w:r>
      <w:r>
        <w:rPr/>
        <w:t> 设”全面展开；《国务院关于推进物联网有序健康发展的指导意见》、四部委《加快推进 传感器及智能化仪器仪表产业发展行动计划》的陆续发布„„受益于上述大背景的利好，</w:t>
      </w:r>
      <w:r>
        <w:rPr>
          <w:spacing w:val="119"/>
        </w:rPr>
        <w:t> </w:t>
      </w:r>
      <w:r>
        <w:rPr>
          <w:spacing w:val="119"/>
        </w:rPr>
      </w:r>
      <w:r>
        <w:rPr/>
        <w:t>传感器及仪器仪表行业将会加速发展，公司将获得前所未有的行业发展机遇。</w:t>
      </w:r>
    </w:p>
    <w:p>
      <w:pPr>
        <w:spacing w:after="0" w:line="357" w:lineRule="auto"/>
        <w:jc w:val="both"/>
        <w:sectPr>
          <w:pgSz w:w="11910" w:h="16840"/>
          <w:pgMar w:header="555" w:footer="980" w:top="1100" w:bottom="1160" w:left="980" w:right="1280"/>
        </w:sectPr>
      </w:pPr>
    </w:p>
    <w:p>
      <w:pPr>
        <w:spacing w:line="240" w:lineRule="auto" w:before="9"/>
        <w:rPr>
          <w:rFonts w:ascii="新宋体" w:hAnsi="新宋体" w:cs="新宋体" w:eastAsia="新宋体" w:hint="default"/>
          <w:sz w:val="19"/>
          <w:szCs w:val="19"/>
        </w:rPr>
      </w:pPr>
    </w:p>
    <w:p>
      <w:pPr>
        <w:pStyle w:val="Heading2"/>
        <w:spacing w:line="240" w:lineRule="auto" w:before="26"/>
        <w:ind w:right="168"/>
        <w:jc w:val="left"/>
        <w:rPr>
          <w:b w:val="0"/>
          <w:bCs w:val="0"/>
        </w:rPr>
      </w:pPr>
      <w:r>
        <w:rPr/>
        <w:t>二、报告期内主要经营情况</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168"/>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5"/>
        <w:rPr>
          <w:rFonts w:ascii="宋体" w:hAnsi="宋体" w:cs="宋体" w:eastAsia="宋体" w:hint="default"/>
          <w:b/>
          <w:bCs/>
          <w:sz w:val="21"/>
          <w:szCs w:val="21"/>
        </w:rPr>
      </w:pPr>
    </w:p>
    <w:p>
      <w:pPr>
        <w:pStyle w:val="Heading2"/>
        <w:spacing w:line="240" w:lineRule="auto"/>
        <w:ind w:right="168"/>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right="131" w:firstLine="425"/>
        <w:jc w:val="both"/>
      </w:pPr>
      <w:r>
        <w:rPr/>
        <w:t>公司主营业务是气体传感器、气体检测仪器仪表及监控系统的研发、生产、销售及自 营产品出口。气体传感器是气体检测仪器仪表的核心元器件、上游产品，气体检测仪器仪 表及监控系统是产业链中下游产品。气体检测仪器仪表根据应用类型不同主要分为工业用 气体检测仪器仪表、商业用类气体检测仪器仪表。工业用产品主要应用于石油、化工、冶 金、煤矿、燃气等领域，商业用产品主要用于公共场所及家居气体检测报警。公司监控系 统实现了从单一的、离散的检测，转变为网络化检测并集中控制、分析，辅助决策。</w:t>
      </w:r>
    </w:p>
    <w:p>
      <w:pPr>
        <w:pStyle w:val="BodyText"/>
        <w:spacing w:line="310" w:lineRule="exact" w:before="0"/>
        <w:ind w:left="578" w:right="168"/>
        <w:jc w:val="left"/>
      </w:pPr>
      <w:r>
        <w:rPr/>
        <w:t>报告期公司实现收入情况如下：</w:t>
      </w:r>
    </w:p>
    <w:p>
      <w:pPr>
        <w:spacing w:before="87"/>
        <w:ind w:left="0" w:right="3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246" w:type="dxa"/>
        <w:tblLayout w:type="fixed"/>
        <w:tblCellMar>
          <w:top w:w="0" w:type="dxa"/>
          <w:left w:w="0" w:type="dxa"/>
          <w:bottom w:w="0" w:type="dxa"/>
          <w:right w:w="0" w:type="dxa"/>
        </w:tblCellMar>
        <w:tblLook w:val="01E0"/>
      </w:tblPr>
      <w:tblGrid>
        <w:gridCol w:w="2678"/>
        <w:gridCol w:w="2216"/>
        <w:gridCol w:w="1985"/>
        <w:gridCol w:w="2269"/>
      </w:tblGrid>
      <w:tr>
        <w:trPr>
          <w:trHeight w:val="412" w:hRule="exact"/>
        </w:trPr>
        <w:tc>
          <w:tcPr>
            <w:tcW w:w="26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4"/>
              <w:jc w:val="center"/>
              <w:rPr>
                <w:rFonts w:ascii="新宋体" w:hAnsi="新宋体" w:cs="新宋体" w:eastAsia="新宋体" w:hint="default"/>
                <w:sz w:val="18"/>
                <w:szCs w:val="18"/>
              </w:rPr>
            </w:pPr>
            <w:r>
              <w:rPr>
                <w:rFonts w:ascii="新宋体" w:hAnsi="新宋体" w:cs="新宋体" w:eastAsia="新宋体" w:hint="default"/>
                <w:sz w:val="18"/>
                <w:szCs w:val="18"/>
              </w:rPr>
              <w:t>项目</w:t>
            </w:r>
          </w:p>
        </w:tc>
        <w:tc>
          <w:tcPr>
            <w:tcW w:w="22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656" w:right="0"/>
              <w:jc w:val="left"/>
              <w:rPr>
                <w:rFonts w:ascii="新宋体" w:hAnsi="新宋体" w:cs="新宋体" w:eastAsia="新宋体" w:hint="default"/>
                <w:sz w:val="18"/>
                <w:szCs w:val="18"/>
              </w:rPr>
            </w:pPr>
            <w:r>
              <w:rPr>
                <w:rFonts w:ascii="新宋体" w:hAnsi="新宋体" w:cs="新宋体" w:eastAsia="新宋体" w:hint="default"/>
                <w:sz w:val="18"/>
                <w:szCs w:val="18"/>
              </w:rPr>
              <w:t>本期发生额</w:t>
            </w:r>
          </w:p>
        </w:tc>
        <w:tc>
          <w:tcPr>
            <w:tcW w:w="19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35" w:right="0"/>
              <w:jc w:val="left"/>
              <w:rPr>
                <w:rFonts w:ascii="新宋体" w:hAnsi="新宋体" w:cs="新宋体" w:eastAsia="新宋体" w:hint="default"/>
                <w:sz w:val="18"/>
                <w:szCs w:val="18"/>
              </w:rPr>
            </w:pPr>
            <w:r>
              <w:rPr>
                <w:rFonts w:ascii="新宋体" w:hAnsi="新宋体" w:cs="新宋体" w:eastAsia="新宋体" w:hint="default"/>
                <w:sz w:val="18"/>
                <w:szCs w:val="18"/>
              </w:rPr>
              <w:t>上期发生额</w:t>
            </w:r>
          </w:p>
        </w:tc>
        <w:tc>
          <w:tcPr>
            <w:tcW w:w="226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10" w:right="0"/>
              <w:jc w:val="center"/>
              <w:rPr>
                <w:rFonts w:ascii="新宋体" w:hAnsi="新宋体" w:cs="新宋体" w:eastAsia="新宋体" w:hint="default"/>
                <w:sz w:val="18"/>
                <w:szCs w:val="18"/>
              </w:rPr>
            </w:pPr>
            <w:r>
              <w:rPr>
                <w:rFonts w:ascii="新宋体" w:hAnsi="新宋体" w:cs="新宋体" w:eastAsia="新宋体" w:hint="default"/>
                <w:sz w:val="18"/>
                <w:szCs w:val="18"/>
              </w:rPr>
              <w:t>同比变动</w:t>
            </w:r>
          </w:p>
        </w:tc>
      </w:tr>
      <w:tr>
        <w:trPr>
          <w:trHeight w:val="408" w:hRule="exact"/>
        </w:trPr>
        <w:tc>
          <w:tcPr>
            <w:tcW w:w="26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主营业务收入</w:t>
            </w:r>
          </w:p>
        </w:tc>
        <w:tc>
          <w:tcPr>
            <w:tcW w:w="22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256,234,233.79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新宋体" w:hAnsi="新宋体" w:cs="新宋体" w:eastAsia="新宋体" w:hint="default"/>
                <w:sz w:val="18"/>
                <w:szCs w:val="18"/>
              </w:rPr>
            </w:pPr>
            <w:r>
              <w:rPr>
                <w:rFonts w:ascii="新宋体"/>
                <w:spacing w:val="-1"/>
                <w:sz w:val="18"/>
              </w:rPr>
              <w:t>253,866,269.68</w:t>
            </w:r>
          </w:p>
        </w:tc>
        <w:tc>
          <w:tcPr>
            <w:tcW w:w="22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新宋体" w:hAnsi="新宋体" w:cs="新宋体" w:eastAsia="新宋体" w:hint="default"/>
                <w:sz w:val="18"/>
                <w:szCs w:val="18"/>
              </w:rPr>
            </w:pPr>
            <w:r>
              <w:rPr>
                <w:rFonts w:ascii="新宋体"/>
                <w:sz w:val="18"/>
              </w:rPr>
              <w:t>0.93%</w:t>
            </w:r>
          </w:p>
        </w:tc>
      </w:tr>
      <w:tr>
        <w:trPr>
          <w:trHeight w:val="408" w:hRule="exact"/>
        </w:trPr>
        <w:tc>
          <w:tcPr>
            <w:tcW w:w="26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其他业务收入</w:t>
            </w:r>
          </w:p>
        </w:tc>
        <w:tc>
          <w:tcPr>
            <w:tcW w:w="221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8,257,294.69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7,444,947.95</w:t>
            </w:r>
          </w:p>
        </w:tc>
        <w:tc>
          <w:tcPr>
            <w:tcW w:w="22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10.91%</w:t>
            </w:r>
          </w:p>
        </w:tc>
      </w:tr>
      <w:tr>
        <w:trPr>
          <w:trHeight w:val="413" w:hRule="exact"/>
        </w:trPr>
        <w:tc>
          <w:tcPr>
            <w:tcW w:w="267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营业收入合计</w:t>
            </w:r>
          </w:p>
        </w:tc>
        <w:tc>
          <w:tcPr>
            <w:tcW w:w="221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264,491,528.48</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261,311,217.63</w:t>
            </w:r>
          </w:p>
        </w:tc>
        <w:tc>
          <w:tcPr>
            <w:tcW w:w="22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1.22%</w:t>
            </w:r>
          </w:p>
        </w:tc>
      </w:tr>
    </w:tbl>
    <w:p>
      <w:pPr>
        <w:pStyle w:val="BodyText"/>
        <w:spacing w:line="386" w:lineRule="auto" w:before="65"/>
        <w:ind w:right="409" w:firstLine="425"/>
        <w:jc w:val="left"/>
      </w:pPr>
      <w:r>
        <w:rPr/>
        <w:t>气体检测仪器仪表是公司销售收入的主要来源，详见本节“主营业务分部报告”。 公司实物销售收入是否大于劳务收入：</w:t>
      </w:r>
    </w:p>
    <w:p>
      <w:pPr>
        <w:spacing w:before="17"/>
        <w:ind w:left="152" w:right="1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7"/>
          <w:szCs w:val="7"/>
        </w:rPr>
      </w:pPr>
    </w:p>
    <w:tbl>
      <w:tblPr>
        <w:tblW w:w="0" w:type="auto"/>
        <w:jc w:val="left"/>
        <w:tblInd w:w="314" w:type="dxa"/>
        <w:tblLayout w:type="fixed"/>
        <w:tblCellMar>
          <w:top w:w="0" w:type="dxa"/>
          <w:left w:w="0" w:type="dxa"/>
          <w:bottom w:w="0" w:type="dxa"/>
          <w:right w:w="0" w:type="dxa"/>
        </w:tblCellMar>
        <w:tblLook w:val="01E0"/>
      </w:tblPr>
      <w:tblGrid>
        <w:gridCol w:w="2284"/>
        <w:gridCol w:w="1519"/>
        <w:gridCol w:w="1589"/>
        <w:gridCol w:w="1702"/>
        <w:gridCol w:w="1913"/>
      </w:tblGrid>
      <w:tr>
        <w:trPr>
          <w:trHeight w:val="414" w:hRule="exact"/>
        </w:trPr>
        <w:tc>
          <w:tcPr>
            <w:tcW w:w="228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right="18"/>
              <w:jc w:val="center"/>
              <w:rPr>
                <w:rFonts w:ascii="新宋体" w:hAnsi="新宋体" w:cs="新宋体" w:eastAsia="新宋体" w:hint="default"/>
                <w:sz w:val="18"/>
                <w:szCs w:val="18"/>
              </w:rPr>
            </w:pPr>
            <w:r>
              <w:rPr>
                <w:rFonts w:ascii="新宋体" w:hAnsi="新宋体" w:cs="新宋体" w:eastAsia="新宋体" w:hint="default"/>
                <w:sz w:val="18"/>
                <w:szCs w:val="18"/>
              </w:rPr>
              <w:t>行业分类</w:t>
            </w:r>
          </w:p>
        </w:tc>
        <w:tc>
          <w:tcPr>
            <w:tcW w:w="15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 w:right="0"/>
              <w:jc w:val="center"/>
              <w:rPr>
                <w:rFonts w:ascii="新宋体" w:hAnsi="新宋体" w:cs="新宋体" w:eastAsia="新宋体" w:hint="default"/>
                <w:sz w:val="18"/>
                <w:szCs w:val="18"/>
              </w:rPr>
            </w:pPr>
            <w:r>
              <w:rPr>
                <w:rFonts w:ascii="新宋体" w:hAnsi="新宋体" w:cs="新宋体" w:eastAsia="新宋体" w:hint="default"/>
                <w:sz w:val="18"/>
                <w:szCs w:val="18"/>
              </w:rPr>
              <w:t>项目</w:t>
            </w:r>
          </w:p>
        </w:tc>
        <w:tc>
          <w:tcPr>
            <w:tcW w:w="15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499"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549" w:right="0"/>
              <w:jc w:val="left"/>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364" w:right="0"/>
              <w:jc w:val="left"/>
              <w:rPr>
                <w:rFonts w:ascii="新宋体" w:hAnsi="新宋体" w:cs="新宋体" w:eastAsia="新宋体" w:hint="default"/>
                <w:sz w:val="18"/>
                <w:szCs w:val="18"/>
              </w:rPr>
            </w:pPr>
            <w:r>
              <w:rPr>
                <w:rFonts w:ascii="新宋体" w:hAnsi="新宋体" w:cs="新宋体" w:eastAsia="新宋体" w:hint="default"/>
                <w:sz w:val="18"/>
                <w:szCs w:val="18"/>
              </w:rPr>
              <w:t>同比增减（</w:t>
            </w:r>
            <w:r>
              <w:rPr>
                <w:rFonts w:ascii="新宋体" w:hAnsi="新宋体" w:cs="新宋体" w:eastAsia="新宋体" w:hint="default"/>
                <w:sz w:val="18"/>
                <w:szCs w:val="18"/>
              </w:rPr>
              <w:t>%</w:t>
            </w:r>
            <w:r>
              <w:rPr>
                <w:rFonts w:ascii="新宋体" w:hAnsi="新宋体" w:cs="新宋体" w:eastAsia="新宋体" w:hint="default"/>
                <w:sz w:val="18"/>
                <w:szCs w:val="18"/>
              </w:rPr>
              <w:t>）</w:t>
            </w:r>
          </w:p>
        </w:tc>
      </w:tr>
      <w:tr>
        <w:trPr>
          <w:trHeight w:val="406" w:hRule="exact"/>
        </w:trPr>
        <w:tc>
          <w:tcPr>
            <w:tcW w:w="2284" w:type="dxa"/>
            <w:vMerge w:val="restart"/>
            <w:tcBorders>
              <w:top w:val="single" w:sz="6" w:space="0" w:color="000000"/>
              <w:left w:val="single" w:sz="12"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气体传感器（单位：万支）</w:t>
            </w:r>
          </w:p>
        </w:tc>
        <w:tc>
          <w:tcPr>
            <w:tcW w:w="15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销售量</w:t>
            </w:r>
          </w:p>
        </w:tc>
        <w:tc>
          <w:tcPr>
            <w:tcW w:w="158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z w:val="18"/>
              </w:rPr>
              <w:t>639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613</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4.24%</w:t>
            </w:r>
          </w:p>
        </w:tc>
      </w:tr>
      <w:tr>
        <w:trPr>
          <w:trHeight w:val="408" w:hRule="exact"/>
        </w:trPr>
        <w:tc>
          <w:tcPr>
            <w:tcW w:w="2284" w:type="dxa"/>
            <w:vMerge/>
            <w:tcBorders>
              <w:left w:val="single" w:sz="12" w:space="0" w:color="000000"/>
              <w:right w:val="single" w:sz="9" w:space="0" w:color="D2D2D2"/>
            </w:tcBorders>
          </w:tcPr>
          <w:p>
            <w:pPr/>
          </w:p>
        </w:tc>
        <w:tc>
          <w:tcPr>
            <w:tcW w:w="15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生产量</w:t>
            </w:r>
          </w:p>
        </w:tc>
        <w:tc>
          <w:tcPr>
            <w:tcW w:w="158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z w:val="18"/>
              </w:rPr>
              <w:t>657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650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1.08%</w:t>
            </w:r>
          </w:p>
        </w:tc>
      </w:tr>
      <w:tr>
        <w:trPr>
          <w:trHeight w:val="406" w:hRule="exact"/>
        </w:trPr>
        <w:tc>
          <w:tcPr>
            <w:tcW w:w="2284" w:type="dxa"/>
            <w:vMerge/>
            <w:tcBorders>
              <w:left w:val="single" w:sz="12" w:space="0" w:color="000000"/>
              <w:bottom w:val="single" w:sz="6" w:space="0" w:color="000000"/>
              <w:right w:val="single" w:sz="9" w:space="0" w:color="D2D2D2"/>
            </w:tcBorders>
          </w:tcPr>
          <w:p>
            <w:pPr/>
          </w:p>
        </w:tc>
        <w:tc>
          <w:tcPr>
            <w:tcW w:w="15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库存量</w:t>
            </w:r>
          </w:p>
        </w:tc>
        <w:tc>
          <w:tcPr>
            <w:tcW w:w="158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z w:val="18"/>
              </w:rPr>
              <w:t>122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104</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17.31%</w:t>
            </w:r>
          </w:p>
        </w:tc>
      </w:tr>
      <w:tr>
        <w:trPr>
          <w:trHeight w:val="408" w:hRule="exact"/>
        </w:trPr>
        <w:tc>
          <w:tcPr>
            <w:tcW w:w="2284" w:type="dxa"/>
            <w:vMerge w:val="restart"/>
            <w:tcBorders>
              <w:top w:val="single" w:sz="6" w:space="0" w:color="000000"/>
              <w:left w:val="single" w:sz="12"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8"/>
              <w:jc w:val="left"/>
              <w:rPr>
                <w:rFonts w:ascii="新宋体" w:hAnsi="新宋体" w:cs="新宋体" w:eastAsia="新宋体" w:hint="default"/>
                <w:sz w:val="18"/>
                <w:szCs w:val="18"/>
              </w:rPr>
            </w:pPr>
            <w:r>
              <w:rPr>
                <w:rFonts w:ascii="新宋体" w:hAnsi="新宋体" w:cs="新宋体" w:eastAsia="新宋体" w:hint="default"/>
                <w:sz w:val="18"/>
                <w:szCs w:val="18"/>
              </w:rPr>
              <w:t>仪器仪表（单位：万台</w:t>
            </w:r>
            <w:r>
              <w:rPr>
                <w:rFonts w:ascii="新宋体" w:hAnsi="新宋体" w:cs="新宋体" w:eastAsia="新宋体" w:hint="default"/>
                <w:sz w:val="18"/>
                <w:szCs w:val="18"/>
              </w:rPr>
              <w:t>/</w:t>
            </w:r>
            <w:r>
              <w:rPr>
                <w:rFonts w:ascii="新宋体" w:hAnsi="新宋体" w:cs="新宋体" w:eastAsia="新宋体" w:hint="default"/>
                <w:sz w:val="18"/>
                <w:szCs w:val="18"/>
              </w:rPr>
              <w:t>套）</w:t>
            </w:r>
          </w:p>
        </w:tc>
        <w:tc>
          <w:tcPr>
            <w:tcW w:w="15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销售量</w:t>
            </w:r>
          </w:p>
        </w:tc>
        <w:tc>
          <w:tcPr>
            <w:tcW w:w="158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z w:val="18"/>
              </w:rPr>
              <w:t>116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127</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-8.66%</w:t>
            </w:r>
          </w:p>
        </w:tc>
      </w:tr>
      <w:tr>
        <w:trPr>
          <w:trHeight w:val="406" w:hRule="exact"/>
        </w:trPr>
        <w:tc>
          <w:tcPr>
            <w:tcW w:w="2284" w:type="dxa"/>
            <w:vMerge/>
            <w:tcBorders>
              <w:left w:val="single" w:sz="12" w:space="0" w:color="000000"/>
              <w:right w:val="single" w:sz="9" w:space="0" w:color="D2D2D2"/>
            </w:tcBorders>
          </w:tcPr>
          <w:p>
            <w:pPr/>
          </w:p>
        </w:tc>
        <w:tc>
          <w:tcPr>
            <w:tcW w:w="15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生产量</w:t>
            </w:r>
          </w:p>
        </w:tc>
        <w:tc>
          <w:tcPr>
            <w:tcW w:w="158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z w:val="18"/>
              </w:rPr>
              <w:t>132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136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-2.94%</w:t>
            </w:r>
          </w:p>
        </w:tc>
      </w:tr>
      <w:tr>
        <w:trPr>
          <w:trHeight w:val="409" w:hRule="exact"/>
        </w:trPr>
        <w:tc>
          <w:tcPr>
            <w:tcW w:w="2284" w:type="dxa"/>
            <w:vMerge/>
            <w:tcBorders>
              <w:left w:val="single" w:sz="12" w:space="0" w:color="000000"/>
              <w:bottom w:val="single" w:sz="6" w:space="0" w:color="000000"/>
              <w:right w:val="single" w:sz="9" w:space="0" w:color="D2D2D2"/>
            </w:tcBorders>
          </w:tcPr>
          <w:p>
            <w:pPr/>
          </w:p>
        </w:tc>
        <w:tc>
          <w:tcPr>
            <w:tcW w:w="15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新宋体" w:hAnsi="新宋体" w:cs="新宋体" w:eastAsia="新宋体" w:hint="default"/>
                <w:sz w:val="18"/>
                <w:szCs w:val="18"/>
              </w:rPr>
            </w:pPr>
            <w:r>
              <w:rPr>
                <w:rFonts w:ascii="新宋体" w:hAnsi="新宋体" w:cs="新宋体" w:eastAsia="新宋体" w:hint="default"/>
                <w:sz w:val="18"/>
                <w:szCs w:val="18"/>
              </w:rPr>
              <w:t>库存量</w:t>
            </w:r>
          </w:p>
        </w:tc>
        <w:tc>
          <w:tcPr>
            <w:tcW w:w="158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2"/>
              <w:ind w:right="14"/>
              <w:jc w:val="right"/>
              <w:rPr>
                <w:rFonts w:ascii="新宋体" w:hAnsi="新宋体" w:cs="新宋体" w:eastAsia="新宋体" w:hint="default"/>
                <w:sz w:val="18"/>
                <w:szCs w:val="18"/>
              </w:rPr>
            </w:pPr>
            <w:r>
              <w:rPr>
                <w:rFonts w:ascii="新宋体"/>
                <w:sz w:val="18"/>
              </w:rPr>
              <w:t>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新宋体" w:hAnsi="新宋体" w:cs="新宋体" w:eastAsia="新宋体" w:hint="default"/>
                <w:sz w:val="18"/>
                <w:szCs w:val="18"/>
              </w:rPr>
            </w:pPr>
            <w:r>
              <w:rPr>
                <w:rFonts w:ascii="新宋体"/>
                <w:sz w:val="18"/>
              </w:rPr>
              <w:t>13</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9"/>
              <w:jc w:val="right"/>
              <w:rPr>
                <w:rFonts w:ascii="新宋体" w:hAnsi="新宋体" w:cs="新宋体" w:eastAsia="新宋体" w:hint="default"/>
                <w:sz w:val="18"/>
                <w:szCs w:val="18"/>
              </w:rPr>
            </w:pPr>
            <w:r>
              <w:rPr>
                <w:rFonts w:ascii="新宋体"/>
                <w:sz w:val="18"/>
              </w:rPr>
              <w:t>123.08%</w:t>
            </w:r>
          </w:p>
        </w:tc>
      </w:tr>
      <w:tr>
        <w:trPr>
          <w:trHeight w:val="408" w:hRule="exact"/>
        </w:trPr>
        <w:tc>
          <w:tcPr>
            <w:tcW w:w="2284" w:type="dxa"/>
            <w:vMerge w:val="restart"/>
            <w:tcBorders>
              <w:top w:val="single" w:sz="6" w:space="0" w:color="000000"/>
              <w:left w:val="single" w:sz="12"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监控系统（单位：套）</w:t>
            </w:r>
          </w:p>
        </w:tc>
        <w:tc>
          <w:tcPr>
            <w:tcW w:w="15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销售量</w:t>
            </w:r>
          </w:p>
        </w:tc>
        <w:tc>
          <w:tcPr>
            <w:tcW w:w="158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z w:val="18"/>
              </w:rPr>
              <w:t>269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156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72.44%</w:t>
            </w:r>
          </w:p>
        </w:tc>
      </w:tr>
      <w:tr>
        <w:trPr>
          <w:trHeight w:val="406" w:hRule="exact"/>
        </w:trPr>
        <w:tc>
          <w:tcPr>
            <w:tcW w:w="2284" w:type="dxa"/>
            <w:vMerge/>
            <w:tcBorders>
              <w:left w:val="single" w:sz="12" w:space="0" w:color="000000"/>
              <w:right w:val="single" w:sz="9" w:space="0" w:color="D2D2D2"/>
            </w:tcBorders>
          </w:tcPr>
          <w:p>
            <w:pPr/>
          </w:p>
        </w:tc>
        <w:tc>
          <w:tcPr>
            <w:tcW w:w="15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生产量</w:t>
            </w:r>
          </w:p>
        </w:tc>
        <w:tc>
          <w:tcPr>
            <w:tcW w:w="1589"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z w:val="18"/>
              </w:rPr>
              <w:t>269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156</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72.44%</w:t>
            </w:r>
          </w:p>
        </w:tc>
      </w:tr>
      <w:tr>
        <w:trPr>
          <w:trHeight w:val="413" w:hRule="exact"/>
        </w:trPr>
        <w:tc>
          <w:tcPr>
            <w:tcW w:w="2284" w:type="dxa"/>
            <w:vMerge/>
            <w:tcBorders>
              <w:left w:val="single" w:sz="12" w:space="0" w:color="000000"/>
              <w:bottom w:val="single" w:sz="12" w:space="0" w:color="000000"/>
              <w:right w:val="single" w:sz="9" w:space="0" w:color="D2D2D2"/>
            </w:tcBorders>
          </w:tcPr>
          <w:p>
            <w:pPr/>
          </w:p>
        </w:tc>
        <w:tc>
          <w:tcPr>
            <w:tcW w:w="1519"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库存量</w:t>
            </w:r>
          </w:p>
        </w:tc>
        <w:tc>
          <w:tcPr>
            <w:tcW w:w="1589"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49"/>
              <w:ind w:right="18"/>
              <w:jc w:val="right"/>
              <w:rPr>
                <w:rFonts w:ascii="新宋体" w:hAnsi="新宋体" w:cs="新宋体" w:eastAsia="新宋体" w:hint="default"/>
                <w:sz w:val="18"/>
                <w:szCs w:val="18"/>
              </w:rPr>
            </w:pPr>
            <w:r>
              <w:rPr>
                <w:rFonts w:ascii="新宋体"/>
                <w:sz w:val="18"/>
              </w:rPr>
              <w:t>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0"/>
              <w:jc w:val="right"/>
              <w:rPr>
                <w:rFonts w:ascii="新宋体" w:hAnsi="新宋体" w:cs="新宋体" w:eastAsia="新宋体" w:hint="default"/>
                <w:sz w:val="18"/>
                <w:szCs w:val="18"/>
              </w:rPr>
            </w:pPr>
            <w:r>
              <w:rPr>
                <w:rFonts w:ascii="新宋体"/>
                <w:sz w:val="18"/>
              </w:rPr>
              <w:t>0</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新宋体" w:hAnsi="新宋体" w:cs="新宋体" w:eastAsia="新宋体" w:hint="default"/>
                <w:sz w:val="18"/>
                <w:szCs w:val="18"/>
              </w:rPr>
            </w:pPr>
            <w:r>
              <w:rPr>
                <w:rFonts w:ascii="新宋体"/>
                <w:sz w:val="18"/>
              </w:rPr>
              <w:t>0</w:t>
            </w:r>
          </w:p>
        </w:tc>
      </w:tr>
    </w:tbl>
    <w:p>
      <w:pPr>
        <w:pStyle w:val="BodyText"/>
        <w:spacing w:line="240" w:lineRule="auto" w:before="82"/>
        <w:ind w:right="168"/>
        <w:jc w:val="left"/>
      </w:pPr>
      <w:r>
        <w:rPr/>
        <w:t>相关数据同比发生变动</w:t>
      </w:r>
      <w:r>
        <w:rPr>
          <w:spacing w:val="-60"/>
        </w:rPr>
        <w:t> </w:t>
      </w:r>
      <w:r>
        <w:rPr>
          <w:rFonts w:ascii="新宋体" w:hAnsi="新宋体" w:cs="新宋体" w:eastAsia="新宋体" w:hint="default"/>
        </w:rPr>
        <w:t>30%</w:t>
      </w:r>
      <w:r>
        <w:rPr/>
        <w:t>以上的原因说明</w:t>
      </w:r>
    </w:p>
    <w:p>
      <w:pPr>
        <w:pStyle w:val="BodyText"/>
        <w:spacing w:line="240" w:lineRule="auto" w:before="194"/>
        <w:ind w:right="168"/>
        <w:jc w:val="left"/>
      </w:pPr>
      <w:r>
        <w:rPr/>
        <w:t>√适用 □</w:t>
      </w:r>
      <w:r>
        <w:rPr>
          <w:spacing w:val="-1"/>
        </w:rPr>
        <w:t> </w:t>
      </w:r>
      <w:r>
        <w:rPr/>
        <w:t>不适用</w:t>
      </w:r>
    </w:p>
    <w:p>
      <w:pPr>
        <w:spacing w:after="0" w:line="240" w:lineRule="auto"/>
        <w:jc w:val="left"/>
        <w:sectPr>
          <w:pgSz w:w="11910" w:h="16840"/>
          <w:pgMar w:header="555" w:footer="980" w:top="1100" w:bottom="1160" w:left="980" w:right="1280"/>
        </w:sectPr>
      </w:pPr>
    </w:p>
    <w:p>
      <w:pPr>
        <w:spacing w:line="240" w:lineRule="auto" w:before="7"/>
        <w:rPr>
          <w:rFonts w:ascii="新宋体" w:hAnsi="新宋体" w:cs="新宋体" w:eastAsia="新宋体" w:hint="default"/>
          <w:sz w:val="25"/>
          <w:szCs w:val="25"/>
        </w:rPr>
      </w:pPr>
    </w:p>
    <w:p>
      <w:pPr>
        <w:pStyle w:val="BodyText"/>
        <w:spacing w:line="240" w:lineRule="auto" w:before="26"/>
        <w:ind w:left="0" w:right="414"/>
        <w:jc w:val="right"/>
      </w:pPr>
      <w:r>
        <w:rPr>
          <w:rFonts w:ascii="新宋体" w:hAnsi="新宋体" w:cs="新宋体" w:eastAsia="新宋体" w:hint="default"/>
        </w:rPr>
        <w:t>2012</w:t>
      </w:r>
      <w:r>
        <w:rPr>
          <w:rFonts w:ascii="新宋体" w:hAnsi="新宋体" w:cs="新宋体" w:eastAsia="新宋体" w:hint="default"/>
          <w:spacing w:val="-66"/>
        </w:rPr>
        <w:t> </w:t>
      </w:r>
      <w:r>
        <w:rPr/>
        <w:t>年仪器仪表的库存量较上年同期增长</w:t>
      </w:r>
      <w:r>
        <w:rPr>
          <w:spacing w:val="-66"/>
        </w:rPr>
        <w:t> </w:t>
      </w:r>
      <w:r>
        <w:rPr>
          <w:rFonts w:ascii="新宋体" w:hAnsi="新宋体" w:cs="新宋体" w:eastAsia="新宋体" w:hint="default"/>
        </w:rPr>
        <w:t>123.08%</w:t>
      </w:r>
      <w:r>
        <w:rPr/>
        <w:t>，主要原因是期末订单备货增加所</w:t>
      </w:r>
    </w:p>
    <w:p>
      <w:pPr>
        <w:pStyle w:val="BodyText"/>
        <w:spacing w:line="388" w:lineRule="auto" w:before="154"/>
        <w:ind w:left="412" w:right="6274"/>
        <w:jc w:val="left"/>
      </w:pPr>
      <w:r>
        <w:rPr/>
        <w:t>致，该存货已于</w:t>
      </w:r>
      <w:r>
        <w:rPr>
          <w:spacing w:val="-60"/>
        </w:rPr>
        <w:t> </w:t>
      </w:r>
      <w:r>
        <w:rPr>
          <w:rFonts w:ascii="新宋体" w:hAnsi="新宋体" w:cs="新宋体" w:eastAsia="新宋体" w:hint="default"/>
        </w:rPr>
        <w:t>2013</w:t>
      </w:r>
      <w:r>
        <w:rPr>
          <w:rFonts w:ascii="新宋体" w:hAnsi="新宋体" w:cs="新宋体" w:eastAsia="新宋体" w:hint="default"/>
          <w:spacing w:val="-60"/>
        </w:rPr>
        <w:t> </w:t>
      </w:r>
      <w:r>
        <w:rPr/>
        <w:t>年初发出。 公司重大的在手订单情况</w:t>
      </w:r>
    </w:p>
    <w:p>
      <w:pPr>
        <w:pStyle w:val="BodyText"/>
        <w:spacing w:line="388" w:lineRule="auto" w:before="43"/>
        <w:ind w:left="412" w:right="7594"/>
        <w:jc w:val="left"/>
      </w:pPr>
      <w:r>
        <w:rPr/>
        <w:t>□ 适用 √</w:t>
      </w:r>
      <w:r>
        <w:rPr>
          <w:spacing w:val="-1"/>
        </w:rPr>
        <w:t> </w:t>
      </w:r>
      <w:r>
        <w:rPr/>
        <w:t>不适用</w:t>
      </w:r>
      <w:r>
        <w:rPr/>
        <w:t> 数量分散的订单情况</w:t>
      </w:r>
    </w:p>
    <w:p>
      <w:pPr>
        <w:pStyle w:val="BodyText"/>
        <w:spacing w:line="386" w:lineRule="auto" w:before="46"/>
        <w:ind w:left="412" w:right="3994"/>
        <w:jc w:val="left"/>
      </w:pPr>
      <w:r>
        <w:rPr/>
        <w:t>□ 适用 √</w:t>
      </w:r>
      <w:r>
        <w:rPr>
          <w:spacing w:val="-1"/>
        </w:rPr>
        <w:t> </w:t>
      </w:r>
      <w:r>
        <w:rPr/>
        <w:t>不适用</w:t>
      </w:r>
      <w:r>
        <w:rPr/>
        <w:t> 公司报告期内产品或服务发生重大变化或调整有关情况</w:t>
      </w:r>
    </w:p>
    <w:p>
      <w:pPr>
        <w:pStyle w:val="BodyText"/>
        <w:spacing w:line="240" w:lineRule="auto" w:before="48"/>
        <w:ind w:left="412" w:right="6274"/>
        <w:jc w:val="left"/>
      </w:pPr>
      <w:r>
        <w:rPr/>
        <w:t>□ 适用 √</w:t>
      </w:r>
      <w:r>
        <w:rPr>
          <w:spacing w:val="-1"/>
        </w:rPr>
        <w:t> </w:t>
      </w:r>
      <w:r>
        <w:rPr/>
        <w:t>不适用</w:t>
      </w:r>
    </w:p>
    <w:p>
      <w:pPr>
        <w:spacing w:line="240" w:lineRule="auto" w:before="11"/>
        <w:rPr>
          <w:rFonts w:ascii="新宋体" w:hAnsi="新宋体" w:cs="新宋体" w:eastAsia="新宋体" w:hint="default"/>
          <w:sz w:val="28"/>
          <w:szCs w:val="28"/>
        </w:rPr>
      </w:pPr>
    </w:p>
    <w:p>
      <w:pPr>
        <w:pStyle w:val="Heading2"/>
        <w:spacing w:line="240" w:lineRule="auto"/>
        <w:ind w:left="412" w:right="6274"/>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
        <w:rPr>
          <w:rFonts w:ascii="宋体" w:hAnsi="宋体" w:cs="宋体" w:eastAsia="宋体" w:hint="default"/>
          <w:b/>
          <w:bCs/>
          <w:sz w:val="25"/>
          <w:szCs w:val="25"/>
        </w:rPr>
      </w:pPr>
    </w:p>
    <w:p>
      <w:pPr>
        <w:spacing w:before="0"/>
        <w:ind w:left="0" w:right="4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90" w:type="dxa"/>
        <w:tblLayout w:type="fixed"/>
        <w:tblCellMar>
          <w:top w:w="0" w:type="dxa"/>
          <w:left w:w="0" w:type="dxa"/>
          <w:bottom w:w="0" w:type="dxa"/>
          <w:right w:w="0" w:type="dxa"/>
        </w:tblCellMar>
        <w:tblLook w:val="01E0"/>
      </w:tblPr>
      <w:tblGrid>
        <w:gridCol w:w="1368"/>
        <w:gridCol w:w="1109"/>
        <w:gridCol w:w="1628"/>
        <w:gridCol w:w="1366"/>
        <w:gridCol w:w="1368"/>
        <w:gridCol w:w="1366"/>
        <w:gridCol w:w="1368"/>
      </w:tblGrid>
      <w:tr>
        <w:trPr>
          <w:trHeight w:val="415" w:hRule="exact"/>
        </w:trPr>
        <w:tc>
          <w:tcPr>
            <w:tcW w:w="1368"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0" w:right="0"/>
              <w:jc w:val="left"/>
              <w:rPr>
                <w:rFonts w:ascii="新宋体" w:hAnsi="新宋体" w:cs="新宋体" w:eastAsia="新宋体" w:hint="default"/>
                <w:sz w:val="18"/>
                <w:szCs w:val="18"/>
              </w:rPr>
            </w:pPr>
            <w:r>
              <w:rPr>
                <w:rFonts w:ascii="新宋体" w:hAnsi="新宋体" w:cs="新宋体" w:eastAsia="新宋体" w:hint="default"/>
                <w:sz w:val="18"/>
                <w:szCs w:val="18"/>
              </w:rPr>
              <w:t>行业分类</w:t>
            </w:r>
          </w:p>
        </w:tc>
        <w:tc>
          <w:tcPr>
            <w:tcW w:w="110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9" w:right="0"/>
              <w:jc w:val="left"/>
              <w:rPr>
                <w:rFonts w:ascii="新宋体" w:hAnsi="新宋体" w:cs="新宋体" w:eastAsia="新宋体" w:hint="default"/>
                <w:sz w:val="18"/>
                <w:szCs w:val="18"/>
              </w:rPr>
            </w:pPr>
            <w:r>
              <w:rPr>
                <w:rFonts w:ascii="新宋体" w:hAnsi="新宋体" w:cs="新宋体" w:eastAsia="新宋体" w:hint="default"/>
                <w:sz w:val="18"/>
                <w:szCs w:val="18"/>
              </w:rPr>
              <w:t>项目</w:t>
            </w:r>
          </w:p>
        </w:tc>
        <w:tc>
          <w:tcPr>
            <w:tcW w:w="299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273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1368"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2" w:right="0"/>
              <w:jc w:val="left"/>
              <w:rPr>
                <w:rFonts w:ascii="新宋体" w:hAnsi="新宋体" w:cs="新宋体" w:eastAsia="新宋体" w:hint="default"/>
                <w:sz w:val="18"/>
                <w:szCs w:val="18"/>
              </w:rPr>
            </w:pPr>
            <w:r>
              <w:rPr>
                <w:rFonts w:ascii="新宋体" w:hAnsi="新宋体" w:cs="新宋体" w:eastAsia="新宋体" w:hint="default"/>
                <w:sz w:val="18"/>
                <w:szCs w:val="18"/>
              </w:rPr>
              <w:t>同比增减</w:t>
            </w:r>
            <w:r>
              <w:rPr>
                <w:rFonts w:ascii="新宋体" w:hAnsi="新宋体" w:cs="新宋体" w:eastAsia="新宋体" w:hint="default"/>
                <w:sz w:val="18"/>
                <w:szCs w:val="18"/>
              </w:rPr>
              <w:t>(%)</w:t>
            </w:r>
          </w:p>
        </w:tc>
      </w:tr>
      <w:tr>
        <w:trPr>
          <w:trHeight w:val="720" w:hRule="exact"/>
        </w:trPr>
        <w:tc>
          <w:tcPr>
            <w:tcW w:w="1368" w:type="dxa"/>
            <w:vMerge/>
            <w:tcBorders>
              <w:left w:val="single" w:sz="12" w:space="0" w:color="000000"/>
              <w:bottom w:val="single" w:sz="6" w:space="0" w:color="000000"/>
              <w:right w:val="single" w:sz="6" w:space="0" w:color="000000"/>
            </w:tcBorders>
            <w:shd w:val="clear" w:color="auto" w:fill="D2D2D2"/>
          </w:tcPr>
          <w:p>
            <w:pPr/>
          </w:p>
        </w:tc>
        <w:tc>
          <w:tcPr>
            <w:tcW w:w="1109" w:type="dxa"/>
            <w:vMerge/>
            <w:tcBorders>
              <w:left w:val="single" w:sz="6" w:space="0" w:color="000000"/>
              <w:bottom w:val="single" w:sz="6" w:space="0" w:color="000000"/>
              <w:right w:val="single" w:sz="6" w:space="0" w:color="000000"/>
            </w:tcBorders>
            <w:shd w:val="clear" w:color="auto" w:fill="D2D2D2"/>
          </w:tcPr>
          <w:p>
            <w:pPr/>
          </w:p>
        </w:tc>
        <w:tc>
          <w:tcPr>
            <w:tcW w:w="1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hAnsi="新宋体" w:cs="新宋体" w:eastAsia="新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占营业成本比重</w:t>
            </w:r>
          </w:p>
          <w:p>
            <w:pPr>
              <w:pStyle w:val="TableParagraph"/>
              <w:spacing w:line="240" w:lineRule="auto" w:before="76"/>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hAnsi="新宋体" w:cs="新宋体" w:eastAsia="新宋体" w:hint="default"/>
                <w:sz w:val="18"/>
                <w:szCs w:val="18"/>
              </w:rPr>
              <w:t>金额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新宋体" w:hAnsi="新宋体" w:cs="新宋体" w:eastAsia="新宋体" w:hint="default"/>
                <w:sz w:val="18"/>
                <w:szCs w:val="18"/>
              </w:rPr>
            </w:pPr>
            <w:r>
              <w:rPr>
                <w:rFonts w:ascii="新宋体" w:hAnsi="新宋体" w:cs="新宋体" w:eastAsia="新宋体" w:hint="default"/>
                <w:sz w:val="18"/>
                <w:szCs w:val="18"/>
              </w:rPr>
              <w:t>占营业成本比重</w:t>
            </w:r>
          </w:p>
          <w:p>
            <w:pPr>
              <w:pStyle w:val="TableParagraph"/>
              <w:spacing w:line="240" w:lineRule="auto" w:before="76"/>
              <w:ind w:left="1" w:right="0"/>
              <w:jc w:val="center"/>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368"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1368" w:type="dxa"/>
            <w:vMerge w:val="restart"/>
            <w:tcBorders>
              <w:top w:val="single" w:sz="6" w:space="0" w:color="000000"/>
              <w:left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0" w:right="0"/>
              <w:jc w:val="left"/>
              <w:rPr>
                <w:rFonts w:ascii="新宋体" w:hAnsi="新宋体" w:cs="新宋体" w:eastAsia="新宋体" w:hint="default"/>
                <w:sz w:val="18"/>
                <w:szCs w:val="18"/>
              </w:rPr>
            </w:pPr>
            <w:r>
              <w:rPr>
                <w:rFonts w:ascii="新宋体" w:hAnsi="新宋体" w:cs="新宋体" w:eastAsia="新宋体" w:hint="default"/>
                <w:sz w:val="18"/>
                <w:szCs w:val="18"/>
              </w:rPr>
              <w:t>仪器仪表</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原材料</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102,286,026.93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81.67%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98,530,375.02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84.12%</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3.81%</w:t>
            </w:r>
          </w:p>
        </w:tc>
      </w:tr>
      <w:tr>
        <w:trPr>
          <w:trHeight w:val="413" w:hRule="exact"/>
        </w:trPr>
        <w:tc>
          <w:tcPr>
            <w:tcW w:w="1368" w:type="dxa"/>
            <w:vMerge/>
            <w:tcBorders>
              <w:left w:val="single" w:sz="12" w:space="0" w:color="000000"/>
              <w:bottom w:val="single" w:sz="12" w:space="0" w:color="000000"/>
              <w:right w:val="single" w:sz="6" w:space="0" w:color="000000"/>
            </w:tcBorders>
          </w:tcPr>
          <w:p>
            <w:pPr/>
          </w:p>
        </w:tc>
        <w:tc>
          <w:tcPr>
            <w:tcW w:w="11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制造费用</w:t>
            </w:r>
          </w:p>
        </w:tc>
        <w:tc>
          <w:tcPr>
            <w:tcW w:w="16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22,951,732.78</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18.33%</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18,606,783.61</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15.88%</w:t>
            </w:r>
          </w:p>
        </w:tc>
        <w:tc>
          <w:tcPr>
            <w:tcW w:w="13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23.35%</w:t>
            </w:r>
          </w:p>
        </w:tc>
      </w:tr>
    </w:tbl>
    <w:p>
      <w:pPr>
        <w:spacing w:line="240" w:lineRule="auto" w:before="3"/>
        <w:rPr>
          <w:rFonts w:ascii="宋体" w:hAnsi="宋体" w:cs="宋体" w:eastAsia="宋体" w:hint="default"/>
          <w:sz w:val="18"/>
          <w:szCs w:val="18"/>
        </w:rPr>
      </w:pPr>
    </w:p>
    <w:p>
      <w:pPr>
        <w:pStyle w:val="Heading2"/>
        <w:spacing w:line="240" w:lineRule="auto" w:before="26"/>
        <w:ind w:left="412" w:right="6274"/>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1"/>
          <w:szCs w:val="21"/>
        </w:rPr>
      </w:pPr>
    </w:p>
    <w:p>
      <w:pPr>
        <w:spacing w:before="44"/>
        <w:ind w:left="0" w:right="4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295" w:type="dxa"/>
        <w:tblLayout w:type="fixed"/>
        <w:tblCellMar>
          <w:top w:w="0" w:type="dxa"/>
          <w:left w:w="0" w:type="dxa"/>
          <w:bottom w:w="0" w:type="dxa"/>
          <w:right w:w="0" w:type="dxa"/>
        </w:tblCellMar>
        <w:tblLook w:val="01E0"/>
      </w:tblPr>
      <w:tblGrid>
        <w:gridCol w:w="1916"/>
        <w:gridCol w:w="1417"/>
        <w:gridCol w:w="1270"/>
        <w:gridCol w:w="1275"/>
        <w:gridCol w:w="3687"/>
      </w:tblGrid>
      <w:tr>
        <w:trPr>
          <w:trHeight w:val="414" w:hRule="exact"/>
        </w:trPr>
        <w:tc>
          <w:tcPr>
            <w:tcW w:w="1916"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08"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12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41"/>
              <w:jc w:val="right"/>
              <w:rPr>
                <w:rFonts w:ascii="新宋体" w:hAnsi="新宋体" w:cs="新宋体" w:eastAsia="新宋体" w:hint="default"/>
                <w:sz w:val="18"/>
                <w:szCs w:val="18"/>
              </w:rPr>
            </w:pPr>
            <w:r>
              <w:rPr>
                <w:rFonts w:ascii="新宋体" w:hAnsi="新宋体" w:cs="新宋体" w:eastAsia="新宋体" w:hint="default"/>
                <w:sz w:val="18"/>
                <w:szCs w:val="18"/>
              </w:rPr>
              <w:t>同比增减（</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36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11" w:right="0"/>
              <w:jc w:val="center"/>
              <w:rPr>
                <w:rFonts w:ascii="新宋体" w:hAnsi="新宋体" w:cs="新宋体" w:eastAsia="新宋体" w:hint="default"/>
                <w:sz w:val="18"/>
                <w:szCs w:val="18"/>
              </w:rPr>
            </w:pPr>
            <w:r>
              <w:rPr>
                <w:rFonts w:ascii="新宋体" w:hAnsi="新宋体" w:cs="新宋体" w:eastAsia="新宋体" w:hint="default"/>
                <w:sz w:val="18"/>
                <w:szCs w:val="18"/>
              </w:rPr>
              <w:t>重大变动说明</w:t>
            </w:r>
          </w:p>
        </w:tc>
      </w:tr>
      <w:tr>
        <w:trPr>
          <w:trHeight w:val="408" w:hRule="exact"/>
        </w:trPr>
        <w:tc>
          <w:tcPr>
            <w:tcW w:w="19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销售费用</w:t>
            </w:r>
          </w:p>
        </w:tc>
        <w:tc>
          <w:tcPr>
            <w:tcW w:w="141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50,668,537.91</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5" w:right="0"/>
              <w:jc w:val="center"/>
              <w:rPr>
                <w:rFonts w:ascii="新宋体" w:hAnsi="新宋体" w:cs="新宋体" w:eastAsia="新宋体" w:hint="default"/>
                <w:sz w:val="18"/>
                <w:szCs w:val="18"/>
              </w:rPr>
            </w:pPr>
            <w:r>
              <w:rPr>
                <w:rFonts w:ascii="新宋体"/>
                <w:sz w:val="18"/>
              </w:rPr>
              <w:t>42,507,082.73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z w:val="18"/>
              </w:rPr>
              <w:t>19.2%</w:t>
            </w:r>
          </w:p>
        </w:tc>
        <w:tc>
          <w:tcPr>
            <w:tcW w:w="36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4"/>
              <w:jc w:val="center"/>
              <w:rPr>
                <w:rFonts w:ascii="新宋体" w:hAnsi="新宋体" w:cs="新宋体" w:eastAsia="新宋体" w:hint="default"/>
                <w:sz w:val="18"/>
                <w:szCs w:val="18"/>
              </w:rPr>
            </w:pPr>
            <w:r>
              <w:rPr>
                <w:rFonts w:ascii="新宋体" w:hAnsi="新宋体" w:cs="新宋体" w:eastAsia="新宋体" w:hint="default"/>
                <w:sz w:val="18"/>
                <w:szCs w:val="18"/>
              </w:rPr>
              <w:t>新兴安全产业的开拓，致使销售费用的增加。</w:t>
            </w:r>
          </w:p>
        </w:tc>
      </w:tr>
      <w:tr>
        <w:trPr>
          <w:trHeight w:val="163" w:hRule="exact"/>
        </w:trPr>
        <w:tc>
          <w:tcPr>
            <w:tcW w:w="1916" w:type="dxa"/>
            <w:tcBorders>
              <w:top w:val="single" w:sz="6" w:space="0" w:color="000000"/>
              <w:left w:val="single" w:sz="12" w:space="0" w:color="000000"/>
              <w:bottom w:val="nil" w:sz="6" w:space="0" w:color="auto"/>
              <w:right w:val="single" w:sz="6" w:space="0" w:color="000000"/>
            </w:tcBorders>
            <w:shd w:val="clear" w:color="auto" w:fill="D2D2D2"/>
          </w:tcPr>
          <w:p>
            <w:pPr/>
          </w:p>
        </w:tc>
        <w:tc>
          <w:tcPr>
            <w:tcW w:w="1417" w:type="dxa"/>
            <w:vMerge w:val="restart"/>
            <w:tcBorders>
              <w:top w:val="single" w:sz="6" w:space="0" w:color="000000"/>
              <w:left w:val="single" w:sz="9" w:space="0" w:color="D2D2D2"/>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7" w:right="0"/>
              <w:jc w:val="left"/>
              <w:rPr>
                <w:rFonts w:ascii="新宋体" w:hAnsi="新宋体" w:cs="新宋体" w:eastAsia="新宋体" w:hint="default"/>
                <w:sz w:val="18"/>
                <w:szCs w:val="18"/>
              </w:rPr>
            </w:pPr>
            <w:r>
              <w:rPr>
                <w:rFonts w:ascii="新宋体"/>
                <w:sz w:val="18"/>
              </w:rPr>
              <w:t>56,379,833.63</w:t>
            </w:r>
          </w:p>
        </w:tc>
        <w:tc>
          <w:tcPr>
            <w:tcW w:w="127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新宋体" w:hAnsi="新宋体" w:cs="新宋体" w:eastAsia="新宋体" w:hint="default"/>
                <w:sz w:val="18"/>
                <w:szCs w:val="18"/>
              </w:rPr>
            </w:pPr>
            <w:r>
              <w:rPr>
                <w:rFonts w:ascii="新宋体"/>
                <w:sz w:val="18"/>
              </w:rPr>
              <w:t>40,899,549.06</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1" w:right="0"/>
              <w:jc w:val="left"/>
              <w:rPr>
                <w:rFonts w:ascii="新宋体" w:hAnsi="新宋体" w:cs="新宋体" w:eastAsia="新宋体" w:hint="default"/>
                <w:sz w:val="18"/>
                <w:szCs w:val="18"/>
              </w:rPr>
            </w:pPr>
            <w:r>
              <w:rPr>
                <w:rFonts w:ascii="新宋体"/>
                <w:sz w:val="18"/>
              </w:rPr>
              <w:t>37.85%</w:t>
            </w:r>
          </w:p>
        </w:tc>
        <w:tc>
          <w:tcPr>
            <w:tcW w:w="3687" w:type="dxa"/>
            <w:vMerge w:val="restart"/>
            <w:tcBorders>
              <w:top w:val="single" w:sz="6" w:space="0" w:color="000000"/>
              <w:left w:val="single" w:sz="6" w:space="0" w:color="000000"/>
              <w:right w:val="single" w:sz="12" w:space="0" w:color="000000"/>
            </w:tcBorders>
          </w:tcPr>
          <w:p>
            <w:pPr>
              <w:pStyle w:val="TableParagraph"/>
              <w:spacing w:line="316" w:lineRule="auto" w:before="49"/>
              <w:ind w:left="23" w:right="38"/>
              <w:jc w:val="left"/>
              <w:rPr>
                <w:rFonts w:ascii="新宋体" w:hAnsi="新宋体" w:cs="新宋体" w:eastAsia="新宋体" w:hint="default"/>
                <w:sz w:val="18"/>
                <w:szCs w:val="18"/>
              </w:rPr>
            </w:pPr>
            <w:r>
              <w:rPr>
                <w:rFonts w:ascii="新宋体" w:hAnsi="新宋体" w:cs="新宋体" w:eastAsia="新宋体" w:hint="default"/>
                <w:sz w:val="18"/>
                <w:szCs w:val="18"/>
              </w:rPr>
              <w:t>主要原因为：公司引进人才、研发投入加大， 公司用于物联网行业的投入费用增加等原因。</w:t>
            </w:r>
          </w:p>
        </w:tc>
      </w:tr>
      <w:tr>
        <w:trPr>
          <w:trHeight w:val="391" w:hRule="exact"/>
        </w:trPr>
        <w:tc>
          <w:tcPr>
            <w:tcW w:w="1916"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管理费用</w:t>
            </w:r>
          </w:p>
        </w:tc>
        <w:tc>
          <w:tcPr>
            <w:tcW w:w="1417" w:type="dxa"/>
            <w:vMerge/>
            <w:tcBorders>
              <w:left w:val="single" w:sz="9" w:space="0" w:color="D2D2D2"/>
              <w:right w:val="single" w:sz="6" w:space="0" w:color="000000"/>
            </w:tcBorders>
          </w:tcPr>
          <w:p>
            <w:pPr/>
          </w:p>
        </w:tc>
        <w:tc>
          <w:tcPr>
            <w:tcW w:w="1270" w:type="dxa"/>
            <w:vMerge/>
            <w:tcBorders>
              <w:left w:val="single" w:sz="6" w:space="0" w:color="000000"/>
              <w:right w:val="single" w:sz="6" w:space="0" w:color="000000"/>
            </w:tcBorders>
          </w:tcPr>
          <w:p>
            <w:pPr/>
          </w:p>
        </w:tc>
        <w:tc>
          <w:tcPr>
            <w:tcW w:w="1275" w:type="dxa"/>
            <w:vMerge/>
            <w:tcBorders>
              <w:left w:val="single" w:sz="6" w:space="0" w:color="000000"/>
              <w:right w:val="single" w:sz="6" w:space="0" w:color="000000"/>
            </w:tcBorders>
          </w:tcPr>
          <w:p>
            <w:pPr/>
          </w:p>
        </w:tc>
        <w:tc>
          <w:tcPr>
            <w:tcW w:w="3687" w:type="dxa"/>
            <w:vMerge/>
            <w:tcBorders>
              <w:left w:val="single" w:sz="6" w:space="0" w:color="000000"/>
              <w:right w:val="single" w:sz="12" w:space="0" w:color="000000"/>
            </w:tcBorders>
          </w:tcPr>
          <w:p>
            <w:pPr/>
          </w:p>
        </w:tc>
      </w:tr>
      <w:tr>
        <w:trPr>
          <w:trHeight w:val="163" w:hRule="exact"/>
        </w:trPr>
        <w:tc>
          <w:tcPr>
            <w:tcW w:w="191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17" w:type="dxa"/>
            <w:vMerge/>
            <w:tcBorders>
              <w:left w:val="single" w:sz="9" w:space="0" w:color="D2D2D2"/>
              <w:bottom w:val="single" w:sz="6" w:space="0" w:color="000000"/>
              <w:right w:val="single" w:sz="6" w:space="0" w:color="000000"/>
            </w:tcBorders>
          </w:tcPr>
          <w:p>
            <w:pPr/>
          </w:p>
        </w:tc>
        <w:tc>
          <w:tcPr>
            <w:tcW w:w="127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3687" w:type="dxa"/>
            <w:vMerge/>
            <w:tcBorders>
              <w:left w:val="single" w:sz="6" w:space="0" w:color="000000"/>
              <w:bottom w:val="single" w:sz="6" w:space="0" w:color="000000"/>
              <w:right w:val="single" w:sz="12" w:space="0" w:color="000000"/>
            </w:tcBorders>
          </w:tcPr>
          <w:p>
            <w:pPr/>
          </w:p>
        </w:tc>
      </w:tr>
      <w:tr>
        <w:trPr>
          <w:trHeight w:val="408" w:hRule="exact"/>
        </w:trPr>
        <w:tc>
          <w:tcPr>
            <w:tcW w:w="19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财务费用</w:t>
            </w:r>
          </w:p>
        </w:tc>
        <w:tc>
          <w:tcPr>
            <w:tcW w:w="141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-4,903,202.95</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5" w:right="0"/>
              <w:jc w:val="center"/>
              <w:rPr>
                <w:rFonts w:ascii="新宋体" w:hAnsi="新宋体" w:cs="新宋体" w:eastAsia="新宋体" w:hint="default"/>
                <w:sz w:val="18"/>
                <w:szCs w:val="18"/>
              </w:rPr>
            </w:pPr>
            <w:r>
              <w:rPr>
                <w:rFonts w:ascii="新宋体"/>
                <w:sz w:val="18"/>
              </w:rPr>
              <w:t>-5,299,122.32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z w:val="18"/>
              </w:rPr>
              <w:t>7.47%</w:t>
            </w:r>
          </w:p>
        </w:tc>
        <w:tc>
          <w:tcPr>
            <w:tcW w:w="3687"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91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所得税</w:t>
            </w:r>
          </w:p>
        </w:tc>
        <w:tc>
          <w:tcPr>
            <w:tcW w:w="141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4,567,317.25</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5" w:right="0"/>
              <w:jc w:val="center"/>
              <w:rPr>
                <w:rFonts w:ascii="新宋体" w:hAnsi="新宋体" w:cs="新宋体" w:eastAsia="新宋体" w:hint="default"/>
                <w:sz w:val="18"/>
                <w:szCs w:val="18"/>
              </w:rPr>
            </w:pPr>
            <w:r>
              <w:rPr>
                <w:rFonts w:ascii="新宋体"/>
                <w:sz w:val="18"/>
              </w:rPr>
              <w:t>10,753,697.50</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-57.53%</w:t>
            </w:r>
          </w:p>
        </w:tc>
        <w:tc>
          <w:tcPr>
            <w:tcW w:w="36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5"/>
              <w:jc w:val="center"/>
              <w:rPr>
                <w:rFonts w:ascii="新宋体" w:hAnsi="新宋体" w:cs="新宋体" w:eastAsia="新宋体" w:hint="default"/>
                <w:sz w:val="18"/>
                <w:szCs w:val="18"/>
              </w:rPr>
            </w:pPr>
            <w:r>
              <w:rPr>
                <w:rFonts w:ascii="新宋体" w:hAnsi="新宋体" w:cs="新宋体" w:eastAsia="新宋体" w:hint="default"/>
                <w:sz w:val="18"/>
                <w:szCs w:val="18"/>
              </w:rPr>
              <w:t>主要系本期利润减少导致应税所得减少所致。</w:t>
            </w:r>
          </w:p>
        </w:tc>
      </w:tr>
    </w:tbl>
    <w:p>
      <w:pPr>
        <w:spacing w:line="240" w:lineRule="auto" w:before="9"/>
        <w:rPr>
          <w:rFonts w:ascii="宋体" w:hAnsi="宋体" w:cs="宋体" w:eastAsia="宋体" w:hint="default"/>
          <w:sz w:val="13"/>
          <w:szCs w:val="13"/>
        </w:rPr>
      </w:pPr>
    </w:p>
    <w:p>
      <w:pPr>
        <w:pStyle w:val="Heading2"/>
        <w:spacing w:line="240" w:lineRule="auto" w:before="26"/>
        <w:ind w:left="412" w:right="6274"/>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201"/>
        <w:ind w:left="412" w:right="3994"/>
        <w:jc w:val="left"/>
      </w:pPr>
      <w:r>
        <w:rPr>
          <w:rFonts w:ascii="新宋体" w:hAnsi="新宋体" w:cs="新宋体" w:eastAsia="新宋体" w:hint="default"/>
        </w:rPr>
        <w:t>2012</w:t>
      </w:r>
      <w:r>
        <w:rPr>
          <w:rFonts w:ascii="新宋体" w:hAnsi="新宋体" w:cs="新宋体" w:eastAsia="新宋体" w:hint="default"/>
          <w:spacing w:val="-61"/>
        </w:rPr>
        <w:t> </w:t>
      </w:r>
      <w:r>
        <w:rPr/>
        <w:t>年正在进行的研发项目情况：</w:t>
      </w:r>
    </w:p>
    <w:p>
      <w:pPr>
        <w:spacing w:line="240" w:lineRule="auto" w:before="8"/>
        <w:rPr>
          <w:rFonts w:ascii="新宋体" w:hAnsi="新宋体" w:cs="新宋体" w:eastAsia="新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533"/>
        <w:gridCol w:w="3929"/>
        <w:gridCol w:w="977"/>
        <w:gridCol w:w="1992"/>
        <w:gridCol w:w="2492"/>
      </w:tblGrid>
      <w:tr>
        <w:trPr>
          <w:trHeight w:val="434" w:hRule="exact"/>
        </w:trPr>
        <w:tc>
          <w:tcPr>
            <w:tcW w:w="533" w:type="dxa"/>
            <w:tcBorders>
              <w:top w:val="single" w:sz="12" w:space="0" w:color="000000"/>
              <w:left w:val="single" w:sz="12" w:space="0" w:color="000000"/>
              <w:bottom w:val="single" w:sz="6" w:space="0" w:color="000000"/>
              <w:right w:val="single" w:sz="6" w:space="0" w:color="000000"/>
            </w:tcBorders>
            <w:shd w:val="clear" w:color="auto" w:fill="DFDFDF"/>
          </w:tcPr>
          <w:p>
            <w:pPr>
              <w:pStyle w:val="TableParagraph"/>
              <w:spacing w:line="240" w:lineRule="auto" w:before="61"/>
              <w:ind w:left="6"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序号</w:t>
            </w:r>
            <w:r>
              <w:rPr>
                <w:rFonts w:ascii="新宋体" w:hAnsi="新宋体" w:cs="新宋体" w:eastAsia="新宋体" w:hint="default"/>
                <w:sz w:val="18"/>
                <w:szCs w:val="18"/>
              </w:rPr>
            </w:r>
          </w:p>
        </w:tc>
        <w:tc>
          <w:tcPr>
            <w:tcW w:w="3929" w:type="dxa"/>
            <w:tcBorders>
              <w:top w:val="single" w:sz="12"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项目名称</w:t>
            </w:r>
            <w:r>
              <w:rPr>
                <w:rFonts w:ascii="新宋体" w:hAnsi="新宋体" w:cs="新宋体" w:eastAsia="新宋体" w:hint="default"/>
                <w:sz w:val="18"/>
                <w:szCs w:val="18"/>
              </w:rPr>
            </w:r>
          </w:p>
        </w:tc>
        <w:tc>
          <w:tcPr>
            <w:tcW w:w="977" w:type="dxa"/>
            <w:tcBorders>
              <w:top w:val="single" w:sz="12"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1"/>
              <w:ind w:right="3"/>
              <w:jc w:val="center"/>
              <w:rPr>
                <w:rFonts w:ascii="新宋体" w:hAnsi="新宋体" w:cs="新宋体" w:eastAsia="新宋体" w:hint="default"/>
                <w:sz w:val="18"/>
                <w:szCs w:val="18"/>
              </w:rPr>
            </w:pPr>
            <w:r>
              <w:rPr>
                <w:rFonts w:ascii="新宋体" w:hAnsi="新宋体" w:cs="新宋体" w:eastAsia="新宋体" w:hint="default"/>
                <w:b/>
                <w:bCs/>
                <w:sz w:val="18"/>
                <w:szCs w:val="18"/>
              </w:rPr>
              <w:t>进展情况</w:t>
            </w:r>
            <w:r>
              <w:rPr>
                <w:rFonts w:ascii="新宋体" w:hAnsi="新宋体" w:cs="新宋体" w:eastAsia="新宋体" w:hint="default"/>
                <w:sz w:val="18"/>
                <w:szCs w:val="18"/>
              </w:rPr>
            </w:r>
          </w:p>
        </w:tc>
        <w:tc>
          <w:tcPr>
            <w:tcW w:w="1992" w:type="dxa"/>
            <w:tcBorders>
              <w:top w:val="single" w:sz="12"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1"/>
              <w:ind w:left="446" w:right="0"/>
              <w:jc w:val="left"/>
              <w:rPr>
                <w:rFonts w:ascii="新宋体" w:hAnsi="新宋体" w:cs="新宋体" w:eastAsia="新宋体" w:hint="default"/>
                <w:sz w:val="18"/>
                <w:szCs w:val="18"/>
              </w:rPr>
            </w:pPr>
            <w:r>
              <w:rPr>
                <w:rFonts w:ascii="新宋体" w:hAnsi="新宋体" w:cs="新宋体" w:eastAsia="新宋体" w:hint="default"/>
                <w:b/>
                <w:bCs/>
                <w:sz w:val="18"/>
                <w:szCs w:val="18"/>
              </w:rPr>
              <w:t>拟达到的目标</w:t>
            </w:r>
            <w:r>
              <w:rPr>
                <w:rFonts w:ascii="新宋体" w:hAnsi="新宋体" w:cs="新宋体" w:eastAsia="新宋体" w:hint="default"/>
                <w:sz w:val="18"/>
                <w:szCs w:val="18"/>
              </w:rPr>
            </w:r>
          </w:p>
        </w:tc>
        <w:tc>
          <w:tcPr>
            <w:tcW w:w="2492" w:type="dxa"/>
            <w:tcBorders>
              <w:top w:val="single" w:sz="12" w:space="0" w:color="000000"/>
              <w:left w:val="single" w:sz="6" w:space="0" w:color="000000"/>
              <w:bottom w:val="single" w:sz="6" w:space="0" w:color="000000"/>
              <w:right w:val="single" w:sz="12" w:space="0" w:color="000000"/>
            </w:tcBorders>
            <w:shd w:val="clear" w:color="auto" w:fill="DFDFDF"/>
          </w:tcPr>
          <w:p>
            <w:pPr>
              <w:pStyle w:val="TableParagraph"/>
              <w:spacing w:line="240" w:lineRule="auto" w:before="61"/>
              <w:ind w:left="5"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完成情况</w:t>
            </w:r>
            <w:r>
              <w:rPr>
                <w:rFonts w:ascii="新宋体" w:hAnsi="新宋体" w:cs="新宋体" w:eastAsia="新宋体" w:hint="default"/>
                <w:sz w:val="18"/>
                <w:szCs w:val="18"/>
              </w:rPr>
            </w:r>
          </w:p>
        </w:tc>
      </w:tr>
      <w:tr>
        <w:trPr>
          <w:trHeight w:val="427"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1</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湿度传感器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结项</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年下半年已投产。</w:t>
            </w:r>
          </w:p>
        </w:tc>
      </w:tr>
      <w:tr>
        <w:trPr>
          <w:trHeight w:val="437" w:hRule="exact"/>
        </w:trPr>
        <w:tc>
          <w:tcPr>
            <w:tcW w:w="53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w:t>
            </w:r>
          </w:p>
        </w:tc>
        <w:tc>
          <w:tcPr>
            <w:tcW w:w="3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高性能热释电红外探测器</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结项</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年下半年已投产。</w:t>
            </w:r>
          </w:p>
        </w:tc>
      </w:tr>
    </w:tbl>
    <w:p>
      <w:pPr>
        <w:spacing w:after="0" w:line="240" w:lineRule="auto"/>
        <w:jc w:val="left"/>
        <w:rPr>
          <w:rFonts w:ascii="新宋体" w:hAnsi="新宋体" w:cs="新宋体" w:eastAsia="新宋体" w:hint="default"/>
          <w:sz w:val="18"/>
          <w:szCs w:val="18"/>
        </w:rPr>
        <w:sectPr>
          <w:pgSz w:w="11910" w:h="16840"/>
          <w:pgMar w:header="555" w:footer="980" w:top="1100" w:bottom="1160" w:left="720" w:right="1000"/>
        </w:sectPr>
      </w:pPr>
    </w:p>
    <w:p>
      <w:pPr>
        <w:spacing w:line="240" w:lineRule="auto" w:before="8"/>
        <w:rPr>
          <w:rFonts w:ascii="新宋体" w:hAnsi="新宋体" w:cs="新宋体" w:eastAsia="新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533"/>
        <w:gridCol w:w="3929"/>
        <w:gridCol w:w="977"/>
        <w:gridCol w:w="1992"/>
        <w:gridCol w:w="2492"/>
      </w:tblGrid>
      <w:tr>
        <w:trPr>
          <w:trHeight w:val="435" w:hRule="exact"/>
        </w:trPr>
        <w:tc>
          <w:tcPr>
            <w:tcW w:w="53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3</w:t>
            </w:r>
          </w:p>
        </w:tc>
        <w:tc>
          <w:tcPr>
            <w:tcW w:w="39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用于疾病诊断的电化学气体传感器</w:t>
            </w:r>
          </w:p>
        </w:tc>
        <w:tc>
          <w:tcPr>
            <w:tcW w:w="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结项</w:t>
            </w:r>
          </w:p>
        </w:tc>
        <w:tc>
          <w:tcPr>
            <w:tcW w:w="1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年具备生产能力</w:t>
            </w:r>
          </w:p>
        </w:tc>
        <w:tc>
          <w:tcPr>
            <w:tcW w:w="24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年下半年已投产。</w:t>
            </w:r>
          </w:p>
        </w:tc>
      </w:tr>
      <w:tr>
        <w:trPr>
          <w:trHeight w:val="427"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4</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激光原理燃气检漏设备开发</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结项</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年具备可生产能力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年下半年已投产。</w:t>
            </w:r>
          </w:p>
        </w:tc>
      </w:tr>
      <w:tr>
        <w:trPr>
          <w:trHeight w:val="427"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5</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激光原理工业气体检测仪</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结项</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年具备可生产能力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年下半年已投产。</w:t>
            </w:r>
          </w:p>
        </w:tc>
      </w:tr>
      <w:tr>
        <w:trPr>
          <w:trHeight w:val="739"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6</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原电池型溶解氧传感器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样机阶段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年具备可生产能力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8"/>
              <w:ind w:left="4" w:right="-2"/>
              <w:jc w:val="left"/>
              <w:rPr>
                <w:rFonts w:ascii="新宋体" w:hAnsi="新宋体" w:cs="新宋体" w:eastAsia="新宋体" w:hint="default"/>
                <w:sz w:val="18"/>
                <w:szCs w:val="18"/>
              </w:rPr>
            </w:pPr>
            <w:r>
              <w:rPr>
                <w:rFonts w:ascii="新宋体" w:hAnsi="新宋体" w:cs="新宋体" w:eastAsia="新宋体" w:hint="default"/>
                <w:spacing w:val="-4"/>
                <w:sz w:val="18"/>
                <w:szCs w:val="18"/>
              </w:rPr>
              <w:t>依据项目总体规划进程，目前处</w:t>
            </w:r>
            <w:r>
              <w:rPr>
                <w:rFonts w:ascii="新宋体" w:hAnsi="新宋体" w:cs="新宋体" w:eastAsia="新宋体" w:hint="default"/>
                <w:spacing w:val="-87"/>
                <w:sz w:val="18"/>
                <w:szCs w:val="18"/>
              </w:rPr>
              <w:t> </w:t>
            </w:r>
            <w:r>
              <w:rPr>
                <w:rFonts w:ascii="新宋体" w:hAnsi="新宋体" w:cs="新宋体" w:eastAsia="新宋体" w:hint="default"/>
                <w:spacing w:val="-87"/>
                <w:sz w:val="18"/>
                <w:szCs w:val="18"/>
              </w:rPr>
            </w:r>
            <w:r>
              <w:rPr>
                <w:rFonts w:ascii="新宋体" w:hAnsi="新宋体" w:cs="新宋体" w:eastAsia="新宋体" w:hint="default"/>
                <w:sz w:val="18"/>
                <w:szCs w:val="18"/>
              </w:rPr>
              <w:t>在产品定型测试阶段。</w:t>
            </w:r>
          </w:p>
        </w:tc>
      </w:tr>
      <w:tr>
        <w:trPr>
          <w:trHeight w:val="427"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7</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多参数标定系统</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研发阶段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2014</w:t>
            </w:r>
            <w:r>
              <w:rPr>
                <w:rFonts w:ascii="新宋体" w:hAnsi="新宋体" w:cs="新宋体" w:eastAsia="新宋体" w:hint="default"/>
                <w:sz w:val="18"/>
                <w:szCs w:val="18"/>
              </w:rPr>
              <w:t>年完成</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研发过程中。</w:t>
            </w:r>
          </w:p>
        </w:tc>
      </w:tr>
      <w:tr>
        <w:trPr>
          <w:trHeight w:val="739"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NDIR</w:t>
            </w:r>
            <w:r>
              <w:rPr>
                <w:rFonts w:ascii="新宋体" w:hAnsi="新宋体" w:cs="新宋体" w:eastAsia="新宋体" w:hint="default"/>
                <w:sz w:val="18"/>
                <w:szCs w:val="18"/>
              </w:rPr>
              <w:t>传感器改进</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样机阶段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年具备可生产能力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8"/>
              <w:ind w:left="4" w:right="-2"/>
              <w:jc w:val="left"/>
              <w:rPr>
                <w:rFonts w:ascii="新宋体" w:hAnsi="新宋体" w:cs="新宋体" w:eastAsia="新宋体" w:hint="default"/>
                <w:sz w:val="18"/>
                <w:szCs w:val="18"/>
              </w:rPr>
            </w:pPr>
            <w:r>
              <w:rPr>
                <w:rFonts w:ascii="新宋体" w:hAnsi="新宋体" w:cs="新宋体" w:eastAsia="新宋体" w:hint="default"/>
                <w:spacing w:val="-4"/>
                <w:sz w:val="18"/>
                <w:szCs w:val="18"/>
              </w:rPr>
              <w:t>依据项目总体规划进程，目前处</w:t>
            </w:r>
            <w:r>
              <w:rPr>
                <w:rFonts w:ascii="新宋体" w:hAnsi="新宋体" w:cs="新宋体" w:eastAsia="新宋体" w:hint="default"/>
                <w:spacing w:val="-87"/>
                <w:sz w:val="18"/>
                <w:szCs w:val="18"/>
              </w:rPr>
              <w:t> </w:t>
            </w:r>
            <w:r>
              <w:rPr>
                <w:rFonts w:ascii="新宋体" w:hAnsi="新宋体" w:cs="新宋体" w:eastAsia="新宋体" w:hint="default"/>
                <w:spacing w:val="-87"/>
                <w:sz w:val="18"/>
                <w:szCs w:val="18"/>
              </w:rPr>
            </w:r>
            <w:r>
              <w:rPr>
                <w:rFonts w:ascii="新宋体" w:hAnsi="新宋体" w:cs="新宋体" w:eastAsia="新宋体" w:hint="default"/>
                <w:sz w:val="18"/>
                <w:szCs w:val="18"/>
              </w:rPr>
              <w:t>在产品定型阶段。</w:t>
            </w:r>
          </w:p>
        </w:tc>
      </w:tr>
      <w:tr>
        <w:trPr>
          <w:trHeight w:val="740"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9</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基于</w:t>
            </w:r>
            <w:r>
              <w:rPr>
                <w:rFonts w:ascii="新宋体" w:hAnsi="新宋体" w:cs="新宋体" w:eastAsia="新宋体" w:hint="default"/>
                <w:sz w:val="18"/>
                <w:szCs w:val="18"/>
              </w:rPr>
              <w:t>MESH</w:t>
            </w:r>
            <w:r>
              <w:rPr>
                <w:rFonts w:ascii="新宋体" w:hAnsi="新宋体" w:cs="新宋体" w:eastAsia="新宋体" w:hint="default"/>
                <w:sz w:val="18"/>
                <w:szCs w:val="18"/>
              </w:rPr>
              <w:t>技术的气体泄漏系统开发</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样机阶段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年具备可生产能力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8"/>
              <w:ind w:left="4" w:right="121"/>
              <w:jc w:val="left"/>
              <w:rPr>
                <w:rFonts w:ascii="新宋体" w:hAnsi="新宋体" w:cs="新宋体" w:eastAsia="新宋体" w:hint="default"/>
                <w:sz w:val="18"/>
                <w:szCs w:val="18"/>
              </w:rPr>
            </w:pPr>
            <w:r>
              <w:rPr>
                <w:rFonts w:ascii="新宋体" w:hAnsi="新宋体" w:cs="新宋体" w:eastAsia="新宋体" w:hint="default"/>
                <w:sz w:val="18"/>
                <w:szCs w:val="18"/>
              </w:rPr>
              <w:t>依据项目总体规划进程，</w:t>
            </w:r>
            <w:r>
              <w:rPr>
                <w:rFonts w:ascii="新宋体" w:hAnsi="新宋体" w:cs="新宋体" w:eastAsia="新宋体" w:hint="default"/>
                <w:sz w:val="18"/>
                <w:szCs w:val="18"/>
              </w:rPr>
              <w:t>2013 </w:t>
            </w:r>
            <w:r>
              <w:rPr>
                <w:rFonts w:ascii="新宋体" w:hAnsi="新宋体" w:cs="新宋体" w:eastAsia="新宋体" w:hint="default"/>
                <w:sz w:val="18"/>
                <w:szCs w:val="18"/>
              </w:rPr>
              <w:t>年下半年实现投产。</w:t>
            </w:r>
          </w:p>
        </w:tc>
      </w:tr>
      <w:tr>
        <w:trPr>
          <w:trHeight w:val="739"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6" w:right="0"/>
              <w:jc w:val="center"/>
              <w:rPr>
                <w:rFonts w:ascii="新宋体" w:hAnsi="新宋体" w:cs="新宋体" w:eastAsia="新宋体" w:hint="default"/>
                <w:sz w:val="18"/>
                <w:szCs w:val="18"/>
              </w:rPr>
            </w:pPr>
            <w:r>
              <w:rPr>
                <w:rFonts w:ascii="新宋体"/>
                <w:sz w:val="18"/>
              </w:rPr>
              <w:t>10</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燃气无线管理平台系统拓展增加压力流量子系统</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研发阶段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年完成</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8"/>
              <w:ind w:left="4" w:right="-2"/>
              <w:jc w:val="left"/>
              <w:rPr>
                <w:rFonts w:ascii="新宋体" w:hAnsi="新宋体" w:cs="新宋体" w:eastAsia="新宋体" w:hint="default"/>
                <w:sz w:val="18"/>
                <w:szCs w:val="18"/>
              </w:rPr>
            </w:pPr>
            <w:r>
              <w:rPr>
                <w:rFonts w:ascii="新宋体" w:hAnsi="新宋体" w:cs="新宋体" w:eastAsia="新宋体" w:hint="default"/>
                <w:spacing w:val="-4"/>
                <w:sz w:val="18"/>
                <w:szCs w:val="18"/>
              </w:rPr>
              <w:t>依据项目总体规划进程，目前产</w:t>
            </w:r>
            <w:r>
              <w:rPr>
                <w:rFonts w:ascii="新宋体" w:hAnsi="新宋体" w:cs="新宋体" w:eastAsia="新宋体" w:hint="default"/>
                <w:spacing w:val="-87"/>
                <w:sz w:val="18"/>
                <w:szCs w:val="18"/>
              </w:rPr>
              <w:t> </w:t>
            </w:r>
            <w:r>
              <w:rPr>
                <w:rFonts w:ascii="新宋体" w:hAnsi="新宋体" w:cs="新宋体" w:eastAsia="新宋体" w:hint="default"/>
                <w:spacing w:val="-87"/>
                <w:sz w:val="18"/>
                <w:szCs w:val="18"/>
              </w:rPr>
            </w:r>
            <w:r>
              <w:rPr>
                <w:rFonts w:ascii="新宋体" w:hAnsi="新宋体" w:cs="新宋体" w:eastAsia="新宋体" w:hint="default"/>
                <w:sz w:val="18"/>
                <w:szCs w:val="18"/>
              </w:rPr>
              <w:t>品已定型，处在试销售阶段。</w:t>
            </w:r>
          </w:p>
        </w:tc>
      </w:tr>
      <w:tr>
        <w:trPr>
          <w:trHeight w:val="737"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6" w:right="0"/>
              <w:jc w:val="center"/>
              <w:rPr>
                <w:rFonts w:ascii="新宋体" w:hAnsi="新宋体" w:cs="新宋体" w:eastAsia="新宋体" w:hint="default"/>
                <w:sz w:val="18"/>
                <w:szCs w:val="18"/>
              </w:rPr>
            </w:pPr>
            <w:r>
              <w:rPr>
                <w:rFonts w:ascii="新宋体"/>
                <w:sz w:val="18"/>
              </w:rPr>
              <w:t>11</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KJ169</w:t>
            </w:r>
            <w:r>
              <w:rPr>
                <w:rFonts w:ascii="新宋体" w:hAnsi="新宋体" w:cs="新宋体" w:eastAsia="新宋体" w:hint="default"/>
                <w:sz w:val="18"/>
                <w:szCs w:val="18"/>
              </w:rPr>
              <w:t>安监系统软件升级</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测试阶段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8"/>
              <w:ind w:left="4" w:right="121"/>
              <w:jc w:val="left"/>
              <w:rPr>
                <w:rFonts w:ascii="新宋体" w:hAnsi="新宋体" w:cs="新宋体" w:eastAsia="新宋体" w:hint="default"/>
                <w:sz w:val="18"/>
                <w:szCs w:val="18"/>
              </w:rPr>
            </w:pPr>
            <w:r>
              <w:rPr>
                <w:rFonts w:ascii="新宋体" w:hAnsi="新宋体" w:cs="新宋体" w:eastAsia="新宋体" w:hint="default"/>
                <w:sz w:val="18"/>
                <w:szCs w:val="18"/>
              </w:rPr>
              <w:t>依据项目总体规划进程，</w:t>
            </w:r>
            <w:r>
              <w:rPr>
                <w:rFonts w:ascii="新宋体" w:hAnsi="新宋体" w:cs="新宋体" w:eastAsia="新宋体" w:hint="default"/>
                <w:sz w:val="18"/>
                <w:szCs w:val="18"/>
              </w:rPr>
              <w:t>2013 </w:t>
            </w:r>
            <w:r>
              <w:rPr>
                <w:rFonts w:ascii="新宋体" w:hAnsi="新宋体" w:cs="新宋体" w:eastAsia="新宋体" w:hint="default"/>
                <w:sz w:val="18"/>
                <w:szCs w:val="18"/>
              </w:rPr>
              <w:t>年下半年实现投产。</w:t>
            </w:r>
          </w:p>
        </w:tc>
      </w:tr>
      <w:tr>
        <w:trPr>
          <w:trHeight w:val="739"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6" w:right="0"/>
              <w:jc w:val="center"/>
              <w:rPr>
                <w:rFonts w:ascii="新宋体" w:hAnsi="新宋体" w:cs="新宋体" w:eastAsia="新宋体" w:hint="default"/>
                <w:sz w:val="18"/>
                <w:szCs w:val="18"/>
              </w:rPr>
            </w:pPr>
            <w:r>
              <w:rPr>
                <w:rFonts w:ascii="新宋体"/>
                <w:sz w:val="18"/>
              </w:rPr>
              <w:t>12</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公建空调温度检测系统</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样机阶段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61"/>
              <w:ind w:left="4" w:right="121"/>
              <w:jc w:val="left"/>
              <w:rPr>
                <w:rFonts w:ascii="新宋体" w:hAnsi="新宋体" w:cs="新宋体" w:eastAsia="新宋体" w:hint="default"/>
                <w:sz w:val="18"/>
                <w:szCs w:val="18"/>
              </w:rPr>
            </w:pPr>
            <w:r>
              <w:rPr>
                <w:rFonts w:ascii="新宋体" w:hAnsi="新宋体" w:cs="新宋体" w:eastAsia="新宋体" w:hint="default"/>
                <w:sz w:val="18"/>
                <w:szCs w:val="18"/>
              </w:rPr>
              <w:t>依据项目总体规划进程，</w:t>
            </w:r>
            <w:r>
              <w:rPr>
                <w:rFonts w:ascii="新宋体" w:hAnsi="新宋体" w:cs="新宋体" w:eastAsia="新宋体" w:hint="default"/>
                <w:sz w:val="18"/>
                <w:szCs w:val="18"/>
              </w:rPr>
              <w:t>2013 </w:t>
            </w:r>
            <w:r>
              <w:rPr>
                <w:rFonts w:ascii="新宋体" w:hAnsi="新宋体" w:cs="新宋体" w:eastAsia="新宋体" w:hint="default"/>
                <w:sz w:val="18"/>
                <w:szCs w:val="18"/>
              </w:rPr>
              <w:t>年下半年实现投产。</w:t>
            </w:r>
          </w:p>
        </w:tc>
      </w:tr>
      <w:tr>
        <w:trPr>
          <w:trHeight w:val="739"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6" w:right="0"/>
              <w:jc w:val="center"/>
              <w:rPr>
                <w:rFonts w:ascii="新宋体" w:hAnsi="新宋体" w:cs="新宋体" w:eastAsia="新宋体" w:hint="default"/>
                <w:sz w:val="18"/>
                <w:szCs w:val="18"/>
              </w:rPr>
            </w:pPr>
            <w:r>
              <w:rPr>
                <w:rFonts w:ascii="新宋体"/>
                <w:sz w:val="18"/>
              </w:rPr>
              <w:t>14</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公建照明监测系统</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样机阶段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61"/>
              <w:ind w:left="4" w:right="121"/>
              <w:jc w:val="left"/>
              <w:rPr>
                <w:rFonts w:ascii="新宋体" w:hAnsi="新宋体" w:cs="新宋体" w:eastAsia="新宋体" w:hint="default"/>
                <w:sz w:val="18"/>
                <w:szCs w:val="18"/>
              </w:rPr>
            </w:pPr>
            <w:r>
              <w:rPr>
                <w:rFonts w:ascii="新宋体" w:hAnsi="新宋体" w:cs="新宋体" w:eastAsia="新宋体" w:hint="default"/>
                <w:sz w:val="18"/>
                <w:szCs w:val="18"/>
              </w:rPr>
              <w:t>依据项目总体规划进程，</w:t>
            </w:r>
            <w:r>
              <w:rPr>
                <w:rFonts w:ascii="新宋体" w:hAnsi="新宋体" w:cs="新宋体" w:eastAsia="新宋体" w:hint="default"/>
                <w:sz w:val="18"/>
                <w:szCs w:val="18"/>
              </w:rPr>
              <w:t>2013 </w:t>
            </w:r>
            <w:r>
              <w:rPr>
                <w:rFonts w:ascii="新宋体" w:hAnsi="新宋体" w:cs="新宋体" w:eastAsia="新宋体" w:hint="default"/>
                <w:sz w:val="18"/>
                <w:szCs w:val="18"/>
              </w:rPr>
              <w:t>年下半年实现投产。</w:t>
            </w:r>
          </w:p>
        </w:tc>
      </w:tr>
      <w:tr>
        <w:trPr>
          <w:trHeight w:val="427"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6" w:right="0"/>
              <w:jc w:val="center"/>
              <w:rPr>
                <w:rFonts w:ascii="新宋体" w:hAnsi="新宋体" w:cs="新宋体" w:eastAsia="新宋体" w:hint="default"/>
                <w:sz w:val="18"/>
                <w:szCs w:val="18"/>
              </w:rPr>
            </w:pPr>
            <w:r>
              <w:rPr>
                <w:rFonts w:ascii="新宋体"/>
                <w:sz w:val="18"/>
              </w:rPr>
              <w:t>15</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汉威非煤矿山监控系统平台升级和拓展</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研发阶段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年完成</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研发过程中。</w:t>
            </w:r>
          </w:p>
        </w:tc>
      </w:tr>
      <w:tr>
        <w:trPr>
          <w:trHeight w:val="740"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6" w:right="0"/>
              <w:jc w:val="center"/>
              <w:rPr>
                <w:rFonts w:ascii="新宋体" w:hAnsi="新宋体" w:cs="新宋体" w:eastAsia="新宋体" w:hint="default"/>
                <w:sz w:val="18"/>
                <w:szCs w:val="18"/>
              </w:rPr>
            </w:pPr>
            <w:r>
              <w:rPr>
                <w:rFonts w:ascii="新宋体"/>
                <w:sz w:val="18"/>
              </w:rPr>
              <w:t>16</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新型压力传感器研发</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研发阶段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2014</w:t>
            </w:r>
            <w:r>
              <w:rPr>
                <w:rFonts w:ascii="新宋体" w:hAnsi="新宋体" w:cs="新宋体" w:eastAsia="新宋体" w:hint="default"/>
                <w:sz w:val="18"/>
                <w:szCs w:val="18"/>
              </w:rPr>
              <w:t>年完成</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61"/>
              <w:ind w:left="4" w:right="-2"/>
              <w:jc w:val="left"/>
              <w:rPr>
                <w:rFonts w:ascii="新宋体" w:hAnsi="新宋体" w:cs="新宋体" w:eastAsia="新宋体" w:hint="default"/>
                <w:sz w:val="18"/>
                <w:szCs w:val="18"/>
              </w:rPr>
            </w:pPr>
            <w:r>
              <w:rPr>
                <w:rFonts w:ascii="新宋体" w:hAnsi="新宋体" w:cs="新宋体" w:eastAsia="新宋体" w:hint="default"/>
                <w:spacing w:val="-4"/>
                <w:sz w:val="18"/>
                <w:szCs w:val="18"/>
              </w:rPr>
              <w:t>依据项目总体规划进程，目前处</w:t>
            </w:r>
            <w:r>
              <w:rPr>
                <w:rFonts w:ascii="新宋体" w:hAnsi="新宋体" w:cs="新宋体" w:eastAsia="新宋体" w:hint="default"/>
                <w:spacing w:val="-87"/>
                <w:sz w:val="18"/>
                <w:szCs w:val="18"/>
              </w:rPr>
              <w:t> </w:t>
            </w:r>
            <w:r>
              <w:rPr>
                <w:rFonts w:ascii="新宋体" w:hAnsi="新宋体" w:cs="新宋体" w:eastAsia="新宋体" w:hint="default"/>
                <w:spacing w:val="-87"/>
                <w:sz w:val="18"/>
                <w:szCs w:val="18"/>
              </w:rPr>
            </w:r>
            <w:r>
              <w:rPr>
                <w:rFonts w:ascii="新宋体" w:hAnsi="新宋体" w:cs="新宋体" w:eastAsia="新宋体" w:hint="default"/>
                <w:sz w:val="18"/>
                <w:szCs w:val="18"/>
              </w:rPr>
              <w:t>在产品前期调研阶段。</w:t>
            </w:r>
          </w:p>
        </w:tc>
      </w:tr>
      <w:tr>
        <w:trPr>
          <w:trHeight w:val="427"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6" w:right="0"/>
              <w:jc w:val="center"/>
              <w:rPr>
                <w:rFonts w:ascii="新宋体" w:hAnsi="新宋体" w:cs="新宋体" w:eastAsia="新宋体" w:hint="default"/>
                <w:sz w:val="18"/>
                <w:szCs w:val="18"/>
              </w:rPr>
            </w:pPr>
            <w:r>
              <w:rPr>
                <w:rFonts w:ascii="新宋体"/>
                <w:sz w:val="18"/>
              </w:rPr>
              <w:t>17</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企业级安监平台升级</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结项</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z w:val="18"/>
                <w:szCs w:val="18"/>
              </w:rPr>
              <w:t>年完成</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已完成研发。</w:t>
            </w:r>
          </w:p>
        </w:tc>
      </w:tr>
      <w:tr>
        <w:trPr>
          <w:trHeight w:val="739"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6" w:right="0"/>
              <w:jc w:val="center"/>
              <w:rPr>
                <w:rFonts w:ascii="新宋体" w:hAnsi="新宋体" w:cs="新宋体" w:eastAsia="新宋体" w:hint="default"/>
                <w:sz w:val="18"/>
                <w:szCs w:val="18"/>
              </w:rPr>
            </w:pPr>
            <w:r>
              <w:rPr>
                <w:rFonts w:ascii="新宋体"/>
                <w:sz w:val="18"/>
              </w:rPr>
              <w:t>18</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政府级安监平台升级</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测试阶段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年完成</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8"/>
              <w:ind w:left="4" w:right="121"/>
              <w:jc w:val="left"/>
              <w:rPr>
                <w:rFonts w:ascii="新宋体" w:hAnsi="新宋体" w:cs="新宋体" w:eastAsia="新宋体" w:hint="default"/>
                <w:sz w:val="18"/>
                <w:szCs w:val="18"/>
              </w:rPr>
            </w:pPr>
            <w:r>
              <w:rPr>
                <w:rFonts w:ascii="新宋体" w:hAnsi="新宋体" w:cs="新宋体" w:eastAsia="新宋体" w:hint="default"/>
                <w:sz w:val="18"/>
                <w:szCs w:val="18"/>
              </w:rPr>
              <w:t>依据项目总体规划进程，</w:t>
            </w:r>
            <w:r>
              <w:rPr>
                <w:rFonts w:ascii="新宋体" w:hAnsi="新宋体" w:cs="新宋体" w:eastAsia="新宋体" w:hint="default"/>
                <w:sz w:val="18"/>
                <w:szCs w:val="18"/>
              </w:rPr>
              <w:t>2013 </w:t>
            </w:r>
            <w:r>
              <w:rPr>
                <w:rFonts w:ascii="新宋体" w:hAnsi="新宋体" w:cs="新宋体" w:eastAsia="新宋体" w:hint="default"/>
                <w:sz w:val="18"/>
                <w:szCs w:val="18"/>
              </w:rPr>
              <w:t>年下半年完成。</w:t>
            </w:r>
          </w:p>
        </w:tc>
      </w:tr>
      <w:tr>
        <w:trPr>
          <w:trHeight w:val="739"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6" w:right="0"/>
              <w:jc w:val="center"/>
              <w:rPr>
                <w:rFonts w:ascii="新宋体" w:hAnsi="新宋体" w:cs="新宋体" w:eastAsia="新宋体" w:hint="default"/>
                <w:sz w:val="18"/>
                <w:szCs w:val="18"/>
              </w:rPr>
            </w:pPr>
            <w:r>
              <w:rPr>
                <w:rFonts w:ascii="新宋体"/>
                <w:sz w:val="18"/>
              </w:rPr>
              <w:t>19</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基于拟实施国标的可燃气体探测器平台升级</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论证阶段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2014</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8"/>
              <w:ind w:left="4" w:right="-3"/>
              <w:jc w:val="left"/>
              <w:rPr>
                <w:rFonts w:ascii="新宋体" w:hAnsi="新宋体" w:cs="新宋体" w:eastAsia="新宋体" w:hint="default"/>
                <w:sz w:val="18"/>
                <w:szCs w:val="18"/>
              </w:rPr>
            </w:pPr>
            <w:r>
              <w:rPr>
                <w:rFonts w:ascii="新宋体" w:hAnsi="新宋体" w:cs="新宋体" w:eastAsia="新宋体" w:hint="default"/>
                <w:spacing w:val="-4"/>
                <w:sz w:val="18"/>
                <w:szCs w:val="18"/>
              </w:rPr>
              <w:t>依据项目总体规划进程，项目处</w:t>
            </w:r>
            <w:r>
              <w:rPr>
                <w:rFonts w:ascii="新宋体" w:hAnsi="新宋体" w:cs="新宋体" w:eastAsia="新宋体" w:hint="default"/>
                <w:spacing w:val="-87"/>
                <w:sz w:val="18"/>
                <w:szCs w:val="18"/>
              </w:rPr>
              <w:t> </w:t>
            </w:r>
            <w:r>
              <w:rPr>
                <w:rFonts w:ascii="新宋体" w:hAnsi="新宋体" w:cs="新宋体" w:eastAsia="新宋体" w:hint="default"/>
                <w:spacing w:val="-87"/>
                <w:sz w:val="18"/>
                <w:szCs w:val="18"/>
              </w:rPr>
            </w:r>
            <w:r>
              <w:rPr>
                <w:rFonts w:ascii="新宋体" w:hAnsi="新宋体" w:cs="新宋体" w:eastAsia="新宋体" w:hint="default"/>
                <w:sz w:val="18"/>
                <w:szCs w:val="18"/>
              </w:rPr>
              <w:t>在方案论证阶段。</w:t>
            </w:r>
          </w:p>
        </w:tc>
      </w:tr>
      <w:tr>
        <w:trPr>
          <w:trHeight w:val="739"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6" w:right="0"/>
              <w:jc w:val="center"/>
              <w:rPr>
                <w:rFonts w:ascii="新宋体" w:hAnsi="新宋体" w:cs="新宋体" w:eastAsia="新宋体" w:hint="default"/>
                <w:sz w:val="18"/>
                <w:szCs w:val="18"/>
              </w:rPr>
            </w:pPr>
            <w:r>
              <w:rPr>
                <w:rFonts w:ascii="新宋体"/>
                <w:sz w:val="18"/>
              </w:rPr>
              <w:t>20</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微型智能半导体气体传感器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测试阶段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8"/>
              <w:ind w:left="4" w:right="-2"/>
              <w:jc w:val="left"/>
              <w:rPr>
                <w:rFonts w:ascii="新宋体" w:hAnsi="新宋体" w:cs="新宋体" w:eastAsia="新宋体" w:hint="default"/>
                <w:sz w:val="18"/>
                <w:szCs w:val="18"/>
              </w:rPr>
            </w:pPr>
            <w:r>
              <w:rPr>
                <w:rFonts w:ascii="新宋体" w:hAnsi="新宋体" w:cs="新宋体" w:eastAsia="新宋体" w:hint="default"/>
                <w:spacing w:val="-4"/>
                <w:sz w:val="18"/>
                <w:szCs w:val="18"/>
              </w:rPr>
              <w:t>依据项目总体规划进程，目前处</w:t>
            </w:r>
            <w:r>
              <w:rPr>
                <w:rFonts w:ascii="新宋体" w:hAnsi="新宋体" w:cs="新宋体" w:eastAsia="新宋体" w:hint="default"/>
                <w:spacing w:val="-87"/>
                <w:sz w:val="18"/>
                <w:szCs w:val="18"/>
              </w:rPr>
              <w:t> </w:t>
            </w:r>
            <w:r>
              <w:rPr>
                <w:rFonts w:ascii="新宋体" w:hAnsi="新宋体" w:cs="新宋体" w:eastAsia="新宋体" w:hint="default"/>
                <w:spacing w:val="-87"/>
                <w:sz w:val="18"/>
                <w:szCs w:val="18"/>
              </w:rPr>
            </w:r>
            <w:r>
              <w:rPr>
                <w:rFonts w:ascii="新宋体" w:hAnsi="新宋体" w:cs="新宋体" w:eastAsia="新宋体" w:hint="default"/>
                <w:sz w:val="18"/>
                <w:szCs w:val="18"/>
              </w:rPr>
              <w:t>在测试阶段。</w:t>
            </w:r>
          </w:p>
        </w:tc>
      </w:tr>
      <w:tr>
        <w:trPr>
          <w:trHeight w:val="740"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6" w:right="0"/>
              <w:jc w:val="center"/>
              <w:rPr>
                <w:rFonts w:ascii="新宋体" w:hAnsi="新宋体" w:cs="新宋体" w:eastAsia="新宋体" w:hint="default"/>
                <w:sz w:val="18"/>
                <w:szCs w:val="18"/>
              </w:rPr>
            </w:pPr>
            <w:r>
              <w:rPr>
                <w:rFonts w:ascii="新宋体"/>
                <w:sz w:val="18"/>
              </w:rPr>
              <w:t>21</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基于双光路气体探测技术的煤矿安全监控系统</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研发阶段</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2013</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8"/>
              <w:ind w:left="4" w:right="-2"/>
              <w:jc w:val="left"/>
              <w:rPr>
                <w:rFonts w:ascii="新宋体" w:hAnsi="新宋体" w:cs="新宋体" w:eastAsia="新宋体" w:hint="default"/>
                <w:sz w:val="18"/>
                <w:szCs w:val="18"/>
              </w:rPr>
            </w:pPr>
            <w:r>
              <w:rPr>
                <w:rFonts w:ascii="新宋体" w:hAnsi="新宋体" w:cs="新宋体" w:eastAsia="新宋体" w:hint="default"/>
                <w:spacing w:val="-4"/>
                <w:sz w:val="18"/>
                <w:szCs w:val="18"/>
              </w:rPr>
              <w:t>依据项目总体规划进程，项目处</w:t>
            </w:r>
            <w:r>
              <w:rPr>
                <w:rFonts w:ascii="新宋体" w:hAnsi="新宋体" w:cs="新宋体" w:eastAsia="新宋体" w:hint="default"/>
                <w:spacing w:val="-87"/>
                <w:sz w:val="18"/>
                <w:szCs w:val="18"/>
              </w:rPr>
              <w:t> </w:t>
            </w:r>
            <w:r>
              <w:rPr>
                <w:rFonts w:ascii="新宋体" w:hAnsi="新宋体" w:cs="新宋体" w:eastAsia="新宋体" w:hint="default"/>
                <w:spacing w:val="-87"/>
                <w:sz w:val="18"/>
                <w:szCs w:val="18"/>
              </w:rPr>
            </w:r>
            <w:r>
              <w:rPr>
                <w:rFonts w:ascii="新宋体" w:hAnsi="新宋体" w:cs="新宋体" w:eastAsia="新宋体" w:hint="default"/>
                <w:sz w:val="18"/>
                <w:szCs w:val="18"/>
              </w:rPr>
              <w:t>在方案实施验证阶段。</w:t>
            </w:r>
          </w:p>
        </w:tc>
      </w:tr>
      <w:tr>
        <w:trPr>
          <w:trHeight w:val="746" w:hRule="exact"/>
        </w:trPr>
        <w:tc>
          <w:tcPr>
            <w:tcW w:w="53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left="6" w:right="0"/>
              <w:jc w:val="center"/>
              <w:rPr>
                <w:rFonts w:ascii="新宋体" w:hAnsi="新宋体" w:cs="新宋体" w:eastAsia="新宋体" w:hint="default"/>
                <w:sz w:val="18"/>
                <w:szCs w:val="18"/>
              </w:rPr>
            </w:pPr>
            <w:r>
              <w:rPr>
                <w:rFonts w:ascii="新宋体"/>
                <w:sz w:val="18"/>
              </w:rPr>
              <w:t>22</w:t>
            </w:r>
          </w:p>
        </w:tc>
        <w:tc>
          <w:tcPr>
            <w:tcW w:w="392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8"/>
              <w:ind w:left="4" w:right="128"/>
              <w:jc w:val="left"/>
              <w:rPr>
                <w:rFonts w:ascii="新宋体" w:hAnsi="新宋体" w:cs="新宋体" w:eastAsia="新宋体" w:hint="default"/>
                <w:sz w:val="18"/>
                <w:szCs w:val="18"/>
              </w:rPr>
            </w:pPr>
            <w:r>
              <w:rPr>
                <w:rFonts w:ascii="新宋体" w:hAnsi="新宋体" w:cs="新宋体" w:eastAsia="新宋体" w:hint="default"/>
                <w:sz w:val="18"/>
                <w:szCs w:val="18"/>
              </w:rPr>
              <w:t>电化学式气体探测智能终端关键技术研发及产业 化项目</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研发阶段</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2014</w:t>
            </w:r>
            <w:r>
              <w:rPr>
                <w:rFonts w:ascii="新宋体" w:hAnsi="新宋体" w:cs="新宋体" w:eastAsia="新宋体" w:hint="default"/>
                <w:sz w:val="18"/>
                <w:szCs w:val="18"/>
              </w:rPr>
              <w:t>年具备生产能力</w:t>
            </w:r>
          </w:p>
        </w:tc>
        <w:tc>
          <w:tcPr>
            <w:tcW w:w="24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研发过程中。</w:t>
            </w:r>
          </w:p>
        </w:tc>
      </w:tr>
    </w:tbl>
    <w:p>
      <w:pPr>
        <w:pStyle w:val="BodyText"/>
        <w:spacing w:line="357" w:lineRule="auto" w:before="39"/>
        <w:ind w:left="412" w:right="0" w:firstLine="566"/>
        <w:jc w:val="left"/>
        <w:rPr>
          <w:rFonts w:ascii="宋体" w:hAnsi="宋体" w:cs="宋体" w:eastAsia="宋体" w:hint="default"/>
        </w:rPr>
      </w:pPr>
      <w:r>
        <w:rPr>
          <w:rFonts w:ascii="宋体" w:hAnsi="宋体" w:cs="宋体" w:eastAsia="宋体" w:hint="default"/>
          <w:spacing w:val="-3"/>
        </w:rPr>
        <w:t>报告期内，公司引进人才，加大行业物联网研发投入，产品升级改造，本期研发支出</w:t>
      </w:r>
      <w:r>
        <w:rPr>
          <w:rFonts w:ascii="宋体" w:hAnsi="宋体" w:cs="宋体" w:eastAsia="宋体" w:hint="default"/>
        </w:rPr>
        <w:t> 较上年有较大增长。报告期内，公司研发支出未进行资本化。</w:t>
      </w:r>
    </w:p>
    <w:p>
      <w:pPr>
        <w:spacing w:after="0" w:line="357" w:lineRule="auto"/>
        <w:jc w:val="left"/>
        <w:rPr>
          <w:rFonts w:ascii="宋体" w:hAnsi="宋体" w:cs="宋体" w:eastAsia="宋体" w:hint="default"/>
        </w:rPr>
        <w:sectPr>
          <w:pgSz w:w="11910" w:h="16840"/>
          <w:pgMar w:header="555" w:footer="980" w:top="1100" w:bottom="1160" w:left="720" w:right="1000"/>
        </w:sectPr>
      </w:pPr>
    </w:p>
    <w:p>
      <w:pPr>
        <w:spacing w:line="240" w:lineRule="auto" w:before="7"/>
        <w:rPr>
          <w:rFonts w:ascii="宋体" w:hAnsi="宋体" w:cs="宋体" w:eastAsia="宋体" w:hint="default"/>
          <w:sz w:val="25"/>
          <w:szCs w:val="25"/>
        </w:rPr>
      </w:pPr>
    </w:p>
    <w:p>
      <w:pPr>
        <w:pStyle w:val="BodyText"/>
        <w:spacing w:line="240" w:lineRule="auto" w:before="26"/>
        <w:ind w:left="698" w:right="393"/>
        <w:jc w:val="left"/>
        <w:rPr>
          <w:rFonts w:ascii="宋体" w:hAnsi="宋体" w:cs="宋体" w:eastAsia="宋体" w:hint="default"/>
        </w:rPr>
      </w:pPr>
      <w:r>
        <w:rPr>
          <w:rFonts w:ascii="宋体" w:hAnsi="宋体" w:cs="宋体" w:eastAsia="宋体" w:hint="default"/>
        </w:rPr>
        <w:t>近三年公司研发投入金额及占营业收入的比例：</w:t>
      </w:r>
    </w:p>
    <w:p>
      <w:pPr>
        <w:spacing w:line="240" w:lineRule="auto" w:before="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2934"/>
        <w:gridCol w:w="2134"/>
        <w:gridCol w:w="2132"/>
        <w:gridCol w:w="2271"/>
      </w:tblGrid>
      <w:tr>
        <w:trPr>
          <w:trHeight w:val="412" w:hRule="exact"/>
        </w:trPr>
        <w:tc>
          <w:tcPr>
            <w:tcW w:w="293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2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213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0"/>
              <w:jc w:val="center"/>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22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7"/>
              <w:ind w:left="7" w:right="0"/>
              <w:jc w:val="center"/>
              <w:rPr>
                <w:rFonts w:ascii="新宋体" w:hAnsi="新宋体" w:cs="新宋体" w:eastAsia="新宋体" w:hint="default"/>
                <w:sz w:val="18"/>
                <w:szCs w:val="18"/>
              </w:rPr>
            </w:pPr>
            <w:r>
              <w:rPr>
                <w:rFonts w:ascii="新宋体" w:hAnsi="新宋体" w:cs="新宋体" w:eastAsia="新宋体" w:hint="default"/>
                <w:sz w:val="18"/>
                <w:szCs w:val="18"/>
              </w:rPr>
              <w:t>2010</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r>
      <w:tr>
        <w:trPr>
          <w:trHeight w:val="408" w:hRule="exact"/>
        </w:trPr>
        <w:tc>
          <w:tcPr>
            <w:tcW w:w="293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研发投入金额（元）</w:t>
            </w:r>
          </w:p>
        </w:tc>
        <w:tc>
          <w:tcPr>
            <w:tcW w:w="213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pacing w:val="-1"/>
                <w:sz w:val="18"/>
              </w:rPr>
              <w:t>26,913,188.77</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17,664,376.60</w:t>
            </w:r>
          </w:p>
        </w:tc>
        <w:tc>
          <w:tcPr>
            <w:tcW w:w="22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新宋体" w:hAnsi="新宋体" w:cs="新宋体" w:eastAsia="新宋体" w:hint="default"/>
                <w:sz w:val="18"/>
                <w:szCs w:val="18"/>
              </w:rPr>
            </w:pPr>
            <w:r>
              <w:rPr>
                <w:rFonts w:ascii="新宋体"/>
                <w:spacing w:val="-1"/>
                <w:sz w:val="18"/>
              </w:rPr>
              <w:t>13,436,468.08</w:t>
            </w:r>
          </w:p>
        </w:tc>
      </w:tr>
      <w:tr>
        <w:trPr>
          <w:trHeight w:val="413" w:hRule="exact"/>
        </w:trPr>
        <w:tc>
          <w:tcPr>
            <w:tcW w:w="293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研发投入占营业收入比例（</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213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z w:val="18"/>
              </w:rPr>
              <w:t>10.18%</w:t>
            </w:r>
          </w:p>
        </w:tc>
        <w:tc>
          <w:tcPr>
            <w:tcW w:w="2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6.76%</w:t>
            </w:r>
          </w:p>
        </w:tc>
        <w:tc>
          <w:tcPr>
            <w:tcW w:w="22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7.72%</w:t>
            </w:r>
          </w:p>
        </w:tc>
      </w:tr>
    </w:tbl>
    <w:p>
      <w:pPr>
        <w:spacing w:line="240" w:lineRule="auto" w:before="3"/>
        <w:rPr>
          <w:rFonts w:ascii="宋体" w:hAnsi="宋体" w:cs="宋体" w:eastAsia="宋体" w:hint="default"/>
          <w:sz w:val="18"/>
          <w:szCs w:val="18"/>
        </w:rPr>
      </w:pPr>
    </w:p>
    <w:p>
      <w:pPr>
        <w:pStyle w:val="Heading2"/>
        <w:spacing w:line="240" w:lineRule="auto" w:before="26"/>
        <w:ind w:left="272" w:right="393"/>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1"/>
          <w:szCs w:val="21"/>
        </w:rPr>
      </w:pPr>
    </w:p>
    <w:p>
      <w:pPr>
        <w:spacing w:before="44"/>
        <w:ind w:left="0" w:right="29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607"/>
        <w:gridCol w:w="2393"/>
        <w:gridCol w:w="2393"/>
        <w:gridCol w:w="2283"/>
      </w:tblGrid>
      <w:tr>
        <w:trPr>
          <w:trHeight w:val="414" w:hRule="exact"/>
        </w:trPr>
        <w:tc>
          <w:tcPr>
            <w:tcW w:w="260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1"/>
              <w:jc w:val="center"/>
              <w:rPr>
                <w:rFonts w:ascii="新宋体" w:hAnsi="新宋体" w:cs="新宋体" w:eastAsia="新宋体" w:hint="default"/>
                <w:sz w:val="18"/>
                <w:szCs w:val="18"/>
              </w:rPr>
            </w:pPr>
            <w:r>
              <w:rPr>
                <w:rFonts w:ascii="新宋体" w:hAnsi="新宋体" w:cs="新宋体" w:eastAsia="新宋体" w:hint="default"/>
                <w:sz w:val="18"/>
                <w:szCs w:val="18"/>
              </w:rPr>
              <w:t>项目</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23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p>
        </w:tc>
        <w:tc>
          <w:tcPr>
            <w:tcW w:w="22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550" w:right="0"/>
              <w:jc w:val="left"/>
              <w:rPr>
                <w:rFonts w:ascii="新宋体" w:hAnsi="新宋体" w:cs="新宋体" w:eastAsia="新宋体" w:hint="default"/>
                <w:sz w:val="18"/>
                <w:szCs w:val="18"/>
              </w:rPr>
            </w:pPr>
            <w:r>
              <w:rPr>
                <w:rFonts w:ascii="新宋体" w:hAnsi="新宋体" w:cs="新宋体" w:eastAsia="新宋体" w:hint="default"/>
                <w:sz w:val="18"/>
                <w:szCs w:val="18"/>
              </w:rPr>
              <w:t>同比增减（</w:t>
            </w:r>
            <w:r>
              <w:rPr>
                <w:rFonts w:ascii="新宋体" w:hAnsi="新宋体" w:cs="新宋体" w:eastAsia="新宋体" w:hint="default"/>
                <w:sz w:val="18"/>
                <w:szCs w:val="18"/>
              </w:rPr>
              <w:t>%</w:t>
            </w:r>
            <w:r>
              <w:rPr>
                <w:rFonts w:ascii="新宋体" w:hAnsi="新宋体" w:cs="新宋体" w:eastAsia="新宋体" w:hint="default"/>
                <w:sz w:val="18"/>
                <w:szCs w:val="18"/>
              </w:rPr>
              <w:t>）</w:t>
            </w:r>
          </w:p>
        </w:tc>
      </w:tr>
      <w:tr>
        <w:trPr>
          <w:trHeight w:val="408"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经营活动现金流入小计</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292,417,608.16</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274,938,522.22</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6.36%</w:t>
            </w:r>
          </w:p>
        </w:tc>
      </w:tr>
      <w:tr>
        <w:trPr>
          <w:trHeight w:val="406"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经营活动现金流出小计</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266,979,715.09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250,883,681.84</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6.42%</w:t>
            </w:r>
          </w:p>
        </w:tc>
      </w:tr>
      <w:tr>
        <w:trPr>
          <w:trHeight w:val="408"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经营活动产生的现金流量净额</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25,437,893.07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24,054,840.38</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新宋体" w:hAnsi="新宋体" w:cs="新宋体" w:eastAsia="新宋体" w:hint="default"/>
                <w:sz w:val="18"/>
                <w:szCs w:val="18"/>
              </w:rPr>
            </w:pPr>
            <w:r>
              <w:rPr>
                <w:rFonts w:ascii="新宋体"/>
                <w:sz w:val="18"/>
              </w:rPr>
              <w:t>5.75%</w:t>
            </w:r>
          </w:p>
        </w:tc>
      </w:tr>
      <w:tr>
        <w:trPr>
          <w:trHeight w:val="408"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投资活动现金流入小计</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25,833,783.91</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240.00</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新宋体" w:hAnsi="新宋体" w:cs="新宋体" w:eastAsia="新宋体" w:hint="default"/>
                <w:sz w:val="18"/>
                <w:szCs w:val="18"/>
              </w:rPr>
            </w:pPr>
            <w:r>
              <w:rPr>
                <w:rFonts w:ascii="新宋体"/>
                <w:spacing w:val="-1"/>
                <w:sz w:val="18"/>
              </w:rPr>
              <w:t>10,763,976.63%</w:t>
            </w:r>
          </w:p>
        </w:tc>
      </w:tr>
      <w:tr>
        <w:trPr>
          <w:trHeight w:val="406"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投资活动现金流出小计</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99,953,500.02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115,549,825.89</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-13.5%</w:t>
            </w:r>
          </w:p>
        </w:tc>
      </w:tr>
      <w:tr>
        <w:trPr>
          <w:trHeight w:val="408"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投资活动产生的现金流量净额</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-74,119,716.11</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-115,549,585.89</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35.85%</w:t>
            </w:r>
          </w:p>
        </w:tc>
      </w:tr>
      <w:tr>
        <w:trPr>
          <w:trHeight w:val="406"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筹资活动现金流入小计</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19,400,000.00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7,350,000.00</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163.95%</w:t>
            </w:r>
          </w:p>
        </w:tc>
      </w:tr>
      <w:tr>
        <w:trPr>
          <w:trHeight w:val="408"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筹资活动现金流出小计</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17,433,725.02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11,927,235.99</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新宋体" w:hAnsi="新宋体" w:cs="新宋体" w:eastAsia="新宋体" w:hint="default"/>
                <w:sz w:val="18"/>
                <w:szCs w:val="18"/>
              </w:rPr>
            </w:pPr>
            <w:r>
              <w:rPr>
                <w:rFonts w:ascii="新宋体"/>
                <w:spacing w:val="-1"/>
                <w:sz w:val="18"/>
              </w:rPr>
              <w:t>46.17%</w:t>
            </w:r>
          </w:p>
        </w:tc>
      </w:tr>
      <w:tr>
        <w:trPr>
          <w:trHeight w:val="406" w:hRule="exact"/>
        </w:trPr>
        <w:tc>
          <w:tcPr>
            <w:tcW w:w="260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筹资活动产生的现金流量净额</w:t>
            </w:r>
          </w:p>
        </w:tc>
        <w:tc>
          <w:tcPr>
            <w:tcW w:w="2393"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1,966,274.98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-4,577,235.99</w:t>
            </w:r>
          </w:p>
        </w:tc>
        <w:tc>
          <w:tcPr>
            <w:tcW w:w="22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142.96%</w:t>
            </w:r>
          </w:p>
        </w:tc>
      </w:tr>
      <w:tr>
        <w:trPr>
          <w:trHeight w:val="416" w:hRule="exact"/>
        </w:trPr>
        <w:tc>
          <w:tcPr>
            <w:tcW w:w="260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现金及现金等价物净增加额</w:t>
            </w:r>
          </w:p>
        </w:tc>
        <w:tc>
          <w:tcPr>
            <w:tcW w:w="2393"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-46,809,431.02</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-96,409,102.52</w:t>
            </w:r>
          </w:p>
        </w:tc>
        <w:tc>
          <w:tcPr>
            <w:tcW w:w="22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
              <w:jc w:val="right"/>
              <w:rPr>
                <w:rFonts w:ascii="新宋体" w:hAnsi="新宋体" w:cs="新宋体" w:eastAsia="新宋体" w:hint="default"/>
                <w:sz w:val="18"/>
                <w:szCs w:val="18"/>
              </w:rPr>
            </w:pPr>
            <w:r>
              <w:rPr>
                <w:rFonts w:ascii="新宋体"/>
                <w:spacing w:val="-1"/>
                <w:sz w:val="18"/>
              </w:rPr>
              <w:t>51.45%</w:t>
            </w:r>
          </w:p>
        </w:tc>
      </w:tr>
    </w:tbl>
    <w:p>
      <w:pPr>
        <w:spacing w:line="240" w:lineRule="auto" w:before="7"/>
        <w:rPr>
          <w:rFonts w:ascii="宋体" w:hAnsi="宋体" w:cs="宋体" w:eastAsia="宋体" w:hint="default"/>
          <w:sz w:val="19"/>
          <w:szCs w:val="19"/>
        </w:rPr>
      </w:pPr>
    </w:p>
    <w:p>
      <w:pPr>
        <w:pStyle w:val="Heading2"/>
        <w:spacing w:line="240" w:lineRule="auto" w:before="26"/>
        <w:ind w:left="272" w:right="393"/>
        <w:jc w:val="left"/>
        <w:rPr>
          <w:rFonts w:ascii="新宋体" w:hAnsi="新宋体" w:cs="新宋体" w:eastAsia="新宋体" w:hint="default"/>
          <w:b w:val="0"/>
          <w:bCs w:val="0"/>
        </w:rPr>
      </w:pPr>
      <w:r>
        <w:rPr>
          <w:rFonts w:ascii="新宋体" w:hAnsi="新宋体" w:cs="新宋体" w:eastAsia="新宋体" w:hint="default"/>
        </w:rPr>
        <w:t>相关数据同比发生变动</w:t>
      </w:r>
      <w:r>
        <w:rPr>
          <w:rFonts w:ascii="新宋体" w:hAnsi="新宋体" w:cs="新宋体" w:eastAsia="新宋体" w:hint="default"/>
          <w:spacing w:val="-63"/>
        </w:rPr>
        <w:t> </w:t>
      </w:r>
      <w:r>
        <w:rPr>
          <w:rFonts w:ascii="新宋体" w:hAnsi="新宋体" w:cs="新宋体" w:eastAsia="新宋体" w:hint="default"/>
        </w:rPr>
        <w:t>30%</w:t>
      </w:r>
      <w:r>
        <w:rPr>
          <w:rFonts w:ascii="新宋体" w:hAnsi="新宋体" w:cs="新宋体" w:eastAsia="新宋体" w:hint="default"/>
        </w:rPr>
        <w:t>以上的原因说明</w:t>
      </w:r>
      <w:r>
        <w:rPr>
          <w:rFonts w:ascii="新宋体" w:hAnsi="新宋体" w:cs="新宋体" w:eastAsia="新宋体" w:hint="default"/>
          <w:b w:val="0"/>
          <w:bCs w:val="0"/>
        </w:rPr>
      </w:r>
    </w:p>
    <w:p>
      <w:pPr>
        <w:pStyle w:val="BodyText"/>
        <w:spacing w:line="388" w:lineRule="auto" w:before="192"/>
        <w:ind w:left="873" w:right="393" w:hanging="601"/>
        <w:jc w:val="left"/>
      </w:pPr>
      <w:r>
        <w:rPr/>
        <w:t>√ 适用 □</w:t>
      </w:r>
      <w:r>
        <w:rPr>
          <w:spacing w:val="-1"/>
        </w:rPr>
        <w:t> </w:t>
      </w:r>
      <w:r>
        <w:rPr/>
        <w:t>不适用</w:t>
      </w:r>
      <w:r>
        <w:rPr/>
        <w:t> 投资活动产生的现金流量净额增长</w:t>
      </w:r>
      <w:r>
        <w:rPr>
          <w:rFonts w:ascii="新宋体" w:hAnsi="新宋体" w:cs="新宋体" w:eastAsia="新宋体" w:hint="default"/>
        </w:rPr>
        <w:t>35.85%</w:t>
      </w:r>
      <w:r>
        <w:rPr/>
        <w:t>，主要为北京智威宇讯以前年度预付的土</w:t>
      </w:r>
    </w:p>
    <w:p>
      <w:pPr>
        <w:pStyle w:val="BodyText"/>
        <w:spacing w:line="357" w:lineRule="auto" w:before="5"/>
        <w:ind w:left="873" w:right="153" w:hanging="601"/>
        <w:jc w:val="left"/>
      </w:pPr>
      <w:r>
        <w:rPr/>
        <w:t>地开发费</w:t>
      </w:r>
      <w:r>
        <w:rPr>
          <w:rFonts w:ascii="新宋体" w:hAnsi="新宋体" w:cs="新宋体" w:eastAsia="新宋体" w:hint="default"/>
        </w:rPr>
        <w:t>2500</w:t>
      </w:r>
      <w:r>
        <w:rPr/>
        <w:t>万元退回造成。 筹资活动产生的现金流量净额增加</w:t>
      </w:r>
      <w:r>
        <w:rPr>
          <w:rFonts w:ascii="新宋体" w:hAnsi="新宋体" w:cs="新宋体" w:eastAsia="新宋体" w:hint="default"/>
        </w:rPr>
        <w:t>142.96%</w:t>
      </w:r>
      <w:r>
        <w:rPr/>
        <w:t>，主要为本年新增短期借款</w:t>
      </w:r>
      <w:r>
        <w:rPr>
          <w:rFonts w:ascii="新宋体" w:hAnsi="新宋体" w:cs="新宋体" w:eastAsia="新宋体" w:hint="default"/>
        </w:rPr>
        <w:t>500</w:t>
      </w:r>
      <w:r>
        <w:rPr/>
        <w:t>万元所致。</w:t>
      </w:r>
    </w:p>
    <w:p>
      <w:pPr>
        <w:spacing w:line="240" w:lineRule="auto" w:before="2"/>
        <w:rPr>
          <w:rFonts w:ascii="新宋体" w:hAnsi="新宋体" w:cs="新宋体" w:eastAsia="新宋体" w:hint="default"/>
          <w:sz w:val="21"/>
          <w:szCs w:val="21"/>
        </w:rPr>
      </w:pPr>
    </w:p>
    <w:p>
      <w:pPr>
        <w:pStyle w:val="Heading2"/>
        <w:spacing w:line="240" w:lineRule="auto"/>
        <w:ind w:left="272" w:right="393"/>
        <w:jc w:val="left"/>
        <w:rPr>
          <w:rFonts w:ascii="新宋体" w:hAnsi="新宋体" w:cs="新宋体" w:eastAsia="新宋体" w:hint="default"/>
          <w:b w:val="0"/>
          <w:bCs w:val="0"/>
        </w:rPr>
      </w:pPr>
      <w:r>
        <w:rPr>
          <w:rFonts w:ascii="新宋体" w:hAnsi="新宋体" w:cs="新宋体" w:eastAsia="新宋体" w:hint="default"/>
        </w:rPr>
        <w:t>报告期内公司经营活动的现金流量与本年度净利润存在重大差异的原因说明</w:t>
      </w:r>
      <w:r>
        <w:rPr>
          <w:rFonts w:ascii="新宋体" w:hAnsi="新宋体" w:cs="新宋体" w:eastAsia="新宋体" w:hint="default"/>
          <w:b w:val="0"/>
          <w:bCs w:val="0"/>
        </w:rPr>
      </w:r>
    </w:p>
    <w:p>
      <w:pPr>
        <w:pStyle w:val="BodyText"/>
        <w:spacing w:line="386" w:lineRule="auto" w:before="195"/>
        <w:ind w:left="839" w:right="153" w:hanging="567"/>
        <w:jc w:val="left"/>
      </w:pPr>
      <w:r>
        <w:rPr/>
        <w:t>√ 适用 □</w:t>
      </w:r>
      <w:r>
        <w:rPr>
          <w:spacing w:val="-1"/>
        </w:rPr>
        <w:t> </w:t>
      </w:r>
      <w:r>
        <w:rPr/>
        <w:t>不适用</w:t>
      </w:r>
      <w:r>
        <w:rPr/>
        <w:t> </w:t>
      </w:r>
      <w:r>
        <w:rPr>
          <w:spacing w:val="-3"/>
        </w:rPr>
        <w:t>主要原因是营业外收入中政府补助收到款项与确认收入期间不一致，以及期末存货增</w:t>
      </w:r>
    </w:p>
    <w:p>
      <w:pPr>
        <w:pStyle w:val="BodyText"/>
        <w:spacing w:line="240" w:lineRule="auto" w:before="7"/>
        <w:ind w:left="272" w:right="393"/>
        <w:jc w:val="left"/>
      </w:pPr>
      <w:r>
        <w:rPr/>
        <w:t>加所致。</w:t>
      </w:r>
    </w:p>
    <w:p>
      <w:pPr>
        <w:spacing w:line="240" w:lineRule="auto" w:before="11"/>
        <w:rPr>
          <w:rFonts w:ascii="新宋体" w:hAnsi="新宋体" w:cs="新宋体" w:eastAsia="新宋体" w:hint="default"/>
          <w:sz w:val="28"/>
          <w:szCs w:val="28"/>
        </w:rPr>
      </w:pPr>
    </w:p>
    <w:p>
      <w:pPr>
        <w:spacing w:line="499" w:lineRule="auto" w:before="0"/>
        <w:ind w:left="272" w:right="6141"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）公司主要供应商、客户情况</w:t>
      </w:r>
      <w:r>
        <w:rPr>
          <w:rFonts w:ascii="宋体" w:hAnsi="宋体" w:cs="宋体" w:eastAsia="宋体" w:hint="default"/>
          <w:b/>
          <w:bCs/>
          <w:w w:val="99"/>
          <w:sz w:val="24"/>
          <w:szCs w:val="24"/>
        </w:rPr>
        <w:t> </w:t>
      </w:r>
      <w:r>
        <w:rPr>
          <w:rFonts w:ascii="宋体" w:hAnsi="宋体" w:cs="宋体" w:eastAsia="宋体" w:hint="default"/>
          <w:sz w:val="24"/>
          <w:szCs w:val="24"/>
        </w:rPr>
        <w:t>公司主要销售客户情况</w:t>
      </w:r>
    </w:p>
    <w:p>
      <w:pPr>
        <w:spacing w:after="0" w:line="499" w:lineRule="auto"/>
        <w:jc w:val="left"/>
        <w:rPr>
          <w:rFonts w:ascii="宋体" w:hAnsi="宋体" w:cs="宋体" w:eastAsia="宋体" w:hint="default"/>
          <w:sz w:val="24"/>
          <w:szCs w:val="24"/>
        </w:rPr>
        <w:sectPr>
          <w:pgSz w:w="11910" w:h="16840"/>
          <w:pgMar w:header="555" w:footer="980" w:top="1100" w:bottom="1160" w:left="860" w:right="1120"/>
        </w:sectPr>
      </w:pPr>
    </w:p>
    <w:p>
      <w:pPr>
        <w:spacing w:line="240" w:lineRule="auto" w:before="9"/>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4257"/>
        <w:gridCol w:w="5312"/>
      </w:tblGrid>
      <w:tr>
        <w:trPr>
          <w:trHeight w:val="414" w:hRule="exact"/>
        </w:trPr>
        <w:tc>
          <w:tcPr>
            <w:tcW w:w="425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新宋体" w:hAnsi="新宋体" w:cs="新宋体" w:eastAsia="新宋体" w:hint="default"/>
                <w:sz w:val="18"/>
                <w:szCs w:val="18"/>
              </w:rPr>
            </w:pPr>
            <w:r>
              <w:rPr>
                <w:rFonts w:ascii="新宋体" w:hAnsi="新宋体" w:cs="新宋体" w:eastAsia="新宋体" w:hint="default"/>
                <w:sz w:val="18"/>
                <w:szCs w:val="18"/>
              </w:rPr>
              <w:t>前五名客户合计销售金额（元）</w:t>
            </w:r>
          </w:p>
        </w:tc>
        <w:tc>
          <w:tcPr>
            <w:tcW w:w="53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right="9"/>
              <w:jc w:val="right"/>
              <w:rPr>
                <w:rFonts w:ascii="新宋体" w:hAnsi="新宋体" w:cs="新宋体" w:eastAsia="新宋体" w:hint="default"/>
                <w:sz w:val="18"/>
                <w:szCs w:val="18"/>
              </w:rPr>
            </w:pPr>
            <w:r>
              <w:rPr>
                <w:rFonts w:ascii="新宋体"/>
                <w:spacing w:val="-1"/>
                <w:sz w:val="18"/>
              </w:rPr>
              <w:t>27,019,781.64</w:t>
            </w:r>
          </w:p>
        </w:tc>
      </w:tr>
      <w:tr>
        <w:trPr>
          <w:trHeight w:val="413" w:hRule="exact"/>
        </w:trPr>
        <w:tc>
          <w:tcPr>
            <w:tcW w:w="425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3" w:right="0"/>
              <w:jc w:val="left"/>
              <w:rPr>
                <w:rFonts w:ascii="新宋体" w:hAnsi="新宋体" w:cs="新宋体" w:eastAsia="新宋体" w:hint="default"/>
                <w:sz w:val="18"/>
                <w:szCs w:val="18"/>
              </w:rPr>
            </w:pPr>
            <w:r>
              <w:rPr>
                <w:rFonts w:ascii="新宋体" w:hAnsi="新宋体" w:cs="新宋体" w:eastAsia="新宋体" w:hint="default"/>
                <w:sz w:val="18"/>
                <w:szCs w:val="18"/>
              </w:rPr>
              <w:t>前五名客户合计销售金额占年度销售总额比例（</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53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10.22%</w:t>
            </w:r>
          </w:p>
        </w:tc>
      </w:tr>
    </w:tbl>
    <w:p>
      <w:pPr>
        <w:pStyle w:val="BodyText"/>
        <w:spacing w:line="240" w:lineRule="auto" w:before="82"/>
        <w:ind w:right="405"/>
        <w:jc w:val="left"/>
      </w:pPr>
      <w:r>
        <w:rPr/>
        <w:t>向单一客户销售比例超过</w:t>
      </w:r>
      <w:r>
        <w:rPr>
          <w:spacing w:val="-59"/>
        </w:rPr>
        <w:t> </w:t>
      </w:r>
      <w:r>
        <w:rPr>
          <w:rFonts w:ascii="新宋体" w:hAnsi="新宋体" w:cs="新宋体" w:eastAsia="新宋体" w:hint="default"/>
        </w:rPr>
        <w:t>30%</w:t>
      </w:r>
      <w:r>
        <w:rPr/>
        <w:t>的客户资料</w:t>
      </w:r>
    </w:p>
    <w:p>
      <w:pPr>
        <w:pStyle w:val="BodyText"/>
        <w:spacing w:line="328" w:lineRule="auto" w:before="192"/>
        <w:ind w:right="7534"/>
        <w:jc w:val="left"/>
      </w:pPr>
      <w:r>
        <w:rPr/>
        <w:t>□ 适用 √</w:t>
      </w:r>
      <w:r>
        <w:rPr>
          <w:spacing w:val="-1"/>
        </w:rPr>
        <w:t> </w:t>
      </w:r>
      <w:r>
        <w:rPr/>
        <w:t>不适用</w:t>
      </w:r>
      <w:r>
        <w:rPr/>
        <w:t> 公司主要供应商情况</w:t>
      </w:r>
    </w:p>
    <w:tbl>
      <w:tblPr>
        <w:tblW w:w="0" w:type="auto"/>
        <w:jc w:val="left"/>
        <w:tblInd w:w="139" w:type="dxa"/>
        <w:tblLayout w:type="fixed"/>
        <w:tblCellMar>
          <w:top w:w="0" w:type="dxa"/>
          <w:left w:w="0" w:type="dxa"/>
          <w:bottom w:w="0" w:type="dxa"/>
          <w:right w:w="0" w:type="dxa"/>
        </w:tblCellMar>
        <w:tblLook w:val="01E0"/>
      </w:tblPr>
      <w:tblGrid>
        <w:gridCol w:w="4257"/>
        <w:gridCol w:w="5312"/>
      </w:tblGrid>
      <w:tr>
        <w:trPr>
          <w:trHeight w:val="569" w:hRule="exact"/>
        </w:trPr>
        <w:tc>
          <w:tcPr>
            <w:tcW w:w="425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8"/>
              <w:ind w:left="13" w:right="0"/>
              <w:jc w:val="left"/>
              <w:rPr>
                <w:rFonts w:ascii="新宋体" w:hAnsi="新宋体" w:cs="新宋体" w:eastAsia="新宋体" w:hint="default"/>
                <w:sz w:val="18"/>
                <w:szCs w:val="18"/>
              </w:rPr>
            </w:pPr>
            <w:r>
              <w:rPr>
                <w:rFonts w:ascii="新宋体" w:hAnsi="新宋体" w:cs="新宋体" w:eastAsia="新宋体" w:hint="default"/>
                <w:sz w:val="18"/>
                <w:szCs w:val="18"/>
              </w:rPr>
              <w:t>前五名供应商合计采购金额（元）</w:t>
            </w:r>
          </w:p>
        </w:tc>
        <w:tc>
          <w:tcPr>
            <w:tcW w:w="53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8"/>
              <w:ind w:right="9"/>
              <w:jc w:val="right"/>
              <w:rPr>
                <w:rFonts w:ascii="新宋体" w:hAnsi="新宋体" w:cs="新宋体" w:eastAsia="新宋体" w:hint="default"/>
                <w:sz w:val="18"/>
                <w:szCs w:val="18"/>
              </w:rPr>
            </w:pPr>
            <w:r>
              <w:rPr>
                <w:rFonts w:ascii="新宋体"/>
                <w:spacing w:val="-1"/>
                <w:sz w:val="18"/>
              </w:rPr>
              <w:t>18,536,326.12</w:t>
            </w:r>
          </w:p>
        </w:tc>
      </w:tr>
      <w:tr>
        <w:trPr>
          <w:trHeight w:val="568" w:hRule="exact"/>
        </w:trPr>
        <w:tc>
          <w:tcPr>
            <w:tcW w:w="425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1"/>
              <w:ind w:left="13" w:right="-10"/>
              <w:jc w:val="left"/>
              <w:rPr>
                <w:rFonts w:ascii="新宋体" w:hAnsi="新宋体" w:cs="新宋体" w:eastAsia="新宋体" w:hint="default"/>
                <w:sz w:val="18"/>
                <w:szCs w:val="18"/>
              </w:rPr>
            </w:pPr>
            <w:r>
              <w:rPr>
                <w:rFonts w:ascii="新宋体" w:hAnsi="新宋体" w:cs="新宋体" w:eastAsia="新宋体" w:hint="default"/>
                <w:sz w:val="18"/>
                <w:szCs w:val="18"/>
              </w:rPr>
              <w:t>前五名供应商合计采购金额占年度采购总额比例（</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53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1"/>
              <w:ind w:right="9"/>
              <w:jc w:val="right"/>
              <w:rPr>
                <w:rFonts w:ascii="新宋体" w:hAnsi="新宋体" w:cs="新宋体" w:eastAsia="新宋体" w:hint="default"/>
                <w:sz w:val="18"/>
                <w:szCs w:val="18"/>
              </w:rPr>
            </w:pPr>
            <w:r>
              <w:rPr>
                <w:rFonts w:ascii="新宋体"/>
                <w:spacing w:val="-1"/>
                <w:sz w:val="18"/>
              </w:rPr>
              <w:t>12.98%</w:t>
            </w:r>
          </w:p>
        </w:tc>
      </w:tr>
    </w:tbl>
    <w:p>
      <w:pPr>
        <w:pStyle w:val="BodyText"/>
        <w:spacing w:line="240" w:lineRule="auto" w:before="73"/>
        <w:ind w:right="0"/>
        <w:jc w:val="both"/>
        <w:rPr>
          <w:rFonts w:ascii="宋体" w:hAnsi="宋体" w:cs="宋体" w:eastAsia="宋体" w:hint="default"/>
        </w:rPr>
      </w:pPr>
      <w:r>
        <w:rPr>
          <w:rFonts w:ascii="宋体" w:hAnsi="宋体" w:cs="宋体" w:eastAsia="宋体" w:hint="default"/>
        </w:rPr>
        <w:t>向单一供应商采购比例超过</w:t>
      </w:r>
      <w:r>
        <w:rPr>
          <w:rFonts w:ascii="宋体" w:hAnsi="宋体" w:cs="宋体" w:eastAsia="宋体" w:hint="default"/>
          <w:spacing w:val="-60"/>
        </w:rPr>
        <w:t> </w:t>
      </w:r>
      <w:r>
        <w:rPr>
          <w:rFonts w:ascii="Times New Roman" w:hAnsi="Times New Roman" w:cs="Times New Roman" w:eastAsia="Times New Roman" w:hint="default"/>
        </w:rPr>
        <w:t>30%</w:t>
      </w:r>
      <w:r>
        <w:rPr>
          <w:rFonts w:ascii="宋体" w:hAnsi="宋体" w:cs="宋体" w:eastAsia="宋体" w:hint="default"/>
        </w:rPr>
        <w:t>的客户资料</w:t>
      </w:r>
    </w:p>
    <w:p>
      <w:pPr>
        <w:pStyle w:val="BodyText"/>
        <w:spacing w:line="240" w:lineRule="auto" w:before="177"/>
        <w:ind w:right="0"/>
        <w:jc w:val="both"/>
        <w:rPr>
          <w:rFonts w:ascii="宋体" w:hAnsi="宋体" w:cs="宋体" w:eastAsia="宋体" w:hint="default"/>
        </w:rPr>
      </w:pPr>
      <w:r>
        <w:rPr>
          <w:rFonts w:ascii="Times New Roman" w:hAnsi="Times New Roman" w:cs="Times New Roman" w:eastAsia="Times New Roman" w:hint="default"/>
        </w:rPr>
        <w:t>□  </w:t>
      </w:r>
      <w:r>
        <w:rPr>
          <w:rFonts w:ascii="宋体" w:hAnsi="宋体" w:cs="宋体" w:eastAsia="宋体" w:hint="default"/>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rFonts w:ascii="宋体" w:hAnsi="宋体" w:cs="宋体" w:eastAsia="宋体" w:hint="default"/>
        </w:rPr>
        <w:t>不适用</w:t>
      </w:r>
    </w:p>
    <w:p>
      <w:pPr>
        <w:spacing w:line="240" w:lineRule="auto" w:before="3"/>
        <w:rPr>
          <w:rFonts w:ascii="宋体" w:hAnsi="宋体" w:cs="宋体" w:eastAsia="宋体" w:hint="default"/>
          <w:sz w:val="27"/>
          <w:szCs w:val="27"/>
        </w:rPr>
      </w:pPr>
    </w:p>
    <w:p>
      <w:pPr>
        <w:pStyle w:val="Heading2"/>
        <w:spacing w:line="240" w:lineRule="auto"/>
        <w:ind w:right="0"/>
        <w:jc w:val="both"/>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6"/>
        <w:rPr>
          <w:rFonts w:ascii="宋体" w:hAnsi="宋体" w:cs="宋体" w:eastAsia="宋体" w:hint="default"/>
          <w:b/>
          <w:bCs/>
          <w:sz w:val="27"/>
          <w:szCs w:val="27"/>
        </w:rPr>
      </w:pPr>
    </w:p>
    <w:p>
      <w:pPr>
        <w:pStyle w:val="Heading2"/>
        <w:spacing w:line="240" w:lineRule="auto"/>
        <w:ind w:right="0"/>
        <w:jc w:val="both"/>
        <w:rPr>
          <w:rFonts w:ascii="新宋体" w:hAnsi="新宋体" w:cs="新宋体" w:eastAsia="新宋体" w:hint="default"/>
          <w:b w:val="0"/>
          <w:bCs w:val="0"/>
        </w:rPr>
      </w:pPr>
      <w:r>
        <w:rPr>
          <w:rFonts w:ascii="新宋体" w:hAnsi="新宋体" w:cs="新宋体" w:eastAsia="新宋体" w:hint="default"/>
        </w:rPr>
        <w:t>首次公开发行招股说明书中披露的未来发展与规划在本报告期的实施情况</w:t>
      </w:r>
      <w:r>
        <w:rPr>
          <w:rFonts w:ascii="新宋体" w:hAnsi="新宋体" w:cs="新宋体" w:eastAsia="新宋体" w:hint="default"/>
          <w:b w:val="0"/>
          <w:bCs w:val="0"/>
        </w:rPr>
      </w:r>
    </w:p>
    <w:p>
      <w:pPr>
        <w:pStyle w:val="BodyText"/>
        <w:spacing w:line="240" w:lineRule="auto" w:before="194"/>
        <w:ind w:right="0"/>
        <w:jc w:val="both"/>
      </w:pPr>
      <w:r>
        <w:rPr/>
        <w:t>√ 适用 □</w:t>
      </w:r>
      <w:r>
        <w:rPr>
          <w:spacing w:val="-1"/>
        </w:rPr>
        <w:t> </w:t>
      </w:r>
      <w:r>
        <w:rPr/>
        <w:t>不适用</w:t>
      </w:r>
    </w:p>
    <w:p>
      <w:pPr>
        <w:pStyle w:val="BodyText"/>
        <w:spacing w:line="357" w:lineRule="auto" w:before="194"/>
        <w:ind w:right="354" w:firstLine="425"/>
        <w:jc w:val="both"/>
      </w:pPr>
      <w:r>
        <w:rPr>
          <w:spacing w:val="-2"/>
        </w:rPr>
        <w:t>公司在招股说明书中披露了</w:t>
      </w:r>
      <w:r>
        <w:rPr>
          <w:rFonts w:ascii="新宋体" w:hAnsi="新宋体" w:cs="新宋体" w:eastAsia="新宋体" w:hint="default"/>
          <w:spacing w:val="-2"/>
        </w:rPr>
        <w:t>2009</w:t>
      </w:r>
      <w:r>
        <w:rPr>
          <w:spacing w:val="-2"/>
        </w:rPr>
        <w:t>年</w:t>
      </w:r>
      <w:r>
        <w:rPr>
          <w:rFonts w:ascii="新宋体" w:hAnsi="新宋体" w:cs="新宋体" w:eastAsia="新宋体" w:hint="default"/>
          <w:spacing w:val="-2"/>
        </w:rPr>
        <w:t>-2012</w:t>
      </w:r>
      <w:r>
        <w:rPr>
          <w:spacing w:val="-2"/>
        </w:rPr>
        <w:t>年具体发展规划及拟采取的措施，</w:t>
      </w:r>
      <w:r>
        <w:rPr>
          <w:rFonts w:ascii="新宋体" w:hAnsi="新宋体" w:cs="新宋体" w:eastAsia="新宋体" w:hint="default"/>
          <w:spacing w:val="-2"/>
        </w:rPr>
        <w:t>2012</w:t>
      </w:r>
      <w:r>
        <w:rPr>
          <w:spacing w:val="-2"/>
        </w:rPr>
        <w:t>年各方</w:t>
      </w:r>
      <w:r>
        <w:rPr/>
        <w:t> 面实施情况与发展规划基本一致，具体如下：</w:t>
      </w:r>
    </w:p>
    <w:p>
      <w:pPr>
        <w:pStyle w:val="BodyText"/>
        <w:tabs>
          <w:tab w:pos="1058" w:val="left" w:leader="none"/>
        </w:tabs>
        <w:spacing w:line="357" w:lineRule="auto"/>
        <w:ind w:left="578" w:right="405"/>
        <w:jc w:val="left"/>
      </w:pPr>
      <w:r>
        <w:rPr/>
        <w:t>①</w:t>
        <w:tab/>
        <w:t>技术开发、持续创新和技术团队建设 </w:t>
      </w:r>
      <w:r>
        <w:rPr>
          <w:rFonts w:ascii="新宋体" w:hAnsi="新宋体" w:cs="新宋体" w:eastAsia="新宋体" w:hint="default"/>
        </w:rPr>
        <w:t>2012</w:t>
      </w:r>
      <w:r>
        <w:rPr/>
        <w:t>年，公司依托汉威研究院创新平台，整合公司开发资源，加强创新方法学习。在</w:t>
      </w:r>
    </w:p>
    <w:p>
      <w:pPr>
        <w:pStyle w:val="BodyText"/>
        <w:spacing w:line="357" w:lineRule="auto"/>
        <w:ind w:right="351"/>
        <w:jc w:val="both"/>
      </w:pPr>
      <w:r>
        <w:rPr/>
        <w:t>自主创新的同时，加强与科研院所和高校的交流合作。在各类产品研发特别是光学传感器 工艺、结构研发等方面取得了阶段性成果。通过公司研究院创新管理体系、技术、知识体 系的逐步完善，提高研发经费使用效率，提高研发品质及研发效益。</w:t>
      </w:r>
      <w:r>
        <w:rPr>
          <w:rFonts w:ascii="新宋体" w:hAnsi="新宋体" w:cs="新宋体" w:eastAsia="新宋体" w:hint="default"/>
        </w:rPr>
        <w:t>2012</w:t>
      </w:r>
      <w:r>
        <w:rPr/>
        <w:t>年，公司全资子 公司北京智威宇讯科技有限公司逐步扩充实力，成为汉威研究院在北京的专业工程技术研 究中心。</w:t>
      </w:r>
    </w:p>
    <w:p>
      <w:pPr>
        <w:pStyle w:val="BodyText"/>
        <w:tabs>
          <w:tab w:pos="1058" w:val="left" w:leader="none"/>
        </w:tabs>
        <w:spacing w:line="357" w:lineRule="auto"/>
        <w:ind w:left="578" w:right="406"/>
        <w:jc w:val="left"/>
      </w:pPr>
      <w:r>
        <w:rPr/>
        <w:t>②</w:t>
        <w:tab/>
        <w:t>现有产品升级 </w:t>
      </w:r>
      <w:r>
        <w:rPr>
          <w:rFonts w:ascii="新宋体" w:hAnsi="新宋体" w:cs="新宋体" w:eastAsia="新宋体" w:hint="default"/>
        </w:rPr>
        <w:t>2012</w:t>
      </w:r>
      <w:r>
        <w:rPr/>
        <w:t>年，公司在传感器、智能仪器仪表、监控系统三大产业领域完成新产品及产品升</w:t>
      </w:r>
    </w:p>
    <w:p>
      <w:pPr>
        <w:pStyle w:val="BodyText"/>
        <w:spacing w:line="357" w:lineRule="auto"/>
        <w:ind w:right="334"/>
        <w:jc w:val="left"/>
      </w:pPr>
      <w:r>
        <w:rPr/>
        <w:t>级改进共</w:t>
      </w:r>
      <w:r>
        <w:rPr>
          <w:rFonts w:ascii="新宋体" w:hAnsi="新宋体" w:cs="新宋体" w:eastAsia="新宋体" w:hint="default"/>
        </w:rPr>
        <w:t>30</w:t>
      </w:r>
      <w:r>
        <w:rPr/>
        <w:t>余项，新产品研发包括带现场通信协议的数字式仪表和适应特殊行业使用的具 有防爆、防水功能的仪表，目前客户反映良好，市场应用潜力巨大。</w:t>
      </w:r>
    </w:p>
    <w:p>
      <w:pPr>
        <w:pStyle w:val="BodyText"/>
        <w:spacing w:line="357" w:lineRule="auto"/>
        <w:ind w:right="356" w:firstLine="425"/>
        <w:jc w:val="both"/>
      </w:pPr>
      <w:r>
        <w:rPr>
          <w:rFonts w:ascii="新宋体" w:hAnsi="新宋体" w:cs="新宋体" w:eastAsia="新宋体" w:hint="default"/>
        </w:rPr>
        <w:t>2012</w:t>
      </w:r>
      <w:r>
        <w:rPr/>
        <w:t>年，公司加大在红外光学类、电化学类气体传感器及红外光学类、电化学类气体 </w:t>
      </w:r>
      <w:r>
        <w:rPr>
          <w:spacing w:val="-1"/>
        </w:rPr>
        <w:t>检测仪表的研发投入，结合公司自主研发的系统软件管理、控制平台，进一步推动了公司</w:t>
      </w:r>
      <w:r>
        <w:rPr>
          <w:spacing w:val="-88"/>
        </w:rPr>
        <w:t> </w:t>
      </w:r>
      <w:r>
        <w:rPr>
          <w:spacing w:val="-88"/>
        </w:rPr>
      </w:r>
      <w:r>
        <w:rPr/>
        <w:t>现有仪器仪表向智能化、无线化、网络化、系统化发展的进程。</w:t>
      </w:r>
    </w:p>
    <w:p>
      <w:pPr>
        <w:spacing w:after="0" w:line="357" w:lineRule="auto"/>
        <w:jc w:val="both"/>
        <w:sectPr>
          <w:pgSz w:w="11910" w:h="16840"/>
          <w:pgMar w:header="555" w:footer="980" w:top="1100" w:bottom="1160" w:left="980" w:right="1060"/>
        </w:sectPr>
      </w:pPr>
    </w:p>
    <w:p>
      <w:pPr>
        <w:spacing w:line="240" w:lineRule="auto" w:before="7"/>
        <w:rPr>
          <w:rFonts w:ascii="新宋体" w:hAnsi="新宋体" w:cs="新宋体" w:eastAsia="新宋体" w:hint="default"/>
          <w:sz w:val="25"/>
          <w:szCs w:val="25"/>
        </w:rPr>
      </w:pPr>
    </w:p>
    <w:p>
      <w:pPr>
        <w:pStyle w:val="BodyText"/>
        <w:tabs>
          <w:tab w:pos="1058" w:val="left" w:leader="none"/>
        </w:tabs>
        <w:spacing w:line="357" w:lineRule="auto" w:before="26"/>
        <w:ind w:left="578" w:right="284"/>
        <w:jc w:val="left"/>
      </w:pPr>
      <w:r>
        <w:rPr/>
        <w:t>③</w:t>
        <w:tab/>
        <w:t>收入增长及产能扩张 </w:t>
      </w:r>
      <w:r>
        <w:rPr>
          <w:rFonts w:ascii="新宋体" w:hAnsi="新宋体" w:cs="新宋体" w:eastAsia="新宋体" w:hint="default"/>
        </w:rPr>
        <w:t>2012</w:t>
      </w:r>
      <w:r>
        <w:rPr/>
        <w:t>年度，公司销售收入相比</w:t>
      </w:r>
      <w:r>
        <w:rPr>
          <w:rFonts w:ascii="新宋体" w:hAnsi="新宋体" w:cs="新宋体" w:eastAsia="新宋体" w:hint="default"/>
        </w:rPr>
        <w:t>2011</w:t>
      </w:r>
      <w:r>
        <w:rPr/>
        <w:t>年有所增长。公司招股书中披露的</w:t>
      </w:r>
      <w:r>
        <w:rPr>
          <w:rFonts w:ascii="新宋体" w:hAnsi="新宋体" w:cs="新宋体" w:eastAsia="新宋体" w:hint="default"/>
        </w:rPr>
        <w:t>2012</w:t>
      </w:r>
      <w:r>
        <w:rPr/>
        <w:t>年产能扩张</w:t>
      </w:r>
    </w:p>
    <w:p>
      <w:pPr>
        <w:pStyle w:val="BodyText"/>
        <w:spacing w:line="357" w:lineRule="auto"/>
        <w:ind w:right="334"/>
        <w:jc w:val="left"/>
      </w:pPr>
      <w:r>
        <w:rPr/>
        <w:t>规划目标为：气体传感器</w:t>
      </w:r>
      <w:r>
        <w:rPr>
          <w:rFonts w:ascii="新宋体" w:hAnsi="新宋体" w:cs="新宋体" w:eastAsia="新宋体" w:hint="default"/>
        </w:rPr>
        <w:t>650</w:t>
      </w:r>
      <w:r>
        <w:rPr/>
        <w:t>万支、气体检测仪器仪表</w:t>
      </w:r>
      <w:r>
        <w:rPr>
          <w:rFonts w:ascii="新宋体" w:hAnsi="新宋体" w:cs="新宋体" w:eastAsia="新宋体" w:hint="default"/>
        </w:rPr>
        <w:t>160</w:t>
      </w:r>
      <w:r>
        <w:rPr/>
        <w:t>万台</w:t>
      </w:r>
      <w:r>
        <w:rPr>
          <w:rFonts w:ascii="新宋体" w:hAnsi="新宋体" w:cs="新宋体" w:eastAsia="新宋体" w:hint="default"/>
        </w:rPr>
        <w:t>/</w:t>
      </w:r>
      <w:r>
        <w:rPr/>
        <w:t>套。公司</w:t>
      </w:r>
      <w:r>
        <w:rPr>
          <w:rFonts w:ascii="新宋体" w:hAnsi="新宋体" w:cs="新宋体" w:eastAsia="新宋体" w:hint="default"/>
        </w:rPr>
        <w:t>2012</w:t>
      </w:r>
      <w:r>
        <w:rPr/>
        <w:t>年实际产量 为：气体传感器</w:t>
      </w:r>
      <w:r>
        <w:rPr>
          <w:rFonts w:ascii="新宋体" w:hAnsi="新宋体" w:cs="新宋体" w:eastAsia="新宋体" w:hint="default"/>
        </w:rPr>
        <w:t>657</w:t>
      </w:r>
      <w:r>
        <w:rPr/>
        <w:t>万支、气体检测仪器仪表</w:t>
      </w:r>
      <w:r>
        <w:rPr>
          <w:rFonts w:ascii="新宋体" w:hAnsi="新宋体" w:cs="新宋体" w:eastAsia="新宋体" w:hint="default"/>
        </w:rPr>
        <w:t>132</w:t>
      </w:r>
      <w:r>
        <w:rPr/>
        <w:t>万台</w:t>
      </w:r>
      <w:r>
        <w:rPr>
          <w:rFonts w:ascii="新宋体" w:hAnsi="新宋体" w:cs="新宋体" w:eastAsia="新宋体" w:hint="default"/>
        </w:rPr>
        <w:t>/</w:t>
      </w:r>
      <w:r>
        <w:rPr/>
        <w:t>套。</w:t>
      </w:r>
    </w:p>
    <w:p>
      <w:pPr>
        <w:pStyle w:val="BodyText"/>
        <w:tabs>
          <w:tab w:pos="1058" w:val="left" w:leader="none"/>
        </w:tabs>
        <w:spacing w:line="357" w:lineRule="auto"/>
        <w:ind w:left="578" w:right="236"/>
        <w:jc w:val="left"/>
      </w:pPr>
      <w:r>
        <w:rPr/>
        <w:t>④</w:t>
        <w:tab/>
        <w:t>产业链上下游整合 </w:t>
      </w:r>
      <w:r>
        <w:rPr>
          <w:rFonts w:ascii="新宋体" w:hAnsi="新宋体" w:cs="新宋体" w:eastAsia="新宋体" w:hint="default"/>
        </w:rPr>
        <w:t>2012</w:t>
      </w:r>
      <w:r>
        <w:rPr/>
        <w:t>年度，公司审慎选择潜在收购目标，以强化和完善公司“先进的传感器为核心、</w:t>
      </w:r>
    </w:p>
    <w:p>
      <w:pPr>
        <w:pStyle w:val="BodyText"/>
        <w:spacing w:line="357" w:lineRule="auto"/>
        <w:ind w:right="233"/>
        <w:jc w:val="both"/>
      </w:pPr>
      <w:r>
        <w:rPr/>
        <w:t>智能仪器仪表、行业应用的物联网”的产业布局。报告期内，公司增资入股哈尔滨盈江科 技有限公司，借助中科院长春应用化学科技总公司的技术支撑力量，为进一步在传感器领 域的研发和技术创新能力打下了基础。</w:t>
      </w:r>
    </w:p>
    <w:p>
      <w:pPr>
        <w:pStyle w:val="BodyText"/>
        <w:tabs>
          <w:tab w:pos="1058" w:val="left" w:leader="none"/>
        </w:tabs>
        <w:spacing w:line="357" w:lineRule="auto"/>
        <w:ind w:left="578" w:right="236"/>
        <w:jc w:val="left"/>
      </w:pPr>
      <w:r>
        <w:rPr/>
        <w:t>⑤</w:t>
        <w:tab/>
        <w:t>服务升级、营销服务网络建设项目 </w:t>
      </w:r>
      <w:r>
        <w:rPr>
          <w:rFonts w:ascii="新宋体" w:hAnsi="新宋体" w:cs="新宋体" w:eastAsia="新宋体" w:hint="default"/>
        </w:rPr>
        <w:t>2012</w:t>
      </w:r>
      <w:r>
        <w:rPr/>
        <w:t>年度，公司营销服务网络的建设沿着“推进独立经营能力、增强区域服务及辐射</w:t>
      </w:r>
    </w:p>
    <w:p>
      <w:pPr>
        <w:pStyle w:val="BodyText"/>
        <w:spacing w:line="357" w:lineRule="auto"/>
        <w:ind w:right="214"/>
        <w:jc w:val="left"/>
      </w:pPr>
      <w:r>
        <w:rPr>
          <w:spacing w:val="-1"/>
        </w:rPr>
        <w:t>能力、围绕地方经济特色探索与发展差异化产品解决方案”的思路进行，使得公司营销服</w:t>
      </w:r>
      <w:r>
        <w:rPr>
          <w:spacing w:val="-88"/>
        </w:rPr>
        <w:t> </w:t>
      </w:r>
      <w:r>
        <w:rPr>
          <w:spacing w:val="-88"/>
        </w:rPr>
      </w:r>
      <w:r>
        <w:rPr/>
        <w:t>务能够更好地融入地方经济发展大势当中。</w:t>
      </w:r>
    </w:p>
    <w:p>
      <w:pPr>
        <w:pStyle w:val="BodyText"/>
        <w:tabs>
          <w:tab w:pos="1058" w:val="left" w:leader="none"/>
        </w:tabs>
        <w:spacing w:line="357" w:lineRule="auto"/>
        <w:ind w:left="578" w:right="236"/>
        <w:jc w:val="left"/>
      </w:pPr>
      <w:r>
        <w:rPr/>
        <w:t>⑥</w:t>
        <w:tab/>
        <w:t>公司财务结构改善 </w:t>
      </w:r>
      <w:r>
        <w:rPr>
          <w:rFonts w:ascii="新宋体" w:hAnsi="新宋体" w:cs="新宋体" w:eastAsia="新宋体" w:hint="default"/>
        </w:rPr>
        <w:t>2012</w:t>
      </w:r>
      <w:r>
        <w:rPr/>
        <w:t>年度，公司积极改善财务结构，以满足公司快速发展的资金需求。公司先后使用</w:t>
      </w:r>
    </w:p>
    <w:p>
      <w:pPr>
        <w:pStyle w:val="BodyText"/>
        <w:spacing w:line="240" w:lineRule="auto"/>
        <w:ind w:right="268"/>
        <w:jc w:val="left"/>
      </w:pPr>
      <w:r>
        <w:rPr/>
        <w:t>闲置募集资金暂时补充流动资金，有效的提高了募集资金使用效率。</w:t>
      </w:r>
    </w:p>
    <w:p>
      <w:pPr>
        <w:pStyle w:val="BodyText"/>
        <w:tabs>
          <w:tab w:pos="1058" w:val="left" w:leader="none"/>
        </w:tabs>
        <w:spacing w:line="388" w:lineRule="auto" w:before="154"/>
        <w:ind w:left="633" w:right="236" w:hanging="56"/>
        <w:jc w:val="left"/>
      </w:pPr>
      <w:r>
        <w:rPr/>
        <w:t>⑦</w:t>
        <w:tab/>
        <w:t>管理团队建设及管理提升 </w:t>
      </w:r>
      <w:r>
        <w:rPr>
          <w:rFonts w:ascii="新宋体" w:hAnsi="新宋体" w:cs="新宋体" w:eastAsia="新宋体" w:hint="default"/>
          <w:spacing w:val="-1"/>
        </w:rPr>
        <w:t>2012</w:t>
      </w:r>
      <w:r>
        <w:rPr>
          <w:spacing w:val="-1"/>
        </w:rPr>
        <w:t>年度，公司进一步强化了集团化经营管控职能建设，发布了集团化管理纲要，明</w:t>
      </w:r>
    </w:p>
    <w:p>
      <w:pPr>
        <w:pStyle w:val="BodyText"/>
        <w:spacing w:line="357" w:lineRule="auto" w:before="5"/>
        <w:ind w:right="99"/>
        <w:jc w:val="left"/>
      </w:pPr>
      <w:r>
        <w:rPr>
          <w:spacing w:val="-4"/>
        </w:rPr>
        <w:t>确并优化了目标责任体系及激励体系，进一步调整完善了薪酬体系和绩效管理体系。同时，</w:t>
      </w:r>
      <w:r>
        <w:rPr>
          <w:spacing w:val="-86"/>
        </w:rPr>
        <w:t> </w:t>
      </w:r>
      <w:r>
        <w:rPr>
          <w:spacing w:val="-86"/>
        </w:rPr>
      </w:r>
      <w:r>
        <w:rPr/>
        <w:t>公司积极推动“机制”、“文化”建设，有效促进管理团队的思想交流及能力优化，完善</w:t>
      </w:r>
      <w:r>
        <w:rPr/>
        <w:t> 了决策流程。</w:t>
      </w:r>
      <w:r>
        <w:rPr>
          <w:rFonts w:ascii="新宋体" w:hAnsi="新宋体" w:cs="新宋体" w:eastAsia="新宋体" w:hint="default"/>
        </w:rPr>
        <w:t>2012</w:t>
      </w:r>
      <w:r>
        <w:rPr/>
        <w:t>年度，公司持续严格按照上市公司要求规范运作，加强学习，完善法人 治理结构，健全科学决策机制，推进内控机制建设。</w:t>
      </w:r>
    </w:p>
    <w:p>
      <w:pPr>
        <w:spacing w:line="240" w:lineRule="auto" w:before="12"/>
        <w:rPr>
          <w:rFonts w:ascii="新宋体" w:hAnsi="新宋体" w:cs="新宋体" w:eastAsia="新宋体" w:hint="default"/>
          <w:sz w:val="20"/>
          <w:szCs w:val="20"/>
        </w:rPr>
      </w:pPr>
    </w:p>
    <w:p>
      <w:pPr>
        <w:spacing w:line="388" w:lineRule="auto" w:before="0"/>
        <w:ind w:left="152" w:right="268" w:firstLine="0"/>
        <w:jc w:val="left"/>
        <w:rPr>
          <w:rFonts w:ascii="新宋体" w:hAnsi="新宋体" w:cs="新宋体" w:eastAsia="新宋体" w:hint="default"/>
          <w:sz w:val="24"/>
          <w:szCs w:val="24"/>
        </w:rPr>
      </w:pPr>
      <w:r>
        <w:rPr>
          <w:rFonts w:ascii="新宋体" w:hAnsi="新宋体" w:cs="新宋体" w:eastAsia="新宋体" w:hint="default"/>
          <w:b/>
          <w:bCs/>
          <w:sz w:val="24"/>
          <w:szCs w:val="24"/>
        </w:rPr>
        <w:t>公司回顾总结前期披露的发展战略和经营计划在报告期内的进展情况</w:t>
      </w:r>
      <w:r>
        <w:rPr>
          <w:rFonts w:ascii="新宋体" w:hAnsi="新宋体" w:cs="新宋体" w:eastAsia="新宋体" w:hint="default"/>
          <w:b/>
          <w:bCs/>
          <w:w w:val="99"/>
          <w:sz w:val="24"/>
          <w:szCs w:val="24"/>
        </w:rPr>
        <w:t> </w:t>
      </w:r>
      <w:r>
        <w:rPr>
          <w:rFonts w:ascii="新宋体" w:hAnsi="新宋体" w:cs="新宋体" w:eastAsia="新宋体" w:hint="default"/>
          <w:sz w:val="24"/>
          <w:szCs w:val="24"/>
        </w:rPr>
        <w:t>具体请参见本章节“一、管理层讨论与分析”。</w:t>
      </w:r>
    </w:p>
    <w:p>
      <w:pPr>
        <w:spacing w:line="240" w:lineRule="auto" w:before="10"/>
        <w:rPr>
          <w:rFonts w:ascii="新宋体" w:hAnsi="新宋体" w:cs="新宋体" w:eastAsia="新宋体" w:hint="default"/>
          <w:sz w:val="18"/>
          <w:szCs w:val="18"/>
        </w:rPr>
      </w:pPr>
    </w:p>
    <w:p>
      <w:pPr>
        <w:pStyle w:val="Heading2"/>
        <w:spacing w:line="240" w:lineRule="auto"/>
        <w:ind w:right="268"/>
        <w:jc w:val="left"/>
        <w:rPr>
          <w:rFonts w:ascii="新宋体" w:hAnsi="新宋体" w:cs="新宋体" w:eastAsia="新宋体" w:hint="default"/>
          <w:b w:val="0"/>
          <w:bCs w:val="0"/>
        </w:rPr>
      </w:pPr>
      <w:r>
        <w:rPr>
          <w:rFonts w:ascii="新宋体" w:hAnsi="新宋体" w:cs="新宋体" w:eastAsia="新宋体" w:hint="default"/>
        </w:rPr>
        <w:t>公司实际经营业绩较曾公开披露过的本年度盈利预测低于或高于</w:t>
      </w:r>
      <w:r>
        <w:rPr>
          <w:rFonts w:ascii="新宋体" w:hAnsi="新宋体" w:cs="新宋体" w:eastAsia="新宋体" w:hint="default"/>
          <w:spacing w:val="-63"/>
        </w:rPr>
        <w:t> </w:t>
      </w:r>
      <w:r>
        <w:rPr>
          <w:rFonts w:ascii="新宋体" w:hAnsi="新宋体" w:cs="新宋体" w:eastAsia="新宋体" w:hint="default"/>
        </w:rPr>
        <w:t>20%</w:t>
      </w:r>
      <w:r>
        <w:rPr>
          <w:rFonts w:ascii="新宋体" w:hAnsi="新宋体" w:cs="新宋体" w:eastAsia="新宋体" w:hint="default"/>
        </w:rPr>
        <w:t>以上的差异原因</w:t>
      </w:r>
      <w:r>
        <w:rPr>
          <w:rFonts w:ascii="新宋体" w:hAnsi="新宋体" w:cs="新宋体" w:eastAsia="新宋体" w:hint="default"/>
          <w:b w:val="0"/>
          <w:bCs w:val="0"/>
        </w:rPr>
      </w:r>
    </w:p>
    <w:p>
      <w:pPr>
        <w:pStyle w:val="BodyText"/>
        <w:spacing w:line="240" w:lineRule="auto" w:before="194"/>
        <w:ind w:right="268"/>
        <w:jc w:val="left"/>
      </w:pPr>
      <w:r>
        <w:rPr/>
        <w:t>□ 适用 √</w:t>
      </w:r>
      <w:r>
        <w:rPr>
          <w:spacing w:val="-1"/>
        </w:rPr>
        <w:t> </w:t>
      </w:r>
      <w:r>
        <w:rPr/>
        <w:t>不适用</w:t>
      </w:r>
    </w:p>
    <w:p>
      <w:pPr>
        <w:spacing w:line="240" w:lineRule="auto" w:before="11"/>
        <w:rPr>
          <w:rFonts w:ascii="新宋体" w:hAnsi="新宋体" w:cs="新宋体" w:eastAsia="新宋体" w:hint="default"/>
          <w:sz w:val="28"/>
          <w:szCs w:val="28"/>
        </w:rPr>
      </w:pPr>
    </w:p>
    <w:p>
      <w:pPr>
        <w:pStyle w:val="Heading2"/>
        <w:spacing w:line="240" w:lineRule="auto"/>
        <w:ind w:right="268"/>
        <w:jc w:val="left"/>
        <w:rPr>
          <w:b w:val="0"/>
          <w:bCs w:val="0"/>
        </w:rPr>
      </w:pPr>
      <w:r>
        <w:rPr>
          <w:rFonts w:ascii="Times New Roman" w:hAnsi="Times New Roman" w:cs="Times New Roman" w:eastAsia="Times New Roman" w:hint="default"/>
        </w:rPr>
        <w:t>2</w:t>
      </w:r>
      <w:r>
        <w:rPr/>
        <w:t>、主营业务分部报告</w:t>
      </w:r>
      <w:r>
        <w:rPr>
          <w:b w:val="0"/>
          <w:bCs w:val="0"/>
        </w:rPr>
      </w:r>
    </w:p>
    <w:p>
      <w:pPr>
        <w:spacing w:after="0" w:line="240" w:lineRule="auto"/>
        <w:jc w:val="left"/>
        <w:sectPr>
          <w:pgSz w:w="11910" w:h="16840"/>
          <w:pgMar w:header="555" w:footer="980" w:top="1100" w:bottom="1160" w:left="980" w:right="1180"/>
        </w:sectPr>
      </w:pPr>
    </w:p>
    <w:p>
      <w:pPr>
        <w:spacing w:line="240" w:lineRule="auto" w:before="11"/>
        <w:rPr>
          <w:rFonts w:ascii="宋体" w:hAnsi="宋体" w:cs="宋体" w:eastAsia="宋体" w:hint="default"/>
          <w:b/>
          <w:bCs/>
          <w:sz w:val="21"/>
          <w:szCs w:val="21"/>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1541"/>
        <w:gridCol w:w="1366"/>
        <w:gridCol w:w="1366"/>
        <w:gridCol w:w="1040"/>
        <w:gridCol w:w="1368"/>
        <w:gridCol w:w="1369"/>
        <w:gridCol w:w="1370"/>
      </w:tblGrid>
      <w:tr>
        <w:trPr>
          <w:trHeight w:val="726" w:hRule="exact"/>
        </w:trPr>
        <w:tc>
          <w:tcPr>
            <w:tcW w:w="154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新宋体" w:hAnsi="新宋体" w:cs="新宋体" w:eastAsia="新宋体" w:hint="default"/>
                <w:sz w:val="18"/>
                <w:szCs w:val="18"/>
              </w:rPr>
            </w:pPr>
            <w:r>
              <w:rPr>
                <w:rFonts w:ascii="新宋体" w:hAnsi="新宋体" w:cs="新宋体" w:eastAsia="新宋体" w:hint="default"/>
                <w:sz w:val="18"/>
                <w:szCs w:val="18"/>
              </w:rPr>
              <w:t>营业收入</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新宋体" w:hAnsi="新宋体" w:cs="新宋体" w:eastAsia="新宋体" w:hint="default"/>
                <w:sz w:val="18"/>
                <w:szCs w:val="18"/>
              </w:rPr>
            </w:pPr>
            <w:r>
              <w:rPr>
                <w:rFonts w:ascii="新宋体" w:hAnsi="新宋体" w:cs="新宋体" w:eastAsia="新宋体" w:hint="default"/>
                <w:sz w:val="18"/>
                <w:szCs w:val="18"/>
              </w:rPr>
              <w:t>营业成本</w:t>
            </w:r>
          </w:p>
        </w:tc>
        <w:tc>
          <w:tcPr>
            <w:tcW w:w="104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新宋体" w:hAnsi="新宋体" w:cs="新宋体" w:eastAsia="新宋体" w:hint="default"/>
                <w:sz w:val="18"/>
                <w:szCs w:val="18"/>
              </w:rPr>
            </w:pPr>
            <w:r>
              <w:rPr>
                <w:rFonts w:ascii="新宋体" w:hAnsi="新宋体" w:cs="新宋体" w:eastAsia="新宋体" w:hint="default"/>
                <w:sz w:val="18"/>
                <w:szCs w:val="18"/>
              </w:rPr>
              <w:t>毛利率</w:t>
            </w:r>
            <w:r>
              <w:rPr>
                <w:rFonts w:ascii="新宋体" w:hAnsi="新宋体" w:cs="新宋体" w:eastAsia="新宋体" w:hint="default"/>
                <w:sz w:val="18"/>
                <w:szCs w:val="18"/>
              </w:rPr>
              <w:t>(%)</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93" w:right="43" w:hanging="46"/>
              <w:jc w:val="left"/>
              <w:rPr>
                <w:rFonts w:ascii="新宋体" w:hAnsi="新宋体" w:cs="新宋体" w:eastAsia="新宋体" w:hint="default"/>
                <w:sz w:val="18"/>
                <w:szCs w:val="18"/>
              </w:rPr>
            </w:pPr>
            <w:r>
              <w:rPr>
                <w:rFonts w:ascii="新宋体" w:hAnsi="新宋体" w:cs="新宋体" w:eastAsia="新宋体" w:hint="default"/>
                <w:sz w:val="18"/>
                <w:szCs w:val="18"/>
              </w:rPr>
              <w:t>营业收入比上年 同期增减（</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91" w:right="46" w:hanging="46"/>
              <w:jc w:val="left"/>
              <w:rPr>
                <w:rFonts w:ascii="新宋体" w:hAnsi="新宋体" w:cs="新宋体" w:eastAsia="新宋体" w:hint="default"/>
                <w:sz w:val="18"/>
                <w:szCs w:val="18"/>
              </w:rPr>
            </w:pPr>
            <w:r>
              <w:rPr>
                <w:rFonts w:ascii="新宋体" w:hAnsi="新宋体" w:cs="新宋体" w:eastAsia="新宋体" w:hint="default"/>
                <w:sz w:val="18"/>
                <w:szCs w:val="18"/>
              </w:rPr>
              <w:t>营业成本比上年 同期增减（</w:t>
            </w:r>
            <w:r>
              <w:rPr>
                <w:rFonts w:ascii="新宋体" w:hAnsi="新宋体" w:cs="新宋体" w:eastAsia="新宋体" w:hint="default"/>
                <w:sz w:val="18"/>
                <w:szCs w:val="18"/>
              </w:rPr>
              <w:t>%</w:t>
            </w:r>
            <w:r>
              <w:rPr>
                <w:rFonts w:ascii="新宋体" w:hAnsi="新宋体" w:cs="新宋体" w:eastAsia="新宋体" w:hint="default"/>
                <w:sz w:val="18"/>
                <w:szCs w:val="18"/>
              </w:rPr>
              <w:t>）</w:t>
            </w:r>
          </w:p>
        </w:tc>
        <w:tc>
          <w:tcPr>
            <w:tcW w:w="137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49"/>
              <w:ind w:left="182" w:right="38" w:hanging="135"/>
              <w:jc w:val="left"/>
              <w:rPr>
                <w:rFonts w:ascii="新宋体" w:hAnsi="新宋体" w:cs="新宋体" w:eastAsia="新宋体" w:hint="default"/>
                <w:sz w:val="18"/>
                <w:szCs w:val="18"/>
              </w:rPr>
            </w:pPr>
            <w:r>
              <w:rPr>
                <w:rFonts w:ascii="新宋体" w:hAnsi="新宋体" w:cs="新宋体" w:eastAsia="新宋体" w:hint="default"/>
                <w:sz w:val="18"/>
                <w:szCs w:val="18"/>
              </w:rPr>
              <w:t>毛利率比上年同 期增减（</w:t>
            </w:r>
            <w:r>
              <w:rPr>
                <w:rFonts w:ascii="新宋体" w:hAnsi="新宋体" w:cs="新宋体" w:eastAsia="新宋体" w:hint="default"/>
                <w:sz w:val="18"/>
                <w:szCs w:val="18"/>
              </w:rPr>
              <w:t>%</w:t>
            </w:r>
            <w:r>
              <w:rPr>
                <w:rFonts w:ascii="新宋体" w:hAnsi="新宋体" w:cs="新宋体" w:eastAsia="新宋体" w:hint="default"/>
                <w:sz w:val="18"/>
                <w:szCs w:val="18"/>
              </w:rPr>
              <w:t>）</w:t>
            </w:r>
          </w:p>
        </w:tc>
      </w:tr>
      <w:tr>
        <w:trPr>
          <w:trHeight w:val="407" w:hRule="exact"/>
        </w:trPr>
        <w:tc>
          <w:tcPr>
            <w:tcW w:w="9420"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分行业</w:t>
            </w:r>
          </w:p>
        </w:tc>
      </w:tr>
      <w:tr>
        <w:trPr>
          <w:trHeight w:val="408" w:hRule="exact"/>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仪器仪表</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256,234,233.79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118,854,104.06</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53.62%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0.93%</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z w:val="18"/>
              </w:rPr>
              <w:t>7.62%</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-2.88%</w:t>
            </w:r>
          </w:p>
        </w:tc>
      </w:tr>
      <w:tr>
        <w:trPr>
          <w:trHeight w:val="406" w:hRule="exact"/>
        </w:trPr>
        <w:tc>
          <w:tcPr>
            <w:tcW w:w="9420"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分产品</w:t>
            </w:r>
          </w:p>
        </w:tc>
      </w:tr>
      <w:tr>
        <w:trPr>
          <w:trHeight w:val="408" w:hRule="exact"/>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气体传感器</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29,530,880.05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14,531,172.20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50.79%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-18.42%</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z w:val="18"/>
              </w:rPr>
              <w:t>-20.35%</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1.19%</w:t>
            </w:r>
          </w:p>
        </w:tc>
      </w:tr>
      <w:tr>
        <w:trPr>
          <w:trHeight w:val="406" w:hRule="exact"/>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气体检测仪器仪表</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164,786,633.21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79,641,558.60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51.67%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-5.25%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z w:val="18"/>
              </w:rPr>
              <w:t>8.12%</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-5.98%</w:t>
            </w:r>
          </w:p>
        </w:tc>
      </w:tr>
      <w:tr>
        <w:trPr>
          <w:trHeight w:val="408" w:hRule="exact"/>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监控系统</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59,150,746.25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22,725,475.76</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pacing w:val="-1"/>
                <w:sz w:val="18"/>
              </w:rPr>
              <w:t>61.58%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6"/>
              <w:jc w:val="right"/>
              <w:rPr>
                <w:rFonts w:ascii="新宋体" w:hAnsi="新宋体" w:cs="新宋体" w:eastAsia="新宋体" w:hint="default"/>
                <w:sz w:val="18"/>
                <w:szCs w:val="18"/>
              </w:rPr>
            </w:pPr>
            <w:r>
              <w:rPr>
                <w:rFonts w:ascii="新宋体"/>
                <w:spacing w:val="-1"/>
                <w:sz w:val="18"/>
              </w:rPr>
              <w:t>48.11%</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新宋体" w:hAnsi="新宋体" w:cs="新宋体" w:eastAsia="新宋体" w:hint="default"/>
                <w:sz w:val="18"/>
                <w:szCs w:val="18"/>
              </w:rPr>
            </w:pPr>
            <w:r>
              <w:rPr>
                <w:rFonts w:ascii="新宋体"/>
                <w:spacing w:val="-1"/>
                <w:sz w:val="18"/>
              </w:rPr>
              <w:t>38.19%</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
              <w:jc w:val="right"/>
              <w:rPr>
                <w:rFonts w:ascii="新宋体" w:hAnsi="新宋体" w:cs="新宋体" w:eastAsia="新宋体" w:hint="default"/>
                <w:sz w:val="18"/>
                <w:szCs w:val="18"/>
              </w:rPr>
            </w:pPr>
            <w:r>
              <w:rPr>
                <w:rFonts w:ascii="新宋体"/>
                <w:sz w:val="18"/>
              </w:rPr>
              <w:t>2.76%</w:t>
            </w:r>
          </w:p>
        </w:tc>
      </w:tr>
      <w:tr>
        <w:trPr>
          <w:trHeight w:val="409" w:hRule="exact"/>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2,765,974.28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1,955,897.50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29.29%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z w:val="18"/>
              </w:rPr>
              <w:t>-27.47%</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-6.44%</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-15.9%</w:t>
            </w:r>
          </w:p>
        </w:tc>
      </w:tr>
      <w:tr>
        <w:trPr>
          <w:trHeight w:val="406" w:hRule="exact"/>
        </w:trPr>
        <w:tc>
          <w:tcPr>
            <w:tcW w:w="9420"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分地区</w:t>
            </w:r>
          </w:p>
        </w:tc>
      </w:tr>
      <w:tr>
        <w:trPr>
          <w:trHeight w:val="408" w:hRule="exact"/>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国内</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223,193,115.69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102,648,933.24</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54.01%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4"/>
              <w:jc w:val="right"/>
              <w:rPr>
                <w:rFonts w:ascii="新宋体" w:hAnsi="新宋体" w:cs="新宋体" w:eastAsia="新宋体" w:hint="default"/>
                <w:sz w:val="18"/>
                <w:szCs w:val="18"/>
              </w:rPr>
            </w:pPr>
            <w:r>
              <w:rPr>
                <w:rFonts w:ascii="新宋体"/>
                <w:sz w:val="18"/>
              </w:rPr>
              <w:t>2%</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13.74%</w:t>
            </w:r>
          </w:p>
        </w:tc>
        <w:tc>
          <w:tcPr>
            <w:tcW w:w="13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-4.75%</w:t>
            </w:r>
          </w:p>
        </w:tc>
      </w:tr>
      <w:tr>
        <w:trPr>
          <w:trHeight w:val="413" w:hRule="exact"/>
        </w:trPr>
        <w:tc>
          <w:tcPr>
            <w:tcW w:w="154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新宋体" w:hAnsi="新宋体" w:cs="新宋体" w:eastAsia="新宋体" w:hint="default"/>
                <w:sz w:val="18"/>
                <w:szCs w:val="18"/>
              </w:rPr>
            </w:pPr>
            <w:r>
              <w:rPr>
                <w:rFonts w:ascii="新宋体" w:hAnsi="新宋体" w:cs="新宋体" w:eastAsia="新宋体" w:hint="default"/>
                <w:sz w:val="18"/>
                <w:szCs w:val="18"/>
              </w:rPr>
              <w:t>国外</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33,041,118.10</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16,205,170.82</w:t>
            </w:r>
          </w:p>
        </w:tc>
        <w:tc>
          <w:tcPr>
            <w:tcW w:w="10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50.95%</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6"/>
              <w:jc w:val="right"/>
              <w:rPr>
                <w:rFonts w:ascii="新宋体" w:hAnsi="新宋体" w:cs="新宋体" w:eastAsia="新宋体" w:hint="default"/>
                <w:sz w:val="18"/>
                <w:szCs w:val="18"/>
              </w:rPr>
            </w:pPr>
            <w:r>
              <w:rPr>
                <w:rFonts w:ascii="新宋体"/>
                <w:spacing w:val="-1"/>
                <w:sz w:val="18"/>
              </w:rPr>
              <w:t>-5.71%</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z w:val="18"/>
              </w:rPr>
              <w:t>-19.76%</w:t>
            </w:r>
          </w:p>
        </w:tc>
        <w:tc>
          <w:tcPr>
            <w:tcW w:w="13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z w:val="18"/>
              </w:rPr>
              <w:t>8.58%</w:t>
            </w:r>
          </w:p>
        </w:tc>
      </w:tr>
    </w:tbl>
    <w:p>
      <w:pPr>
        <w:pStyle w:val="BodyText"/>
        <w:tabs>
          <w:tab w:pos="7054" w:val="left" w:leader="none"/>
        </w:tabs>
        <w:spacing w:line="355" w:lineRule="auto" w:before="82"/>
        <w:ind w:left="212" w:right="285" w:firstLine="425"/>
        <w:jc w:val="left"/>
      </w:pPr>
      <w:r>
        <w:rPr/>
        <w:t>公司主营业务数据统计口径在报告期发生调整的情况下，公司最近</w:t>
      </w:r>
      <w:r>
        <w:rPr>
          <w:spacing w:val="-60"/>
        </w:rPr>
        <w:t> </w:t>
      </w:r>
      <w:r>
        <w:rPr>
          <w:rFonts w:ascii="新宋体" w:hAnsi="新宋体" w:cs="新宋体" w:eastAsia="新宋体" w:hint="default"/>
        </w:rPr>
        <w:t>3</w:t>
      </w:r>
      <w:r>
        <w:rPr>
          <w:rFonts w:ascii="新宋体" w:hAnsi="新宋体" w:cs="新宋体" w:eastAsia="新宋体" w:hint="default"/>
          <w:spacing w:val="-60"/>
        </w:rPr>
        <w:t> </w:t>
      </w:r>
      <w:r>
        <w:rPr/>
        <w:t>年按报告期末口 径调整后的主营业务数据。</w:t>
        <w:tab/>
        <w:t>□ 适用 √ 不适用</w:t>
      </w:r>
    </w:p>
    <w:p>
      <w:pPr>
        <w:spacing w:line="240" w:lineRule="auto" w:before="2"/>
        <w:rPr>
          <w:rFonts w:ascii="新宋体" w:hAnsi="新宋体" w:cs="新宋体" w:eastAsia="新宋体" w:hint="default"/>
          <w:sz w:val="22"/>
          <w:szCs w:val="22"/>
        </w:rPr>
      </w:pPr>
    </w:p>
    <w:p>
      <w:pPr>
        <w:spacing w:before="0"/>
        <w:ind w:left="212" w:right="2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、资产、负债状况分析</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212" w:right="2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350"/>
        <w:gridCol w:w="1337"/>
        <w:gridCol w:w="1064"/>
        <w:gridCol w:w="1195"/>
        <w:gridCol w:w="1064"/>
        <w:gridCol w:w="797"/>
        <w:gridCol w:w="2686"/>
      </w:tblGrid>
      <w:tr>
        <w:trPr>
          <w:trHeight w:val="217" w:hRule="exact"/>
        </w:trPr>
        <w:tc>
          <w:tcPr>
            <w:tcW w:w="1350" w:type="dxa"/>
            <w:vMerge w:val="restart"/>
            <w:tcBorders>
              <w:top w:val="single" w:sz="12" w:space="0" w:color="000000"/>
              <w:left w:val="single" w:sz="12" w:space="0" w:color="000000"/>
              <w:right w:val="single" w:sz="6" w:space="0" w:color="000000"/>
            </w:tcBorders>
            <w:shd w:val="clear" w:color="auto" w:fill="D2D2D2"/>
          </w:tcPr>
          <w:p>
            <w:pPr/>
          </w:p>
        </w:tc>
        <w:tc>
          <w:tcPr>
            <w:tcW w:w="240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12" w:space="0" w:color="000000"/>
              <w:left w:val="single" w:sz="6" w:space="0" w:color="000000"/>
              <w:bottom w:val="nil" w:sz="6" w:space="0" w:color="auto"/>
              <w:right w:val="single" w:sz="6" w:space="0" w:color="000000"/>
            </w:tcBorders>
            <w:shd w:val="clear" w:color="auto" w:fill="D2D2D2"/>
          </w:tcPr>
          <w:p>
            <w:pPr/>
          </w:p>
        </w:tc>
        <w:tc>
          <w:tcPr>
            <w:tcW w:w="2686" w:type="dxa"/>
            <w:vMerge w:val="restart"/>
            <w:tcBorders>
              <w:top w:val="single" w:sz="12" w:space="0" w:color="000000"/>
              <w:left w:val="single" w:sz="6" w:space="0" w:color="000000"/>
              <w:right w:val="single" w:sz="12" w:space="0" w:color="000000"/>
            </w:tcBorders>
            <w:shd w:val="clear" w:color="auto" w:fill="D2D2D2"/>
          </w:tcPr>
          <w:p>
            <w:pPr/>
          </w:p>
        </w:tc>
      </w:tr>
      <w:tr>
        <w:trPr>
          <w:trHeight w:val="173" w:hRule="exact"/>
        </w:trPr>
        <w:tc>
          <w:tcPr>
            <w:tcW w:w="1350" w:type="dxa"/>
            <w:vMerge/>
            <w:tcBorders>
              <w:left w:val="single" w:sz="12" w:space="0" w:color="000000"/>
              <w:bottom w:val="nil" w:sz="6" w:space="0" w:color="auto"/>
              <w:right w:val="single" w:sz="6" w:space="0" w:color="000000"/>
            </w:tcBorders>
            <w:shd w:val="clear" w:color="auto" w:fill="D2D2D2"/>
          </w:tcPr>
          <w:p>
            <w:pPr/>
          </w:p>
        </w:tc>
        <w:tc>
          <w:tcPr>
            <w:tcW w:w="2401" w:type="dxa"/>
            <w:gridSpan w:val="2"/>
            <w:vMerge/>
            <w:tcBorders>
              <w:left w:val="single" w:sz="6" w:space="0" w:color="000000"/>
              <w:bottom w:val="single" w:sz="6" w:space="0" w:color="000000"/>
              <w:right w:val="single" w:sz="6" w:space="0" w:color="000000"/>
            </w:tcBorders>
            <w:shd w:val="clear" w:color="auto" w:fill="D2D2D2"/>
          </w:tcPr>
          <w:p>
            <w:pPr/>
          </w:p>
        </w:tc>
        <w:tc>
          <w:tcPr>
            <w:tcW w:w="2259" w:type="dxa"/>
            <w:gridSpan w:val="2"/>
            <w:vMerge/>
            <w:tcBorders>
              <w:left w:val="single" w:sz="6" w:space="0" w:color="000000"/>
              <w:bottom w:val="single" w:sz="6" w:space="0" w:color="000000"/>
              <w:right w:val="single" w:sz="6" w:space="0" w:color="000000"/>
            </w:tcBorders>
            <w:shd w:val="clear" w:color="auto" w:fill="D2D2D2"/>
          </w:tcPr>
          <w:p>
            <w:pPr/>
          </w:p>
        </w:tc>
        <w:tc>
          <w:tcPr>
            <w:tcW w:w="79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86" w:type="dxa"/>
            <w:vMerge/>
            <w:tcBorders>
              <w:left w:val="single" w:sz="6" w:space="0" w:color="000000"/>
              <w:bottom w:val="nil" w:sz="6" w:space="0" w:color="auto"/>
              <w:right w:val="single" w:sz="12" w:space="0" w:color="000000"/>
            </w:tcBorders>
            <w:shd w:val="clear" w:color="auto" w:fill="D2D2D2"/>
          </w:tcPr>
          <w:p>
            <w:pPr/>
          </w:p>
        </w:tc>
      </w:tr>
      <w:tr>
        <w:trPr>
          <w:trHeight w:val="187" w:hRule="exact"/>
        </w:trPr>
        <w:tc>
          <w:tcPr>
            <w:tcW w:w="1350" w:type="dxa"/>
            <w:vMerge w:val="restart"/>
            <w:tcBorders>
              <w:top w:val="nil" w:sz="6" w:space="0" w:color="auto"/>
              <w:left w:val="single" w:sz="12" w:space="0" w:color="000000"/>
              <w:right w:val="single" w:sz="6" w:space="0" w:color="000000"/>
            </w:tcBorders>
            <w:shd w:val="clear" w:color="auto" w:fill="D2D2D2"/>
          </w:tcPr>
          <w:p>
            <w:pPr/>
          </w:p>
        </w:tc>
        <w:tc>
          <w:tcPr>
            <w:tcW w:w="133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4"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3"/>
              <w:ind w:left="180"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4"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3"/>
              <w:ind w:left="179"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6" w:space="0" w:color="000000"/>
              <w:right w:val="single" w:sz="6" w:space="0" w:color="000000"/>
            </w:tcBorders>
            <w:shd w:val="clear" w:color="auto" w:fill="D2D2D2"/>
          </w:tcPr>
          <w:p>
            <w:pPr/>
          </w:p>
        </w:tc>
        <w:tc>
          <w:tcPr>
            <w:tcW w:w="2686"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2"/>
              <w:ind w:left="79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0" w:type="dxa"/>
            <w:vMerge/>
            <w:tcBorders>
              <w:left w:val="single" w:sz="12" w:space="0" w:color="000000"/>
              <w:bottom w:val="nil" w:sz="6" w:space="0" w:color="auto"/>
              <w:right w:val="single" w:sz="6" w:space="0" w:color="000000"/>
            </w:tcBorders>
            <w:shd w:val="clear" w:color="auto" w:fill="D2D2D2"/>
          </w:tcPr>
          <w:p>
            <w:pPr/>
          </w:p>
        </w:tc>
        <w:tc>
          <w:tcPr>
            <w:tcW w:w="133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6" w:space="0" w:color="000000"/>
              <w:right w:val="single" w:sz="6" w:space="0" w:color="000000"/>
            </w:tcBorders>
            <w:shd w:val="clear" w:color="auto" w:fill="D2D2D2"/>
          </w:tcPr>
          <w:p>
            <w:pPr/>
          </w:p>
        </w:tc>
        <w:tc>
          <w:tcPr>
            <w:tcW w:w="119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6" w:space="0" w:color="000000"/>
              <w:right w:val="single" w:sz="6" w:space="0" w:color="000000"/>
            </w:tcBorders>
            <w:shd w:val="clear" w:color="auto" w:fill="D2D2D2"/>
          </w:tcPr>
          <w:p>
            <w:pPr/>
          </w:p>
        </w:tc>
        <w:tc>
          <w:tcPr>
            <w:tcW w:w="797" w:type="dxa"/>
            <w:vMerge/>
            <w:tcBorders>
              <w:left w:val="single" w:sz="6" w:space="0" w:color="000000"/>
              <w:right w:val="single" w:sz="6" w:space="0" w:color="000000"/>
            </w:tcBorders>
            <w:shd w:val="clear" w:color="auto" w:fill="D2D2D2"/>
          </w:tcPr>
          <w:p>
            <w:pPr/>
          </w:p>
        </w:tc>
        <w:tc>
          <w:tcPr>
            <w:tcW w:w="2686" w:type="dxa"/>
            <w:vMerge/>
            <w:tcBorders>
              <w:left w:val="single" w:sz="6" w:space="0" w:color="000000"/>
              <w:bottom w:val="nil" w:sz="6" w:space="0" w:color="auto"/>
              <w:right w:val="single" w:sz="12" w:space="0" w:color="000000"/>
            </w:tcBorders>
            <w:shd w:val="clear" w:color="auto" w:fill="D2D2D2"/>
          </w:tcPr>
          <w:p>
            <w:pPr/>
          </w:p>
        </w:tc>
      </w:tr>
      <w:tr>
        <w:trPr>
          <w:trHeight w:val="180" w:hRule="exact"/>
        </w:trPr>
        <w:tc>
          <w:tcPr>
            <w:tcW w:w="1350" w:type="dxa"/>
            <w:vMerge w:val="restart"/>
            <w:tcBorders>
              <w:top w:val="nil" w:sz="6" w:space="0" w:color="auto"/>
              <w:left w:val="single" w:sz="12" w:space="0" w:color="000000"/>
              <w:right w:val="single" w:sz="6" w:space="0" w:color="000000"/>
            </w:tcBorders>
            <w:shd w:val="clear" w:color="auto" w:fill="D2D2D2"/>
          </w:tcPr>
          <w:p>
            <w:pPr/>
          </w:p>
        </w:tc>
        <w:tc>
          <w:tcPr>
            <w:tcW w:w="1337" w:type="dxa"/>
            <w:vMerge/>
            <w:tcBorders>
              <w:left w:val="single" w:sz="6" w:space="0" w:color="000000"/>
              <w:bottom w:val="nil" w:sz="6" w:space="0" w:color="auto"/>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1195" w:type="dxa"/>
            <w:vMerge/>
            <w:tcBorders>
              <w:left w:val="single" w:sz="6" w:space="0" w:color="000000"/>
              <w:bottom w:val="nil" w:sz="6" w:space="0" w:color="auto"/>
              <w:right w:val="single" w:sz="6" w:space="0" w:color="000000"/>
            </w:tcBorders>
            <w:shd w:val="clear" w:color="auto" w:fill="D2D2D2"/>
          </w:tcPr>
          <w:p>
            <w:pPr/>
          </w:p>
        </w:tc>
        <w:tc>
          <w:tcPr>
            <w:tcW w:w="1064" w:type="dxa"/>
            <w:vMerge/>
            <w:tcBorders>
              <w:left w:val="single" w:sz="6" w:space="0" w:color="000000"/>
              <w:right w:val="single" w:sz="6" w:space="0" w:color="000000"/>
            </w:tcBorders>
            <w:shd w:val="clear" w:color="auto" w:fill="D2D2D2"/>
          </w:tcPr>
          <w:p>
            <w:pPr/>
          </w:p>
        </w:tc>
        <w:tc>
          <w:tcPr>
            <w:tcW w:w="797" w:type="dxa"/>
            <w:vMerge/>
            <w:tcBorders>
              <w:left w:val="single" w:sz="6" w:space="0" w:color="000000"/>
              <w:bottom w:val="nil" w:sz="6" w:space="0" w:color="auto"/>
              <w:right w:val="single" w:sz="6" w:space="0" w:color="000000"/>
            </w:tcBorders>
            <w:shd w:val="clear" w:color="auto" w:fill="D2D2D2"/>
          </w:tcPr>
          <w:p>
            <w:pPr/>
          </w:p>
        </w:tc>
        <w:tc>
          <w:tcPr>
            <w:tcW w:w="2686" w:type="dxa"/>
            <w:vMerge w:val="restart"/>
            <w:tcBorders>
              <w:top w:val="nil" w:sz="6" w:space="0" w:color="auto"/>
              <w:left w:val="single" w:sz="6" w:space="0" w:color="000000"/>
              <w:right w:val="single" w:sz="12" w:space="0" w:color="000000"/>
            </w:tcBorders>
            <w:shd w:val="clear" w:color="auto" w:fill="D2D2D2"/>
          </w:tcPr>
          <w:p>
            <w:pPr/>
          </w:p>
        </w:tc>
      </w:tr>
      <w:tr>
        <w:trPr>
          <w:trHeight w:val="175" w:hRule="exact"/>
        </w:trPr>
        <w:tc>
          <w:tcPr>
            <w:tcW w:w="1350" w:type="dxa"/>
            <w:vMerge/>
            <w:tcBorders>
              <w:left w:val="single" w:sz="12" w:space="0" w:color="000000"/>
              <w:bottom w:val="single" w:sz="6" w:space="0" w:color="000000"/>
              <w:right w:val="single" w:sz="6" w:space="0" w:color="000000"/>
            </w:tcBorders>
            <w:shd w:val="clear" w:color="auto" w:fill="D2D2D2"/>
          </w:tcPr>
          <w:p>
            <w:pPr/>
          </w:p>
        </w:tc>
        <w:tc>
          <w:tcPr>
            <w:tcW w:w="133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11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4" w:type="dxa"/>
            <w:vMerge/>
            <w:tcBorders>
              <w:left w:val="single" w:sz="6" w:space="0" w:color="000000"/>
              <w:bottom w:val="single" w:sz="6" w:space="0" w:color="000000"/>
              <w:right w:val="single" w:sz="6" w:space="0" w:color="000000"/>
            </w:tcBorders>
            <w:shd w:val="clear" w:color="auto" w:fill="D2D2D2"/>
          </w:tcPr>
          <w:p>
            <w:pPr/>
          </w:p>
        </w:tc>
        <w:tc>
          <w:tcPr>
            <w:tcW w:w="797" w:type="dxa"/>
            <w:tcBorders>
              <w:top w:val="nil" w:sz="6" w:space="0" w:color="auto"/>
              <w:left w:val="single" w:sz="6" w:space="0" w:color="000000"/>
              <w:bottom w:val="single" w:sz="6" w:space="0" w:color="000000"/>
              <w:right w:val="single" w:sz="6" w:space="0" w:color="000000"/>
            </w:tcBorders>
            <w:shd w:val="clear" w:color="auto" w:fill="D2D2D2"/>
          </w:tcPr>
          <w:p>
            <w:pPr/>
          </w:p>
        </w:tc>
        <w:tc>
          <w:tcPr>
            <w:tcW w:w="2686"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135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213,337,933.61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29.03%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260,147,364.63</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37.36%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w:t>
            </w:r>
          </w:p>
        </w:tc>
        <w:tc>
          <w:tcPr>
            <w:tcW w:w="26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35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114,402,202.18</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15.57%</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110,200,902.07</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15.83%</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-0.26%</w:t>
            </w:r>
          </w:p>
        </w:tc>
        <w:tc>
          <w:tcPr>
            <w:tcW w:w="2686" w:type="dxa"/>
            <w:tcBorders>
              <w:top w:val="single" w:sz="6" w:space="0" w:color="000000"/>
              <w:left w:val="single" w:sz="6" w:space="0" w:color="000000"/>
              <w:bottom w:val="single" w:sz="6" w:space="0" w:color="000000"/>
              <w:right w:val="single" w:sz="12" w:space="0" w:color="000000"/>
            </w:tcBorders>
          </w:tcPr>
          <w:p>
            <w:pPr/>
          </w:p>
        </w:tc>
      </w:tr>
      <w:tr>
        <w:trPr>
          <w:trHeight w:val="406" w:hRule="exact"/>
        </w:trPr>
        <w:tc>
          <w:tcPr>
            <w:tcW w:w="135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68,630,898.51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9.34%</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56,194,548.13</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w:t>
            </w:r>
          </w:p>
        </w:tc>
        <w:tc>
          <w:tcPr>
            <w:tcW w:w="268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35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84,759,020.43</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11.53%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73,597,138.02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10.57%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0.96%</w:t>
            </w:r>
          </w:p>
        </w:tc>
        <w:tc>
          <w:tcPr>
            <w:tcW w:w="268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35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137,458,863.69</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70,570,716.47</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10.13%</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8.57%</w:t>
            </w:r>
          </w:p>
        </w:tc>
        <w:tc>
          <w:tcPr>
            <w:tcW w:w="26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spacing w:before="36"/>
        <w:ind w:left="212" w:right="2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34" w:firstLine="0"/>
        <w:jc w:val="right"/>
        <w:rPr>
          <w:rFonts w:ascii="宋体" w:hAnsi="宋体" w:cs="宋体" w:eastAsia="宋体" w:hint="default"/>
          <w:sz w:val="18"/>
          <w:szCs w:val="18"/>
        </w:rPr>
      </w:pPr>
      <w:r>
        <w:rPr/>
        <w:pict>
          <v:shape style="position:absolute;margin-left:245.690002pt;margin-top:41.271725pt;width:64.3500pt;height:19.6pt;mso-position-horizontal-relative:page;mso-position-vertical-relative:paragraph;z-index:-9478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88"/>
        <w:gridCol w:w="1153"/>
        <w:gridCol w:w="1558"/>
        <w:gridCol w:w="239"/>
        <w:gridCol w:w="956"/>
        <w:gridCol w:w="1776"/>
        <w:gridCol w:w="809"/>
        <w:gridCol w:w="1774"/>
      </w:tblGrid>
      <w:tr>
        <w:trPr>
          <w:trHeight w:val="217" w:hRule="exact"/>
        </w:trPr>
        <w:tc>
          <w:tcPr>
            <w:tcW w:w="1288"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71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7"/>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95"/>
              <w:ind w:left="7"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4"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288" w:type="dxa"/>
            <w:vMerge w:val="restart"/>
            <w:tcBorders>
              <w:top w:val="nil" w:sz="6" w:space="0" w:color="auto"/>
              <w:left w:val="single" w:sz="12" w:space="0" w:color="000000"/>
              <w:right w:val="single" w:sz="6" w:space="0" w:color="000000"/>
            </w:tcBorders>
            <w:shd w:val="clear" w:color="auto" w:fill="D2D2D2"/>
          </w:tcPr>
          <w:p>
            <w:pPr/>
          </w:p>
        </w:tc>
        <w:tc>
          <w:tcPr>
            <w:tcW w:w="2711" w:type="dxa"/>
            <w:gridSpan w:val="2"/>
            <w:vMerge/>
            <w:tcBorders>
              <w:left w:val="single" w:sz="6" w:space="0" w:color="000000"/>
              <w:bottom w:val="single" w:sz="6" w:space="0" w:color="000000"/>
              <w:right w:val="single" w:sz="6" w:space="0" w:color="000000"/>
            </w:tcBorders>
            <w:shd w:val="clear" w:color="auto" w:fill="D2D2D2"/>
          </w:tcPr>
          <w:p>
            <w:pPr/>
          </w:p>
        </w:tc>
        <w:tc>
          <w:tcPr>
            <w:tcW w:w="2972" w:type="dxa"/>
            <w:gridSpan w:val="3"/>
            <w:vMerge/>
            <w:tcBorders>
              <w:left w:val="single" w:sz="6" w:space="0" w:color="000000"/>
              <w:bottom w:val="single" w:sz="6" w:space="0" w:color="000000"/>
              <w:right w:val="single" w:sz="6" w:space="0" w:color="000000"/>
            </w:tcBorders>
            <w:shd w:val="clear" w:color="auto" w:fill="D2D2D2"/>
          </w:tcPr>
          <w:p>
            <w:pPr/>
          </w:p>
        </w:tc>
        <w:tc>
          <w:tcPr>
            <w:tcW w:w="809" w:type="dxa"/>
            <w:vMerge/>
            <w:tcBorders>
              <w:left w:val="single" w:sz="6" w:space="0" w:color="000000"/>
              <w:right w:val="single" w:sz="6" w:space="0" w:color="000000"/>
            </w:tcBorders>
            <w:shd w:val="clear" w:color="auto" w:fill="D2D2D2"/>
          </w:tcPr>
          <w:p>
            <w:pPr/>
          </w:p>
        </w:tc>
        <w:tc>
          <w:tcPr>
            <w:tcW w:w="1774"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288" w:type="dxa"/>
            <w:vMerge/>
            <w:tcBorders>
              <w:left w:val="single" w:sz="12" w:space="0" w:color="000000"/>
              <w:bottom w:val="nil" w:sz="6" w:space="0" w:color="auto"/>
              <w:right w:val="single" w:sz="6" w:space="0" w:color="000000"/>
            </w:tcBorders>
            <w:shd w:val="clear" w:color="auto" w:fill="D2D2D2"/>
          </w:tcPr>
          <w:p>
            <w:pPr/>
          </w:p>
        </w:tc>
        <w:tc>
          <w:tcPr>
            <w:tcW w:w="115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p>
        </w:tc>
        <w:tc>
          <w:tcPr>
            <w:tcW w:w="239" w:type="dxa"/>
            <w:vMerge w:val="restart"/>
            <w:tcBorders>
              <w:top w:val="single" w:sz="6" w:space="0" w:color="000000"/>
              <w:left w:val="single" w:sz="6" w:space="0" w:color="000000"/>
              <w:right w:val="nil" w:sz="6" w:space="0" w:color="auto"/>
            </w:tcBorders>
            <w:shd w:val="clear" w:color="auto" w:fill="D2D2D2"/>
          </w:tcPr>
          <w:p>
            <w:pPr/>
          </w:p>
        </w:tc>
        <w:tc>
          <w:tcPr>
            <w:tcW w:w="956" w:type="dxa"/>
            <w:vMerge w:val="restart"/>
            <w:tcBorders>
              <w:top w:val="single" w:sz="6" w:space="0" w:color="000000"/>
              <w:left w:val="nil" w:sz="6" w:space="0" w:color="auto"/>
              <w:right w:val="single" w:sz="6" w:space="0" w:color="000000"/>
            </w:tcBorders>
            <w:shd w:val="clear" w:color="auto" w:fill="D2D2D2"/>
          </w:tcPr>
          <w:p>
            <w:pPr>
              <w:pStyle w:val="TableParagraph"/>
              <w:spacing w:line="240" w:lineRule="auto" w:before="50"/>
              <w:ind w:left="1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7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9" w:type="dxa"/>
            <w:vMerge/>
            <w:tcBorders>
              <w:left w:val="single" w:sz="6" w:space="0" w:color="000000"/>
              <w:right w:val="single" w:sz="6" w:space="0" w:color="000000"/>
            </w:tcBorders>
            <w:shd w:val="clear" w:color="auto" w:fill="D2D2D2"/>
          </w:tcPr>
          <w:p>
            <w:pPr/>
          </w:p>
        </w:tc>
        <w:tc>
          <w:tcPr>
            <w:tcW w:w="1774"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288"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53" w:type="dxa"/>
            <w:vMerge/>
            <w:tcBorders>
              <w:left w:val="single" w:sz="6" w:space="0" w:color="000000"/>
              <w:bottom w:val="single" w:sz="6" w:space="0" w:color="000000"/>
              <w:right w:val="single" w:sz="6" w:space="0" w:color="000000"/>
            </w:tcBorders>
            <w:shd w:val="clear" w:color="auto" w:fill="D2D2D2"/>
          </w:tcPr>
          <w:p>
            <w:pPr/>
          </w:p>
        </w:tc>
        <w:tc>
          <w:tcPr>
            <w:tcW w:w="1558" w:type="dxa"/>
            <w:vMerge/>
            <w:tcBorders>
              <w:left w:val="single" w:sz="6" w:space="0" w:color="000000"/>
              <w:bottom w:val="single" w:sz="6" w:space="0" w:color="000000"/>
              <w:right w:val="single" w:sz="6" w:space="0" w:color="000000"/>
            </w:tcBorders>
            <w:shd w:val="clear" w:color="auto" w:fill="D2D2D2"/>
          </w:tcPr>
          <w:p>
            <w:pPr/>
          </w:p>
        </w:tc>
        <w:tc>
          <w:tcPr>
            <w:tcW w:w="239" w:type="dxa"/>
            <w:vMerge/>
            <w:tcBorders>
              <w:left w:val="single" w:sz="6" w:space="0" w:color="000000"/>
              <w:bottom w:val="single" w:sz="6" w:space="0" w:color="000000"/>
              <w:right w:val="nil" w:sz="6" w:space="0" w:color="auto"/>
            </w:tcBorders>
            <w:shd w:val="clear" w:color="auto" w:fill="D2D2D2"/>
          </w:tcPr>
          <w:p>
            <w:pPr/>
          </w:p>
        </w:tc>
        <w:tc>
          <w:tcPr>
            <w:tcW w:w="956" w:type="dxa"/>
            <w:vMerge/>
            <w:tcBorders>
              <w:left w:val="nil" w:sz="6" w:space="0" w:color="auto"/>
              <w:bottom w:val="single" w:sz="6" w:space="0" w:color="000000"/>
              <w:right w:val="single" w:sz="6" w:space="0" w:color="000000"/>
            </w:tcBorders>
            <w:shd w:val="clear" w:color="auto" w:fill="D2D2D2"/>
          </w:tcPr>
          <w:p>
            <w:pPr/>
          </w:p>
        </w:tc>
        <w:tc>
          <w:tcPr>
            <w:tcW w:w="1776" w:type="dxa"/>
            <w:vMerge/>
            <w:tcBorders>
              <w:left w:val="single" w:sz="6" w:space="0" w:color="000000"/>
              <w:bottom w:val="single" w:sz="6" w:space="0" w:color="000000"/>
              <w:right w:val="single" w:sz="6" w:space="0" w:color="000000"/>
            </w:tcBorders>
            <w:shd w:val="clear" w:color="auto" w:fill="D2D2D2"/>
          </w:tcPr>
          <w:p>
            <w:pPr/>
          </w:p>
        </w:tc>
        <w:tc>
          <w:tcPr>
            <w:tcW w:w="809" w:type="dxa"/>
            <w:vMerge/>
            <w:tcBorders>
              <w:left w:val="single" w:sz="6" w:space="0" w:color="000000"/>
              <w:bottom w:val="single" w:sz="6" w:space="0" w:color="000000"/>
              <w:right w:val="single" w:sz="6" w:space="0" w:color="000000"/>
            </w:tcBorders>
            <w:shd w:val="clear" w:color="auto" w:fill="D2D2D2"/>
          </w:tcPr>
          <w:p>
            <w:pPr/>
          </w:p>
        </w:tc>
        <w:tc>
          <w:tcPr>
            <w:tcW w:w="1774"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3" w:hRule="exact"/>
        </w:trPr>
        <w:tc>
          <w:tcPr>
            <w:tcW w:w="12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53"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10,000,000.00</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119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5,000,000.00</w:t>
            </w: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0.72%</w:t>
            </w:r>
          </w:p>
        </w:tc>
        <w:tc>
          <w:tcPr>
            <w:tcW w:w="809" w:type="dxa"/>
            <w:tcBorders>
              <w:top w:val="single" w:sz="25" w:space="0" w:color="D2D2D2"/>
              <w:left w:val="single" w:sz="6" w:space="0" w:color="000000"/>
              <w:bottom w:val="single" w:sz="12" w:space="0" w:color="000000"/>
              <w:right w:val="single" w:sz="6" w:space="0" w:color="000000"/>
            </w:tcBorders>
          </w:tcPr>
          <w:p>
            <w:pPr>
              <w:pStyle w:val="TableParagraph"/>
              <w:spacing w:line="240" w:lineRule="auto" w:before="67"/>
              <w:ind w:left="307" w:right="0"/>
              <w:jc w:val="left"/>
              <w:rPr>
                <w:rFonts w:ascii="Times New Roman" w:hAnsi="Times New Roman" w:cs="Times New Roman" w:eastAsia="Times New Roman" w:hint="default"/>
                <w:sz w:val="18"/>
                <w:szCs w:val="18"/>
              </w:rPr>
            </w:pPr>
            <w:r>
              <w:rPr>
                <w:rFonts w:ascii="Times New Roman"/>
                <w:sz w:val="18"/>
              </w:rPr>
              <w:t>0.64%</w:t>
            </w:r>
          </w:p>
        </w:tc>
        <w:tc>
          <w:tcPr>
            <w:tcW w:w="177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555" w:footer="980" w:top="1100" w:bottom="1160" w:left="920" w:right="1180"/>
        </w:sectPr>
      </w:pPr>
    </w:p>
    <w:p>
      <w:pPr>
        <w:spacing w:line="240" w:lineRule="auto" w:before="9"/>
        <w:rPr>
          <w:rFonts w:ascii="宋体" w:hAnsi="宋体" w:cs="宋体" w:eastAsia="宋体" w:hint="default"/>
          <w:sz w:val="19"/>
          <w:szCs w:val="19"/>
        </w:rPr>
      </w:pPr>
    </w:p>
    <w:p>
      <w:pPr>
        <w:pStyle w:val="Heading2"/>
        <w:spacing w:line="240" w:lineRule="auto" w:before="26"/>
        <w:ind w:left="552" w:right="588"/>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left="552" w:right="484" w:firstLine="425"/>
        <w:jc w:val="both"/>
      </w:pPr>
      <w:r>
        <w:rPr/>
        <w:t>报告期内，公司及子公司新增</w:t>
      </w:r>
      <w:r>
        <w:rPr>
          <w:rFonts w:ascii="新宋体" w:hAnsi="新宋体" w:cs="新宋体" w:eastAsia="新宋体" w:hint="default"/>
        </w:rPr>
        <w:t>86</w:t>
      </w:r>
      <w:r>
        <w:rPr/>
        <w:t>项专利，其中新增发明专利</w:t>
      </w:r>
      <w:r>
        <w:rPr>
          <w:rFonts w:ascii="新宋体" w:hAnsi="新宋体" w:cs="新宋体" w:eastAsia="新宋体" w:hint="default"/>
        </w:rPr>
        <w:t>6</w:t>
      </w:r>
      <w:r>
        <w:rPr/>
        <w:t>项，实用新型专利</w:t>
      </w:r>
      <w:r>
        <w:rPr>
          <w:rFonts w:ascii="新宋体" w:hAnsi="新宋体" w:cs="新宋体" w:eastAsia="新宋体" w:hint="default"/>
        </w:rPr>
        <w:t>69</w:t>
      </w:r>
      <w:r>
        <w:rPr/>
        <w:t>项， 外观设计专利</w:t>
      </w:r>
      <w:r>
        <w:rPr>
          <w:rFonts w:ascii="新宋体" w:hAnsi="新宋体" w:cs="新宋体" w:eastAsia="新宋体" w:hint="default"/>
        </w:rPr>
        <w:t>11</w:t>
      </w:r>
      <w:r>
        <w:rPr/>
        <w:t>项；新增</w:t>
      </w:r>
      <w:r>
        <w:rPr>
          <w:rFonts w:ascii="新宋体" w:hAnsi="新宋体" w:cs="新宋体" w:eastAsia="新宋体" w:hint="default"/>
        </w:rPr>
        <w:t>20</w:t>
      </w:r>
      <w:r>
        <w:rPr/>
        <w:t>项计算机软件著作权；截止报告期末，公司共取得</w:t>
      </w:r>
      <w:r>
        <w:rPr>
          <w:rFonts w:ascii="新宋体" w:hAnsi="新宋体" w:cs="新宋体" w:eastAsia="新宋体" w:hint="default"/>
        </w:rPr>
        <w:t>30</w:t>
      </w:r>
      <w:r>
        <w:rPr/>
        <w:t>项专利授 权通知书，其中发明</w:t>
      </w:r>
      <w:r>
        <w:rPr>
          <w:rFonts w:ascii="新宋体" w:hAnsi="新宋体" w:cs="新宋体" w:eastAsia="新宋体" w:hint="default"/>
        </w:rPr>
        <w:t>2</w:t>
      </w:r>
      <w:r>
        <w:rPr/>
        <w:t>项，实用新型授权</w:t>
      </w:r>
      <w:r>
        <w:rPr>
          <w:rFonts w:ascii="新宋体" w:hAnsi="新宋体" w:cs="新宋体" w:eastAsia="新宋体" w:hint="default"/>
        </w:rPr>
        <w:t>24</w:t>
      </w:r>
      <w:r>
        <w:rPr/>
        <w:t>项，外观设计授权</w:t>
      </w:r>
      <w:r>
        <w:rPr>
          <w:rFonts w:ascii="新宋体" w:hAnsi="新宋体" w:cs="新宋体" w:eastAsia="新宋体" w:hint="default"/>
        </w:rPr>
        <w:t>4</w:t>
      </w:r>
      <w:r>
        <w:rPr/>
        <w:t>项，部分已授权的专利在履 行缴纳专利登记费、印花税及年费等事宜后，将陆续取得相关专利证书；截止报告期末， 公司及子公司已向国家知识产权局申报但尚未授权的专利</w:t>
      </w:r>
      <w:r>
        <w:rPr>
          <w:rFonts w:ascii="新宋体" w:hAnsi="新宋体" w:cs="新宋体" w:eastAsia="新宋体" w:hint="default"/>
        </w:rPr>
        <w:t>98</w:t>
      </w:r>
      <w:r>
        <w:rPr/>
        <w:t>项，其中申报发明专利</w:t>
      </w:r>
      <w:r>
        <w:rPr>
          <w:rFonts w:ascii="新宋体" w:hAnsi="新宋体" w:cs="新宋体" w:eastAsia="新宋体" w:hint="default"/>
        </w:rPr>
        <w:t>71</w:t>
      </w:r>
      <w:r>
        <w:rPr/>
        <w:t>项， 申报实用新型专利</w:t>
      </w:r>
      <w:r>
        <w:rPr>
          <w:rFonts w:ascii="新宋体" w:hAnsi="新宋体" w:cs="新宋体" w:eastAsia="新宋体" w:hint="default"/>
        </w:rPr>
        <w:t>24</w:t>
      </w:r>
      <w:r>
        <w:rPr/>
        <w:t>项，申报外观设计专利</w:t>
      </w:r>
      <w:r>
        <w:rPr>
          <w:rFonts w:ascii="新宋体" w:hAnsi="新宋体" w:cs="新宋体" w:eastAsia="新宋体" w:hint="default"/>
        </w:rPr>
        <w:t>3</w:t>
      </w:r>
      <w:r>
        <w:rPr/>
        <w:t>项。报告期内专利具体取得情况详见</w:t>
      </w:r>
      <w:r>
        <w:rPr>
          <w:rFonts w:ascii="新宋体" w:hAnsi="新宋体" w:cs="新宋体" w:eastAsia="新宋体" w:hint="default"/>
        </w:rPr>
        <w:t>2012</w:t>
      </w:r>
      <w:r>
        <w:rPr/>
        <w:t>年</w:t>
      </w:r>
      <w:r>
        <w:rPr>
          <w:rFonts w:ascii="新宋体" w:hAnsi="新宋体" w:cs="新宋体" w:eastAsia="新宋体" w:hint="default"/>
        </w:rPr>
        <w:t>6 </w:t>
      </w:r>
      <w:r>
        <w:rPr/>
        <w:t>月</w:t>
      </w:r>
      <w:r>
        <w:rPr>
          <w:rFonts w:ascii="新宋体" w:hAnsi="新宋体" w:cs="新宋体" w:eastAsia="新宋体" w:hint="default"/>
        </w:rPr>
        <w:t>30</w:t>
      </w:r>
      <w:r>
        <w:rPr/>
        <w:t>日、</w:t>
      </w:r>
      <w:r>
        <w:rPr>
          <w:rFonts w:ascii="新宋体" w:hAnsi="新宋体" w:cs="新宋体" w:eastAsia="新宋体" w:hint="default"/>
        </w:rPr>
        <w:t>2012</w:t>
      </w:r>
      <w:r>
        <w:rPr/>
        <w:t>年</w:t>
      </w:r>
      <w:r>
        <w:rPr>
          <w:rFonts w:ascii="新宋体" w:hAnsi="新宋体" w:cs="新宋体" w:eastAsia="新宋体" w:hint="default"/>
        </w:rPr>
        <w:t>9</w:t>
      </w:r>
      <w:r>
        <w:rPr/>
        <w:t>月</w:t>
      </w:r>
      <w:r>
        <w:rPr>
          <w:rFonts w:ascii="新宋体" w:hAnsi="新宋体" w:cs="新宋体" w:eastAsia="新宋体" w:hint="default"/>
        </w:rPr>
        <w:t>1</w:t>
      </w:r>
      <w:r>
        <w:rPr/>
        <w:t>日及</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28</w:t>
      </w:r>
      <w:r>
        <w:rPr/>
        <w:t>日在中国证监会指定创业板信息披露网站</w:t>
      </w:r>
    </w:p>
    <w:p>
      <w:pPr>
        <w:pStyle w:val="BodyText"/>
        <w:spacing w:line="386" w:lineRule="auto" w:before="37"/>
        <w:ind w:left="978" w:right="588" w:hanging="426"/>
        <w:jc w:val="left"/>
      </w:pPr>
      <w:r>
        <w:rPr/>
        <w:t>（</w:t>
      </w:r>
      <w:hyperlink r:id="rId13">
        <w:r>
          <w:rPr>
            <w:rFonts w:ascii="新宋体" w:hAnsi="新宋体" w:cs="新宋体" w:eastAsia="新宋体" w:hint="default"/>
          </w:rPr>
          <w:t>http://www.cninfo.com.cn</w:t>
        </w:r>
      </w:hyperlink>
      <w:r>
        <w:rPr/>
        <w:t>）上披露的相关公告。 上述专利及计算机软件著作权登记证书的取得有利于公司及子公司发挥主导产品的自</w:t>
      </w:r>
    </w:p>
    <w:p>
      <w:pPr>
        <w:pStyle w:val="BodyText"/>
        <w:spacing w:line="357" w:lineRule="auto" w:before="7"/>
        <w:ind w:left="552" w:right="534"/>
        <w:jc w:val="left"/>
      </w:pPr>
      <w:r>
        <w:rPr/>
        <w:t>主知识产权优势，形成持续创新机制，保持技术的领先。同时，上述期间内，公司未发生 因核心技术人员辞职、特许经营丧失等核心竞争力受到严重影响的情况。</w:t>
      </w:r>
    </w:p>
    <w:p>
      <w:pPr>
        <w:pStyle w:val="BodyText"/>
        <w:spacing w:line="357" w:lineRule="auto" w:before="77"/>
        <w:ind w:left="552" w:right="589" w:firstLine="425"/>
        <w:jc w:val="left"/>
      </w:pPr>
      <w:r>
        <w:rPr/>
        <w:t>（</w:t>
      </w:r>
      <w:r>
        <w:rPr>
          <w:rFonts w:ascii="新宋体" w:hAnsi="新宋体" w:cs="新宋体" w:eastAsia="新宋体" w:hint="default"/>
        </w:rPr>
        <w:t>1</w:t>
      </w:r>
      <w:r>
        <w:rPr/>
        <w:t>）截至报告期末，公司及子公司共拥有专利证书</w:t>
      </w:r>
      <w:r>
        <w:rPr>
          <w:rFonts w:ascii="新宋体" w:hAnsi="新宋体" w:cs="新宋体" w:eastAsia="新宋体" w:hint="default"/>
        </w:rPr>
        <w:t>233</w:t>
      </w:r>
      <w:r>
        <w:rPr/>
        <w:t>项，其中发明专利</w:t>
      </w:r>
      <w:r>
        <w:rPr>
          <w:rFonts w:ascii="新宋体" w:hAnsi="新宋体" w:cs="新宋体" w:eastAsia="新宋体" w:hint="default"/>
        </w:rPr>
        <w:t>19</w:t>
      </w:r>
      <w:r>
        <w:rPr/>
        <w:t>项，实用 新型</w:t>
      </w:r>
      <w:r>
        <w:rPr>
          <w:rFonts w:ascii="新宋体" w:hAnsi="新宋体" w:cs="新宋体" w:eastAsia="新宋体" w:hint="default"/>
        </w:rPr>
        <w:t>166</w:t>
      </w:r>
      <w:r>
        <w:rPr/>
        <w:t>项，外观设计</w:t>
      </w:r>
      <w:r>
        <w:rPr>
          <w:rFonts w:ascii="新宋体" w:hAnsi="新宋体" w:cs="新宋体" w:eastAsia="新宋体" w:hint="default"/>
        </w:rPr>
        <w:t>48</w:t>
      </w:r>
      <w:r>
        <w:rPr/>
        <w:t>项，具体情况如下：</w:t>
      </w:r>
    </w:p>
    <w:p>
      <w:pPr>
        <w:spacing w:line="240" w:lineRule="auto" w:before="12"/>
        <w:rPr>
          <w:rFonts w:ascii="新宋体" w:hAnsi="新宋体" w:cs="新宋体" w:eastAsia="新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502" w:hRule="exact"/>
        </w:trPr>
        <w:tc>
          <w:tcPr>
            <w:tcW w:w="6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2"/>
              <w:ind w:right="5"/>
              <w:jc w:val="center"/>
              <w:rPr>
                <w:rFonts w:ascii="新宋体" w:hAnsi="新宋体" w:cs="新宋体" w:eastAsia="新宋体" w:hint="default"/>
                <w:sz w:val="18"/>
                <w:szCs w:val="18"/>
              </w:rPr>
            </w:pPr>
            <w:r>
              <w:rPr>
                <w:rFonts w:ascii="新宋体" w:hAnsi="新宋体" w:cs="新宋体" w:eastAsia="新宋体" w:hint="default"/>
                <w:b/>
                <w:bCs/>
                <w:sz w:val="18"/>
                <w:szCs w:val="18"/>
              </w:rPr>
              <w:t>序号</w:t>
            </w:r>
            <w:r>
              <w:rPr>
                <w:rFonts w:ascii="新宋体" w:hAnsi="新宋体" w:cs="新宋体" w:eastAsia="新宋体" w:hint="default"/>
                <w:sz w:val="18"/>
                <w:szCs w:val="18"/>
              </w:rPr>
            </w:r>
          </w:p>
        </w:tc>
        <w:tc>
          <w:tcPr>
            <w:tcW w:w="24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left="1"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专利名称</w:t>
            </w:r>
            <w:r>
              <w:rPr>
                <w:rFonts w:ascii="新宋体" w:hAnsi="新宋体" w:cs="新宋体" w:eastAsia="新宋体" w:hint="default"/>
                <w:sz w:val="18"/>
                <w:szCs w:val="18"/>
              </w:rPr>
            </w:r>
          </w:p>
        </w:tc>
        <w:tc>
          <w:tcPr>
            <w:tcW w:w="25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专利保护期限</w:t>
            </w:r>
            <w:r>
              <w:rPr>
                <w:rFonts w:ascii="新宋体" w:hAnsi="新宋体" w:cs="新宋体" w:eastAsia="新宋体" w:hint="default"/>
                <w:sz w:val="18"/>
                <w:szCs w:val="18"/>
              </w:rPr>
            </w:r>
          </w:p>
        </w:tc>
        <w:tc>
          <w:tcPr>
            <w:tcW w:w="197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专利号</w:t>
            </w:r>
            <w:r>
              <w:rPr>
                <w:rFonts w:ascii="新宋体" w:hAnsi="新宋体" w:cs="新宋体" w:eastAsia="新宋体" w:hint="default"/>
                <w:sz w:val="18"/>
                <w:szCs w:val="18"/>
              </w:rPr>
            </w:r>
          </w:p>
        </w:tc>
        <w:tc>
          <w:tcPr>
            <w:tcW w:w="11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right="87"/>
              <w:jc w:val="center"/>
              <w:rPr>
                <w:rFonts w:ascii="新宋体" w:hAnsi="新宋体" w:cs="新宋体" w:eastAsia="新宋体" w:hint="default"/>
                <w:sz w:val="18"/>
                <w:szCs w:val="18"/>
              </w:rPr>
            </w:pPr>
            <w:r>
              <w:rPr>
                <w:rFonts w:ascii="新宋体" w:hAnsi="新宋体" w:cs="新宋体" w:eastAsia="新宋体" w:hint="default"/>
                <w:b/>
                <w:bCs/>
                <w:sz w:val="18"/>
                <w:szCs w:val="18"/>
              </w:rPr>
              <w:t>专利类型</w:t>
            </w:r>
            <w:r>
              <w:rPr>
                <w:rFonts w:ascii="新宋体" w:hAnsi="新宋体" w:cs="新宋体" w:eastAsia="新宋体" w:hint="default"/>
                <w:sz w:val="18"/>
                <w:szCs w:val="18"/>
              </w:rPr>
            </w:r>
          </w:p>
        </w:tc>
        <w:tc>
          <w:tcPr>
            <w:tcW w:w="139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92"/>
              <w:ind w:left="9"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专利权人</w:t>
            </w:r>
            <w:r>
              <w:rPr>
                <w:rFonts w:ascii="新宋体" w:hAnsi="新宋体" w:cs="新宋体" w:eastAsia="新宋体" w:hint="default"/>
                <w:sz w:val="18"/>
                <w:szCs w:val="18"/>
              </w:rPr>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多通道热释电探测器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2008.9.2-2028.9.1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ZL200810141247.X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肺深部气体的采集方法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2009.3.19-2029.3.18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ZL200910080358.9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肺部气体检测仪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2009.5.5-2029.5.4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ZL200910064777.3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一种流体之间高效混合的方 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2009.9.3-2029.9.2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ZL200910066040.5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一种带除尘功能的全方向防 淋水减震器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2010.1.19-2030.1.18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ZL201010034195.3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沼气检测电路</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2010.1.27-2030.1.26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ZL201010101413.0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新宋体" w:hAnsi="新宋体" w:cs="新宋体" w:eastAsia="新宋体" w:hint="default"/>
                <w:sz w:val="18"/>
                <w:szCs w:val="18"/>
              </w:rPr>
            </w:pPr>
            <w:r>
              <w:rPr>
                <w:rFonts w:ascii="新宋体"/>
                <w:sz w:val="18"/>
              </w:rPr>
              <w:t>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气体传感器自动标定系统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2010.12.29-2030.12.28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ZL201010610868.5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1"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吹气动作检测方法及呼出气 体酒精含量检测仪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2011.5.23-2031.5.22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
              <w:jc w:val="center"/>
              <w:rPr>
                <w:rFonts w:ascii="新宋体" w:hAnsi="新宋体" w:cs="新宋体" w:eastAsia="新宋体" w:hint="default"/>
                <w:sz w:val="18"/>
                <w:szCs w:val="18"/>
              </w:rPr>
            </w:pPr>
            <w:r>
              <w:rPr>
                <w:rFonts w:ascii="新宋体"/>
                <w:sz w:val="18"/>
              </w:rPr>
              <w:t>ZL201110133466.5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直热式半导体酒精传感器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2003.5.13-2013.5.12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ZL03245802.9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10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间歇式气体报警器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2005.5.26-2015.5.25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ZL200520030789.1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11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混合气体探测器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2006.11.28-2016.11.27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ZL200620159951.4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12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酒精测试仪的传感器定量取 样器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2006.11.30-2016.11.29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ZL200620160565.7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13"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13</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气体报警控制器</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2006.11.30-2016.11.29</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ZL200620160564.2</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416" w:hRule="exact"/>
        </w:trPr>
        <w:tc>
          <w:tcPr>
            <w:tcW w:w="6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14</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变送器</w:t>
            </w:r>
          </w:p>
        </w:tc>
        <w:tc>
          <w:tcPr>
            <w:tcW w:w="2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2006.11.30-2016.11.29</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ZL200620160563.8</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15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呼出气体酒精含量测试仪吹 管</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2006.7.27-2016.7.26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ZL200620122909.5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16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酒精探测器气体采集装置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2006.7.27-2016.7.26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ZL200620122910.8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17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呼出气体酒精探测器信号处 理电路</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2006.7.27-2016.7.26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ZL200620123999.X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18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微型振动膜气泵</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2007.12.11-2017.12.10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ZL200720175200.6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19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红外智能气体传感器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2007.12.13-2017.12.12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ZL200720307032.1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20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红外光源</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2008.3.7-2018.3.6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ZL200820069512.3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21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红外四波段火焰探测器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2008.8.18-2018.8.17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ZL200820148564.X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22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人体内酒精含量的检测装置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2009.10.14-2019.10.13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ZL200920218356.7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23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燃气报警装置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2009.3.27-2019.3.26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ZL200920106868.4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考勤系统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2009.3.27-2019.3.26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ZL200920106866.5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25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燃气报警器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2009.4.10-2019.4.9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ZL200920107157.9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26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气体传感器和气体报警器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2009.5.12-2019.5.11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ZL200920149723.2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27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静电监控装置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2009.9.3-2019.9.2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ZL200920223213.5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28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沼气检测仪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2010.1.27-2020.1.26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ZL201020101997.7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29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车内气体酒精浓度检测警示 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2010.10.15-2020.10.14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ZL201020561897.2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30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点型气体探测器安装装置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2010.10.15-2020.10.14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ZL201020561909.1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31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多线制工业探测器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2010.11.12-2020.11.11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ZL201020602697.7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32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红外多频火焰探测器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2010.12.9-2020.12.8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ZL201020649924.1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33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多功能酒精含量检测装置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2010.3.24-2020.3.23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ZL201020139460.X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34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一种多功能酒精含量检测装 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2010.5.7-2020.5.6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ZL201020182855.8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35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巡检器和巡检系统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2010.6.30-2020.6.29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ZL201020241925.2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36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气体电磁阀</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2010.6.9-2020.6.8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ZL201020219438.6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37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燃气报警器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2010.6.9-2020.6.8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ZL201020219430.X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38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2010.6.9-2020.6.8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ZL201020219442.2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39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新型工业探测器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2010.8.5-2020.8.4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ZL201020282265.2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40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一种工业探测器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2010.8.5-2020.8.4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ZL201020282270.3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动态配气控制系统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2010.8.6-2020.8.5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ZL201020285197.5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新型工业探测器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2010.9.29-2020.9.28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ZL201020546941.2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气体采样装置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2011.1.14-2021.1.13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ZL201120010831.9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13"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44</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防爆型工业气体探测器</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2011.10.17-2021.10.16</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ZL201120394574.3</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416" w:hRule="exact"/>
        </w:trPr>
        <w:tc>
          <w:tcPr>
            <w:tcW w:w="6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45</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差分式继电器输出控制电路</w:t>
            </w:r>
          </w:p>
        </w:tc>
        <w:tc>
          <w:tcPr>
            <w:tcW w:w="2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2011.10.17-2021.10.16</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ZL201120394596.X</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防护型插座</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2011.10.27-2021.10.26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ZL201120414667.8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47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太阳能气体探测器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2011.11.14-2021.11.13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ZL201120447859.9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拆分式气体探测器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2011.11.14-2021.11.13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ZL201120447858.4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家用无线气体探测器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2011.11.14-2021.11.13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ZL201120447900.2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数据记录气体探测器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2011.11.14-2021.11.13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ZL201120447897.4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快速气流气体浓度检测装置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2011.11.14-2021.11.13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ZL201120447865.4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52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可变波长气体红外传感器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2011.11.22-2021.11.21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ZL201120465759.9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新型智能气体探测器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2011.11.22-2021.11.21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ZL201120465757.X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9"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新宋体" w:hAnsi="新宋体" w:cs="新宋体" w:eastAsia="新宋体" w:hint="default"/>
                <w:sz w:val="18"/>
                <w:szCs w:val="18"/>
              </w:rPr>
            </w:pPr>
            <w:r>
              <w:rPr>
                <w:rFonts w:ascii="新宋体"/>
                <w:sz w:val="18"/>
              </w:rPr>
              <w:t>54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新宋体" w:hAnsi="新宋体" w:cs="新宋体" w:eastAsia="新宋体" w:hint="default"/>
                <w:sz w:val="18"/>
                <w:szCs w:val="18"/>
              </w:rPr>
            </w:pPr>
            <w:r>
              <w:rPr>
                <w:rFonts w:ascii="新宋体"/>
                <w:sz w:val="18"/>
              </w:rPr>
              <w:t>2011.11.22-2021.11.21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59" w:right="0"/>
              <w:jc w:val="left"/>
              <w:rPr>
                <w:rFonts w:ascii="新宋体" w:hAnsi="新宋体" w:cs="新宋体" w:eastAsia="新宋体" w:hint="default"/>
                <w:sz w:val="18"/>
                <w:szCs w:val="18"/>
              </w:rPr>
            </w:pPr>
            <w:r>
              <w:rPr>
                <w:rFonts w:ascii="新宋体"/>
                <w:sz w:val="18"/>
              </w:rPr>
              <w:t>ZL201120465760.1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气体检测仪采样装置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2011.11.22-2021.11.21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ZL201120465781.3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新型气体检测装置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2011.11.22-2021.11.21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ZL201120465784.7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2011.11.22-2021.11.21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ZL201120465758.4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压电蜂鸣器驱动电路</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2011.12.14-2021.12.13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ZL201120522217.0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59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城市地下管网气体检测装置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2011.12.14-2021.12.13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ZL201120522196.2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三维云台扫描激光遥测气体 泄漏监测装置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2011.12.14-2021.12.13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ZL201120522206.2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可远程设置参数的气体报警 控制器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2011.12.14-2021.12.13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ZL201120522225.5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96"/>
              <w:jc w:val="left"/>
              <w:rPr>
                <w:rFonts w:ascii="新宋体" w:hAnsi="新宋体" w:cs="新宋体" w:eastAsia="新宋体" w:hint="default"/>
                <w:sz w:val="18"/>
                <w:szCs w:val="18"/>
              </w:rPr>
            </w:pPr>
            <w:r>
              <w:rPr>
                <w:rFonts w:ascii="新宋体" w:hAnsi="新宋体" w:cs="新宋体" w:eastAsia="新宋体" w:hint="default"/>
                <w:spacing w:val="-6"/>
                <w:sz w:val="18"/>
                <w:szCs w:val="18"/>
              </w:rPr>
              <w:t>内、外置气体过滤装置及气体</w:t>
            </w:r>
            <w:r>
              <w:rPr>
                <w:rFonts w:ascii="新宋体" w:hAnsi="新宋体" w:cs="新宋体" w:eastAsia="新宋体" w:hint="default"/>
                <w:spacing w:val="-82"/>
                <w:sz w:val="18"/>
                <w:szCs w:val="18"/>
              </w:rPr>
              <w:t> </w:t>
            </w:r>
            <w:r>
              <w:rPr>
                <w:rFonts w:ascii="新宋体" w:hAnsi="新宋体" w:cs="新宋体" w:eastAsia="新宋体" w:hint="default"/>
                <w:spacing w:val="-82"/>
                <w:sz w:val="18"/>
                <w:szCs w:val="18"/>
              </w:rPr>
            </w:r>
            <w:r>
              <w:rPr>
                <w:rFonts w:ascii="新宋体" w:hAnsi="新宋体" w:cs="新宋体" w:eastAsia="新宋体" w:hint="default"/>
                <w:sz w:val="18"/>
                <w:szCs w:val="18"/>
              </w:rPr>
              <w:t>检测装置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2011.12.14-2021.12.13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ZL201120522203.9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63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井盖式气体监测装置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2011.12.14-2021.12.13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ZL201120522242.9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64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智能酒精检测仪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2011.12.14-2021.12.13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ZL201120522220.2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65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新型微处理器电路</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ZL201120552345.X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66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锅炉燃烧控制装置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ZL201120552301.7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67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火灾气体监测系统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ZL201120552305.5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68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近距离通信气体探测器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ZL201120552314.4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1"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一种实时数据交互的燃气管 网巡检系统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2011.3.17-2021.3.16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ZL201120072080.3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70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燃气管道压力监测装置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2011.3.17-2021.3.16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ZL201120071033.7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71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2011.5.23-2021.5.22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ZL201120165165.6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72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甲烷泄漏检测装置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2011.5.24-2021.5.23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ZL201120167915.3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73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车载甲烷泄漏监测装置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2011.5.24-2021.5.23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ZL201120167914.9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74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多色声光报警器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2011.6.8-2021.6.7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ZL201120190764.3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13"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75</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工业用可燃气体探测器</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2011.6.8-2021.6.7</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ZL201120190783.6</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728" w:hRule="exact"/>
        </w:trPr>
        <w:tc>
          <w:tcPr>
            <w:tcW w:w="6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76</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微型高分辨率红外气体传感 器</w:t>
            </w:r>
          </w:p>
        </w:tc>
        <w:tc>
          <w:tcPr>
            <w:tcW w:w="2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16"/>
              <w:jc w:val="right"/>
              <w:rPr>
                <w:rFonts w:ascii="新宋体" w:hAnsi="新宋体" w:cs="新宋体" w:eastAsia="新宋体" w:hint="default"/>
                <w:sz w:val="18"/>
                <w:szCs w:val="18"/>
              </w:rPr>
            </w:pPr>
            <w:r>
              <w:rPr>
                <w:rFonts w:ascii="新宋体"/>
                <w:spacing w:val="-1"/>
                <w:sz w:val="18"/>
              </w:rPr>
              <w:t>2011.6.8-2021.6.7</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ZL201120190774.7</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77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自动巡检危险源的气体探测 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25"/>
              <w:jc w:val="right"/>
              <w:rPr>
                <w:rFonts w:ascii="新宋体" w:hAnsi="新宋体" w:cs="新宋体" w:eastAsia="新宋体" w:hint="default"/>
                <w:sz w:val="18"/>
                <w:szCs w:val="18"/>
              </w:rPr>
            </w:pPr>
            <w:r>
              <w:rPr>
                <w:rFonts w:ascii="新宋体"/>
                <w:spacing w:val="-1"/>
                <w:sz w:val="18"/>
              </w:rPr>
              <w:t>2011.7.26-2021.7.25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ZL201120265888.3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08" w:right="0"/>
              <w:jc w:val="left"/>
              <w:rPr>
                <w:rFonts w:ascii="新宋体" w:hAnsi="新宋体" w:cs="新宋体" w:eastAsia="新宋体" w:hint="default"/>
                <w:sz w:val="18"/>
                <w:szCs w:val="18"/>
              </w:rPr>
            </w:pPr>
            <w:r>
              <w:rPr>
                <w:rFonts w:ascii="新宋体"/>
                <w:sz w:val="18"/>
              </w:rPr>
              <w:t>78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转换式气体探测器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25"/>
              <w:jc w:val="right"/>
              <w:rPr>
                <w:rFonts w:ascii="新宋体" w:hAnsi="新宋体" w:cs="新宋体" w:eastAsia="新宋体" w:hint="default"/>
                <w:sz w:val="18"/>
                <w:szCs w:val="18"/>
              </w:rPr>
            </w:pPr>
            <w:r>
              <w:rPr>
                <w:rFonts w:ascii="新宋体"/>
                <w:spacing w:val="-1"/>
                <w:sz w:val="18"/>
              </w:rPr>
              <w:t>2011.7.26-2021.7.25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ZL201120265841.7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79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带体温测量功能的酒精检测 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25"/>
              <w:jc w:val="right"/>
              <w:rPr>
                <w:rFonts w:ascii="新宋体" w:hAnsi="新宋体" w:cs="新宋体" w:eastAsia="新宋体" w:hint="default"/>
                <w:sz w:val="18"/>
                <w:szCs w:val="18"/>
              </w:rPr>
            </w:pPr>
            <w:r>
              <w:rPr>
                <w:rFonts w:ascii="新宋体"/>
                <w:spacing w:val="-1"/>
                <w:sz w:val="18"/>
              </w:rPr>
              <w:t>2011.7.26-2021.7.25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ZL201120265867.1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80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新型呼出气体采集装置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2011.8.23-2021.8.22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ZL201120307991.X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81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多功能呼出气体酒精含量检 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25"/>
              <w:jc w:val="right"/>
              <w:rPr>
                <w:rFonts w:ascii="新宋体" w:hAnsi="新宋体" w:cs="新宋体" w:eastAsia="新宋体" w:hint="default"/>
                <w:sz w:val="18"/>
                <w:szCs w:val="18"/>
              </w:rPr>
            </w:pPr>
            <w:r>
              <w:rPr>
                <w:rFonts w:ascii="新宋体"/>
                <w:spacing w:val="-1"/>
                <w:sz w:val="18"/>
              </w:rPr>
              <w:t>2011.8.23-2021.8.22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ZL201120307970.8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82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带</w:t>
            </w:r>
            <w:r>
              <w:rPr>
                <w:rFonts w:ascii="新宋体" w:hAnsi="新宋体" w:cs="新宋体" w:eastAsia="新宋体" w:hint="default"/>
                <w:spacing w:val="-45"/>
                <w:sz w:val="18"/>
                <w:szCs w:val="18"/>
              </w:rPr>
              <w:t> </w:t>
            </w:r>
            <w:r>
              <w:rPr>
                <w:rFonts w:ascii="新宋体" w:hAnsi="新宋体" w:cs="新宋体" w:eastAsia="新宋体" w:hint="default"/>
                <w:sz w:val="18"/>
                <w:szCs w:val="18"/>
              </w:rPr>
              <w:t>U</w:t>
            </w:r>
            <w:r>
              <w:rPr>
                <w:rFonts w:ascii="新宋体" w:hAnsi="新宋体" w:cs="新宋体" w:eastAsia="新宋体" w:hint="default"/>
                <w:spacing w:val="-46"/>
                <w:sz w:val="18"/>
                <w:szCs w:val="18"/>
              </w:rPr>
              <w:t> </w:t>
            </w:r>
            <w:r>
              <w:rPr>
                <w:rFonts w:ascii="新宋体" w:hAnsi="新宋体" w:cs="新宋体" w:eastAsia="新宋体" w:hint="default"/>
                <w:sz w:val="18"/>
                <w:szCs w:val="18"/>
              </w:rPr>
              <w:t>盘存储器功能的呼出气 体酒精含量检测仪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25"/>
              <w:jc w:val="right"/>
              <w:rPr>
                <w:rFonts w:ascii="新宋体" w:hAnsi="新宋体" w:cs="新宋体" w:eastAsia="新宋体" w:hint="default"/>
                <w:sz w:val="18"/>
                <w:szCs w:val="18"/>
              </w:rPr>
            </w:pPr>
            <w:r>
              <w:rPr>
                <w:rFonts w:ascii="新宋体"/>
                <w:spacing w:val="-1"/>
                <w:sz w:val="18"/>
              </w:rPr>
              <w:t>2011.8.29-2021.8.28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ZL201120316641.X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08" w:right="0"/>
              <w:jc w:val="left"/>
              <w:rPr>
                <w:rFonts w:ascii="新宋体" w:hAnsi="新宋体" w:cs="新宋体" w:eastAsia="新宋体" w:hint="default"/>
                <w:sz w:val="18"/>
                <w:szCs w:val="18"/>
              </w:rPr>
            </w:pPr>
            <w:r>
              <w:rPr>
                <w:rFonts w:ascii="新宋体"/>
                <w:sz w:val="18"/>
              </w:rPr>
              <w:t>83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全量程红外气体探测器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25"/>
              <w:jc w:val="right"/>
              <w:rPr>
                <w:rFonts w:ascii="新宋体" w:hAnsi="新宋体" w:cs="新宋体" w:eastAsia="新宋体" w:hint="default"/>
                <w:sz w:val="18"/>
                <w:szCs w:val="18"/>
              </w:rPr>
            </w:pPr>
            <w:r>
              <w:rPr>
                <w:rFonts w:ascii="新宋体"/>
                <w:spacing w:val="-1"/>
                <w:sz w:val="18"/>
              </w:rPr>
              <w:t>2011.9.21-2021.9.20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ZL201120354624.5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84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主动温补型气体探测器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2011.9.21-2021.9.20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ZL201120354588.2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08" w:right="0"/>
              <w:jc w:val="left"/>
              <w:rPr>
                <w:rFonts w:ascii="新宋体" w:hAnsi="新宋体" w:cs="新宋体" w:eastAsia="新宋体" w:hint="default"/>
                <w:sz w:val="18"/>
                <w:szCs w:val="18"/>
              </w:rPr>
            </w:pPr>
            <w:r>
              <w:rPr>
                <w:rFonts w:ascii="新宋体"/>
                <w:sz w:val="18"/>
              </w:rPr>
              <w:t>85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接线端子快速接通装置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25"/>
              <w:jc w:val="right"/>
              <w:rPr>
                <w:rFonts w:ascii="新宋体" w:hAnsi="新宋体" w:cs="新宋体" w:eastAsia="新宋体" w:hint="default"/>
                <w:sz w:val="18"/>
                <w:szCs w:val="18"/>
              </w:rPr>
            </w:pPr>
            <w:r>
              <w:rPr>
                <w:rFonts w:ascii="新宋体"/>
                <w:spacing w:val="-1"/>
                <w:sz w:val="18"/>
              </w:rPr>
              <w:t>2011.9.21-2021.9.20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ZL201120354609.0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86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新型防尘气体探测器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2012.1.16-2022.1.15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6" w:right="0"/>
              <w:jc w:val="left"/>
              <w:rPr>
                <w:rFonts w:ascii="新宋体" w:hAnsi="新宋体" w:cs="新宋体" w:eastAsia="新宋体" w:hint="default"/>
                <w:sz w:val="18"/>
                <w:szCs w:val="18"/>
              </w:rPr>
            </w:pPr>
            <w:r>
              <w:rPr>
                <w:rFonts w:ascii="新宋体"/>
                <w:sz w:val="18"/>
              </w:rPr>
              <w:t>ZL201220016086.3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87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声光报警设备监测电路</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2012.1.16-2022.1.15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6" w:right="0"/>
              <w:jc w:val="left"/>
              <w:rPr>
                <w:rFonts w:ascii="新宋体" w:hAnsi="新宋体" w:cs="新宋体" w:eastAsia="新宋体" w:hint="default"/>
                <w:sz w:val="18"/>
                <w:szCs w:val="18"/>
              </w:rPr>
            </w:pPr>
            <w:r>
              <w:rPr>
                <w:rFonts w:ascii="新宋体"/>
                <w:sz w:val="18"/>
              </w:rPr>
              <w:t>ZL201220016089.7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88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16"/>
              <w:jc w:val="left"/>
              <w:rPr>
                <w:rFonts w:ascii="新宋体" w:hAnsi="新宋体" w:cs="新宋体" w:eastAsia="新宋体" w:hint="default"/>
                <w:sz w:val="18"/>
                <w:szCs w:val="18"/>
              </w:rPr>
            </w:pPr>
            <w:r>
              <w:rPr>
                <w:rFonts w:ascii="新宋体" w:hAnsi="新宋体" w:cs="新宋体" w:eastAsia="新宋体" w:hint="default"/>
                <w:sz w:val="18"/>
                <w:szCs w:val="18"/>
              </w:rPr>
              <w:t>用于</w:t>
            </w:r>
            <w:r>
              <w:rPr>
                <w:rFonts w:ascii="新宋体" w:hAnsi="新宋体" w:cs="新宋体" w:eastAsia="新宋体" w:hint="default"/>
                <w:spacing w:val="-45"/>
                <w:sz w:val="18"/>
                <w:szCs w:val="18"/>
              </w:rPr>
              <w:t> </w:t>
            </w:r>
            <w:r>
              <w:rPr>
                <w:rFonts w:ascii="新宋体" w:hAnsi="新宋体" w:cs="新宋体" w:eastAsia="新宋体" w:hint="default"/>
                <w:sz w:val="18"/>
                <w:szCs w:val="18"/>
              </w:rPr>
              <w:t>CO</w:t>
            </w:r>
            <w:r>
              <w:rPr>
                <w:rFonts w:ascii="新宋体" w:hAnsi="新宋体" w:cs="新宋体" w:eastAsia="新宋体" w:hint="default"/>
                <w:spacing w:val="-46"/>
                <w:sz w:val="18"/>
                <w:szCs w:val="18"/>
              </w:rPr>
              <w:t> </w:t>
            </w:r>
            <w:r>
              <w:rPr>
                <w:rFonts w:ascii="新宋体" w:hAnsi="新宋体" w:cs="新宋体" w:eastAsia="新宋体" w:hint="default"/>
                <w:sz w:val="18"/>
                <w:szCs w:val="18"/>
              </w:rPr>
              <w:t>气体高精度检测的三 通道红外气体传感器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70"/>
              <w:jc w:val="right"/>
              <w:rPr>
                <w:rFonts w:ascii="新宋体" w:hAnsi="新宋体" w:cs="新宋体" w:eastAsia="新宋体" w:hint="default"/>
                <w:sz w:val="18"/>
                <w:szCs w:val="18"/>
              </w:rPr>
            </w:pPr>
            <w:r>
              <w:rPr>
                <w:rFonts w:ascii="新宋体"/>
                <w:spacing w:val="-1"/>
                <w:sz w:val="18"/>
              </w:rPr>
              <w:t>2012.4.10-2022.4.9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新宋体" w:hAnsi="新宋体" w:cs="新宋体" w:eastAsia="新宋体" w:hint="default"/>
                <w:sz w:val="18"/>
                <w:szCs w:val="18"/>
              </w:rPr>
            </w:pPr>
            <w:r>
              <w:rPr>
                <w:rFonts w:ascii="新宋体"/>
                <w:sz w:val="18"/>
              </w:rPr>
              <w:t>ZL201220147287.7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89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外围电路控制装置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70"/>
              <w:jc w:val="right"/>
              <w:rPr>
                <w:rFonts w:ascii="新宋体" w:hAnsi="新宋体" w:cs="新宋体" w:eastAsia="新宋体" w:hint="default"/>
                <w:sz w:val="18"/>
                <w:szCs w:val="18"/>
              </w:rPr>
            </w:pPr>
            <w:r>
              <w:rPr>
                <w:rFonts w:ascii="新宋体"/>
                <w:spacing w:val="-1"/>
                <w:sz w:val="18"/>
              </w:rPr>
              <w:t>2012.4.10-2022.4.9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6" w:right="0"/>
              <w:jc w:val="left"/>
              <w:rPr>
                <w:rFonts w:ascii="新宋体" w:hAnsi="新宋体" w:cs="新宋体" w:eastAsia="新宋体" w:hint="default"/>
                <w:sz w:val="18"/>
                <w:szCs w:val="18"/>
              </w:rPr>
            </w:pPr>
            <w:r>
              <w:rPr>
                <w:rFonts w:ascii="新宋体"/>
                <w:sz w:val="18"/>
              </w:rPr>
              <w:t>ZL201220147214.8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08" w:right="0"/>
              <w:jc w:val="left"/>
              <w:rPr>
                <w:rFonts w:ascii="新宋体" w:hAnsi="新宋体" w:cs="新宋体" w:eastAsia="新宋体" w:hint="default"/>
                <w:sz w:val="18"/>
                <w:szCs w:val="18"/>
              </w:rPr>
            </w:pPr>
            <w:r>
              <w:rPr>
                <w:rFonts w:ascii="新宋体"/>
                <w:sz w:val="18"/>
              </w:rPr>
              <w:t>90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半双工通讯收发控制装置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70"/>
              <w:jc w:val="right"/>
              <w:rPr>
                <w:rFonts w:ascii="新宋体" w:hAnsi="新宋体" w:cs="新宋体" w:eastAsia="新宋体" w:hint="default"/>
                <w:sz w:val="18"/>
                <w:szCs w:val="18"/>
              </w:rPr>
            </w:pPr>
            <w:r>
              <w:rPr>
                <w:rFonts w:ascii="新宋体"/>
                <w:spacing w:val="-1"/>
                <w:sz w:val="18"/>
              </w:rPr>
              <w:t>2012.4.10-2022.4.9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6" w:right="0"/>
              <w:jc w:val="left"/>
              <w:rPr>
                <w:rFonts w:ascii="新宋体" w:hAnsi="新宋体" w:cs="新宋体" w:eastAsia="新宋体" w:hint="default"/>
                <w:sz w:val="18"/>
                <w:szCs w:val="18"/>
              </w:rPr>
            </w:pPr>
            <w:r>
              <w:rPr>
                <w:rFonts w:ascii="新宋体"/>
                <w:sz w:val="18"/>
              </w:rPr>
              <w:t>ZL201220147239.8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91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酒精测试仪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2006.5.29-2016.5.28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ZL200630152346.X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92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气体探测仪（</w:t>
            </w:r>
            <w:r>
              <w:rPr>
                <w:rFonts w:ascii="新宋体" w:hAnsi="新宋体" w:cs="新宋体" w:eastAsia="新宋体" w:hint="default"/>
                <w:sz w:val="18"/>
                <w:szCs w:val="18"/>
              </w:rPr>
              <w:t>BX166)</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ZL200830080420.0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93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387"/>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呼出气体酒精含量测试仪 </w:t>
            </w:r>
            <w:r>
              <w:rPr>
                <w:rFonts w:ascii="新宋体" w:hAnsi="新宋体" w:cs="新宋体" w:eastAsia="新宋体" w:hint="default"/>
                <w:sz w:val="18"/>
                <w:szCs w:val="18"/>
              </w:rPr>
              <w:t>(AT6100)</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ZL200830080422.X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94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气体探测仪（</w:t>
            </w:r>
            <w:r>
              <w:rPr>
                <w:rFonts w:ascii="新宋体" w:hAnsi="新宋体" w:cs="新宋体" w:eastAsia="新宋体" w:hint="default"/>
                <w:sz w:val="18"/>
                <w:szCs w:val="18"/>
              </w:rPr>
              <w:t>BX618)</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ZL200830080416.4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08" w:right="0"/>
              <w:jc w:val="left"/>
              <w:rPr>
                <w:rFonts w:ascii="新宋体" w:hAnsi="新宋体" w:cs="新宋体" w:eastAsia="新宋体" w:hint="default"/>
                <w:sz w:val="18"/>
                <w:szCs w:val="18"/>
              </w:rPr>
            </w:pPr>
            <w:r>
              <w:rPr>
                <w:rFonts w:ascii="新宋体"/>
                <w:sz w:val="18"/>
              </w:rPr>
              <w:t>95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气体探测仪（</w:t>
            </w:r>
            <w:r>
              <w:rPr>
                <w:rFonts w:ascii="新宋体" w:hAnsi="新宋体" w:cs="新宋体" w:eastAsia="新宋体" w:hint="default"/>
                <w:sz w:val="18"/>
                <w:szCs w:val="18"/>
              </w:rPr>
              <w:t>BX258)</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ZL200830080418.3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96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呼出气体酒精含量测试仪</w:t>
            </w:r>
          </w:p>
          <w:p>
            <w:pPr>
              <w:pStyle w:val="TableParagraph"/>
              <w:spacing w:line="240" w:lineRule="auto" w:before="76"/>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AT6000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ZL200830080421.5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97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呼出气体酒精含量测试仪</w:t>
            </w:r>
          </w:p>
          <w:p>
            <w:pPr>
              <w:pStyle w:val="TableParagraph"/>
              <w:spacing w:line="240" w:lineRule="auto" w:before="74"/>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AT8600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ZL200830080423.4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新宋体" w:hAnsi="新宋体" w:cs="新宋体" w:eastAsia="新宋体" w:hint="default"/>
                <w:sz w:val="18"/>
                <w:szCs w:val="18"/>
              </w:rPr>
            </w:pPr>
            <w:r>
              <w:rPr>
                <w:rFonts w:ascii="新宋体"/>
                <w:sz w:val="18"/>
              </w:rPr>
              <w:t>98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呼出气体酒精含量测试仪</w:t>
            </w:r>
          </w:p>
          <w:p>
            <w:pPr>
              <w:pStyle w:val="TableParagraph"/>
              <w:spacing w:line="240" w:lineRule="auto" w:before="76"/>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AT8800/8100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ZL200830080424.9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208" w:right="0"/>
              <w:jc w:val="left"/>
              <w:rPr>
                <w:rFonts w:ascii="新宋体" w:hAnsi="新宋体" w:cs="新宋体" w:eastAsia="新宋体" w:hint="default"/>
                <w:sz w:val="18"/>
                <w:szCs w:val="18"/>
              </w:rPr>
            </w:pPr>
            <w:r>
              <w:rPr>
                <w:rFonts w:ascii="新宋体"/>
                <w:sz w:val="18"/>
              </w:rPr>
              <w:t>99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气体探测仪（</w:t>
            </w:r>
            <w:r>
              <w:rPr>
                <w:rFonts w:ascii="新宋体" w:hAnsi="新宋体" w:cs="新宋体" w:eastAsia="新宋体" w:hint="default"/>
                <w:sz w:val="18"/>
                <w:szCs w:val="18"/>
              </w:rPr>
              <w:t>BX170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ZL200830080415.X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100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气体探测仪（</w:t>
            </w:r>
            <w:r>
              <w:rPr>
                <w:rFonts w:ascii="新宋体" w:hAnsi="新宋体" w:cs="新宋体" w:eastAsia="新宋体" w:hint="default"/>
                <w:sz w:val="18"/>
                <w:szCs w:val="18"/>
              </w:rPr>
              <w:t>GPT100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ZL200830080419.8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13"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101</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气体探测仪（</w:t>
            </w:r>
            <w:r>
              <w:rPr>
                <w:rFonts w:ascii="新宋体" w:hAnsi="新宋体" w:cs="新宋体" w:eastAsia="新宋体" w:hint="default"/>
                <w:sz w:val="18"/>
                <w:szCs w:val="18"/>
              </w:rPr>
              <w:t>BX616</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425"/>
              <w:jc w:val="right"/>
              <w:rPr>
                <w:rFonts w:ascii="新宋体" w:hAnsi="新宋体" w:cs="新宋体" w:eastAsia="新宋体" w:hint="default"/>
                <w:sz w:val="18"/>
                <w:szCs w:val="18"/>
              </w:rPr>
            </w:pPr>
            <w:r>
              <w:rPr>
                <w:rFonts w:ascii="新宋体"/>
                <w:spacing w:val="-1"/>
                <w:sz w:val="18"/>
              </w:rPr>
              <w:t>2008.3.31-2018.3.30</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ZL200830080417.9</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728" w:hRule="exact"/>
        </w:trPr>
        <w:tc>
          <w:tcPr>
            <w:tcW w:w="6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102</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103" w:right="387"/>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呼出气体酒精含量测试仪 </w:t>
            </w:r>
            <w:r>
              <w:rPr>
                <w:rFonts w:ascii="新宋体" w:hAnsi="新宋体" w:cs="新宋体" w:eastAsia="新宋体" w:hint="default"/>
                <w:sz w:val="18"/>
                <w:szCs w:val="18"/>
              </w:rPr>
              <w:t>(AT198)</w:t>
            </w:r>
          </w:p>
        </w:tc>
        <w:tc>
          <w:tcPr>
            <w:tcW w:w="2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ZL200830080432.3</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103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可燃气体报警器</w:t>
            </w:r>
            <w:r>
              <w:rPr>
                <w:rFonts w:ascii="新宋体" w:hAnsi="新宋体" w:cs="新宋体" w:eastAsia="新宋体" w:hint="default"/>
                <w:sz w:val="18"/>
                <w:szCs w:val="18"/>
              </w:rPr>
              <w:t>(GK)</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ZL200830080435.7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104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可燃气体报警器</w:t>
            </w:r>
            <w:r>
              <w:rPr>
                <w:rFonts w:ascii="新宋体" w:hAnsi="新宋体" w:cs="新宋体" w:eastAsia="新宋体" w:hint="default"/>
                <w:sz w:val="18"/>
                <w:szCs w:val="18"/>
              </w:rPr>
              <w:t>(KAD)</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ZL200830080437.6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105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可燃气体报警器</w:t>
            </w:r>
            <w:r>
              <w:rPr>
                <w:rFonts w:ascii="新宋体" w:hAnsi="新宋体" w:cs="新宋体" w:eastAsia="新宋体" w:hint="default"/>
                <w:sz w:val="18"/>
                <w:szCs w:val="18"/>
              </w:rPr>
              <w:t>(GT)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ZL200830080436.1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106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可燃气体报警器（</w:t>
            </w:r>
            <w:r>
              <w:rPr>
                <w:rFonts w:ascii="新宋体" w:hAnsi="新宋体" w:cs="新宋体" w:eastAsia="新宋体" w:hint="default"/>
                <w:sz w:val="18"/>
                <w:szCs w:val="18"/>
              </w:rPr>
              <w:t>GD</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ZL200830080439.5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107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可燃气体报警器（</w:t>
            </w:r>
            <w:r>
              <w:rPr>
                <w:rFonts w:ascii="新宋体" w:hAnsi="新宋体" w:cs="新宋体" w:eastAsia="新宋体" w:hint="default"/>
                <w:sz w:val="18"/>
                <w:szCs w:val="18"/>
              </w:rPr>
              <w:t>GE</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ZL200830080440.8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108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可燃气体报警器（</w:t>
            </w:r>
            <w:r>
              <w:rPr>
                <w:rFonts w:ascii="新宋体" w:hAnsi="新宋体" w:cs="新宋体" w:eastAsia="新宋体" w:hint="default"/>
                <w:sz w:val="18"/>
                <w:szCs w:val="18"/>
              </w:rPr>
              <w:t>GN</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ZL200830080434.2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109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可燃气体报警器（</w:t>
            </w:r>
            <w:r>
              <w:rPr>
                <w:rFonts w:ascii="新宋体" w:hAnsi="新宋体" w:cs="新宋体" w:eastAsia="新宋体" w:hint="default"/>
                <w:sz w:val="18"/>
                <w:szCs w:val="18"/>
              </w:rPr>
              <w:t>KAB</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ZL200830080438.0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110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呼出气体酒精含量测试仪</w:t>
            </w:r>
          </w:p>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AT128</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ZL200830080431.9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111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呼出气体酒精含量测试仪</w:t>
            </w:r>
          </w:p>
          <w:p>
            <w:pPr>
              <w:pStyle w:val="TableParagraph"/>
              <w:spacing w:line="240" w:lineRule="auto" w:before="74"/>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AT126</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2008.4.1-2018.3.31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ZL200830080433.8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54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left="163" w:right="0"/>
              <w:jc w:val="left"/>
              <w:rPr>
                <w:rFonts w:ascii="新宋体" w:hAnsi="新宋体" w:cs="新宋体" w:eastAsia="新宋体" w:hint="default"/>
                <w:sz w:val="18"/>
                <w:szCs w:val="18"/>
              </w:rPr>
            </w:pPr>
            <w:r>
              <w:rPr>
                <w:rFonts w:ascii="新宋体"/>
                <w:sz w:val="18"/>
              </w:rPr>
              <w:t>112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气体探测器（</w:t>
            </w:r>
            <w:r>
              <w:rPr>
                <w:rFonts w:ascii="新宋体" w:hAnsi="新宋体" w:cs="新宋体" w:eastAsia="新宋体" w:hint="default"/>
                <w:sz w:val="18"/>
                <w:szCs w:val="18"/>
              </w:rPr>
              <w:t>BX171</w:t>
            </w:r>
            <w:r>
              <w:rPr>
                <w:rFonts w:ascii="新宋体" w:hAnsi="新宋体" w:cs="新宋体" w:eastAsia="新宋体" w:hint="default"/>
                <w:spacing w:val="-49"/>
                <w:sz w:val="18"/>
                <w:szCs w:val="18"/>
              </w:rPr>
              <w:t> </w:t>
            </w:r>
            <w:r>
              <w:rPr>
                <w:rFonts w:ascii="新宋体" w:hAnsi="新宋体" w:cs="新宋体" w:eastAsia="新宋体" w:hint="default"/>
                <w:sz w:val="18"/>
                <w:szCs w:val="18"/>
              </w:rPr>
              <w:t>便携式）</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center"/>
              <w:rPr>
                <w:rFonts w:ascii="新宋体" w:hAnsi="新宋体" w:cs="新宋体" w:eastAsia="新宋体" w:hint="default"/>
                <w:sz w:val="18"/>
                <w:szCs w:val="18"/>
              </w:rPr>
            </w:pPr>
            <w:r>
              <w:rPr>
                <w:rFonts w:ascii="新宋体"/>
                <w:sz w:val="18"/>
              </w:rPr>
              <w:t>2009.7.27-2019.7.26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59" w:right="0"/>
              <w:jc w:val="left"/>
              <w:rPr>
                <w:rFonts w:ascii="新宋体" w:hAnsi="新宋体" w:cs="新宋体" w:eastAsia="新宋体" w:hint="default"/>
                <w:sz w:val="18"/>
                <w:szCs w:val="18"/>
              </w:rPr>
            </w:pPr>
            <w:r>
              <w:rPr>
                <w:rFonts w:ascii="新宋体"/>
                <w:sz w:val="18"/>
              </w:rPr>
              <w:t>ZL200930118429.0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113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可燃气体报警控制器</w:t>
            </w:r>
          </w:p>
          <w:p>
            <w:pPr>
              <w:pStyle w:val="TableParagraph"/>
              <w:spacing w:line="240" w:lineRule="auto" w:before="76"/>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KB6000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2009.7.27-2019.7.26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ZL200930118428.6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114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54"/>
              <w:jc w:val="left"/>
              <w:rPr>
                <w:rFonts w:ascii="新宋体" w:hAnsi="新宋体" w:cs="新宋体" w:eastAsia="新宋体" w:hint="default"/>
                <w:sz w:val="18"/>
                <w:szCs w:val="18"/>
              </w:rPr>
            </w:pPr>
            <w:r>
              <w:rPr>
                <w:rFonts w:ascii="新宋体" w:hAnsi="新宋体" w:cs="新宋体" w:eastAsia="新宋体" w:hint="default"/>
                <w:sz w:val="18"/>
                <w:szCs w:val="18"/>
              </w:rPr>
              <w:t>燃气检漏仪（</w:t>
            </w:r>
            <w:r>
              <w:rPr>
                <w:rFonts w:ascii="新宋体" w:hAnsi="新宋体" w:cs="新宋体" w:eastAsia="新宋体" w:hint="default"/>
                <w:sz w:val="18"/>
                <w:szCs w:val="18"/>
              </w:rPr>
              <w:t>PNG2000</w:t>
            </w:r>
            <w:r>
              <w:rPr>
                <w:rFonts w:ascii="新宋体" w:hAnsi="新宋体" w:cs="新宋体" w:eastAsia="新宋体" w:hint="default"/>
                <w:spacing w:val="-49"/>
                <w:sz w:val="18"/>
                <w:szCs w:val="18"/>
              </w:rPr>
              <w:t> </w:t>
            </w:r>
            <w:r>
              <w:rPr>
                <w:rFonts w:ascii="新宋体" w:hAnsi="新宋体" w:cs="新宋体" w:eastAsia="新宋体" w:hint="default"/>
                <w:sz w:val="18"/>
                <w:szCs w:val="18"/>
              </w:rPr>
              <w:t>便携 式）</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2010.2.4-2020.2.3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ZL201039151001.6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555"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3"/>
              <w:ind w:left="163" w:right="0"/>
              <w:jc w:val="left"/>
              <w:rPr>
                <w:rFonts w:ascii="新宋体" w:hAnsi="新宋体" w:cs="新宋体" w:eastAsia="新宋体" w:hint="default"/>
                <w:sz w:val="18"/>
                <w:szCs w:val="18"/>
              </w:rPr>
            </w:pPr>
            <w:r>
              <w:rPr>
                <w:rFonts w:ascii="新宋体"/>
                <w:sz w:val="18"/>
              </w:rPr>
              <w:t>115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103" w:right="0"/>
              <w:jc w:val="left"/>
              <w:rPr>
                <w:rFonts w:ascii="新宋体" w:hAnsi="新宋体" w:cs="新宋体" w:eastAsia="新宋体" w:hint="default"/>
                <w:sz w:val="18"/>
                <w:szCs w:val="18"/>
              </w:rPr>
            </w:pPr>
            <w:r>
              <w:rPr>
                <w:rFonts w:ascii="新宋体" w:hAnsi="新宋体" w:cs="新宋体" w:eastAsia="新宋体" w:hint="default"/>
                <w:spacing w:val="-3"/>
                <w:sz w:val="18"/>
                <w:szCs w:val="18"/>
              </w:rPr>
              <w:t>气体探测器（点型</w:t>
            </w:r>
            <w:r>
              <w:rPr>
                <w:rFonts w:ascii="新宋体" w:hAnsi="新宋体" w:cs="新宋体" w:eastAsia="新宋体" w:hint="default"/>
                <w:spacing w:val="-50"/>
                <w:sz w:val="18"/>
                <w:szCs w:val="18"/>
              </w:rPr>
              <w:t> </w:t>
            </w:r>
            <w:r>
              <w:rPr>
                <w:rFonts w:ascii="新宋体" w:hAnsi="新宋体" w:cs="新宋体" w:eastAsia="新宋体" w:hint="default"/>
                <w:sz w:val="18"/>
                <w:szCs w:val="18"/>
              </w:rPr>
              <w:t>BS2010-B)</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新宋体" w:hAnsi="新宋体" w:cs="新宋体" w:eastAsia="新宋体" w:hint="default"/>
                <w:sz w:val="18"/>
                <w:szCs w:val="18"/>
              </w:rPr>
            </w:pPr>
            <w:r>
              <w:rPr>
                <w:rFonts w:ascii="新宋体"/>
                <w:sz w:val="18"/>
              </w:rPr>
              <w:t>2010.2.4-2020.2.3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59" w:right="0"/>
              <w:jc w:val="left"/>
              <w:rPr>
                <w:rFonts w:ascii="新宋体" w:hAnsi="新宋体" w:cs="新宋体" w:eastAsia="新宋体" w:hint="default"/>
                <w:sz w:val="18"/>
                <w:szCs w:val="18"/>
              </w:rPr>
            </w:pPr>
            <w:r>
              <w:rPr>
                <w:rFonts w:ascii="新宋体"/>
                <w:sz w:val="18"/>
              </w:rPr>
              <w:t>ZL201030105086.7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557"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5"/>
              <w:ind w:left="163" w:right="0"/>
              <w:jc w:val="left"/>
              <w:rPr>
                <w:rFonts w:ascii="新宋体" w:hAnsi="新宋体" w:cs="新宋体" w:eastAsia="新宋体" w:hint="default"/>
                <w:sz w:val="18"/>
                <w:szCs w:val="18"/>
              </w:rPr>
            </w:pPr>
            <w:r>
              <w:rPr>
                <w:rFonts w:ascii="新宋体"/>
                <w:sz w:val="18"/>
              </w:rPr>
              <w:t>116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3" w:right="0"/>
              <w:jc w:val="left"/>
              <w:rPr>
                <w:rFonts w:ascii="新宋体" w:hAnsi="新宋体" w:cs="新宋体" w:eastAsia="新宋体" w:hint="default"/>
                <w:sz w:val="18"/>
                <w:szCs w:val="18"/>
              </w:rPr>
            </w:pPr>
            <w:r>
              <w:rPr>
                <w:rFonts w:ascii="新宋体" w:hAnsi="新宋体" w:cs="新宋体" w:eastAsia="新宋体" w:hint="default"/>
                <w:spacing w:val="-3"/>
                <w:sz w:val="18"/>
                <w:szCs w:val="18"/>
              </w:rPr>
              <w:t>气体探测器（点型</w:t>
            </w:r>
            <w:r>
              <w:rPr>
                <w:rFonts w:ascii="新宋体" w:hAnsi="新宋体" w:cs="新宋体" w:eastAsia="新宋体" w:hint="default"/>
                <w:spacing w:val="-50"/>
                <w:sz w:val="18"/>
                <w:szCs w:val="18"/>
              </w:rPr>
              <w:t> </w:t>
            </w:r>
            <w:r>
              <w:rPr>
                <w:rFonts w:ascii="新宋体" w:hAnsi="新宋体" w:cs="新宋体" w:eastAsia="新宋体" w:hint="default"/>
                <w:sz w:val="18"/>
                <w:szCs w:val="18"/>
              </w:rPr>
              <w:t>BS2010-A)</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新宋体" w:hAnsi="新宋体" w:cs="新宋体" w:eastAsia="新宋体" w:hint="default"/>
                <w:sz w:val="18"/>
                <w:szCs w:val="18"/>
              </w:rPr>
            </w:pPr>
            <w:r>
              <w:rPr>
                <w:rFonts w:ascii="新宋体"/>
                <w:sz w:val="18"/>
              </w:rPr>
              <w:t>2010.2.4-2020.2.3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9" w:right="0"/>
              <w:jc w:val="left"/>
              <w:rPr>
                <w:rFonts w:ascii="新宋体" w:hAnsi="新宋体" w:cs="新宋体" w:eastAsia="新宋体" w:hint="default"/>
                <w:sz w:val="18"/>
                <w:szCs w:val="18"/>
              </w:rPr>
            </w:pPr>
            <w:r>
              <w:rPr>
                <w:rFonts w:ascii="新宋体"/>
                <w:sz w:val="18"/>
              </w:rPr>
              <w:t>ZL201030105090.3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117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点型气体探测器（</w:t>
            </w:r>
            <w:r>
              <w:rPr>
                <w:rFonts w:ascii="新宋体" w:hAnsi="新宋体" w:cs="新宋体" w:eastAsia="新宋体" w:hint="default"/>
                <w:sz w:val="18"/>
                <w:szCs w:val="18"/>
              </w:rPr>
              <w:t>BS66</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2010.4.19-2020.4.18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ZL201030142400.9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118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呼出气体酒精含量检测仪</w:t>
            </w:r>
          </w:p>
          <w:p>
            <w:pPr>
              <w:pStyle w:val="TableParagraph"/>
              <w:spacing w:line="240" w:lineRule="auto" w:before="74"/>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AT8900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2010.6.1-2020.5.31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ZL201030186858.4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119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蔬菜大棚二氧化碳检测仪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2010.6.9-2020.6.8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ZL201030195946.0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120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气体报警控制器（</w:t>
            </w:r>
            <w:r>
              <w:rPr>
                <w:rFonts w:ascii="新宋体" w:hAnsi="新宋体" w:cs="新宋体" w:eastAsia="新宋体" w:hint="default"/>
                <w:sz w:val="18"/>
                <w:szCs w:val="18"/>
              </w:rPr>
              <w:t>KB2160)</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2011.10.27-2021.10.26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ZL201130385811.5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121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气体报警控制器（</w:t>
            </w:r>
            <w:r>
              <w:rPr>
                <w:rFonts w:ascii="新宋体" w:hAnsi="新宋体" w:cs="新宋体" w:eastAsia="新宋体" w:hint="default"/>
                <w:sz w:val="18"/>
                <w:szCs w:val="18"/>
              </w:rPr>
              <w:t>KB8600)</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2011.10.27-2021.10.26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ZL201130385814.9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122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气体报警器（家用）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2011.10.27-2021.10.26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ZL201130385816.8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1"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123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酒精含量检测仪（呼出气体</w:t>
            </w:r>
          </w:p>
          <w:p>
            <w:pPr>
              <w:pStyle w:val="TableParagraph"/>
              <w:spacing w:line="240" w:lineRule="auto" w:before="76"/>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-AT6500</w:t>
            </w:r>
            <w:r>
              <w:rPr>
                <w:rFonts w:ascii="新宋体" w:hAnsi="新宋体" w:cs="新宋体" w:eastAsia="新宋体" w:hint="default"/>
                <w:spacing w:val="-49"/>
                <w:sz w:val="18"/>
                <w:szCs w:val="18"/>
              </w:rPr>
              <w:t> </w:t>
            </w:r>
            <w:r>
              <w:rPr>
                <w:rFonts w:ascii="新宋体" w:hAnsi="新宋体" w:cs="新宋体" w:eastAsia="新宋体" w:hint="default"/>
                <w:sz w:val="18"/>
                <w:szCs w:val="18"/>
              </w:rPr>
              <w:t>型）</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2011.10.27-2021.10.26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ZL201130385786.0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气体探测器（家用）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2011.7.26-2021.7.25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ZL201130241163.6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125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酒精检测仪（</w:t>
            </w:r>
            <w:r>
              <w:rPr>
                <w:rFonts w:ascii="新宋体" w:hAnsi="新宋体" w:cs="新宋体" w:eastAsia="新宋体" w:hint="default"/>
                <w:sz w:val="18"/>
                <w:szCs w:val="18"/>
              </w:rPr>
              <w:t>AT8020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2011.9.21-2021.9.20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ZL201130332701.2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126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气体探测器（家用）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2011.9.21-2021.9.20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ZL201130332711.6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127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2007.5.29-2027.5.28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ZL200710054448.1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530"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9"/>
              <w:ind w:left="163" w:right="0"/>
              <w:jc w:val="left"/>
              <w:rPr>
                <w:rFonts w:ascii="新宋体" w:hAnsi="新宋体" w:cs="新宋体" w:eastAsia="新宋体" w:hint="default"/>
                <w:sz w:val="18"/>
                <w:szCs w:val="18"/>
              </w:rPr>
            </w:pPr>
            <w:r>
              <w:rPr>
                <w:rFonts w:ascii="新宋体"/>
                <w:sz w:val="18"/>
              </w:rPr>
              <w:t>128</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103" w:right="0"/>
              <w:jc w:val="left"/>
              <w:rPr>
                <w:rFonts w:ascii="新宋体" w:hAnsi="新宋体" w:cs="新宋体" w:eastAsia="新宋体" w:hint="default"/>
                <w:sz w:val="18"/>
                <w:szCs w:val="18"/>
              </w:rPr>
            </w:pPr>
            <w:r>
              <w:rPr>
                <w:rFonts w:ascii="新宋体" w:hAnsi="新宋体" w:cs="新宋体" w:eastAsia="新宋体" w:hint="default"/>
                <w:spacing w:val="-6"/>
                <w:sz w:val="18"/>
                <w:szCs w:val="18"/>
              </w:rPr>
              <w:t>气体传感器芯片、传感器及传</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left="2" w:right="0"/>
              <w:jc w:val="center"/>
              <w:rPr>
                <w:rFonts w:ascii="新宋体" w:hAnsi="新宋体" w:cs="新宋体" w:eastAsia="新宋体" w:hint="default"/>
                <w:sz w:val="18"/>
                <w:szCs w:val="18"/>
              </w:rPr>
            </w:pPr>
            <w:r>
              <w:rPr>
                <w:rFonts w:ascii="新宋体"/>
                <w:sz w:val="18"/>
              </w:rPr>
              <w:t>2007.5.29-2027.5.28</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left="259" w:right="0"/>
              <w:jc w:val="left"/>
              <w:rPr>
                <w:rFonts w:ascii="新宋体" w:hAnsi="新宋体" w:cs="新宋体" w:eastAsia="新宋体" w:hint="default"/>
                <w:sz w:val="18"/>
                <w:szCs w:val="18"/>
              </w:rPr>
            </w:pPr>
            <w:r>
              <w:rPr>
                <w:rFonts w:ascii="新宋体"/>
                <w:sz w:val="18"/>
              </w:rPr>
              <w:t>ZL200710054450.9</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533" w:hRule="exact"/>
        </w:trPr>
        <w:tc>
          <w:tcPr>
            <w:tcW w:w="629" w:type="dxa"/>
            <w:tcBorders>
              <w:top w:val="single" w:sz="12" w:space="0" w:color="000000"/>
              <w:left w:val="single" w:sz="12" w:space="0" w:color="000000"/>
              <w:bottom w:val="single" w:sz="6" w:space="0" w:color="000000"/>
              <w:right w:val="single" w:sz="6" w:space="0" w:color="000000"/>
            </w:tcBorders>
          </w:tcPr>
          <w:p>
            <w:pP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感器芯片制备方法</w:t>
            </w:r>
          </w:p>
        </w:tc>
        <w:tc>
          <w:tcPr>
            <w:tcW w:w="2583" w:type="dxa"/>
            <w:tcBorders>
              <w:top w:val="single" w:sz="12" w:space="0" w:color="000000"/>
              <w:left w:val="single" w:sz="6" w:space="0" w:color="000000"/>
              <w:bottom w:val="single" w:sz="6" w:space="0" w:color="000000"/>
              <w:right w:val="single" w:sz="6" w:space="0" w:color="000000"/>
            </w:tcBorders>
          </w:tcPr>
          <w:p>
            <w:pPr/>
          </w:p>
        </w:tc>
        <w:tc>
          <w:tcPr>
            <w:tcW w:w="1973" w:type="dxa"/>
            <w:tcBorders>
              <w:top w:val="single" w:sz="12" w:space="0" w:color="000000"/>
              <w:left w:val="single" w:sz="6" w:space="0" w:color="000000"/>
              <w:bottom w:val="single" w:sz="6" w:space="0" w:color="000000"/>
              <w:right w:val="single" w:sz="6" w:space="0" w:color="000000"/>
            </w:tcBorders>
          </w:tcPr>
          <w:p>
            <w:pPr/>
          </w:p>
        </w:tc>
        <w:tc>
          <w:tcPr>
            <w:tcW w:w="1143" w:type="dxa"/>
            <w:tcBorders>
              <w:top w:val="single" w:sz="12" w:space="0" w:color="000000"/>
              <w:left w:val="single" w:sz="6" w:space="0" w:color="000000"/>
              <w:bottom w:val="single" w:sz="6" w:space="0" w:color="000000"/>
              <w:right w:val="single" w:sz="6" w:space="0" w:color="000000"/>
            </w:tcBorders>
          </w:tcPr>
          <w:p>
            <w:pPr/>
          </w:p>
        </w:tc>
        <w:tc>
          <w:tcPr>
            <w:tcW w:w="1392"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129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一种用于酒精蒸汽和呼气酒 精检测的半导体气体传感器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2007.6.22-2027.6.21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ZL200710123439.3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130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一种抗干扰性强的气体传感 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2007.6.22-2027.6.21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ZL200710123440.6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131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高分辨率红外气体传感器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2010.3.24-2030.3.23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ZL201010131273.1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132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甲烷报警矿灯智能模组</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2006.11.23-2016.11.22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ZL200620160519.7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133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直热式甲硫醇敏感元件</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2006.11.23-2016.11.22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ZL200620160517.8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134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平面结构的空气污染传感器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2006.11.23-2016.11.22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ZL200620160518.2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1"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135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电化学传感器气体分离复合 膜</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2006.6.1-2016.5.31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ZL200620118173.4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136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一种载体催化元件</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2006.6.26-2016.6.25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ZL200620114855.8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137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一种新型结构的载体催化元 件</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2006.6.5-2016.6.4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ZL200620117679.3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138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双螺旋直热式酒精传感器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2007.10.26-2017.10.25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ZL200720092408.1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139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96"/>
              <w:jc w:val="left"/>
              <w:rPr>
                <w:rFonts w:ascii="新宋体" w:hAnsi="新宋体" w:cs="新宋体" w:eastAsia="新宋体" w:hint="default"/>
                <w:sz w:val="18"/>
                <w:szCs w:val="18"/>
              </w:rPr>
            </w:pPr>
            <w:r>
              <w:rPr>
                <w:rFonts w:ascii="新宋体" w:hAnsi="新宋体" w:cs="新宋体" w:eastAsia="新宋体" w:hint="default"/>
                <w:spacing w:val="-6"/>
                <w:sz w:val="18"/>
                <w:szCs w:val="18"/>
              </w:rPr>
              <w:t>油气分离膜、油气分离装置及</w:t>
            </w:r>
            <w:r>
              <w:rPr>
                <w:rFonts w:ascii="新宋体" w:hAnsi="新宋体" w:cs="新宋体" w:eastAsia="新宋体" w:hint="default"/>
                <w:spacing w:val="-82"/>
                <w:sz w:val="18"/>
                <w:szCs w:val="18"/>
              </w:rPr>
              <w:t> </w:t>
            </w:r>
            <w:r>
              <w:rPr>
                <w:rFonts w:ascii="新宋体" w:hAnsi="新宋体" w:cs="新宋体" w:eastAsia="新宋体" w:hint="default"/>
                <w:spacing w:val="-82"/>
                <w:sz w:val="18"/>
                <w:szCs w:val="18"/>
              </w:rPr>
            </w:r>
            <w:r>
              <w:rPr>
                <w:rFonts w:ascii="新宋体" w:hAnsi="新宋体" w:cs="新宋体" w:eastAsia="新宋体" w:hint="default"/>
                <w:sz w:val="18"/>
                <w:szCs w:val="18"/>
              </w:rPr>
              <w:t>油中故障气体监测装置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2009.12.23-2019.12.22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ZL200920297819.3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140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片式气体传感器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2009.12.24-2019.12.23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ZL200920299196.3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141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载体催化元件</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2009.12.29-2019.12.28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ZL200920292663.X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142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微型智能红外气体传感器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2009.9.3-2019.9.2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ZL200920223212.0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143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微型防爆多气体红外传感器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2010.1.18-2020.1.17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ZL201020041218.9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144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新型酒精检测仪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2010.11.19-2020.11.18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ZL201020614627.3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145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热式流量传感器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2010.11.19-2020.11.18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ZL201020614621.6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146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燃气泄露报警装置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2010.12.29-2020.12.28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ZL201020686211.2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147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新型双通道热释电红外传感 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2010.12.29-2020.12.28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ZL201020686199.5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148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双通道热释电红外传感器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2010.12.29-2020.12.28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ZL201020686196.1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149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瓦斯报警矿灯调教仪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2010.12.31-2020.12.30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ZL201020696543.9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9"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150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CO</w:t>
            </w:r>
            <w:r>
              <w:rPr>
                <w:rFonts w:ascii="新宋体" w:hAnsi="新宋体" w:cs="新宋体" w:eastAsia="新宋体" w:hint="default"/>
                <w:spacing w:val="-46"/>
                <w:sz w:val="18"/>
                <w:szCs w:val="18"/>
              </w:rPr>
              <w:t> </w:t>
            </w:r>
            <w:r>
              <w:rPr>
                <w:rFonts w:ascii="新宋体" w:hAnsi="新宋体" w:cs="新宋体" w:eastAsia="新宋体" w:hint="default"/>
                <w:sz w:val="18"/>
                <w:szCs w:val="18"/>
              </w:rPr>
              <w:t>报警装置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2010.8.20-2020.8.19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ZL201020299221.0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151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复合式气体传感器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2010.8.20-2020.8.19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ZL201020299223.X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152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一种半导体气体传感器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2010.8.20-2020.8.19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ZL201020299225.9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153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半导体气体传感器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2010.8.20-2020.8.19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ZL201020299252.6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154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无引线陶瓷片式气敏元件</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2010.9.3-2020.9.2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ZL201020516245.7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155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CO</w:t>
            </w:r>
            <w:r>
              <w:rPr>
                <w:rFonts w:ascii="新宋体" w:hAnsi="新宋体" w:cs="新宋体" w:eastAsia="新宋体" w:hint="default"/>
                <w:spacing w:val="-45"/>
                <w:sz w:val="18"/>
                <w:szCs w:val="18"/>
              </w:rPr>
              <w:t> </w:t>
            </w:r>
            <w:r>
              <w:rPr>
                <w:rFonts w:ascii="新宋体" w:hAnsi="新宋体" w:cs="新宋体" w:eastAsia="新宋体" w:hint="default"/>
                <w:sz w:val="18"/>
                <w:szCs w:val="18"/>
              </w:rPr>
              <w:t>泄露报警控制装置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2010.9.3-2020.9.2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ZL201020516241.9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13"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156</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唾液酒精含量测试条</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2011.10.18-2021.10.17</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ZL201120395067.1</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416" w:hRule="exact"/>
        </w:trPr>
        <w:tc>
          <w:tcPr>
            <w:tcW w:w="6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157</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常温电化学氧气传感器</w:t>
            </w:r>
          </w:p>
        </w:tc>
        <w:tc>
          <w:tcPr>
            <w:tcW w:w="2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2011.10.18-2021.10.17</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ZL201120395055.9</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158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原电池型半固态溶解氧传感 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2011.10.18-2021.10.17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ZL201120395030.9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159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微型热释电红外传感器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ZL201120553272.6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160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电阻型湿敏元件</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ZL201120553257.1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161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四通道热释电红外传感器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ZL201120553220.9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162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MEMS</w:t>
            </w:r>
            <w:r>
              <w:rPr>
                <w:rFonts w:ascii="新宋体" w:hAnsi="新宋体" w:cs="新宋体" w:eastAsia="新宋体" w:hint="default"/>
                <w:spacing w:val="-47"/>
                <w:sz w:val="18"/>
                <w:szCs w:val="18"/>
              </w:rPr>
              <w:t> </w:t>
            </w:r>
            <w:r>
              <w:rPr>
                <w:rFonts w:ascii="新宋体" w:hAnsi="新宋体" w:cs="新宋体" w:eastAsia="新宋体" w:hint="default"/>
                <w:sz w:val="18"/>
                <w:szCs w:val="18"/>
              </w:rPr>
              <w:t>热式流量传感器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6" w:right="0"/>
              <w:jc w:val="left"/>
              <w:rPr>
                <w:rFonts w:ascii="新宋体" w:hAnsi="新宋体" w:cs="新宋体" w:eastAsia="新宋体" w:hint="default"/>
                <w:sz w:val="18"/>
                <w:szCs w:val="18"/>
              </w:rPr>
            </w:pPr>
            <w:r>
              <w:rPr>
                <w:rFonts w:ascii="新宋体"/>
                <w:sz w:val="18"/>
              </w:rPr>
              <w:t>ZL201120553292.3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163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复合封装四通道热释电红外 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ZL201120553317.X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164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厚膜压力传感器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2011.12.30-2021.12.29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6" w:right="0"/>
              <w:jc w:val="left"/>
              <w:rPr>
                <w:rFonts w:ascii="新宋体" w:hAnsi="新宋体" w:cs="新宋体" w:eastAsia="新宋体" w:hint="default"/>
                <w:sz w:val="18"/>
                <w:szCs w:val="18"/>
              </w:rPr>
            </w:pPr>
            <w:r>
              <w:rPr>
                <w:rFonts w:ascii="新宋体"/>
                <w:sz w:val="18"/>
              </w:rPr>
              <w:t>ZL201120566640.0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165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一种热释电火焰传感器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2011.6.15-2021.6.14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ZL201120203198.5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166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一种热释电测温传感器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2011.6.15-2021.6.14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ZL201120203207.0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167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双元双通道热释电红外气体 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2011.6.15-2021.6.14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ZL201120203200.9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168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电化学传感器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2011.6.15-2021.6.14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ZL201120201798.8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169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热释电红外敏感元及热释电 红外探测器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2011.8.23-2021.8.22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ZL201120307946.4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170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嵌入式气体检测模块</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2011.8.29-2021.8.28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ZL201120316609.1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171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口气检测仪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2011.8.29-2021.8.28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ZL201120316606.8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172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一种湿敏元件参数测试系统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2011.9.30-2021.9.29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ZL201120374742.2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173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酒精传感器（燃料电池型）</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2010.12.3-2020.12.2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ZL201030654352.1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174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传感器（</w:t>
            </w:r>
            <w:r>
              <w:rPr>
                <w:rFonts w:ascii="新宋体" w:hAnsi="新宋体" w:cs="新宋体" w:eastAsia="新宋体" w:hint="default"/>
                <w:sz w:val="18"/>
                <w:szCs w:val="18"/>
              </w:rPr>
              <w:t>MH-540D</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2010.4.8-2020.4.7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ZL201030134827.4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175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传感器（</w:t>
            </w:r>
            <w:r>
              <w:rPr>
                <w:rFonts w:ascii="新宋体" w:hAnsi="新宋体" w:cs="新宋体" w:eastAsia="新宋体" w:hint="default"/>
                <w:sz w:val="18"/>
                <w:szCs w:val="18"/>
              </w:rPr>
              <w:t>MEMS</w:t>
            </w:r>
            <w:r>
              <w:rPr>
                <w:rFonts w:ascii="新宋体" w:hAnsi="新宋体" w:cs="新宋体" w:eastAsia="新宋体" w:hint="default"/>
                <w:spacing w:val="-47"/>
                <w:sz w:val="18"/>
                <w:szCs w:val="18"/>
              </w:rPr>
              <w:t> </w:t>
            </w:r>
            <w:r>
              <w:rPr>
                <w:rFonts w:ascii="新宋体" w:hAnsi="新宋体" w:cs="新宋体" w:eastAsia="新宋体" w:hint="default"/>
                <w:sz w:val="18"/>
                <w:szCs w:val="18"/>
              </w:rPr>
              <w:t>微差压）</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2010.9.10-2020.9.9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ZL201030510883.3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176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气体流量传感器</w:t>
            </w:r>
            <w:r>
              <w:rPr>
                <w:rFonts w:ascii="新宋体" w:hAnsi="新宋体" w:cs="新宋体" w:eastAsia="新宋体" w:hint="default"/>
                <w:sz w:val="18"/>
                <w:szCs w:val="18"/>
              </w:rPr>
              <w:t>(</w:t>
            </w:r>
            <w:r>
              <w:rPr>
                <w:rFonts w:ascii="新宋体" w:hAnsi="新宋体" w:cs="新宋体" w:eastAsia="新宋体" w:hint="default"/>
                <w:sz w:val="18"/>
                <w:szCs w:val="18"/>
              </w:rPr>
              <w:t>微流量</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2011.12.30-2021.12.29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ZL201130506791.2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177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手持式多参数气体测定器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2009.3.12-2019.3.11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ZL200920106152.4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178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多功能手持式环境监测仪</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2009.3.12-2019.3.11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ZL200920106153.9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179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气体检测装置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2009.3.13-2019.3.12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ZL200920106180.6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180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气体测定装置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2009.3.13-2019.3.12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ZL200920106179.3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181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气体传感装置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2009.3.13-2019.3.12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ZL200920106181.0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182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多功能检测器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2009.3.13-2019.3.12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ZL200920106184.4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183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气体测定装置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2009.3.13-2019.3.12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ZL200920106182.5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184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气体测定装置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2009.3.13-2019.3.12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ZL200920106183.X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185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气体检测系统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2011.12.27-2021.12.26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ZL201120552342.6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186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气体检测系统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2011.9.1-2021.8.31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ZL201120325630.8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13"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187</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气体测定器</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2009.3.12-2019.3.11</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ZL200930126272.6</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416" w:hRule="exact"/>
        </w:trPr>
        <w:tc>
          <w:tcPr>
            <w:tcW w:w="6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188</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识别卡（</w:t>
            </w:r>
            <w:r>
              <w:rPr>
                <w:rFonts w:ascii="新宋体" w:hAnsi="新宋体" w:cs="新宋体" w:eastAsia="新宋体" w:hint="default"/>
                <w:sz w:val="18"/>
                <w:szCs w:val="18"/>
              </w:rPr>
              <w:t>KJ168-K</w:t>
            </w:r>
            <w:r>
              <w:rPr>
                <w:rFonts w:ascii="新宋体" w:hAnsi="新宋体" w:cs="新宋体" w:eastAsia="新宋体" w:hint="default"/>
                <w:sz w:val="18"/>
                <w:szCs w:val="18"/>
              </w:rPr>
              <w:t>）</w:t>
            </w:r>
          </w:p>
        </w:tc>
        <w:tc>
          <w:tcPr>
            <w:tcW w:w="2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475" w:right="0"/>
              <w:jc w:val="left"/>
              <w:rPr>
                <w:rFonts w:ascii="新宋体" w:hAnsi="新宋体" w:cs="新宋体" w:eastAsia="新宋体" w:hint="default"/>
                <w:sz w:val="18"/>
                <w:szCs w:val="18"/>
              </w:rPr>
            </w:pPr>
            <w:r>
              <w:rPr>
                <w:rFonts w:ascii="新宋体"/>
                <w:sz w:val="18"/>
              </w:rPr>
              <w:t>2011.9.1-2021.8.31</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ZL201130304859.9</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189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98"/>
              <w:jc w:val="left"/>
              <w:rPr>
                <w:rFonts w:ascii="新宋体" w:hAnsi="新宋体" w:cs="新宋体" w:eastAsia="新宋体" w:hint="default"/>
                <w:sz w:val="18"/>
                <w:szCs w:val="18"/>
              </w:rPr>
            </w:pPr>
            <w:r>
              <w:rPr>
                <w:rFonts w:ascii="新宋体" w:hAnsi="新宋体" w:cs="新宋体" w:eastAsia="新宋体" w:hint="default"/>
                <w:sz w:val="18"/>
                <w:szCs w:val="18"/>
              </w:rPr>
              <w:t>识别卡读卡分站（</w:t>
            </w:r>
            <w:r>
              <w:rPr>
                <w:rFonts w:ascii="新宋体" w:hAnsi="新宋体" w:cs="新宋体" w:eastAsia="新宋体" w:hint="default"/>
                <w:sz w:val="18"/>
                <w:szCs w:val="18"/>
              </w:rPr>
              <w:t>KJ168-D</w:t>
            </w:r>
            <w:r>
              <w:rPr>
                <w:rFonts w:ascii="新宋体" w:hAnsi="新宋体" w:cs="新宋体" w:eastAsia="新宋体" w:hint="default"/>
                <w:spacing w:val="-65"/>
                <w:sz w:val="18"/>
                <w:szCs w:val="18"/>
              </w:rPr>
              <w:t> </w:t>
            </w:r>
            <w:r>
              <w:rPr>
                <w:rFonts w:ascii="新宋体" w:hAnsi="新宋体" w:cs="新宋体" w:eastAsia="新宋体" w:hint="default"/>
                <w:sz w:val="18"/>
                <w:szCs w:val="18"/>
              </w:rPr>
              <w:t>矿 用本安型）</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5" w:right="0"/>
              <w:jc w:val="left"/>
              <w:rPr>
                <w:rFonts w:ascii="新宋体" w:hAnsi="新宋体" w:cs="新宋体" w:eastAsia="新宋体" w:hint="default"/>
                <w:sz w:val="18"/>
                <w:szCs w:val="18"/>
              </w:rPr>
            </w:pPr>
            <w:r>
              <w:rPr>
                <w:rFonts w:ascii="新宋体"/>
                <w:sz w:val="18"/>
              </w:rPr>
              <w:t>2011.9.1-2021.8.31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ZL201130304912.5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190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热释电传感器测试装置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29" w:right="0"/>
              <w:jc w:val="left"/>
              <w:rPr>
                <w:rFonts w:ascii="新宋体" w:hAnsi="新宋体" w:cs="新宋体" w:eastAsia="新宋体" w:hint="default"/>
                <w:sz w:val="18"/>
                <w:szCs w:val="18"/>
              </w:rPr>
            </w:pPr>
            <w:r>
              <w:rPr>
                <w:rFonts w:ascii="新宋体"/>
                <w:sz w:val="18"/>
              </w:rPr>
              <w:t>2012.3.27-2022.3.26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新宋体" w:hAnsi="新宋体" w:cs="新宋体" w:eastAsia="新宋体" w:hint="default"/>
                <w:sz w:val="18"/>
                <w:szCs w:val="18"/>
              </w:rPr>
            </w:pPr>
            <w:r>
              <w:rPr>
                <w:rFonts w:ascii="新宋体"/>
                <w:sz w:val="18"/>
              </w:rPr>
              <w:t>ZL201220118255.4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52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163" w:right="0"/>
              <w:jc w:val="left"/>
              <w:rPr>
                <w:rFonts w:ascii="新宋体" w:hAnsi="新宋体" w:cs="新宋体" w:eastAsia="新宋体" w:hint="default"/>
                <w:sz w:val="18"/>
                <w:szCs w:val="18"/>
              </w:rPr>
            </w:pPr>
            <w:r>
              <w:rPr>
                <w:rFonts w:ascii="新宋体"/>
                <w:sz w:val="18"/>
              </w:rPr>
              <w:t>191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3" w:right="0"/>
              <w:jc w:val="left"/>
              <w:rPr>
                <w:rFonts w:ascii="新宋体" w:hAnsi="新宋体" w:cs="新宋体" w:eastAsia="新宋体" w:hint="default"/>
                <w:sz w:val="18"/>
                <w:szCs w:val="18"/>
              </w:rPr>
            </w:pPr>
            <w:r>
              <w:rPr>
                <w:rFonts w:ascii="新宋体" w:hAnsi="新宋体" w:cs="新宋体" w:eastAsia="新宋体" w:hint="default"/>
                <w:spacing w:val="-6"/>
                <w:sz w:val="18"/>
                <w:szCs w:val="18"/>
              </w:rPr>
              <w:t>奇数倍、偶数倍光程反射腔体</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429" w:right="0"/>
              <w:jc w:val="left"/>
              <w:rPr>
                <w:rFonts w:ascii="新宋体" w:hAnsi="新宋体" w:cs="新宋体" w:eastAsia="新宋体" w:hint="default"/>
                <w:sz w:val="18"/>
                <w:szCs w:val="18"/>
              </w:rPr>
            </w:pPr>
            <w:r>
              <w:rPr>
                <w:rFonts w:ascii="新宋体"/>
                <w:sz w:val="18"/>
              </w:rPr>
              <w:t>2012.3.27-2022.3.26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新宋体" w:hAnsi="新宋体" w:cs="新宋体" w:eastAsia="新宋体" w:hint="default"/>
                <w:sz w:val="18"/>
                <w:szCs w:val="18"/>
              </w:rPr>
            </w:pPr>
            <w:r>
              <w:rPr>
                <w:rFonts w:ascii="新宋体"/>
                <w:sz w:val="18"/>
              </w:rPr>
              <w:t>ZL201220118254.X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192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电化学传感器铂电极的裁切 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新宋体" w:hAnsi="新宋体" w:cs="新宋体" w:eastAsia="新宋体" w:hint="default"/>
                <w:sz w:val="18"/>
                <w:szCs w:val="18"/>
              </w:rPr>
            </w:pPr>
            <w:r>
              <w:rPr>
                <w:rFonts w:ascii="新宋体"/>
                <w:sz w:val="18"/>
              </w:rPr>
              <w:t>2012.3.27-2022.3.26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新宋体" w:hAnsi="新宋体" w:cs="新宋体" w:eastAsia="新宋体" w:hint="default"/>
                <w:sz w:val="18"/>
                <w:szCs w:val="18"/>
              </w:rPr>
            </w:pPr>
            <w:r>
              <w:rPr>
                <w:rFonts w:ascii="新宋体"/>
                <w:sz w:val="18"/>
              </w:rPr>
              <w:t>ZL201220118271.3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193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模块化气体探测器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29" w:right="0"/>
              <w:jc w:val="left"/>
              <w:rPr>
                <w:rFonts w:ascii="新宋体" w:hAnsi="新宋体" w:cs="新宋体" w:eastAsia="新宋体" w:hint="default"/>
                <w:sz w:val="18"/>
                <w:szCs w:val="18"/>
              </w:rPr>
            </w:pPr>
            <w:r>
              <w:rPr>
                <w:rFonts w:ascii="新宋体"/>
                <w:sz w:val="18"/>
              </w:rPr>
              <w:t>2012.3.27-2022.3.26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新宋体" w:hAnsi="新宋体" w:cs="新宋体" w:eastAsia="新宋体" w:hint="default"/>
                <w:sz w:val="18"/>
                <w:szCs w:val="18"/>
              </w:rPr>
            </w:pPr>
            <w:r>
              <w:rPr>
                <w:rFonts w:ascii="新宋体"/>
                <w:sz w:val="18"/>
              </w:rPr>
              <w:t>ZL201220118272.8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194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气体探测器（开放路径</w:t>
            </w:r>
          </w:p>
          <w:p>
            <w:pPr>
              <w:pStyle w:val="TableParagraph"/>
              <w:spacing w:line="240" w:lineRule="auto" w:before="76"/>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-OGPD1000</w:t>
            </w:r>
            <w:r>
              <w:rPr>
                <w:rFonts w:ascii="新宋体" w:hAnsi="新宋体" w:cs="新宋体" w:eastAsia="新宋体" w:hint="default"/>
                <w:sz w:val="18"/>
                <w:szCs w:val="18"/>
              </w:rPr>
              <w:t>）</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新宋体" w:hAnsi="新宋体" w:cs="新宋体" w:eastAsia="新宋体" w:hint="default"/>
                <w:sz w:val="18"/>
                <w:szCs w:val="18"/>
              </w:rPr>
            </w:pPr>
            <w:r>
              <w:rPr>
                <w:rFonts w:ascii="新宋体"/>
                <w:sz w:val="18"/>
              </w:rPr>
              <w:t>2012.3.27-2022.3.26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新宋体" w:hAnsi="新宋体" w:cs="新宋体" w:eastAsia="新宋体" w:hint="default"/>
                <w:sz w:val="18"/>
                <w:szCs w:val="18"/>
              </w:rPr>
            </w:pPr>
            <w:r>
              <w:rPr>
                <w:rFonts w:ascii="新宋体"/>
                <w:sz w:val="18"/>
              </w:rPr>
              <w:t>ZL201230077364.1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195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电力线载波式温控型中央空 调计费器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29" w:right="0"/>
              <w:jc w:val="left"/>
              <w:rPr>
                <w:rFonts w:ascii="新宋体" w:hAnsi="新宋体" w:cs="新宋体" w:eastAsia="新宋体" w:hint="default"/>
                <w:sz w:val="18"/>
                <w:szCs w:val="18"/>
              </w:rPr>
            </w:pPr>
            <w:r>
              <w:rPr>
                <w:rFonts w:ascii="新宋体"/>
                <w:sz w:val="18"/>
              </w:rPr>
              <w:t>2004.8.26-2024.8.25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ZL200410060478.X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196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中央空调节能智能控制系统 及控制方法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新宋体" w:hAnsi="新宋体" w:cs="新宋体" w:eastAsia="新宋体" w:hint="default"/>
                <w:sz w:val="18"/>
                <w:szCs w:val="18"/>
              </w:rPr>
            </w:pPr>
            <w:r>
              <w:rPr>
                <w:rFonts w:ascii="新宋体"/>
                <w:sz w:val="18"/>
              </w:rPr>
              <w:t>2005.1.28-2025.1.27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ZL200510017349.7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197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中央空调计量收费的当量能 量计费方法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新宋体" w:hAnsi="新宋体" w:cs="新宋体" w:eastAsia="新宋体" w:hint="default"/>
                <w:sz w:val="18"/>
                <w:szCs w:val="18"/>
              </w:rPr>
            </w:pPr>
            <w:r>
              <w:rPr>
                <w:rFonts w:ascii="新宋体"/>
                <w:sz w:val="18"/>
              </w:rPr>
              <w:t>2005.8.23-2025.8.22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ZL200510017906.5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198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61"/>
              <w:jc w:val="left"/>
              <w:rPr>
                <w:rFonts w:ascii="新宋体" w:hAnsi="新宋体" w:cs="新宋体" w:eastAsia="新宋体" w:hint="default"/>
                <w:sz w:val="18"/>
                <w:szCs w:val="18"/>
              </w:rPr>
            </w:pPr>
            <w:r>
              <w:rPr>
                <w:rFonts w:ascii="新宋体" w:hAnsi="新宋体" w:cs="新宋体" w:eastAsia="新宋体" w:hint="default"/>
                <w:sz w:val="18"/>
                <w:szCs w:val="18"/>
              </w:rPr>
              <w:t>IC</w:t>
            </w:r>
            <w:r>
              <w:rPr>
                <w:rFonts w:ascii="新宋体" w:hAnsi="新宋体" w:cs="新宋体" w:eastAsia="新宋体" w:hint="default"/>
                <w:spacing w:val="-46"/>
                <w:sz w:val="18"/>
                <w:szCs w:val="18"/>
              </w:rPr>
              <w:t> </w:t>
            </w:r>
            <w:r>
              <w:rPr>
                <w:rFonts w:ascii="新宋体" w:hAnsi="新宋体" w:cs="新宋体" w:eastAsia="新宋体" w:hint="default"/>
                <w:sz w:val="18"/>
                <w:szCs w:val="18"/>
              </w:rPr>
              <w:t>卡采暖计费控制阀及其采 暖计费管理方法</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5" w:right="0"/>
              <w:jc w:val="left"/>
              <w:rPr>
                <w:rFonts w:ascii="新宋体" w:hAnsi="新宋体" w:cs="新宋体" w:eastAsia="新宋体" w:hint="default"/>
                <w:sz w:val="18"/>
                <w:szCs w:val="18"/>
              </w:rPr>
            </w:pPr>
            <w:r>
              <w:rPr>
                <w:rFonts w:ascii="新宋体"/>
                <w:sz w:val="18"/>
              </w:rPr>
              <w:t>2006.3.10-2026.3.9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ZL200610017515.8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199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半双工通讯收发控制方法及 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81"/>
              <w:jc w:val="right"/>
              <w:rPr>
                <w:rFonts w:ascii="新宋体" w:hAnsi="新宋体" w:cs="新宋体" w:eastAsia="新宋体" w:hint="default"/>
                <w:sz w:val="18"/>
                <w:szCs w:val="18"/>
              </w:rPr>
            </w:pPr>
            <w:r>
              <w:rPr>
                <w:rFonts w:ascii="新宋体"/>
                <w:spacing w:val="-1"/>
                <w:sz w:val="18"/>
              </w:rPr>
              <w:t>2007.08.18-2027.8.17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ZL200710141425.4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200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基于电压互感技术的多档速 电机档位识别方法及装置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36"/>
              <w:jc w:val="right"/>
              <w:rPr>
                <w:rFonts w:ascii="新宋体" w:hAnsi="新宋体" w:cs="新宋体" w:eastAsia="新宋体" w:hint="default"/>
                <w:sz w:val="18"/>
                <w:szCs w:val="18"/>
              </w:rPr>
            </w:pPr>
            <w:r>
              <w:rPr>
                <w:rFonts w:ascii="新宋体"/>
                <w:spacing w:val="-1"/>
                <w:sz w:val="18"/>
              </w:rPr>
              <w:t>2008.11.28-2028.11.27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ZL200810231195.5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201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多档速电机状态识别装置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75" w:right="0"/>
              <w:jc w:val="left"/>
              <w:rPr>
                <w:rFonts w:ascii="新宋体" w:hAnsi="新宋体" w:cs="新宋体" w:eastAsia="新宋体" w:hint="default"/>
                <w:sz w:val="18"/>
                <w:szCs w:val="18"/>
              </w:rPr>
            </w:pPr>
            <w:r>
              <w:rPr>
                <w:rFonts w:ascii="新宋体"/>
                <w:sz w:val="18"/>
              </w:rPr>
              <w:t>2003.4.1-2013.3.31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ZL03245601.8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202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中央空调计费器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75" w:right="0"/>
              <w:jc w:val="left"/>
              <w:rPr>
                <w:rFonts w:ascii="新宋体" w:hAnsi="新宋体" w:cs="新宋体" w:eastAsia="新宋体" w:hint="default"/>
                <w:sz w:val="18"/>
                <w:szCs w:val="18"/>
              </w:rPr>
            </w:pPr>
            <w:r>
              <w:rPr>
                <w:rFonts w:ascii="新宋体"/>
                <w:sz w:val="18"/>
              </w:rPr>
              <w:t>2003.4.1-2013.3.31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ZL03245602.6</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203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电力载波式中央空调计费器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29" w:right="0"/>
              <w:jc w:val="left"/>
              <w:rPr>
                <w:rFonts w:ascii="新宋体" w:hAnsi="新宋体" w:cs="新宋体" w:eastAsia="新宋体" w:hint="default"/>
                <w:sz w:val="18"/>
                <w:szCs w:val="18"/>
              </w:rPr>
            </w:pPr>
            <w:r>
              <w:rPr>
                <w:rFonts w:ascii="新宋体"/>
                <w:sz w:val="18"/>
              </w:rPr>
              <w:t>2004.8.26-2014.8.25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ZL200420074542.5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204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基于</w:t>
            </w:r>
            <w:r>
              <w:rPr>
                <w:rFonts w:ascii="新宋体" w:hAnsi="新宋体" w:cs="新宋体" w:eastAsia="新宋体" w:hint="default"/>
                <w:spacing w:val="-46"/>
                <w:sz w:val="18"/>
                <w:szCs w:val="18"/>
              </w:rPr>
              <w:t> </w:t>
            </w:r>
            <w:r>
              <w:rPr>
                <w:rFonts w:ascii="新宋体" w:hAnsi="新宋体" w:cs="新宋体" w:eastAsia="新宋体" w:hint="default"/>
                <w:sz w:val="18"/>
                <w:szCs w:val="18"/>
              </w:rPr>
              <w:t>BUS</w:t>
            </w:r>
            <w:r>
              <w:rPr>
                <w:rFonts w:ascii="新宋体" w:hAnsi="新宋体" w:cs="新宋体" w:eastAsia="新宋体" w:hint="default"/>
                <w:spacing w:val="-47"/>
                <w:sz w:val="18"/>
                <w:szCs w:val="18"/>
              </w:rPr>
              <w:t> </w:t>
            </w:r>
            <w:r>
              <w:rPr>
                <w:rFonts w:ascii="新宋体" w:hAnsi="新宋体" w:cs="新宋体" w:eastAsia="新宋体" w:hint="default"/>
                <w:sz w:val="18"/>
                <w:szCs w:val="18"/>
              </w:rPr>
              <w:t>总线的中央空调计 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36"/>
              <w:jc w:val="right"/>
              <w:rPr>
                <w:rFonts w:ascii="新宋体" w:hAnsi="新宋体" w:cs="新宋体" w:eastAsia="新宋体" w:hint="default"/>
                <w:sz w:val="18"/>
                <w:szCs w:val="18"/>
              </w:rPr>
            </w:pPr>
            <w:r>
              <w:rPr>
                <w:rFonts w:ascii="新宋体"/>
                <w:spacing w:val="-1"/>
                <w:sz w:val="18"/>
              </w:rPr>
              <w:t>2006.11.29-2016.11.28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ZL200620134811.1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205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基于</w:t>
            </w:r>
            <w:r>
              <w:rPr>
                <w:rFonts w:ascii="新宋体" w:hAnsi="新宋体" w:cs="新宋体" w:eastAsia="新宋体" w:hint="default"/>
                <w:spacing w:val="-46"/>
                <w:sz w:val="18"/>
                <w:szCs w:val="18"/>
              </w:rPr>
              <w:t> </w:t>
            </w:r>
            <w:r>
              <w:rPr>
                <w:rFonts w:ascii="新宋体" w:hAnsi="新宋体" w:cs="新宋体" w:eastAsia="新宋体" w:hint="default"/>
                <w:sz w:val="18"/>
                <w:szCs w:val="18"/>
              </w:rPr>
              <w:t>BUS</w:t>
            </w:r>
            <w:r>
              <w:rPr>
                <w:rFonts w:ascii="新宋体" w:hAnsi="新宋体" w:cs="新宋体" w:eastAsia="新宋体" w:hint="default"/>
                <w:spacing w:val="-47"/>
                <w:sz w:val="18"/>
                <w:szCs w:val="18"/>
              </w:rPr>
              <w:t> </w:t>
            </w:r>
            <w:r>
              <w:rPr>
                <w:rFonts w:ascii="新宋体" w:hAnsi="新宋体" w:cs="新宋体" w:eastAsia="新宋体" w:hint="default"/>
                <w:sz w:val="18"/>
                <w:szCs w:val="18"/>
              </w:rPr>
              <w:t>总线的多路中央空 调计费器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36"/>
              <w:jc w:val="right"/>
              <w:rPr>
                <w:rFonts w:ascii="新宋体" w:hAnsi="新宋体" w:cs="新宋体" w:eastAsia="新宋体" w:hint="default"/>
                <w:sz w:val="18"/>
                <w:szCs w:val="18"/>
              </w:rPr>
            </w:pPr>
            <w:r>
              <w:rPr>
                <w:rFonts w:ascii="新宋体"/>
                <w:spacing w:val="-1"/>
                <w:sz w:val="18"/>
              </w:rPr>
              <w:t>2006.12.25-2016.12.24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ZL200620135186.2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206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基于</w:t>
            </w:r>
            <w:r>
              <w:rPr>
                <w:rFonts w:ascii="新宋体" w:hAnsi="新宋体" w:cs="新宋体" w:eastAsia="新宋体" w:hint="default"/>
                <w:spacing w:val="-46"/>
                <w:sz w:val="18"/>
                <w:szCs w:val="18"/>
              </w:rPr>
              <w:t> </w:t>
            </w:r>
            <w:r>
              <w:rPr>
                <w:rFonts w:ascii="新宋体" w:hAnsi="新宋体" w:cs="新宋体" w:eastAsia="新宋体" w:hint="default"/>
                <w:sz w:val="18"/>
                <w:szCs w:val="18"/>
              </w:rPr>
              <w:t>BUS</w:t>
            </w:r>
            <w:r>
              <w:rPr>
                <w:rFonts w:ascii="新宋体" w:hAnsi="新宋体" w:cs="新宋体" w:eastAsia="新宋体" w:hint="default"/>
                <w:spacing w:val="-47"/>
                <w:sz w:val="18"/>
                <w:szCs w:val="18"/>
              </w:rPr>
              <w:t> </w:t>
            </w:r>
            <w:r>
              <w:rPr>
                <w:rFonts w:ascii="新宋体" w:hAnsi="新宋体" w:cs="新宋体" w:eastAsia="新宋体" w:hint="default"/>
                <w:sz w:val="18"/>
                <w:szCs w:val="18"/>
              </w:rPr>
              <w:t>总线的温控型中央 空调计费器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新宋体" w:hAnsi="新宋体" w:cs="新宋体" w:eastAsia="新宋体" w:hint="default"/>
                <w:sz w:val="18"/>
                <w:szCs w:val="18"/>
              </w:rPr>
            </w:pPr>
            <w:r>
              <w:rPr>
                <w:rFonts w:ascii="新宋体"/>
                <w:sz w:val="18"/>
              </w:rPr>
              <w:t>2006.12.6-2016.12.5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ZL200620134931.1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207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IC</w:t>
            </w:r>
            <w:r>
              <w:rPr>
                <w:rFonts w:ascii="新宋体" w:hAnsi="新宋体" w:cs="新宋体" w:eastAsia="新宋体" w:hint="default"/>
                <w:spacing w:val="-45"/>
                <w:sz w:val="18"/>
                <w:szCs w:val="18"/>
              </w:rPr>
              <w:t> </w:t>
            </w:r>
            <w:r>
              <w:rPr>
                <w:rFonts w:ascii="新宋体" w:hAnsi="新宋体" w:cs="新宋体" w:eastAsia="新宋体" w:hint="default"/>
                <w:sz w:val="18"/>
                <w:szCs w:val="18"/>
              </w:rPr>
              <w:t>卡采暖计费控制阀</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75" w:right="0"/>
              <w:jc w:val="left"/>
              <w:rPr>
                <w:rFonts w:ascii="新宋体" w:hAnsi="新宋体" w:cs="新宋体" w:eastAsia="新宋体" w:hint="default"/>
                <w:sz w:val="18"/>
                <w:szCs w:val="18"/>
              </w:rPr>
            </w:pPr>
            <w:r>
              <w:rPr>
                <w:rFonts w:ascii="新宋体"/>
                <w:sz w:val="18"/>
              </w:rPr>
              <w:t>2006.3.10-2016.3.9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ZL200620030128.3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208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分户式多端口中央空调计费 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新宋体" w:hAnsi="新宋体" w:cs="新宋体" w:eastAsia="新宋体" w:hint="default"/>
                <w:sz w:val="18"/>
                <w:szCs w:val="18"/>
              </w:rPr>
            </w:pPr>
            <w:r>
              <w:rPr>
                <w:rFonts w:ascii="新宋体"/>
                <w:sz w:val="18"/>
              </w:rPr>
              <w:t>2006.3.16-2016.3.15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ZL200620030176.2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5"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209</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基于</w:t>
            </w:r>
            <w:r>
              <w:rPr>
                <w:rFonts w:ascii="新宋体" w:hAnsi="新宋体" w:cs="新宋体" w:eastAsia="新宋体" w:hint="default"/>
                <w:spacing w:val="-46"/>
                <w:sz w:val="18"/>
                <w:szCs w:val="18"/>
              </w:rPr>
              <w:t> </w:t>
            </w:r>
            <w:r>
              <w:rPr>
                <w:rFonts w:ascii="新宋体" w:hAnsi="新宋体" w:cs="新宋体" w:eastAsia="新宋体" w:hint="default"/>
                <w:sz w:val="18"/>
                <w:szCs w:val="18"/>
              </w:rPr>
              <w:t>BUS</w:t>
            </w:r>
            <w:r>
              <w:rPr>
                <w:rFonts w:ascii="新宋体" w:hAnsi="新宋体" w:cs="新宋体" w:eastAsia="新宋体" w:hint="default"/>
                <w:spacing w:val="-47"/>
                <w:sz w:val="18"/>
                <w:szCs w:val="18"/>
              </w:rPr>
              <w:t> </w:t>
            </w:r>
            <w:r>
              <w:rPr>
                <w:rFonts w:ascii="新宋体" w:hAnsi="新宋体" w:cs="新宋体" w:eastAsia="新宋体" w:hint="default"/>
                <w:sz w:val="18"/>
                <w:szCs w:val="18"/>
              </w:rPr>
              <w:t>总线的数字直读抄 表器</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新宋体" w:hAnsi="新宋体" w:cs="新宋体" w:eastAsia="新宋体" w:hint="default"/>
                <w:sz w:val="18"/>
                <w:szCs w:val="18"/>
              </w:rPr>
            </w:pPr>
            <w:r>
              <w:rPr>
                <w:rFonts w:ascii="新宋体"/>
                <w:sz w:val="18"/>
              </w:rPr>
              <w:t>2007.1.25-2017.1.24</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ZL200720089276.7</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29"/>
        <w:gridCol w:w="2487"/>
        <w:gridCol w:w="2583"/>
        <w:gridCol w:w="1973"/>
        <w:gridCol w:w="1143"/>
        <w:gridCol w:w="1392"/>
      </w:tblGrid>
      <w:tr>
        <w:trPr>
          <w:trHeight w:val="728" w:hRule="exact"/>
        </w:trPr>
        <w:tc>
          <w:tcPr>
            <w:tcW w:w="6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210</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分布式中央空调分户计费装 置</w:t>
            </w:r>
          </w:p>
        </w:tc>
        <w:tc>
          <w:tcPr>
            <w:tcW w:w="2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2007.7.24-2017.7.23</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ZL200720091144.8</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211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半双工通讯收发控制装置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2007.7.30-2017.7.29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ZL200720091265.2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212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网络型计时温控器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2007.8.22-2017.8.21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ZL200720091579.2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213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多端口多档速风机盘管状态 监测装置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2008.11.28-2018.11.27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ZL200820221553.X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214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新型多档速电机档位检测装 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2008.11.28-2018.11.27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ZL200820221554.4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215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定流量温差型计费器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2008.3.18-2018.3.17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ZL200820069626.8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216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定风量温差型计费器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2008.3.18-2018.3.17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ZL200820069627.2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1"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217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2"/>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一种多点监测控制的节能温 控装置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2010.11.20-2020.11.19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ZL201020615709.X</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218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多端口直读抄表装置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2010.11.22-2020.11.21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ZL201020616372.4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219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一种电机运行状态故障检测 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2010.11.24-2020.11.23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ZL201020621351.1</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220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多台电机故障监测装置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2010.11.24-2020.11.23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3" w:right="0"/>
              <w:jc w:val="left"/>
              <w:rPr>
                <w:rFonts w:ascii="新宋体" w:hAnsi="新宋体" w:cs="新宋体" w:eastAsia="新宋体" w:hint="default"/>
                <w:sz w:val="18"/>
                <w:szCs w:val="18"/>
              </w:rPr>
            </w:pPr>
            <w:r>
              <w:rPr>
                <w:rFonts w:ascii="新宋体"/>
                <w:sz w:val="18"/>
              </w:rPr>
              <w:t>ZL</w:t>
            </w:r>
            <w:r>
              <w:rPr>
                <w:rFonts w:ascii="新宋体"/>
                <w:spacing w:val="-5"/>
                <w:sz w:val="18"/>
              </w:rPr>
              <w:t> </w:t>
            </w:r>
            <w:r>
              <w:rPr>
                <w:rFonts w:ascii="新宋体"/>
                <w:sz w:val="18"/>
              </w:rPr>
              <w:t>201020621339.0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221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直控式电器节能监测装置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2011.12.01-2021.11.30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ZL201120492523.4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222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无线式中央空调当量表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2011.9.19-2021.9.18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ZL201120350633.7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223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中央空调计费数据传输网络 及管理器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2011.9.19-2021.9.18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ZL201120350636.0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一种基于中央空调和集中供 暖分户计量装置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2011.9.6-2021.9.5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ZL201120331208.3</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225</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一种用于中央空调和集中供 暖的当量表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2011.9.6-2021.9.5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ZL201120331218.7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1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226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一种集中供热或制冷计量温 控装置</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2011.9.6-2021.9.5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ZL201120331256.2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227</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一种用于采暖或制冷的当量 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2011.9.6-2021.9.5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ZL201120331253.9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228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一种总线通讯中继器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2011.9.6-2021.9.5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ZL201120331207.9</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1"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新宋体" w:hAnsi="新宋体" w:cs="新宋体" w:eastAsia="新宋体" w:hint="default"/>
                <w:sz w:val="18"/>
                <w:szCs w:val="18"/>
              </w:rPr>
            </w:pPr>
            <w:r>
              <w:rPr>
                <w:rFonts w:ascii="新宋体"/>
                <w:sz w:val="18"/>
              </w:rPr>
              <w:t>229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2"/>
              <w:ind w:left="103" w:right="207"/>
              <w:jc w:val="left"/>
              <w:rPr>
                <w:rFonts w:ascii="新宋体" w:hAnsi="新宋体" w:cs="新宋体" w:eastAsia="新宋体" w:hint="default"/>
                <w:sz w:val="18"/>
                <w:szCs w:val="18"/>
              </w:rPr>
            </w:pPr>
            <w:r>
              <w:rPr>
                <w:rFonts w:ascii="新宋体" w:hAnsi="新宋体" w:cs="新宋体" w:eastAsia="新宋体" w:hint="default"/>
                <w:sz w:val="18"/>
                <w:szCs w:val="18"/>
              </w:rPr>
              <w:t>一种多支路采暖或制冷当量 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2011.9.6-2021.9.5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新宋体" w:hAnsi="新宋体" w:cs="新宋体" w:eastAsia="新宋体" w:hint="default"/>
                <w:sz w:val="18"/>
                <w:szCs w:val="18"/>
              </w:rPr>
            </w:pPr>
            <w:r>
              <w:rPr>
                <w:rFonts w:ascii="新宋体"/>
                <w:sz w:val="18"/>
              </w:rPr>
              <w:t>ZL201120331209.8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6"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230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2007.8.24-2017.8.23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ZL200730102074.7</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63" w:right="0"/>
              <w:jc w:val="left"/>
              <w:rPr>
                <w:rFonts w:ascii="新宋体" w:hAnsi="新宋体" w:cs="新宋体" w:eastAsia="新宋体" w:hint="default"/>
                <w:sz w:val="18"/>
                <w:szCs w:val="18"/>
              </w:rPr>
            </w:pPr>
            <w:r>
              <w:rPr>
                <w:rFonts w:ascii="新宋体"/>
                <w:sz w:val="18"/>
              </w:rPr>
              <w:t>231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中央空调计费器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2008.7.28-2018.7.27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59" w:right="0"/>
              <w:jc w:val="left"/>
              <w:rPr>
                <w:rFonts w:ascii="新宋体" w:hAnsi="新宋体" w:cs="新宋体" w:eastAsia="新宋体" w:hint="default"/>
                <w:sz w:val="18"/>
                <w:szCs w:val="18"/>
              </w:rPr>
            </w:pPr>
            <w:r>
              <w:rPr>
                <w:rFonts w:ascii="新宋体"/>
                <w:sz w:val="18"/>
              </w:rPr>
              <w:t>ZL200830150443.4</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08" w:hRule="exact"/>
        </w:trPr>
        <w:tc>
          <w:tcPr>
            <w:tcW w:w="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232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当量空调表</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2011.4.22-2021.4.21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ZL201130085687.0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13" w:hRule="exact"/>
        </w:trPr>
        <w:tc>
          <w:tcPr>
            <w:tcW w:w="6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63" w:right="0"/>
              <w:jc w:val="left"/>
              <w:rPr>
                <w:rFonts w:ascii="新宋体" w:hAnsi="新宋体" w:cs="新宋体" w:eastAsia="新宋体" w:hint="default"/>
                <w:sz w:val="18"/>
                <w:szCs w:val="18"/>
              </w:rPr>
            </w:pPr>
            <w:r>
              <w:rPr>
                <w:rFonts w:ascii="新宋体"/>
                <w:sz w:val="18"/>
              </w:rPr>
              <w:t>233</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空调计时器</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2011.4.22-2021.4.21</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59" w:right="0"/>
              <w:jc w:val="left"/>
              <w:rPr>
                <w:rFonts w:ascii="新宋体" w:hAnsi="新宋体" w:cs="新宋体" w:eastAsia="新宋体" w:hint="default"/>
                <w:sz w:val="18"/>
                <w:szCs w:val="18"/>
              </w:rPr>
            </w:pPr>
            <w:r>
              <w:rPr>
                <w:rFonts w:ascii="新宋体"/>
                <w:sz w:val="18"/>
              </w:rPr>
              <w:t>ZL201130085688.5</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06" w:right="0"/>
              <w:jc w:val="left"/>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bl>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980" w:right="534"/>
        <w:jc w:val="left"/>
      </w:pPr>
      <w:r>
        <w:rPr/>
        <w:t>（</w:t>
      </w:r>
      <w:r>
        <w:rPr>
          <w:rFonts w:ascii="新宋体" w:hAnsi="新宋体" w:cs="新宋体" w:eastAsia="新宋体" w:hint="default"/>
        </w:rPr>
        <w:t>2</w:t>
      </w:r>
      <w:r>
        <w:rPr/>
        <w:t>）截止报告期末，公司共取得</w:t>
      </w:r>
      <w:r>
        <w:rPr>
          <w:rFonts w:ascii="新宋体" w:hAnsi="新宋体" w:cs="新宋体" w:eastAsia="新宋体" w:hint="default"/>
        </w:rPr>
        <w:t>30</w:t>
      </w:r>
      <w:r>
        <w:rPr/>
        <w:t>项专利授权通知书，其中发明</w:t>
      </w:r>
      <w:r>
        <w:rPr>
          <w:rFonts w:ascii="新宋体" w:hAnsi="新宋体" w:cs="新宋体" w:eastAsia="新宋体" w:hint="default"/>
        </w:rPr>
        <w:t>2</w:t>
      </w:r>
      <w:r>
        <w:rPr/>
        <w:t>项，实用新型授权</w:t>
      </w:r>
    </w:p>
    <w:p>
      <w:pPr>
        <w:spacing w:after="0" w:line="240" w:lineRule="auto"/>
        <w:jc w:val="left"/>
        <w:sectPr>
          <w:pgSz w:w="11910" w:h="16840"/>
          <w:pgMar w:header="555" w:footer="980" w:top="1100" w:bottom="1160" w:left="580" w:right="860"/>
        </w:sectPr>
      </w:pPr>
    </w:p>
    <w:p>
      <w:pPr>
        <w:spacing w:line="240" w:lineRule="auto" w:before="7"/>
        <w:rPr>
          <w:rFonts w:ascii="新宋体" w:hAnsi="新宋体" w:cs="新宋体" w:eastAsia="新宋体" w:hint="default"/>
          <w:sz w:val="25"/>
          <w:szCs w:val="25"/>
        </w:rPr>
      </w:pPr>
    </w:p>
    <w:p>
      <w:pPr>
        <w:pStyle w:val="BodyText"/>
        <w:spacing w:line="357" w:lineRule="auto" w:before="26"/>
        <w:ind w:left="552" w:right="534"/>
        <w:jc w:val="left"/>
      </w:pPr>
      <w:r>
        <w:rPr>
          <w:rFonts w:ascii="新宋体" w:hAnsi="新宋体" w:cs="新宋体" w:eastAsia="新宋体" w:hint="default"/>
          <w:spacing w:val="2"/>
        </w:rPr>
        <w:t>24</w:t>
      </w:r>
      <w:r>
        <w:rPr>
          <w:spacing w:val="2"/>
        </w:rPr>
        <w:t>项，外观设计授权</w:t>
      </w:r>
      <w:r>
        <w:rPr>
          <w:rFonts w:ascii="新宋体" w:hAnsi="新宋体" w:cs="新宋体" w:eastAsia="新宋体" w:hint="default"/>
          <w:spacing w:val="2"/>
        </w:rPr>
        <w:t>4</w:t>
      </w:r>
      <w:r>
        <w:rPr>
          <w:spacing w:val="2"/>
        </w:rPr>
        <w:t>项，部分已授权的专利在履行缴纳专利登记费、印花税及年费等事</w:t>
      </w:r>
      <w:r>
        <w:rPr>
          <w:spacing w:val="-103"/>
        </w:rPr>
        <w:t> </w:t>
      </w:r>
      <w:r>
        <w:rPr>
          <w:spacing w:val="-103"/>
        </w:rPr>
      </w:r>
      <w:r>
        <w:rPr/>
        <w:t>宜后，将陆续取得相关专利证书。具体情况如下：</w:t>
      </w:r>
    </w:p>
    <w:p>
      <w:pPr>
        <w:spacing w:line="240" w:lineRule="auto" w:before="12"/>
        <w:rPr>
          <w:rFonts w:ascii="新宋体" w:hAnsi="新宋体" w:cs="新宋体" w:eastAsia="新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48"/>
        <w:gridCol w:w="2480"/>
        <w:gridCol w:w="2549"/>
        <w:gridCol w:w="1999"/>
        <w:gridCol w:w="1191"/>
        <w:gridCol w:w="1339"/>
      </w:tblGrid>
      <w:tr>
        <w:trPr>
          <w:trHeight w:val="413" w:hRule="exact"/>
        </w:trPr>
        <w:tc>
          <w:tcPr>
            <w:tcW w:w="64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9"/>
              <w:ind w:right="166"/>
              <w:jc w:val="right"/>
              <w:rPr>
                <w:rFonts w:ascii="新宋体" w:hAnsi="新宋体" w:cs="新宋体" w:eastAsia="新宋体" w:hint="default"/>
                <w:sz w:val="18"/>
                <w:szCs w:val="18"/>
              </w:rPr>
            </w:pPr>
            <w:r>
              <w:rPr>
                <w:rFonts w:ascii="新宋体" w:hAnsi="新宋体" w:cs="新宋体" w:eastAsia="新宋体" w:hint="default"/>
                <w:b/>
                <w:bCs/>
                <w:sz w:val="18"/>
                <w:szCs w:val="18"/>
              </w:rPr>
              <w:t>序号</w:t>
            </w:r>
            <w:r>
              <w:rPr>
                <w:rFonts w:ascii="新宋体" w:hAnsi="新宋体" w:cs="新宋体" w:eastAsia="新宋体" w:hint="default"/>
                <w:sz w:val="18"/>
                <w:szCs w:val="18"/>
              </w:rPr>
            </w:r>
          </w:p>
        </w:tc>
        <w:tc>
          <w:tcPr>
            <w:tcW w:w="248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b/>
                <w:bCs/>
                <w:sz w:val="18"/>
                <w:szCs w:val="18"/>
              </w:rPr>
              <w:t>专利名称</w:t>
            </w:r>
            <w:r>
              <w:rPr>
                <w:rFonts w:ascii="新宋体" w:hAnsi="新宋体" w:cs="新宋体" w:eastAsia="新宋体" w:hint="default"/>
                <w:sz w:val="18"/>
                <w:szCs w:val="18"/>
              </w:rPr>
            </w:r>
          </w:p>
        </w:tc>
        <w:tc>
          <w:tcPr>
            <w:tcW w:w="254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新宋体" w:hAnsi="新宋体" w:cs="新宋体" w:eastAsia="新宋体" w:hint="default"/>
                <w:sz w:val="18"/>
                <w:szCs w:val="18"/>
              </w:rPr>
            </w:pPr>
            <w:r>
              <w:rPr>
                <w:rFonts w:ascii="新宋体" w:hAnsi="新宋体" w:cs="新宋体" w:eastAsia="新宋体" w:hint="default"/>
                <w:b/>
                <w:bCs/>
                <w:sz w:val="18"/>
                <w:szCs w:val="18"/>
              </w:rPr>
              <w:t>专利权保护期限</w:t>
            </w:r>
            <w:r>
              <w:rPr>
                <w:rFonts w:ascii="新宋体" w:hAnsi="新宋体" w:cs="新宋体" w:eastAsia="新宋体" w:hint="default"/>
                <w:sz w:val="18"/>
                <w:szCs w:val="18"/>
              </w:rPr>
            </w:r>
          </w:p>
        </w:tc>
        <w:tc>
          <w:tcPr>
            <w:tcW w:w="199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申请号</w:t>
            </w:r>
            <w:r>
              <w:rPr>
                <w:rFonts w:ascii="新宋体" w:hAnsi="新宋体" w:cs="新宋体" w:eastAsia="新宋体" w:hint="default"/>
                <w:sz w:val="18"/>
                <w:szCs w:val="18"/>
              </w:rPr>
            </w:r>
          </w:p>
        </w:tc>
        <w:tc>
          <w:tcPr>
            <w:tcW w:w="11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专利类型</w:t>
            </w:r>
            <w:r>
              <w:rPr>
                <w:rFonts w:ascii="新宋体" w:hAnsi="新宋体" w:cs="新宋体" w:eastAsia="新宋体" w:hint="default"/>
                <w:sz w:val="18"/>
                <w:szCs w:val="18"/>
              </w:rPr>
            </w:r>
          </w:p>
        </w:tc>
        <w:tc>
          <w:tcPr>
            <w:tcW w:w="133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9"/>
              <w:ind w:right="291"/>
              <w:jc w:val="right"/>
              <w:rPr>
                <w:rFonts w:ascii="新宋体" w:hAnsi="新宋体" w:cs="新宋体" w:eastAsia="新宋体" w:hint="default"/>
                <w:sz w:val="18"/>
                <w:szCs w:val="18"/>
              </w:rPr>
            </w:pPr>
            <w:r>
              <w:rPr>
                <w:rFonts w:ascii="新宋体" w:hAnsi="新宋体" w:cs="新宋体" w:eastAsia="新宋体" w:hint="default"/>
                <w:b/>
                <w:bCs/>
                <w:w w:val="95"/>
                <w:sz w:val="18"/>
                <w:szCs w:val="18"/>
              </w:rPr>
              <w:t>专利权人</w:t>
            </w:r>
            <w:r>
              <w:rPr>
                <w:rFonts w:ascii="新宋体" w:hAnsi="新宋体" w:cs="新宋体" w:eastAsia="新宋体" w:hint="default"/>
                <w:sz w:val="18"/>
                <w:szCs w:val="18"/>
              </w:rPr>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新宋体" w:hAnsi="新宋体" w:cs="新宋体" w:eastAsia="新宋体" w:hint="default"/>
                <w:sz w:val="18"/>
                <w:szCs w:val="18"/>
              </w:rPr>
            </w:pPr>
            <w:r>
              <w:rPr>
                <w:rFonts w:ascii="新宋体"/>
                <w:sz w:val="18"/>
              </w:rPr>
              <w:t>1</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红外多频火焰探测器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新宋体" w:hAnsi="新宋体" w:cs="新宋体" w:eastAsia="新宋体" w:hint="default"/>
                <w:sz w:val="18"/>
                <w:szCs w:val="18"/>
              </w:rPr>
            </w:pPr>
            <w:r>
              <w:rPr>
                <w:rFonts w:ascii="新宋体"/>
                <w:sz w:val="18"/>
              </w:rPr>
              <w:t>2010.12.9-2030.12.8</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201010580660.3</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2</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一种窨井井盖监测系统</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2011.12.28-2021.12.27</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201120561661.3</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3</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200"/>
              <w:jc w:val="left"/>
              <w:rPr>
                <w:rFonts w:ascii="新宋体" w:hAnsi="新宋体" w:cs="新宋体" w:eastAsia="新宋体" w:hint="default"/>
                <w:sz w:val="18"/>
                <w:szCs w:val="18"/>
              </w:rPr>
            </w:pPr>
            <w:r>
              <w:rPr>
                <w:rFonts w:ascii="新宋体" w:hAnsi="新宋体" w:cs="新宋体" w:eastAsia="新宋体" w:hint="default"/>
                <w:sz w:val="18"/>
                <w:szCs w:val="18"/>
              </w:rPr>
              <w:t>一种基于域名的无线联网监 控系统</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2012.4.18-2022.4.17</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201220165538.4</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4</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补偿式气体传感器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201220253125.1</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5</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井盖丢失检测装置</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201220253098.8</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1"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6</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2"/>
              <w:ind w:left="103" w:right="200"/>
              <w:jc w:val="left"/>
              <w:rPr>
                <w:rFonts w:ascii="新宋体" w:hAnsi="新宋体" w:cs="新宋体" w:eastAsia="新宋体" w:hint="default"/>
                <w:sz w:val="18"/>
                <w:szCs w:val="18"/>
              </w:rPr>
            </w:pPr>
            <w:r>
              <w:rPr>
                <w:rFonts w:ascii="新宋体" w:hAnsi="新宋体" w:cs="新宋体" w:eastAsia="新宋体" w:hint="default"/>
                <w:sz w:val="18"/>
                <w:szCs w:val="18"/>
              </w:rPr>
              <w:t>车载燃气泄漏检测装置及燃 气泄漏巡检电动车</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201220253130.2</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7</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家用气体探测器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201220253105.4</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8</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气路固定装置</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201220253120.9</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9</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补偿式气体传感器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201220253125.1</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10</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井盖丢失检测装置</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201220253098.8</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224"/>
              <w:jc w:val="right"/>
              <w:rPr>
                <w:rFonts w:ascii="新宋体" w:hAnsi="新宋体" w:cs="新宋体" w:eastAsia="新宋体" w:hint="default"/>
                <w:sz w:val="18"/>
                <w:szCs w:val="18"/>
              </w:rPr>
            </w:pPr>
            <w:r>
              <w:rPr>
                <w:rFonts w:ascii="新宋体"/>
                <w:sz w:val="18"/>
              </w:rPr>
              <w:t>11</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00"/>
              <w:jc w:val="left"/>
              <w:rPr>
                <w:rFonts w:ascii="新宋体" w:hAnsi="新宋体" w:cs="新宋体" w:eastAsia="新宋体" w:hint="default"/>
                <w:sz w:val="18"/>
                <w:szCs w:val="18"/>
              </w:rPr>
            </w:pPr>
            <w:r>
              <w:rPr>
                <w:rFonts w:ascii="新宋体" w:hAnsi="新宋体" w:cs="新宋体" w:eastAsia="新宋体" w:hint="default"/>
                <w:sz w:val="18"/>
                <w:szCs w:val="18"/>
              </w:rPr>
              <w:t>车载燃气泄漏检测装置及燃 气泄漏巡检电动车</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201220253130.2</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12</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家用气体探测器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201220253105.4</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24"/>
              <w:jc w:val="right"/>
              <w:rPr>
                <w:rFonts w:ascii="新宋体" w:hAnsi="新宋体" w:cs="新宋体" w:eastAsia="新宋体" w:hint="default"/>
                <w:sz w:val="18"/>
                <w:szCs w:val="18"/>
              </w:rPr>
            </w:pPr>
            <w:r>
              <w:rPr>
                <w:rFonts w:ascii="新宋体"/>
                <w:sz w:val="18"/>
              </w:rPr>
              <w:t>13</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气路固定装置</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2012.5.31-2022.5.30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201220253120.9</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14</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一种酒精检测装置</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2012.7.30-2022.7.29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201220374428.9</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15</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便携式气体巡检仪</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201220375186.5</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16</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电磁阀控制电路</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201220373254.4</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17</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新型预付费燃气表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201220374529.6</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24"/>
              <w:jc w:val="right"/>
              <w:rPr>
                <w:rFonts w:ascii="新宋体" w:hAnsi="新宋体" w:cs="新宋体" w:eastAsia="新宋体" w:hint="default"/>
                <w:sz w:val="18"/>
                <w:szCs w:val="18"/>
              </w:rPr>
            </w:pPr>
            <w:r>
              <w:rPr>
                <w:rFonts w:ascii="新宋体"/>
                <w:sz w:val="18"/>
              </w:rPr>
              <w:t>18</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目标气体计量燃气表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201220376018.8</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19</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目标气体计量预付费燃气表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201220374553.X</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20</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气体检漏仪（车载）</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201230352663.1</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21</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便携式气体巡检仪</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201220375186.5</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22</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一种红外气体传感器</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201220376145.8</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224"/>
              <w:jc w:val="right"/>
              <w:rPr>
                <w:rFonts w:ascii="新宋体" w:hAnsi="新宋体" w:cs="新宋体" w:eastAsia="新宋体" w:hint="default"/>
                <w:sz w:val="18"/>
                <w:szCs w:val="18"/>
              </w:rPr>
            </w:pPr>
            <w:r>
              <w:rPr>
                <w:rFonts w:ascii="新宋体"/>
                <w:sz w:val="18"/>
              </w:rPr>
              <w:t>23</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90"/>
              <w:jc w:val="left"/>
              <w:rPr>
                <w:rFonts w:ascii="新宋体" w:hAnsi="新宋体" w:cs="新宋体" w:eastAsia="新宋体" w:hint="default"/>
                <w:sz w:val="18"/>
                <w:szCs w:val="18"/>
              </w:rPr>
            </w:pPr>
            <w:r>
              <w:rPr>
                <w:rFonts w:ascii="新宋体" w:hAnsi="新宋体" w:cs="新宋体" w:eastAsia="新宋体" w:hint="default"/>
                <w:sz w:val="18"/>
                <w:szCs w:val="18"/>
              </w:rPr>
              <w:t>气体探测器</w:t>
            </w:r>
            <w:r>
              <w:rPr>
                <w:rFonts w:ascii="新宋体" w:hAnsi="新宋体" w:cs="新宋体" w:eastAsia="新宋体" w:hint="default"/>
                <w:sz w:val="18"/>
                <w:szCs w:val="18"/>
              </w:rPr>
              <w:t>(</w:t>
            </w:r>
            <w:r>
              <w:rPr>
                <w:rFonts w:ascii="新宋体" w:hAnsi="新宋体" w:cs="新宋体" w:eastAsia="新宋体" w:hint="default"/>
                <w:sz w:val="18"/>
                <w:szCs w:val="18"/>
              </w:rPr>
              <w:t>便携式多种气 体</w:t>
            </w:r>
            <w:r>
              <w:rPr>
                <w:rFonts w:ascii="新宋体" w:hAnsi="新宋体" w:cs="新宋体" w:eastAsia="新宋体" w:hint="default"/>
                <w:sz w:val="18"/>
                <w:szCs w:val="18"/>
              </w:rPr>
              <w:t>)</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2012.9.12-2022.9.11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0"/>
              <w:jc w:val="center"/>
              <w:rPr>
                <w:rFonts w:ascii="新宋体" w:hAnsi="新宋体" w:cs="新宋体" w:eastAsia="新宋体" w:hint="default"/>
                <w:sz w:val="18"/>
                <w:szCs w:val="18"/>
              </w:rPr>
            </w:pPr>
            <w:r>
              <w:rPr>
                <w:rFonts w:ascii="新宋体"/>
                <w:sz w:val="18"/>
              </w:rPr>
              <w:t>201230435834.7</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24</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酒精探测器（快速排查）</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2012.9.12-2022.9.11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201230435700.5</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24"/>
              <w:jc w:val="right"/>
              <w:rPr>
                <w:rFonts w:ascii="新宋体" w:hAnsi="新宋体" w:cs="新宋体" w:eastAsia="新宋体" w:hint="default"/>
                <w:sz w:val="18"/>
                <w:szCs w:val="18"/>
              </w:rPr>
            </w:pPr>
            <w:r>
              <w:rPr>
                <w:rFonts w:ascii="新宋体"/>
                <w:sz w:val="18"/>
              </w:rPr>
              <w:t>25</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无引线陶瓷片式气敏元件</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2010.9.3-2030.9.2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201010271639.5</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26</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一种气敏元件参数测试系统</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2011.9.30-2021.9.29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201120380278.8</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13" w:hRule="exact"/>
        </w:trPr>
        <w:tc>
          <w:tcPr>
            <w:tcW w:w="64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224"/>
              <w:jc w:val="right"/>
              <w:rPr>
                <w:rFonts w:ascii="新宋体" w:hAnsi="新宋体" w:cs="新宋体" w:eastAsia="新宋体" w:hint="default"/>
                <w:sz w:val="18"/>
                <w:szCs w:val="18"/>
              </w:rPr>
            </w:pPr>
            <w:r>
              <w:rPr>
                <w:rFonts w:ascii="新宋体"/>
                <w:sz w:val="18"/>
              </w:rPr>
              <w:t>27</w:t>
            </w:r>
          </w:p>
        </w:tc>
        <w:tc>
          <w:tcPr>
            <w:tcW w:w="2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一种气敏元件参数测试系统</w:t>
            </w:r>
          </w:p>
        </w:tc>
        <w:tc>
          <w:tcPr>
            <w:tcW w:w="2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2011.9.30-2021.9.29</w:t>
            </w:r>
          </w:p>
        </w:tc>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新宋体" w:hAnsi="新宋体" w:cs="新宋体" w:eastAsia="新宋体" w:hint="default"/>
                <w:sz w:val="18"/>
                <w:szCs w:val="18"/>
              </w:rPr>
            </w:pPr>
            <w:r>
              <w:rPr>
                <w:rFonts w:ascii="新宋体"/>
                <w:sz w:val="18"/>
              </w:rPr>
              <w:t>201120380278.8</w:t>
            </w:r>
          </w:p>
        </w:tc>
        <w:tc>
          <w:tcPr>
            <w:tcW w:w="1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bl>
    <w:p>
      <w:pPr>
        <w:spacing w:after="0" w:line="240" w:lineRule="auto"/>
        <w:jc w:val="right"/>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8"/>
        <w:rPr>
          <w:rFonts w:ascii="新宋体" w:hAnsi="新宋体" w:cs="新宋体" w:eastAsia="新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648"/>
        <w:gridCol w:w="2480"/>
        <w:gridCol w:w="2549"/>
        <w:gridCol w:w="1999"/>
        <w:gridCol w:w="1191"/>
        <w:gridCol w:w="1339"/>
      </w:tblGrid>
      <w:tr>
        <w:trPr>
          <w:trHeight w:val="416" w:hRule="exact"/>
        </w:trPr>
        <w:tc>
          <w:tcPr>
            <w:tcW w:w="64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28</w:t>
            </w:r>
          </w:p>
        </w:tc>
        <w:tc>
          <w:tcPr>
            <w:tcW w:w="24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新型气体流量传感器</w:t>
            </w:r>
          </w:p>
        </w:tc>
        <w:tc>
          <w:tcPr>
            <w:tcW w:w="2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新宋体" w:hAnsi="新宋体" w:cs="新宋体" w:eastAsia="新宋体" w:hint="default"/>
                <w:sz w:val="18"/>
                <w:szCs w:val="18"/>
              </w:rPr>
            </w:pPr>
            <w:r>
              <w:rPr>
                <w:rFonts w:ascii="新宋体"/>
                <w:sz w:val="18"/>
              </w:rPr>
              <w:t>2012.6.26-2022.6.25</w:t>
            </w:r>
          </w:p>
        </w:tc>
        <w:tc>
          <w:tcPr>
            <w:tcW w:w="19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新宋体" w:hAnsi="新宋体" w:cs="新宋体" w:eastAsia="新宋体" w:hint="default"/>
                <w:sz w:val="18"/>
                <w:szCs w:val="18"/>
              </w:rPr>
            </w:pPr>
            <w:r>
              <w:rPr>
                <w:rFonts w:ascii="新宋体"/>
                <w:sz w:val="18"/>
              </w:rPr>
              <w:t>201220300722.5</w:t>
            </w:r>
          </w:p>
        </w:tc>
        <w:tc>
          <w:tcPr>
            <w:tcW w:w="11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80"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5"/>
              <w:ind w:right="5"/>
              <w:jc w:val="center"/>
              <w:rPr>
                <w:rFonts w:ascii="新宋体" w:hAnsi="新宋体" w:cs="新宋体" w:eastAsia="新宋体" w:hint="default"/>
                <w:sz w:val="18"/>
                <w:szCs w:val="18"/>
              </w:rPr>
            </w:pPr>
            <w:r>
              <w:rPr>
                <w:rFonts w:ascii="新宋体"/>
                <w:sz w:val="18"/>
              </w:rPr>
              <w:t>29</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流量传感器（</w:t>
            </w:r>
            <w:r>
              <w:rPr>
                <w:rFonts w:ascii="新宋体" w:hAnsi="新宋体" w:cs="新宋体" w:eastAsia="新宋体" w:hint="default"/>
                <w:sz w:val="18"/>
                <w:szCs w:val="18"/>
              </w:rPr>
              <w:t>MEMS-</w:t>
            </w:r>
            <w:r>
              <w:rPr>
                <w:rFonts w:ascii="新宋体" w:hAnsi="新宋体" w:cs="新宋体" w:eastAsia="新宋体" w:hint="default"/>
                <w:sz w:val="18"/>
                <w:szCs w:val="18"/>
              </w:rPr>
              <w:t>大量程）</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62" w:right="0"/>
              <w:jc w:val="left"/>
              <w:rPr>
                <w:rFonts w:ascii="新宋体" w:hAnsi="新宋体" w:cs="新宋体" w:eastAsia="新宋体" w:hint="default"/>
                <w:sz w:val="18"/>
                <w:szCs w:val="18"/>
              </w:rPr>
            </w:pPr>
            <w:r>
              <w:rPr>
                <w:rFonts w:ascii="新宋体"/>
                <w:sz w:val="18"/>
              </w:rPr>
              <w:t>201230352281.9</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85" w:hRule="exact"/>
        </w:trPr>
        <w:tc>
          <w:tcPr>
            <w:tcW w:w="64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5"/>
              <w:ind w:right="5"/>
              <w:jc w:val="center"/>
              <w:rPr>
                <w:rFonts w:ascii="新宋体" w:hAnsi="新宋体" w:cs="新宋体" w:eastAsia="新宋体" w:hint="default"/>
                <w:sz w:val="18"/>
                <w:szCs w:val="18"/>
              </w:rPr>
            </w:pPr>
            <w:r>
              <w:rPr>
                <w:rFonts w:ascii="新宋体"/>
                <w:sz w:val="18"/>
              </w:rPr>
              <w:t>30</w:t>
            </w:r>
          </w:p>
        </w:tc>
        <w:tc>
          <w:tcPr>
            <w:tcW w:w="2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流量传感器（</w:t>
            </w:r>
            <w:r>
              <w:rPr>
                <w:rFonts w:ascii="新宋体" w:hAnsi="新宋体" w:cs="新宋体" w:eastAsia="新宋体" w:hint="default"/>
                <w:sz w:val="18"/>
                <w:szCs w:val="18"/>
              </w:rPr>
              <w:t>MEMS-</w:t>
            </w:r>
            <w:r>
              <w:rPr>
                <w:rFonts w:ascii="新宋体" w:hAnsi="新宋体" w:cs="新宋体" w:eastAsia="新宋体" w:hint="default"/>
                <w:sz w:val="18"/>
                <w:szCs w:val="18"/>
              </w:rPr>
              <w:t>小量程）</w:t>
            </w:r>
          </w:p>
        </w:tc>
        <w:tc>
          <w:tcPr>
            <w:tcW w:w="2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0"/>
              <w:jc w:val="center"/>
              <w:rPr>
                <w:rFonts w:ascii="新宋体" w:hAnsi="新宋体" w:cs="新宋体" w:eastAsia="新宋体" w:hint="default"/>
                <w:sz w:val="18"/>
                <w:szCs w:val="18"/>
              </w:rPr>
            </w:pPr>
            <w:r>
              <w:rPr>
                <w:rFonts w:ascii="新宋体"/>
                <w:sz w:val="18"/>
              </w:rPr>
              <w:t>2012.7.31-2022.7.30</w:t>
            </w:r>
          </w:p>
        </w:tc>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362" w:right="0"/>
              <w:jc w:val="left"/>
              <w:rPr>
                <w:rFonts w:ascii="新宋体" w:hAnsi="新宋体" w:cs="新宋体" w:eastAsia="新宋体" w:hint="default"/>
                <w:sz w:val="18"/>
                <w:szCs w:val="18"/>
              </w:rPr>
            </w:pPr>
            <w:r>
              <w:rPr>
                <w:rFonts w:ascii="新宋体"/>
                <w:sz w:val="18"/>
              </w:rPr>
              <w:t>201230352191.X</w:t>
            </w:r>
          </w:p>
        </w:tc>
        <w:tc>
          <w:tcPr>
            <w:tcW w:w="1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5"/>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bl>
    <w:p>
      <w:pPr>
        <w:spacing w:line="240" w:lineRule="auto" w:before="7"/>
        <w:rPr>
          <w:rFonts w:ascii="新宋体" w:hAnsi="新宋体" w:cs="新宋体" w:eastAsia="新宋体" w:hint="default"/>
          <w:sz w:val="19"/>
          <w:szCs w:val="19"/>
        </w:rPr>
      </w:pPr>
    </w:p>
    <w:p>
      <w:pPr>
        <w:pStyle w:val="BodyText"/>
        <w:spacing w:line="357" w:lineRule="auto" w:before="26"/>
        <w:ind w:left="552" w:right="0" w:firstLine="427"/>
        <w:jc w:val="left"/>
      </w:pPr>
      <w:r>
        <w:rPr/>
        <w:t>（</w:t>
      </w:r>
      <w:r>
        <w:rPr>
          <w:rFonts w:ascii="新宋体" w:hAnsi="新宋体" w:cs="新宋体" w:eastAsia="新宋体" w:hint="default"/>
        </w:rPr>
        <w:t>3</w:t>
      </w:r>
      <w:r>
        <w:rPr/>
        <w:t>）截止报告期末，公司及子公司已向国家知识产权局申报但尚未授权的专利</w:t>
      </w:r>
      <w:r>
        <w:rPr>
          <w:rFonts w:ascii="新宋体" w:hAnsi="新宋体" w:cs="新宋体" w:eastAsia="新宋体" w:hint="default"/>
        </w:rPr>
        <w:t>98</w:t>
      </w:r>
      <w:r>
        <w:rPr/>
        <w:t>项， </w:t>
      </w:r>
      <w:r>
        <w:rPr>
          <w:spacing w:val="-1"/>
        </w:rPr>
        <w:t>其中申报发明专利</w:t>
      </w:r>
      <w:r>
        <w:rPr>
          <w:rFonts w:ascii="新宋体" w:hAnsi="新宋体" w:cs="新宋体" w:eastAsia="新宋体" w:hint="default"/>
          <w:spacing w:val="-1"/>
        </w:rPr>
        <w:t>71</w:t>
      </w:r>
      <w:r>
        <w:rPr>
          <w:spacing w:val="-1"/>
        </w:rPr>
        <w:t>项，申报实用新型专利</w:t>
      </w:r>
      <w:r>
        <w:rPr>
          <w:rFonts w:ascii="新宋体" w:hAnsi="新宋体" w:cs="新宋体" w:eastAsia="新宋体" w:hint="default"/>
          <w:spacing w:val="-1"/>
        </w:rPr>
        <w:t>24</w:t>
      </w:r>
      <w:r>
        <w:rPr>
          <w:spacing w:val="-1"/>
        </w:rPr>
        <w:t>项，申报外观设计专利</w:t>
      </w:r>
      <w:r>
        <w:rPr>
          <w:rFonts w:ascii="新宋体" w:hAnsi="新宋体" w:cs="新宋体" w:eastAsia="新宋体" w:hint="default"/>
          <w:spacing w:val="-1"/>
        </w:rPr>
        <w:t>3</w:t>
      </w:r>
      <w:r>
        <w:rPr>
          <w:spacing w:val="-1"/>
        </w:rPr>
        <w:t>项。具体情况如下：</w:t>
      </w:r>
    </w:p>
    <w:p>
      <w:pPr>
        <w:spacing w:line="240" w:lineRule="auto" w:before="12"/>
        <w:rPr>
          <w:rFonts w:ascii="新宋体" w:hAnsi="新宋体" w:cs="新宋体" w:eastAsia="新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63"/>
        <w:gridCol w:w="2465"/>
        <w:gridCol w:w="2571"/>
        <w:gridCol w:w="1992"/>
        <w:gridCol w:w="1177"/>
        <w:gridCol w:w="1339"/>
      </w:tblGrid>
      <w:tr>
        <w:trPr>
          <w:trHeight w:val="607" w:hRule="exact"/>
        </w:trPr>
        <w:tc>
          <w:tcPr>
            <w:tcW w:w="66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7"/>
              <w:ind w:right="5"/>
              <w:jc w:val="center"/>
              <w:rPr>
                <w:rFonts w:ascii="新宋体" w:hAnsi="新宋体" w:cs="新宋体" w:eastAsia="新宋体" w:hint="default"/>
                <w:sz w:val="18"/>
                <w:szCs w:val="18"/>
              </w:rPr>
            </w:pPr>
            <w:r>
              <w:rPr>
                <w:rFonts w:ascii="新宋体" w:hAnsi="新宋体" w:cs="新宋体" w:eastAsia="新宋体" w:hint="default"/>
                <w:b/>
                <w:bCs/>
                <w:sz w:val="18"/>
                <w:szCs w:val="18"/>
              </w:rPr>
              <w:t>序号</w:t>
            </w:r>
            <w:r>
              <w:rPr>
                <w:rFonts w:ascii="新宋体" w:hAnsi="新宋体" w:cs="新宋体" w:eastAsia="新宋体" w:hint="default"/>
                <w:sz w:val="18"/>
                <w:szCs w:val="18"/>
              </w:rPr>
            </w:r>
          </w:p>
        </w:tc>
        <w:tc>
          <w:tcPr>
            <w:tcW w:w="24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7"/>
              <w:ind w:left="3"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专利名称</w:t>
            </w:r>
            <w:r>
              <w:rPr>
                <w:rFonts w:ascii="新宋体" w:hAnsi="新宋体" w:cs="新宋体" w:eastAsia="新宋体" w:hint="default"/>
                <w:sz w:val="18"/>
                <w:szCs w:val="18"/>
              </w:rPr>
            </w:r>
          </w:p>
        </w:tc>
        <w:tc>
          <w:tcPr>
            <w:tcW w:w="257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7"/>
              <w:ind w:left="825" w:right="0"/>
              <w:jc w:val="left"/>
              <w:rPr>
                <w:rFonts w:ascii="新宋体" w:hAnsi="新宋体" w:cs="新宋体" w:eastAsia="新宋体" w:hint="default"/>
                <w:sz w:val="18"/>
                <w:szCs w:val="18"/>
              </w:rPr>
            </w:pPr>
            <w:r>
              <w:rPr>
                <w:rFonts w:ascii="新宋体" w:hAnsi="新宋体" w:cs="新宋体" w:eastAsia="新宋体" w:hint="default"/>
                <w:b/>
                <w:bCs/>
                <w:sz w:val="18"/>
                <w:szCs w:val="18"/>
              </w:rPr>
              <w:t>专利申请日</w:t>
            </w:r>
            <w:r>
              <w:rPr>
                <w:rFonts w:ascii="新宋体" w:hAnsi="新宋体" w:cs="新宋体" w:eastAsia="新宋体" w:hint="default"/>
                <w:sz w:val="18"/>
                <w:szCs w:val="18"/>
              </w:rPr>
            </w:r>
          </w:p>
        </w:tc>
        <w:tc>
          <w:tcPr>
            <w:tcW w:w="19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7"/>
              <w:ind w:left="4"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申请号</w:t>
            </w:r>
            <w:r>
              <w:rPr>
                <w:rFonts w:ascii="新宋体" w:hAnsi="新宋体" w:cs="新宋体" w:eastAsia="新宋体" w:hint="default"/>
                <w:sz w:val="18"/>
                <w:szCs w:val="18"/>
              </w:rPr>
            </w:r>
          </w:p>
        </w:tc>
        <w:tc>
          <w:tcPr>
            <w:tcW w:w="11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7"/>
              <w:ind w:left="1"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专利类型</w:t>
            </w:r>
            <w:r>
              <w:rPr>
                <w:rFonts w:ascii="新宋体" w:hAnsi="新宋体" w:cs="新宋体" w:eastAsia="新宋体" w:hint="default"/>
                <w:sz w:val="18"/>
                <w:szCs w:val="18"/>
              </w:rPr>
            </w:r>
          </w:p>
        </w:tc>
        <w:tc>
          <w:tcPr>
            <w:tcW w:w="133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47"/>
              <w:ind w:right="291"/>
              <w:jc w:val="right"/>
              <w:rPr>
                <w:rFonts w:ascii="新宋体" w:hAnsi="新宋体" w:cs="新宋体" w:eastAsia="新宋体" w:hint="default"/>
                <w:sz w:val="18"/>
                <w:szCs w:val="18"/>
              </w:rPr>
            </w:pPr>
            <w:r>
              <w:rPr>
                <w:rFonts w:ascii="新宋体" w:hAnsi="新宋体" w:cs="新宋体" w:eastAsia="新宋体" w:hint="default"/>
                <w:b/>
                <w:bCs/>
                <w:w w:val="95"/>
                <w:sz w:val="18"/>
                <w:szCs w:val="18"/>
              </w:rPr>
              <w:t>专利权人</w:t>
            </w:r>
            <w:r>
              <w:rPr>
                <w:rFonts w:ascii="新宋体" w:hAnsi="新宋体" w:cs="新宋体" w:eastAsia="新宋体" w:hint="default"/>
                <w:sz w:val="18"/>
                <w:szCs w:val="18"/>
              </w:rPr>
            </w:r>
          </w:p>
        </w:tc>
      </w:tr>
      <w:tr>
        <w:trPr>
          <w:trHeight w:val="721"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一种检测人体内酒精含量的 方法及装置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2009.10.14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200910180423.5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车内气体酒精浓度监测警示 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2010.10.15</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201010507545.3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231"/>
              <w:jc w:val="left"/>
              <w:rPr>
                <w:rFonts w:ascii="新宋体" w:hAnsi="新宋体" w:cs="新宋体" w:eastAsia="新宋体" w:hint="default"/>
                <w:sz w:val="18"/>
                <w:szCs w:val="18"/>
              </w:rPr>
            </w:pPr>
            <w:r>
              <w:rPr>
                <w:rFonts w:ascii="新宋体" w:hAnsi="新宋体" w:cs="新宋体" w:eastAsia="新宋体" w:hint="default"/>
                <w:sz w:val="18"/>
                <w:szCs w:val="18"/>
              </w:rPr>
              <w:t>CO2</w:t>
            </w:r>
            <w:r>
              <w:rPr>
                <w:rFonts w:ascii="新宋体" w:hAnsi="新宋体" w:cs="新宋体" w:eastAsia="新宋体" w:hint="default"/>
                <w:spacing w:val="-47"/>
                <w:sz w:val="18"/>
                <w:szCs w:val="18"/>
              </w:rPr>
              <w:t> </w:t>
            </w:r>
            <w:r>
              <w:rPr>
                <w:rFonts w:ascii="新宋体" w:hAnsi="新宋体" w:cs="新宋体" w:eastAsia="新宋体" w:hint="default"/>
                <w:sz w:val="18"/>
                <w:szCs w:val="18"/>
              </w:rPr>
              <w:t>气体传感器在空气中零 点自校准方法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2010.8.20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201010258713.X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6"/>
              <w:jc w:val="center"/>
              <w:rPr>
                <w:rFonts w:ascii="新宋体" w:hAnsi="新宋体" w:cs="新宋体" w:eastAsia="新宋体" w:hint="default"/>
                <w:sz w:val="18"/>
                <w:szCs w:val="18"/>
              </w:rPr>
            </w:pPr>
            <w:r>
              <w:rPr>
                <w:rFonts w:ascii="新宋体"/>
                <w:sz w:val="18"/>
              </w:rPr>
              <w:t>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差分式继电器输出控制电路</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27" w:right="0"/>
              <w:jc w:val="left"/>
              <w:rPr>
                <w:rFonts w:ascii="新宋体" w:hAnsi="新宋体" w:cs="新宋体" w:eastAsia="新宋体" w:hint="default"/>
                <w:sz w:val="18"/>
                <w:szCs w:val="18"/>
              </w:rPr>
            </w:pPr>
            <w:r>
              <w:rPr>
                <w:rFonts w:ascii="新宋体"/>
                <w:sz w:val="18"/>
              </w:rPr>
              <w:t>2011.10.17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201110314411.4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6"/>
              <w:jc w:val="center"/>
              <w:rPr>
                <w:rFonts w:ascii="新宋体" w:hAnsi="新宋体" w:cs="新宋体" w:eastAsia="新宋体" w:hint="default"/>
                <w:sz w:val="18"/>
                <w:szCs w:val="18"/>
              </w:rPr>
            </w:pPr>
            <w:r>
              <w:rPr>
                <w:rFonts w:ascii="新宋体"/>
                <w:sz w:val="18"/>
              </w:rPr>
              <w:t>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太阳能气体探测器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27" w:right="0"/>
              <w:jc w:val="left"/>
              <w:rPr>
                <w:rFonts w:ascii="新宋体" w:hAnsi="新宋体" w:cs="新宋体" w:eastAsia="新宋体" w:hint="default"/>
                <w:sz w:val="18"/>
                <w:szCs w:val="18"/>
              </w:rPr>
            </w:pPr>
            <w:r>
              <w:rPr>
                <w:rFonts w:ascii="新宋体"/>
                <w:sz w:val="18"/>
              </w:rPr>
              <w:t>2011.11.14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201110358542.2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快速气流气体浓度检测装置 及检测方法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2011.11.14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201110358537.1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6"/>
              <w:jc w:val="center"/>
              <w:rPr>
                <w:rFonts w:ascii="新宋体" w:hAnsi="新宋体" w:cs="新宋体" w:eastAsia="新宋体" w:hint="default"/>
                <w:sz w:val="18"/>
                <w:szCs w:val="18"/>
              </w:rPr>
            </w:pPr>
            <w:r>
              <w:rPr>
                <w:rFonts w:ascii="新宋体"/>
                <w:sz w:val="18"/>
              </w:rPr>
              <w:t>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可变波长气体红外传感器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27" w:right="0"/>
              <w:jc w:val="left"/>
              <w:rPr>
                <w:rFonts w:ascii="新宋体" w:hAnsi="新宋体" w:cs="新宋体" w:eastAsia="新宋体" w:hint="default"/>
                <w:sz w:val="18"/>
                <w:szCs w:val="18"/>
              </w:rPr>
            </w:pPr>
            <w:r>
              <w:rPr>
                <w:rFonts w:ascii="新宋体"/>
                <w:sz w:val="18"/>
              </w:rPr>
              <w:t>2011.11.22</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201110372833.7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气体探测器及其传感器识别 方法和传感器连接检测方法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2011.11.22</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201110372863.8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6"/>
              <w:jc w:val="center"/>
              <w:rPr>
                <w:rFonts w:ascii="新宋体" w:hAnsi="新宋体" w:cs="新宋体" w:eastAsia="新宋体" w:hint="default"/>
                <w:sz w:val="18"/>
                <w:szCs w:val="18"/>
              </w:rPr>
            </w:pPr>
            <w:r>
              <w:rPr>
                <w:rFonts w:ascii="新宋体"/>
                <w:sz w:val="18"/>
              </w:rPr>
              <w:t>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可燃气体检测仪及其除硫方 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2011.11.22</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201110372831.8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10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城市地下管网气体检测装置 及检测方法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2011.12.14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201110417306.3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11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内、外置气体过滤装置及气 体检测装置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2011.12.14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201110417342.x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12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井盖式气体监测装置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27" w:right="0"/>
              <w:jc w:val="left"/>
              <w:rPr>
                <w:rFonts w:ascii="新宋体" w:hAnsi="新宋体" w:cs="新宋体" w:eastAsia="新宋体" w:hint="default"/>
                <w:sz w:val="18"/>
                <w:szCs w:val="18"/>
              </w:rPr>
            </w:pPr>
            <w:r>
              <w:rPr>
                <w:rFonts w:ascii="新宋体"/>
                <w:sz w:val="18"/>
              </w:rPr>
              <w:t>2011.12.14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201110417347.2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13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智能酒精检测仪</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27" w:right="0"/>
              <w:jc w:val="left"/>
              <w:rPr>
                <w:rFonts w:ascii="新宋体" w:hAnsi="新宋体" w:cs="新宋体" w:eastAsia="新宋体" w:hint="default"/>
                <w:sz w:val="18"/>
                <w:szCs w:val="18"/>
              </w:rPr>
            </w:pPr>
            <w:r>
              <w:rPr>
                <w:rFonts w:ascii="新宋体"/>
                <w:sz w:val="18"/>
              </w:rPr>
              <w:t>2011.12.14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201110417350.4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14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新型微处理器电路</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27" w:right="0"/>
              <w:jc w:val="left"/>
              <w:rPr>
                <w:rFonts w:ascii="新宋体" w:hAnsi="新宋体" w:cs="新宋体" w:eastAsia="新宋体" w:hint="default"/>
                <w:sz w:val="18"/>
                <w:szCs w:val="18"/>
              </w:rPr>
            </w:pPr>
            <w:r>
              <w:rPr>
                <w:rFonts w:ascii="新宋体"/>
                <w:sz w:val="18"/>
              </w:rPr>
              <w:t>2011.12.27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201110442556.2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15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一种</w:t>
            </w:r>
            <w:r>
              <w:rPr>
                <w:rFonts w:ascii="新宋体" w:hAnsi="新宋体" w:cs="新宋体" w:eastAsia="新宋体" w:hint="default"/>
                <w:spacing w:val="-46"/>
                <w:sz w:val="18"/>
                <w:szCs w:val="18"/>
              </w:rPr>
              <w:t> </w:t>
            </w:r>
            <w:r>
              <w:rPr>
                <w:rFonts w:ascii="新宋体" w:hAnsi="新宋体" w:cs="新宋体" w:eastAsia="新宋体" w:hint="default"/>
                <w:sz w:val="18"/>
                <w:szCs w:val="18"/>
              </w:rPr>
              <w:t>CO2</w:t>
            </w:r>
            <w:r>
              <w:rPr>
                <w:rFonts w:ascii="新宋体" w:hAnsi="新宋体" w:cs="新宋体" w:eastAsia="新宋体" w:hint="default"/>
                <w:spacing w:val="-47"/>
                <w:sz w:val="18"/>
                <w:szCs w:val="18"/>
              </w:rPr>
              <w:t> </w:t>
            </w:r>
            <w:r>
              <w:rPr>
                <w:rFonts w:ascii="新宋体" w:hAnsi="新宋体" w:cs="新宋体" w:eastAsia="新宋体" w:hint="default"/>
                <w:sz w:val="18"/>
                <w:szCs w:val="18"/>
              </w:rPr>
              <w:t>浓度报警装置及方 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2011.12.28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201110448200.X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16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自动巡检危险源的气体探测 装置及其巡检路径控制方法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2011.7.26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201110210140.8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17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新型呼出气体采集装置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71" w:right="0"/>
              <w:jc w:val="left"/>
              <w:rPr>
                <w:rFonts w:ascii="新宋体" w:hAnsi="新宋体" w:cs="新宋体" w:eastAsia="新宋体" w:hint="default"/>
                <w:sz w:val="18"/>
                <w:szCs w:val="18"/>
              </w:rPr>
            </w:pPr>
            <w:r>
              <w:rPr>
                <w:rFonts w:ascii="新宋体"/>
                <w:sz w:val="18"/>
              </w:rPr>
              <w:t>2011.8.23</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201110242446.1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70" w:hRule="exact"/>
        </w:trPr>
        <w:tc>
          <w:tcPr>
            <w:tcW w:w="6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18</w:t>
            </w:r>
          </w:p>
        </w:tc>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全量程红外气体探测器及其</w:t>
            </w:r>
          </w:p>
        </w:tc>
        <w:tc>
          <w:tcPr>
            <w:tcW w:w="25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871" w:right="0"/>
              <w:jc w:val="left"/>
              <w:rPr>
                <w:rFonts w:ascii="新宋体" w:hAnsi="新宋体" w:cs="新宋体" w:eastAsia="新宋体" w:hint="default"/>
                <w:sz w:val="18"/>
                <w:szCs w:val="18"/>
              </w:rPr>
            </w:pPr>
            <w:r>
              <w:rPr>
                <w:rFonts w:ascii="新宋体"/>
                <w:sz w:val="18"/>
              </w:rPr>
              <w:t>2011.9.21</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201110281116.3</w:t>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right"/>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63"/>
        <w:gridCol w:w="2465"/>
        <w:gridCol w:w="2571"/>
        <w:gridCol w:w="1992"/>
        <w:gridCol w:w="1177"/>
        <w:gridCol w:w="1339"/>
      </w:tblGrid>
      <w:tr>
        <w:trPr>
          <w:trHeight w:val="473" w:hRule="exact"/>
        </w:trPr>
        <w:tc>
          <w:tcPr>
            <w:tcW w:w="663" w:type="dxa"/>
            <w:tcBorders>
              <w:top w:val="single" w:sz="12" w:space="0" w:color="000000"/>
              <w:left w:val="single" w:sz="12" w:space="0" w:color="000000"/>
              <w:bottom w:val="single" w:sz="6" w:space="0" w:color="000000"/>
              <w:right w:val="single" w:sz="6" w:space="0" w:color="000000"/>
            </w:tcBorders>
          </w:tcPr>
          <w:p>
            <w:pPr/>
          </w:p>
        </w:tc>
        <w:tc>
          <w:tcPr>
            <w:tcW w:w="24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测量方法</w:t>
            </w:r>
          </w:p>
        </w:tc>
        <w:tc>
          <w:tcPr>
            <w:tcW w:w="2571" w:type="dxa"/>
            <w:tcBorders>
              <w:top w:val="single" w:sz="12" w:space="0" w:color="000000"/>
              <w:left w:val="single" w:sz="6" w:space="0" w:color="000000"/>
              <w:bottom w:val="single" w:sz="6" w:space="0" w:color="000000"/>
              <w:right w:val="single" w:sz="6" w:space="0" w:color="000000"/>
            </w:tcBorders>
          </w:tcPr>
          <w:p>
            <w:pPr/>
          </w:p>
        </w:tc>
        <w:tc>
          <w:tcPr>
            <w:tcW w:w="1992" w:type="dxa"/>
            <w:tcBorders>
              <w:top w:val="single" w:sz="12" w:space="0" w:color="000000"/>
              <w:left w:val="single" w:sz="6" w:space="0" w:color="000000"/>
              <w:bottom w:val="single" w:sz="6" w:space="0" w:color="000000"/>
              <w:right w:val="single" w:sz="6" w:space="0" w:color="000000"/>
            </w:tcBorders>
          </w:tcPr>
          <w:p>
            <w:pPr/>
          </w:p>
        </w:tc>
        <w:tc>
          <w:tcPr>
            <w:tcW w:w="1177" w:type="dxa"/>
            <w:tcBorders>
              <w:top w:val="single" w:sz="12" w:space="0" w:color="000000"/>
              <w:left w:val="single" w:sz="6" w:space="0" w:color="000000"/>
              <w:bottom w:val="single" w:sz="6" w:space="0" w:color="000000"/>
              <w:right w:val="single" w:sz="6" w:space="0" w:color="000000"/>
            </w:tcBorders>
          </w:tcPr>
          <w:p>
            <w:pPr/>
          </w:p>
        </w:tc>
        <w:tc>
          <w:tcPr>
            <w:tcW w:w="1339"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19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主动温补型气体探测器及其 温补方法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2011.9.21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201110281119.7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20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投币式自助设备</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25" w:right="0"/>
              <w:jc w:val="left"/>
              <w:rPr>
                <w:rFonts w:ascii="新宋体" w:hAnsi="新宋体" w:cs="新宋体" w:eastAsia="新宋体" w:hint="default"/>
                <w:sz w:val="18"/>
                <w:szCs w:val="18"/>
              </w:rPr>
            </w:pPr>
            <w:r>
              <w:rPr>
                <w:rFonts w:ascii="新宋体"/>
                <w:sz w:val="18"/>
              </w:rPr>
              <w:t>2012.10.18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sz w:val="18"/>
              </w:rPr>
              <w:t>201210396744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21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测量过饱和蒸汽的红外气体 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2012.12.14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sz w:val="18"/>
              </w:rPr>
              <w:t>201210539714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3"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22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线型毒性气体探测系统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27" w:right="0"/>
              <w:jc w:val="left"/>
              <w:rPr>
                <w:rFonts w:ascii="新宋体" w:hAnsi="新宋体" w:cs="新宋体" w:eastAsia="新宋体" w:hint="default"/>
                <w:sz w:val="18"/>
                <w:szCs w:val="18"/>
              </w:rPr>
            </w:pPr>
            <w:r>
              <w:rPr>
                <w:rFonts w:ascii="新宋体"/>
                <w:sz w:val="18"/>
              </w:rPr>
              <w:t>2012.12.21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201210558357.2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新宋体" w:hAnsi="新宋体" w:cs="新宋体" w:eastAsia="新宋体" w:hint="default"/>
                <w:sz w:val="18"/>
                <w:szCs w:val="18"/>
              </w:rPr>
            </w:pPr>
            <w:r>
              <w:rPr>
                <w:rFonts w:ascii="新宋体"/>
                <w:sz w:val="18"/>
              </w:rPr>
              <w:t>23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开路激光甲烷气体检测系统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827" w:right="0"/>
              <w:jc w:val="left"/>
              <w:rPr>
                <w:rFonts w:ascii="新宋体" w:hAnsi="新宋体" w:cs="新宋体" w:eastAsia="新宋体" w:hint="default"/>
                <w:sz w:val="18"/>
                <w:szCs w:val="18"/>
              </w:rPr>
            </w:pPr>
            <w:r>
              <w:rPr>
                <w:rFonts w:ascii="新宋体"/>
                <w:sz w:val="18"/>
              </w:rPr>
              <w:t>2012.12.21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新宋体" w:hAnsi="新宋体" w:cs="新宋体" w:eastAsia="新宋体" w:hint="default"/>
                <w:sz w:val="18"/>
                <w:szCs w:val="18"/>
              </w:rPr>
            </w:pPr>
            <w:r>
              <w:rPr>
                <w:rFonts w:ascii="新宋体"/>
                <w:sz w:val="18"/>
              </w:rPr>
              <w:t>201210558360.4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1"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24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37"/>
              <w:jc w:val="left"/>
              <w:rPr>
                <w:rFonts w:ascii="新宋体" w:hAnsi="新宋体" w:cs="新宋体" w:eastAsia="新宋体" w:hint="default"/>
                <w:sz w:val="18"/>
                <w:szCs w:val="18"/>
              </w:rPr>
            </w:pPr>
            <w:r>
              <w:rPr>
                <w:rFonts w:ascii="新宋体" w:hAnsi="新宋体" w:cs="新宋体" w:eastAsia="新宋体" w:hint="default"/>
                <w:sz w:val="18"/>
                <w:szCs w:val="18"/>
              </w:rPr>
              <w:t>三通道红外气体传感器的</w:t>
            </w:r>
            <w:r>
              <w:rPr>
                <w:rFonts w:ascii="新宋体" w:hAnsi="新宋体" w:cs="新宋体" w:eastAsia="新宋体" w:hint="default"/>
                <w:spacing w:val="-44"/>
                <w:sz w:val="18"/>
                <w:szCs w:val="18"/>
              </w:rPr>
              <w:t> </w:t>
            </w:r>
            <w:r>
              <w:rPr>
                <w:rFonts w:ascii="新宋体" w:hAnsi="新宋体" w:cs="新宋体" w:eastAsia="新宋体" w:hint="default"/>
                <w:sz w:val="18"/>
                <w:szCs w:val="18"/>
              </w:rPr>
              <w:t>CO</w:t>
            </w:r>
            <w:r>
              <w:rPr>
                <w:rFonts w:ascii="新宋体" w:hAnsi="新宋体" w:cs="新宋体" w:eastAsia="新宋体" w:hint="default"/>
                <w:spacing w:val="1"/>
                <w:sz w:val="18"/>
                <w:szCs w:val="18"/>
              </w:rPr>
              <w:t> </w:t>
            </w:r>
            <w:r>
              <w:rPr>
                <w:rFonts w:ascii="新宋体" w:hAnsi="新宋体" w:cs="新宋体" w:eastAsia="新宋体" w:hint="default"/>
                <w:sz w:val="18"/>
                <w:szCs w:val="18"/>
              </w:rPr>
              <w:t>气体测量方法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2012.4.10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201210102352.9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25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98"/>
              <w:jc w:val="left"/>
              <w:rPr>
                <w:rFonts w:ascii="新宋体" w:hAnsi="新宋体" w:cs="新宋体" w:eastAsia="新宋体" w:hint="default"/>
                <w:sz w:val="18"/>
                <w:szCs w:val="18"/>
              </w:rPr>
            </w:pPr>
            <w:r>
              <w:rPr>
                <w:rFonts w:ascii="新宋体" w:hAnsi="新宋体" w:cs="新宋体" w:eastAsia="新宋体" w:hint="default"/>
                <w:sz w:val="18"/>
                <w:szCs w:val="18"/>
              </w:rPr>
              <w:t>用于</w:t>
            </w:r>
            <w:r>
              <w:rPr>
                <w:rFonts w:ascii="新宋体" w:hAnsi="新宋体" w:cs="新宋体" w:eastAsia="新宋体" w:hint="default"/>
                <w:spacing w:val="-45"/>
                <w:sz w:val="18"/>
                <w:szCs w:val="18"/>
              </w:rPr>
              <w:t> </w:t>
            </w:r>
            <w:r>
              <w:rPr>
                <w:rFonts w:ascii="新宋体" w:hAnsi="新宋体" w:cs="新宋体" w:eastAsia="新宋体" w:hint="default"/>
                <w:sz w:val="18"/>
                <w:szCs w:val="18"/>
              </w:rPr>
              <w:t>CO</w:t>
            </w:r>
            <w:r>
              <w:rPr>
                <w:rFonts w:ascii="新宋体" w:hAnsi="新宋体" w:cs="新宋体" w:eastAsia="新宋体" w:hint="default"/>
                <w:spacing w:val="-49"/>
                <w:sz w:val="18"/>
                <w:szCs w:val="18"/>
              </w:rPr>
              <w:t> </w:t>
            </w:r>
            <w:r>
              <w:rPr>
                <w:rFonts w:ascii="新宋体" w:hAnsi="新宋体" w:cs="新宋体" w:eastAsia="新宋体" w:hint="default"/>
                <w:sz w:val="18"/>
                <w:szCs w:val="18"/>
              </w:rPr>
              <w:t>气体高精度检测的三 通道红外气体传感器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2012.4.10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201210102406.1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26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外围电路控制装置及其控制 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2012.4.10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201210102475.2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27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半双工通讯收发控制装置及 其方法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2012.4.10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201210102476.7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28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补偿式气体传感器及其温湿 度补偿方法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2012.5.31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201210176016.9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29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井盖丢失检测装置及其检测 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2012.5.31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201210176013.5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30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对传感器自动零点校准的电 路及方法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2012.7.30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201210269841.3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新宋体" w:hAnsi="新宋体" w:cs="新宋体" w:eastAsia="新宋体" w:hint="default"/>
                <w:sz w:val="18"/>
                <w:szCs w:val="18"/>
              </w:rPr>
            </w:pPr>
            <w:r>
              <w:rPr>
                <w:rFonts w:ascii="新宋体"/>
                <w:sz w:val="18"/>
              </w:rPr>
              <w:t>31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一种酒精检测方法及装置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871" w:right="0"/>
              <w:jc w:val="left"/>
              <w:rPr>
                <w:rFonts w:ascii="新宋体" w:hAnsi="新宋体" w:cs="新宋体" w:eastAsia="新宋体" w:hint="default"/>
                <w:sz w:val="18"/>
                <w:szCs w:val="18"/>
              </w:rPr>
            </w:pPr>
            <w:r>
              <w:rPr>
                <w:rFonts w:ascii="新宋体"/>
                <w:sz w:val="18"/>
              </w:rPr>
              <w:t>2012.7.30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新宋体" w:hAnsi="新宋体" w:cs="新宋体" w:eastAsia="新宋体" w:hint="default"/>
                <w:sz w:val="18"/>
                <w:szCs w:val="18"/>
              </w:rPr>
            </w:pPr>
            <w:r>
              <w:rPr>
                <w:rFonts w:ascii="新宋体"/>
                <w:sz w:val="18"/>
              </w:rPr>
              <w:t>201210265856.2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32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一种红外气体传感器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71" w:right="0"/>
              <w:jc w:val="left"/>
              <w:rPr>
                <w:rFonts w:ascii="新宋体" w:hAnsi="新宋体" w:cs="新宋体" w:eastAsia="新宋体" w:hint="default"/>
                <w:sz w:val="18"/>
                <w:szCs w:val="18"/>
              </w:rPr>
            </w:pPr>
            <w:r>
              <w:rPr>
                <w:rFonts w:ascii="新宋体"/>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201210276490.9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33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电磁阀控制电路及其电磁阀 接入自检方法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201210267407.1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34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电磁阀控制电路及其电磁阀 关闭自检方法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201210267458.4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35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新型预付费燃气表及其目标 气体计量方法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201210267377.4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36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目标气体计量燃气表及其目 标气体计量方法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201210267325.7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37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目标气体计量预付费燃气表 及其目标气体计量方法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201210271086.2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3"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38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提高传感器响应时间的方法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71" w:right="0"/>
              <w:jc w:val="left"/>
              <w:rPr>
                <w:rFonts w:ascii="新宋体" w:hAnsi="新宋体" w:cs="新宋体" w:eastAsia="新宋体" w:hint="default"/>
                <w:sz w:val="18"/>
                <w:szCs w:val="18"/>
              </w:rPr>
            </w:pPr>
            <w:r>
              <w:rPr>
                <w:rFonts w:ascii="新宋体"/>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201210267164.1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73" w:hRule="exact"/>
        </w:trPr>
        <w:tc>
          <w:tcPr>
            <w:tcW w:w="6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right="5"/>
              <w:jc w:val="center"/>
              <w:rPr>
                <w:rFonts w:ascii="新宋体" w:hAnsi="新宋体" w:cs="新宋体" w:eastAsia="新宋体" w:hint="default"/>
                <w:sz w:val="18"/>
                <w:szCs w:val="18"/>
              </w:rPr>
            </w:pPr>
            <w:r>
              <w:rPr>
                <w:rFonts w:ascii="新宋体"/>
                <w:sz w:val="18"/>
              </w:rPr>
              <w:t>39</w:t>
            </w:r>
          </w:p>
        </w:tc>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二级恒温控制半导体激光器</w:t>
            </w:r>
          </w:p>
        </w:tc>
        <w:tc>
          <w:tcPr>
            <w:tcW w:w="25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871" w:right="0"/>
              <w:jc w:val="left"/>
              <w:rPr>
                <w:rFonts w:ascii="新宋体" w:hAnsi="新宋体" w:cs="新宋体" w:eastAsia="新宋体" w:hint="default"/>
                <w:sz w:val="18"/>
                <w:szCs w:val="18"/>
              </w:rPr>
            </w:pPr>
            <w:r>
              <w:rPr>
                <w:rFonts w:ascii="新宋体"/>
                <w:sz w:val="18"/>
              </w:rPr>
              <w:t>2012.7.31</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sz w:val="18"/>
              </w:rPr>
              <w:t>201210268441</w:t>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right"/>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63"/>
        <w:gridCol w:w="2465"/>
        <w:gridCol w:w="2571"/>
        <w:gridCol w:w="1992"/>
        <w:gridCol w:w="1177"/>
        <w:gridCol w:w="1339"/>
      </w:tblGrid>
      <w:tr>
        <w:trPr>
          <w:trHeight w:val="473" w:hRule="exact"/>
        </w:trPr>
        <w:tc>
          <w:tcPr>
            <w:tcW w:w="66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新宋体" w:hAnsi="新宋体" w:cs="新宋体" w:eastAsia="新宋体" w:hint="default"/>
                <w:sz w:val="18"/>
                <w:szCs w:val="18"/>
              </w:rPr>
            </w:pPr>
            <w:r>
              <w:rPr>
                <w:rFonts w:ascii="新宋体"/>
                <w:sz w:val="18"/>
              </w:rPr>
              <w:t>40</w:t>
            </w:r>
          </w:p>
        </w:tc>
        <w:tc>
          <w:tcPr>
            <w:tcW w:w="24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二级恒温控制半导体激光器</w:t>
            </w:r>
          </w:p>
        </w:tc>
        <w:tc>
          <w:tcPr>
            <w:tcW w:w="25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871"/>
              <w:jc w:val="right"/>
              <w:rPr>
                <w:rFonts w:ascii="新宋体" w:hAnsi="新宋体" w:cs="新宋体" w:eastAsia="新宋体" w:hint="default"/>
                <w:sz w:val="18"/>
                <w:szCs w:val="18"/>
              </w:rPr>
            </w:pPr>
            <w:r>
              <w:rPr>
                <w:rFonts w:ascii="新宋体"/>
                <w:spacing w:val="-1"/>
                <w:sz w:val="18"/>
              </w:rPr>
              <w:t>2012.7.31</w:t>
            </w:r>
          </w:p>
        </w:tc>
        <w:tc>
          <w:tcPr>
            <w:tcW w:w="1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sz w:val="18"/>
              </w:rPr>
              <w:t>201210268441</w:t>
            </w:r>
          </w:p>
        </w:tc>
        <w:tc>
          <w:tcPr>
            <w:tcW w:w="11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0"/>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投币式自助设备</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17"/>
              <w:jc w:val="right"/>
              <w:rPr>
                <w:rFonts w:ascii="新宋体" w:hAnsi="新宋体" w:cs="新宋体" w:eastAsia="新宋体" w:hint="default"/>
                <w:sz w:val="18"/>
                <w:szCs w:val="18"/>
              </w:rPr>
            </w:pPr>
            <w:r>
              <w:rPr>
                <w:rFonts w:ascii="新宋体"/>
                <w:spacing w:val="-1"/>
                <w:sz w:val="18"/>
              </w:rPr>
              <w:t>2012.9.7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201210328575.7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点型气体探测器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28"/>
              <w:jc w:val="right"/>
              <w:rPr>
                <w:rFonts w:ascii="新宋体" w:hAnsi="新宋体" w:cs="新宋体" w:eastAsia="新宋体" w:hint="default"/>
                <w:sz w:val="18"/>
                <w:szCs w:val="18"/>
              </w:rPr>
            </w:pPr>
            <w:r>
              <w:rPr>
                <w:rFonts w:ascii="新宋体"/>
                <w:spacing w:val="-1"/>
                <w:sz w:val="18"/>
              </w:rPr>
              <w:t>2012.10.18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201220533982.7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43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报警控制器</w:t>
            </w:r>
          </w:p>
          <w:p>
            <w:pPr>
              <w:pStyle w:val="TableParagraph"/>
              <w:spacing w:line="240" w:lineRule="auto" w:before="76"/>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w:t>
            </w:r>
            <w:r>
              <w:rPr>
                <w:rFonts w:ascii="新宋体" w:hAnsi="新宋体" w:cs="新宋体" w:eastAsia="新宋体" w:hint="default"/>
                <w:sz w:val="18"/>
                <w:szCs w:val="18"/>
              </w:rPr>
              <w:t>HAWEST-KB2160</w:t>
            </w:r>
            <w:r>
              <w:rPr>
                <w:rFonts w:ascii="新宋体" w:hAnsi="新宋体" w:cs="新宋体" w:eastAsia="新宋体" w:hint="default"/>
                <w:sz w:val="18"/>
                <w:szCs w:val="18"/>
              </w:rPr>
              <w:t>）</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8"/>
              <w:jc w:val="right"/>
              <w:rPr>
                <w:rFonts w:ascii="新宋体" w:hAnsi="新宋体" w:cs="新宋体" w:eastAsia="新宋体" w:hint="default"/>
                <w:sz w:val="18"/>
                <w:szCs w:val="18"/>
              </w:rPr>
            </w:pPr>
            <w:r>
              <w:rPr>
                <w:rFonts w:ascii="新宋体"/>
                <w:spacing w:val="-1"/>
                <w:sz w:val="18"/>
              </w:rPr>
              <w:t>2012.10.18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201220534047.2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3"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44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线型毒性气体探测系统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28"/>
              <w:jc w:val="right"/>
              <w:rPr>
                <w:rFonts w:ascii="新宋体" w:hAnsi="新宋体" w:cs="新宋体" w:eastAsia="新宋体" w:hint="default"/>
                <w:sz w:val="18"/>
                <w:szCs w:val="18"/>
              </w:rPr>
            </w:pPr>
            <w:r>
              <w:rPr>
                <w:rFonts w:ascii="新宋体"/>
                <w:spacing w:val="-1"/>
                <w:sz w:val="18"/>
              </w:rPr>
              <w:t>2012.10.18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201220534147.5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新宋体" w:hAnsi="新宋体" w:cs="新宋体" w:eastAsia="新宋体" w:hint="default"/>
                <w:sz w:val="18"/>
                <w:szCs w:val="18"/>
              </w:rPr>
            </w:pPr>
            <w:r>
              <w:rPr>
                <w:rFonts w:ascii="新宋体"/>
                <w:sz w:val="18"/>
              </w:rPr>
              <w:t>45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开路激光甲烷气体检测系统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826"/>
              <w:jc w:val="right"/>
              <w:rPr>
                <w:rFonts w:ascii="新宋体" w:hAnsi="新宋体" w:cs="新宋体" w:eastAsia="新宋体" w:hint="default"/>
                <w:sz w:val="18"/>
                <w:szCs w:val="18"/>
              </w:rPr>
            </w:pPr>
            <w:r>
              <w:rPr>
                <w:rFonts w:ascii="新宋体"/>
                <w:spacing w:val="-1"/>
                <w:sz w:val="18"/>
              </w:rPr>
              <w:t>2012.12.21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新宋体" w:hAnsi="新宋体" w:cs="新宋体" w:eastAsia="新宋体" w:hint="default"/>
                <w:sz w:val="18"/>
                <w:szCs w:val="18"/>
              </w:rPr>
            </w:pPr>
            <w:r>
              <w:rPr>
                <w:rFonts w:ascii="新宋体"/>
                <w:sz w:val="18"/>
              </w:rPr>
              <w:t>201220710375.3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46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测量过饱和蒸汽的红外气体 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6"/>
              <w:jc w:val="right"/>
              <w:rPr>
                <w:rFonts w:ascii="新宋体" w:hAnsi="新宋体" w:cs="新宋体" w:eastAsia="新宋体" w:hint="default"/>
                <w:sz w:val="18"/>
                <w:szCs w:val="18"/>
              </w:rPr>
            </w:pPr>
            <w:r>
              <w:rPr>
                <w:rFonts w:ascii="新宋体"/>
                <w:spacing w:val="-1"/>
                <w:sz w:val="18"/>
              </w:rPr>
              <w:t>2012.12.21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201220710383.8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47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对传感器自动零点校准的电 路</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2012.7.30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201220373110.9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48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电磁阀控制电路</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71"/>
              <w:jc w:val="right"/>
              <w:rPr>
                <w:rFonts w:ascii="新宋体" w:hAnsi="新宋体" w:cs="新宋体" w:eastAsia="新宋体" w:hint="default"/>
                <w:sz w:val="18"/>
                <w:szCs w:val="18"/>
              </w:rPr>
            </w:pPr>
            <w:r>
              <w:rPr>
                <w:rFonts w:ascii="新宋体"/>
                <w:spacing w:val="-1"/>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201220373254.4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49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新型预付费燃气表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71"/>
              <w:jc w:val="right"/>
              <w:rPr>
                <w:rFonts w:ascii="新宋体" w:hAnsi="新宋体" w:cs="新宋体" w:eastAsia="新宋体" w:hint="default"/>
                <w:sz w:val="18"/>
                <w:szCs w:val="18"/>
              </w:rPr>
            </w:pPr>
            <w:r>
              <w:rPr>
                <w:rFonts w:ascii="新宋体"/>
                <w:spacing w:val="-1"/>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201220374529.6</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目标气体计量燃气表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71"/>
              <w:jc w:val="right"/>
              <w:rPr>
                <w:rFonts w:ascii="新宋体" w:hAnsi="新宋体" w:cs="新宋体" w:eastAsia="新宋体" w:hint="default"/>
                <w:sz w:val="18"/>
                <w:szCs w:val="18"/>
              </w:rPr>
            </w:pPr>
            <w:r>
              <w:rPr>
                <w:rFonts w:ascii="新宋体"/>
                <w:spacing w:val="-1"/>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201220376018.8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51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目标气体计量预付费燃气表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71"/>
              <w:jc w:val="right"/>
              <w:rPr>
                <w:rFonts w:ascii="新宋体" w:hAnsi="新宋体" w:cs="新宋体" w:eastAsia="新宋体" w:hint="default"/>
                <w:sz w:val="18"/>
                <w:szCs w:val="18"/>
              </w:rPr>
            </w:pPr>
            <w:r>
              <w:rPr>
                <w:rFonts w:ascii="新宋体"/>
                <w:spacing w:val="-1"/>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201220374553.X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52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多功能二氧化碳气体检测报 警装置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2012.7.31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201220373098.1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53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气体检测仪表系统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17"/>
              <w:jc w:val="right"/>
              <w:rPr>
                <w:rFonts w:ascii="新宋体" w:hAnsi="新宋体" w:cs="新宋体" w:eastAsia="新宋体" w:hint="default"/>
                <w:sz w:val="18"/>
                <w:szCs w:val="18"/>
              </w:rPr>
            </w:pPr>
            <w:r>
              <w:rPr>
                <w:rFonts w:ascii="新宋体"/>
                <w:spacing w:val="-1"/>
                <w:sz w:val="18"/>
              </w:rPr>
              <w:t>2012.8.9</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201220391824.2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目标气体计量表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17"/>
              <w:jc w:val="right"/>
              <w:rPr>
                <w:rFonts w:ascii="新宋体" w:hAnsi="新宋体" w:cs="新宋体" w:eastAsia="新宋体" w:hint="default"/>
                <w:sz w:val="18"/>
                <w:szCs w:val="18"/>
              </w:rPr>
            </w:pPr>
            <w:r>
              <w:rPr>
                <w:rFonts w:ascii="新宋体"/>
                <w:spacing w:val="-1"/>
                <w:sz w:val="18"/>
              </w:rPr>
              <w:t>2012.9.7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201220454317.9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目标气体计量表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17"/>
              <w:jc w:val="right"/>
              <w:rPr>
                <w:rFonts w:ascii="新宋体" w:hAnsi="新宋体" w:cs="新宋体" w:eastAsia="新宋体" w:hint="default"/>
                <w:sz w:val="18"/>
                <w:szCs w:val="18"/>
              </w:rPr>
            </w:pPr>
            <w:r>
              <w:rPr>
                <w:rFonts w:ascii="新宋体"/>
                <w:spacing w:val="-1"/>
                <w:sz w:val="18"/>
              </w:rPr>
              <w:t>2012.9.7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201220454154.4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94"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4"/>
              <w:ind w:right="5"/>
              <w:jc w:val="center"/>
              <w:rPr>
                <w:rFonts w:ascii="新宋体" w:hAnsi="新宋体" w:cs="新宋体" w:eastAsia="新宋体" w:hint="default"/>
                <w:sz w:val="18"/>
                <w:szCs w:val="18"/>
              </w:rPr>
            </w:pPr>
            <w:r>
              <w:rPr>
                <w:rFonts w:ascii="新宋体"/>
                <w:sz w:val="18"/>
              </w:rPr>
              <w:t>56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探测器（</w:t>
            </w:r>
            <w:r>
              <w:rPr>
                <w:rFonts w:ascii="新宋体" w:hAnsi="新宋体" w:cs="新宋体" w:eastAsia="新宋体" w:hint="default"/>
                <w:sz w:val="18"/>
                <w:szCs w:val="18"/>
              </w:rPr>
              <w:t>HAWEST-WD1200</w:t>
            </w:r>
            <w:r>
              <w:rPr>
                <w:rFonts w:ascii="新宋体" w:hAnsi="新宋体" w:cs="新宋体" w:eastAsia="新宋体" w:hint="default"/>
                <w:sz w:val="18"/>
                <w:szCs w:val="18"/>
              </w:rPr>
              <w:t>）</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28"/>
              <w:jc w:val="right"/>
              <w:rPr>
                <w:rFonts w:ascii="新宋体" w:hAnsi="新宋体" w:cs="新宋体" w:eastAsia="新宋体" w:hint="default"/>
                <w:sz w:val="18"/>
                <w:szCs w:val="18"/>
              </w:rPr>
            </w:pPr>
            <w:r>
              <w:rPr>
                <w:rFonts w:ascii="新宋体"/>
                <w:spacing w:val="-1"/>
                <w:sz w:val="18"/>
              </w:rPr>
              <w:t>2012.10.18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center"/>
              <w:rPr>
                <w:rFonts w:ascii="新宋体" w:hAnsi="新宋体" w:cs="新宋体" w:eastAsia="新宋体" w:hint="default"/>
                <w:sz w:val="18"/>
                <w:szCs w:val="18"/>
              </w:rPr>
            </w:pPr>
            <w:r>
              <w:rPr>
                <w:rFonts w:ascii="新宋体"/>
                <w:sz w:val="18"/>
              </w:rPr>
              <w:t>201230498027.X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4"/>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57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防护型气体探测器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28"/>
              <w:jc w:val="right"/>
              <w:rPr>
                <w:rFonts w:ascii="新宋体" w:hAnsi="新宋体" w:cs="新宋体" w:eastAsia="新宋体" w:hint="default"/>
                <w:sz w:val="18"/>
                <w:szCs w:val="18"/>
              </w:rPr>
            </w:pPr>
            <w:r>
              <w:rPr>
                <w:rFonts w:ascii="新宋体"/>
                <w:spacing w:val="-1"/>
                <w:sz w:val="18"/>
              </w:rPr>
              <w:t>2012.10.18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201230498140.8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58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电化学气体传感器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26"/>
              <w:jc w:val="right"/>
              <w:rPr>
                <w:rFonts w:ascii="新宋体" w:hAnsi="新宋体" w:cs="新宋体" w:eastAsia="新宋体" w:hint="default"/>
                <w:sz w:val="18"/>
                <w:szCs w:val="18"/>
              </w:rPr>
            </w:pPr>
            <w:r>
              <w:rPr>
                <w:rFonts w:ascii="新宋体"/>
                <w:spacing w:val="-1"/>
                <w:sz w:val="18"/>
              </w:rPr>
              <w:t>2009.12.25</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200910259755.2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63"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59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双通道热释电红外传感器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26"/>
              <w:jc w:val="right"/>
              <w:rPr>
                <w:rFonts w:ascii="新宋体" w:hAnsi="新宋体" w:cs="新宋体" w:eastAsia="新宋体" w:hint="default"/>
                <w:sz w:val="18"/>
                <w:szCs w:val="18"/>
              </w:rPr>
            </w:pPr>
            <w:r>
              <w:rPr>
                <w:rFonts w:ascii="新宋体"/>
                <w:spacing w:val="-1"/>
                <w:sz w:val="18"/>
              </w:rPr>
              <w:t>2010.12.29</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201010610870.2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一种智能温控电化学气体检 测器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7"/>
              <w:jc w:val="right"/>
              <w:rPr>
                <w:rFonts w:ascii="新宋体" w:hAnsi="新宋体" w:cs="新宋体" w:eastAsia="新宋体" w:hint="default"/>
                <w:sz w:val="18"/>
                <w:szCs w:val="18"/>
              </w:rPr>
            </w:pPr>
            <w:r>
              <w:rPr>
                <w:rFonts w:ascii="新宋体"/>
                <w:spacing w:val="-1"/>
                <w:sz w:val="18"/>
              </w:rPr>
              <w:t>2010.3.5</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201010120176.2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1"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半导体气体传感器及多种气 体检测方法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2010.8.20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201010258715.9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半导体气体传感器及其温度 补偿方法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2010.8.20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201010258737.5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复合式气体传感器及其气体 检测方法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2010.8.20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sz w:val="18"/>
              </w:rPr>
              <w:t>201010258736</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一种平面结构气体传感器及 其制作方法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2010.9.25</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201010287111.7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73" w:hRule="exact"/>
        </w:trPr>
        <w:tc>
          <w:tcPr>
            <w:tcW w:w="6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0"/>
              <w:ind w:right="5"/>
              <w:jc w:val="center"/>
              <w:rPr>
                <w:rFonts w:ascii="新宋体" w:hAnsi="新宋体" w:cs="新宋体" w:eastAsia="新宋体" w:hint="default"/>
                <w:sz w:val="18"/>
                <w:szCs w:val="18"/>
              </w:rPr>
            </w:pPr>
            <w:r>
              <w:rPr>
                <w:rFonts w:ascii="新宋体"/>
                <w:sz w:val="18"/>
              </w:rPr>
              <w:t>65</w:t>
            </w:r>
          </w:p>
        </w:tc>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唾液酒精含量测试条及其制</w:t>
            </w:r>
          </w:p>
        </w:tc>
        <w:tc>
          <w:tcPr>
            <w:tcW w:w="25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826"/>
              <w:jc w:val="right"/>
              <w:rPr>
                <w:rFonts w:ascii="新宋体" w:hAnsi="新宋体" w:cs="新宋体" w:eastAsia="新宋体" w:hint="default"/>
                <w:sz w:val="18"/>
                <w:szCs w:val="18"/>
              </w:rPr>
            </w:pPr>
            <w:r>
              <w:rPr>
                <w:rFonts w:ascii="新宋体"/>
                <w:spacing w:val="-1"/>
                <w:sz w:val="18"/>
              </w:rPr>
              <w:t>2011.10.18</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 w:right="0"/>
              <w:jc w:val="center"/>
              <w:rPr>
                <w:rFonts w:ascii="新宋体" w:hAnsi="新宋体" w:cs="新宋体" w:eastAsia="新宋体" w:hint="default"/>
                <w:sz w:val="18"/>
                <w:szCs w:val="18"/>
              </w:rPr>
            </w:pPr>
            <w:r>
              <w:rPr>
                <w:rFonts w:ascii="新宋体"/>
                <w:sz w:val="18"/>
              </w:rPr>
              <w:t>201110314826.1</w:t>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bl>
    <w:p>
      <w:pPr>
        <w:spacing w:after="0" w:line="240" w:lineRule="auto"/>
        <w:jc w:val="right"/>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63"/>
        <w:gridCol w:w="2465"/>
        <w:gridCol w:w="2571"/>
        <w:gridCol w:w="1992"/>
        <w:gridCol w:w="1177"/>
        <w:gridCol w:w="1339"/>
      </w:tblGrid>
      <w:tr>
        <w:trPr>
          <w:trHeight w:val="473" w:hRule="exact"/>
        </w:trPr>
        <w:tc>
          <w:tcPr>
            <w:tcW w:w="663" w:type="dxa"/>
            <w:tcBorders>
              <w:top w:val="single" w:sz="12" w:space="0" w:color="000000"/>
              <w:left w:val="single" w:sz="12" w:space="0" w:color="000000"/>
              <w:bottom w:val="single" w:sz="6" w:space="0" w:color="000000"/>
              <w:right w:val="single" w:sz="6" w:space="0" w:color="000000"/>
            </w:tcBorders>
          </w:tcPr>
          <w:p>
            <w:pPr/>
          </w:p>
        </w:tc>
        <w:tc>
          <w:tcPr>
            <w:tcW w:w="24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作方法</w:t>
            </w:r>
          </w:p>
        </w:tc>
        <w:tc>
          <w:tcPr>
            <w:tcW w:w="2571" w:type="dxa"/>
            <w:tcBorders>
              <w:top w:val="single" w:sz="12" w:space="0" w:color="000000"/>
              <w:left w:val="single" w:sz="6" w:space="0" w:color="000000"/>
              <w:bottom w:val="single" w:sz="6" w:space="0" w:color="000000"/>
              <w:right w:val="single" w:sz="6" w:space="0" w:color="000000"/>
            </w:tcBorders>
          </w:tcPr>
          <w:p>
            <w:pPr/>
          </w:p>
        </w:tc>
        <w:tc>
          <w:tcPr>
            <w:tcW w:w="1992" w:type="dxa"/>
            <w:tcBorders>
              <w:top w:val="single" w:sz="12" w:space="0" w:color="000000"/>
              <w:left w:val="single" w:sz="6" w:space="0" w:color="000000"/>
              <w:bottom w:val="single" w:sz="6" w:space="0" w:color="000000"/>
              <w:right w:val="single" w:sz="6" w:space="0" w:color="000000"/>
            </w:tcBorders>
          </w:tcPr>
          <w:p>
            <w:pPr/>
          </w:p>
        </w:tc>
        <w:tc>
          <w:tcPr>
            <w:tcW w:w="1177" w:type="dxa"/>
            <w:tcBorders>
              <w:top w:val="single" w:sz="12" w:space="0" w:color="000000"/>
              <w:left w:val="single" w:sz="6" w:space="0" w:color="000000"/>
              <w:bottom w:val="single" w:sz="6" w:space="0" w:color="000000"/>
              <w:right w:val="single" w:sz="6" w:space="0" w:color="000000"/>
            </w:tcBorders>
          </w:tcPr>
          <w:p>
            <w:pPr/>
          </w:p>
        </w:tc>
        <w:tc>
          <w:tcPr>
            <w:tcW w:w="1339"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常温电化学氧气传感器及其 制备方法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6"/>
              <w:jc w:val="right"/>
              <w:rPr>
                <w:rFonts w:ascii="新宋体" w:hAnsi="新宋体" w:cs="新宋体" w:eastAsia="新宋体" w:hint="default"/>
                <w:sz w:val="18"/>
                <w:szCs w:val="18"/>
              </w:rPr>
            </w:pPr>
            <w:r>
              <w:rPr>
                <w:rFonts w:ascii="新宋体"/>
                <w:spacing w:val="-1"/>
                <w:sz w:val="18"/>
              </w:rPr>
              <w:t>2011.10.18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201110314812.x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原电池型半固态溶解氧传感 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6"/>
              <w:jc w:val="right"/>
              <w:rPr>
                <w:rFonts w:ascii="新宋体" w:hAnsi="新宋体" w:cs="新宋体" w:eastAsia="新宋体" w:hint="default"/>
                <w:sz w:val="18"/>
                <w:szCs w:val="18"/>
              </w:rPr>
            </w:pPr>
            <w:r>
              <w:rPr>
                <w:rFonts w:ascii="新宋体"/>
                <w:spacing w:val="-1"/>
                <w:sz w:val="18"/>
              </w:rPr>
              <w:t>2011.10.18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201110314816.8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68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载体催化元件检测管芯的制 备方法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6"/>
              <w:jc w:val="right"/>
              <w:rPr>
                <w:rFonts w:ascii="新宋体" w:hAnsi="新宋体" w:cs="新宋体" w:eastAsia="新宋体" w:hint="default"/>
                <w:sz w:val="18"/>
                <w:szCs w:val="18"/>
              </w:rPr>
            </w:pPr>
            <w:r>
              <w:rPr>
                <w:rFonts w:ascii="新宋体"/>
                <w:spacing w:val="-1"/>
                <w:sz w:val="18"/>
              </w:rPr>
              <w:t>2011.12.14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201110417300.6</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8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5"/>
              <w:ind w:right="5"/>
              <w:jc w:val="center"/>
              <w:rPr>
                <w:rFonts w:ascii="新宋体" w:hAnsi="新宋体" w:cs="新宋体" w:eastAsia="新宋体" w:hint="default"/>
                <w:sz w:val="18"/>
                <w:szCs w:val="18"/>
              </w:rPr>
            </w:pPr>
            <w:r>
              <w:rPr>
                <w:rFonts w:ascii="新宋体"/>
                <w:sz w:val="18"/>
              </w:rPr>
              <w:t>69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MEMS</w:t>
            </w:r>
            <w:r>
              <w:rPr>
                <w:rFonts w:ascii="新宋体" w:hAnsi="新宋体" w:cs="新宋体" w:eastAsia="新宋体" w:hint="default"/>
                <w:spacing w:val="-46"/>
                <w:sz w:val="18"/>
                <w:szCs w:val="18"/>
              </w:rPr>
              <w:t> </w:t>
            </w:r>
            <w:r>
              <w:rPr>
                <w:rFonts w:ascii="新宋体" w:hAnsi="新宋体" w:cs="新宋体" w:eastAsia="新宋体" w:hint="default"/>
                <w:sz w:val="18"/>
                <w:szCs w:val="18"/>
              </w:rPr>
              <w:t>热式流量传感器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26"/>
              <w:jc w:val="right"/>
              <w:rPr>
                <w:rFonts w:ascii="新宋体" w:hAnsi="新宋体" w:cs="新宋体" w:eastAsia="新宋体" w:hint="default"/>
                <w:sz w:val="18"/>
                <w:szCs w:val="18"/>
              </w:rPr>
            </w:pPr>
            <w:r>
              <w:rPr>
                <w:rFonts w:ascii="新宋体"/>
                <w:spacing w:val="-1"/>
                <w:sz w:val="18"/>
              </w:rPr>
              <w:t>2011.12.27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center"/>
              <w:rPr>
                <w:rFonts w:ascii="新宋体" w:hAnsi="新宋体" w:cs="新宋体" w:eastAsia="新宋体" w:hint="default"/>
                <w:sz w:val="18"/>
                <w:szCs w:val="18"/>
              </w:rPr>
            </w:pPr>
            <w:r>
              <w:rPr>
                <w:rFonts w:ascii="新宋体"/>
                <w:sz w:val="18"/>
              </w:rPr>
              <w:t>201110443149.3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63"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70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微型热释电红外传感器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26"/>
              <w:jc w:val="right"/>
              <w:rPr>
                <w:rFonts w:ascii="新宋体" w:hAnsi="新宋体" w:cs="新宋体" w:eastAsia="新宋体" w:hint="default"/>
                <w:sz w:val="18"/>
                <w:szCs w:val="18"/>
              </w:rPr>
            </w:pPr>
            <w:r>
              <w:rPr>
                <w:rFonts w:ascii="新宋体"/>
                <w:spacing w:val="-1"/>
                <w:sz w:val="18"/>
              </w:rPr>
              <w:t>2011.12.27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201110443150.6</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1"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71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复合封装四通道热释电红外 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26"/>
              <w:jc w:val="right"/>
              <w:rPr>
                <w:rFonts w:ascii="新宋体" w:hAnsi="新宋体" w:cs="新宋体" w:eastAsia="新宋体" w:hint="default"/>
                <w:sz w:val="18"/>
                <w:szCs w:val="18"/>
              </w:rPr>
            </w:pPr>
            <w:r>
              <w:rPr>
                <w:rFonts w:ascii="新宋体"/>
                <w:spacing w:val="-1"/>
                <w:sz w:val="18"/>
              </w:rPr>
              <w:t>2011.12.27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201110443201.5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72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电阻型湿敏元件及其制备方 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6"/>
              <w:jc w:val="right"/>
              <w:rPr>
                <w:rFonts w:ascii="新宋体" w:hAnsi="新宋体" w:cs="新宋体" w:eastAsia="新宋体" w:hint="default"/>
                <w:sz w:val="18"/>
                <w:szCs w:val="18"/>
              </w:rPr>
            </w:pPr>
            <w:r>
              <w:rPr>
                <w:rFonts w:ascii="新宋体"/>
                <w:spacing w:val="-1"/>
                <w:sz w:val="18"/>
              </w:rPr>
              <w:t>2011.12.27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201110443212.3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63"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73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四通道热释电红外传感器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26"/>
              <w:jc w:val="right"/>
              <w:rPr>
                <w:rFonts w:ascii="新宋体" w:hAnsi="新宋体" w:cs="新宋体" w:eastAsia="新宋体" w:hint="default"/>
                <w:sz w:val="18"/>
                <w:szCs w:val="18"/>
              </w:rPr>
            </w:pPr>
            <w:r>
              <w:rPr>
                <w:rFonts w:ascii="新宋体"/>
                <w:spacing w:val="-1"/>
                <w:sz w:val="18"/>
              </w:rPr>
              <w:t>2011.12.27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201110443204.9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74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厚膜压力传感器及其制作方 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26"/>
              <w:jc w:val="right"/>
              <w:rPr>
                <w:rFonts w:ascii="新宋体" w:hAnsi="新宋体" w:cs="新宋体" w:eastAsia="新宋体" w:hint="default"/>
                <w:sz w:val="18"/>
                <w:szCs w:val="18"/>
              </w:rPr>
            </w:pPr>
            <w:r>
              <w:rPr>
                <w:rFonts w:ascii="新宋体"/>
                <w:spacing w:val="-1"/>
                <w:sz w:val="18"/>
              </w:rPr>
              <w:t>2011.12.30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201110453946.x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75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电化学传感器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71"/>
              <w:jc w:val="right"/>
              <w:rPr>
                <w:rFonts w:ascii="新宋体" w:hAnsi="新宋体" w:cs="新宋体" w:eastAsia="新宋体" w:hint="default"/>
                <w:sz w:val="18"/>
                <w:szCs w:val="18"/>
              </w:rPr>
            </w:pPr>
            <w:r>
              <w:rPr>
                <w:rFonts w:ascii="新宋体"/>
                <w:spacing w:val="-1"/>
                <w:sz w:val="18"/>
              </w:rPr>
              <w:t>2011.6.16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sz w:val="18"/>
              </w:rPr>
              <w:t>201110160985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76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热释电红外敏感元及热释电 红外探测器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2011.8.23</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201110242447.6</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77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一种湿敏元件参数测试的方 法及系统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2011.9.30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201110302745.X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78</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一种气敏元件参数测试的方 法及系统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2011.9.30</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sz w:val="18"/>
              </w:rPr>
              <w:t>201110294768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新宋体" w:hAnsi="新宋体" w:cs="新宋体" w:eastAsia="新宋体" w:hint="default"/>
                <w:sz w:val="18"/>
                <w:szCs w:val="18"/>
              </w:rPr>
            </w:pPr>
            <w:r>
              <w:rPr>
                <w:rFonts w:ascii="新宋体"/>
                <w:sz w:val="18"/>
              </w:rPr>
              <w:t>79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人体呼气酒精浓度测试装置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828"/>
              <w:jc w:val="right"/>
              <w:rPr>
                <w:rFonts w:ascii="新宋体" w:hAnsi="新宋体" w:cs="新宋体" w:eastAsia="新宋体" w:hint="default"/>
                <w:sz w:val="18"/>
                <w:szCs w:val="18"/>
              </w:rPr>
            </w:pPr>
            <w:r>
              <w:rPr>
                <w:rFonts w:ascii="新宋体"/>
                <w:spacing w:val="-1"/>
                <w:sz w:val="18"/>
              </w:rPr>
              <w:t>2012.12.21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新宋体" w:hAnsi="新宋体" w:cs="新宋体" w:eastAsia="新宋体" w:hint="default"/>
                <w:sz w:val="18"/>
                <w:szCs w:val="18"/>
              </w:rPr>
            </w:pPr>
            <w:r>
              <w:rPr>
                <w:rFonts w:ascii="新宋体"/>
                <w:sz w:val="18"/>
              </w:rPr>
              <w:t>201210550345.5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80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插接式气体检测模块及气体 检测手机</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28"/>
              <w:jc w:val="right"/>
              <w:rPr>
                <w:rFonts w:ascii="新宋体" w:hAnsi="新宋体" w:cs="新宋体" w:eastAsia="新宋体" w:hint="default"/>
                <w:sz w:val="18"/>
                <w:szCs w:val="18"/>
              </w:rPr>
            </w:pPr>
            <w:r>
              <w:rPr>
                <w:rFonts w:ascii="新宋体"/>
                <w:spacing w:val="-1"/>
                <w:sz w:val="18"/>
              </w:rPr>
              <w:t>2012.10.18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sz w:val="18"/>
              </w:rPr>
              <w:t>201220533992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63"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81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人体呼气酒精浓度测试装置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28"/>
              <w:jc w:val="right"/>
              <w:rPr>
                <w:rFonts w:ascii="新宋体" w:hAnsi="新宋体" w:cs="新宋体" w:eastAsia="新宋体" w:hint="default"/>
                <w:sz w:val="18"/>
                <w:szCs w:val="18"/>
              </w:rPr>
            </w:pPr>
            <w:r>
              <w:rPr>
                <w:rFonts w:ascii="新宋体"/>
                <w:spacing w:val="-1"/>
                <w:sz w:val="18"/>
              </w:rPr>
              <w:t>2012.12.21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sz w:val="18"/>
              </w:rPr>
              <w:t>201220701120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82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地沟油快速检测方法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71"/>
              <w:jc w:val="right"/>
              <w:rPr>
                <w:rFonts w:ascii="新宋体" w:hAnsi="新宋体" w:cs="新宋体" w:eastAsia="新宋体" w:hint="default"/>
                <w:sz w:val="18"/>
                <w:szCs w:val="18"/>
              </w:rPr>
            </w:pPr>
            <w:r>
              <w:rPr>
                <w:rFonts w:ascii="新宋体"/>
                <w:spacing w:val="-1"/>
                <w:sz w:val="18"/>
              </w:rPr>
              <w:t>2012.6.26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sz w:val="18"/>
              </w:rPr>
              <w:t>201210211902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9"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83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新型气体流量传感器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71"/>
              <w:jc w:val="right"/>
              <w:rPr>
                <w:rFonts w:ascii="新宋体" w:hAnsi="新宋体" w:cs="新宋体" w:eastAsia="新宋体" w:hint="default"/>
                <w:sz w:val="18"/>
                <w:szCs w:val="18"/>
              </w:rPr>
            </w:pPr>
            <w:r>
              <w:rPr>
                <w:rFonts w:ascii="新宋体"/>
                <w:spacing w:val="-1"/>
                <w:sz w:val="18"/>
              </w:rPr>
              <w:t>2012.6.26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201210211946.3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84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9"/>
              <w:ind w:left="103" w:right="98"/>
              <w:jc w:val="left"/>
              <w:rPr>
                <w:rFonts w:ascii="新宋体" w:hAnsi="新宋体" w:cs="新宋体" w:eastAsia="新宋体" w:hint="default"/>
                <w:sz w:val="18"/>
                <w:szCs w:val="18"/>
              </w:rPr>
            </w:pPr>
            <w:r>
              <w:rPr>
                <w:rFonts w:ascii="新宋体" w:hAnsi="新宋体" w:cs="新宋体" w:eastAsia="新宋体" w:hint="default"/>
                <w:sz w:val="18"/>
                <w:szCs w:val="18"/>
              </w:rPr>
              <w:t>电化学</w:t>
            </w:r>
            <w:r>
              <w:rPr>
                <w:rFonts w:ascii="新宋体" w:hAnsi="新宋体" w:cs="新宋体" w:eastAsia="新宋体" w:hint="default"/>
                <w:spacing w:val="-45"/>
                <w:sz w:val="18"/>
                <w:szCs w:val="18"/>
              </w:rPr>
              <w:t> </w:t>
            </w:r>
            <w:r>
              <w:rPr>
                <w:rFonts w:ascii="新宋体" w:hAnsi="新宋体" w:cs="新宋体" w:eastAsia="新宋体" w:hint="default"/>
                <w:sz w:val="18"/>
                <w:szCs w:val="18"/>
              </w:rPr>
              <w:t>CO</w:t>
            </w:r>
            <w:r>
              <w:rPr>
                <w:rFonts w:ascii="新宋体" w:hAnsi="新宋体" w:cs="新宋体" w:eastAsia="新宋体" w:hint="default"/>
                <w:spacing w:val="-48"/>
                <w:sz w:val="18"/>
                <w:szCs w:val="18"/>
              </w:rPr>
              <w:t> </w:t>
            </w:r>
            <w:r>
              <w:rPr>
                <w:rFonts w:ascii="新宋体" w:hAnsi="新宋体" w:cs="新宋体" w:eastAsia="新宋体" w:hint="default"/>
                <w:sz w:val="18"/>
                <w:szCs w:val="18"/>
              </w:rPr>
              <w:t>气体传感器及其制 备方法</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71"/>
              <w:jc w:val="right"/>
              <w:rPr>
                <w:rFonts w:ascii="新宋体" w:hAnsi="新宋体" w:cs="新宋体" w:eastAsia="新宋体" w:hint="default"/>
                <w:sz w:val="18"/>
                <w:szCs w:val="18"/>
              </w:rPr>
            </w:pPr>
            <w:r>
              <w:rPr>
                <w:rFonts w:ascii="新宋体"/>
                <w:spacing w:val="-1"/>
                <w:sz w:val="18"/>
              </w:rPr>
              <w:t>2012.6.26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201210211984.9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85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电化学</w:t>
            </w:r>
            <w:r>
              <w:rPr>
                <w:rFonts w:ascii="新宋体" w:hAnsi="新宋体" w:cs="新宋体" w:eastAsia="新宋体" w:hint="default"/>
                <w:spacing w:val="-45"/>
                <w:sz w:val="18"/>
                <w:szCs w:val="18"/>
              </w:rPr>
              <w:t> </w:t>
            </w:r>
            <w:r>
              <w:rPr>
                <w:rFonts w:ascii="新宋体" w:hAnsi="新宋体" w:cs="新宋体" w:eastAsia="新宋体" w:hint="default"/>
                <w:sz w:val="18"/>
                <w:szCs w:val="18"/>
              </w:rPr>
              <w:t>CO</w:t>
            </w:r>
            <w:r>
              <w:rPr>
                <w:rFonts w:ascii="新宋体" w:hAnsi="新宋体" w:cs="新宋体" w:eastAsia="新宋体" w:hint="default"/>
                <w:spacing w:val="-46"/>
                <w:sz w:val="18"/>
                <w:szCs w:val="18"/>
              </w:rPr>
              <w:t> </w:t>
            </w:r>
            <w:r>
              <w:rPr>
                <w:rFonts w:ascii="新宋体" w:hAnsi="新宋体" w:cs="新宋体" w:eastAsia="新宋体" w:hint="default"/>
                <w:sz w:val="18"/>
                <w:szCs w:val="18"/>
              </w:rPr>
              <w:t>气体传感器</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71"/>
              <w:jc w:val="right"/>
              <w:rPr>
                <w:rFonts w:ascii="新宋体" w:hAnsi="新宋体" w:cs="新宋体" w:eastAsia="新宋体" w:hint="default"/>
                <w:sz w:val="18"/>
                <w:szCs w:val="18"/>
              </w:rPr>
            </w:pPr>
            <w:r>
              <w:rPr>
                <w:rFonts w:ascii="新宋体"/>
                <w:spacing w:val="-1"/>
                <w:sz w:val="18"/>
              </w:rPr>
              <w:t>2012.6.26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201220300703.2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炜盛电子</w:t>
            </w:r>
          </w:p>
        </w:tc>
      </w:tr>
      <w:tr>
        <w:trPr>
          <w:trHeight w:val="40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86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煤矿安全监控系统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17"/>
              <w:jc w:val="right"/>
              <w:rPr>
                <w:rFonts w:ascii="新宋体" w:hAnsi="新宋体" w:cs="新宋体" w:eastAsia="新宋体" w:hint="default"/>
                <w:sz w:val="18"/>
                <w:szCs w:val="18"/>
              </w:rPr>
            </w:pPr>
            <w:r>
              <w:rPr>
                <w:rFonts w:ascii="新宋体"/>
                <w:spacing w:val="-1"/>
                <w:sz w:val="18"/>
              </w:rPr>
              <w:t>2012.9.7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201220453796.2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right="5"/>
              <w:jc w:val="center"/>
              <w:rPr>
                <w:rFonts w:ascii="新宋体" w:hAnsi="新宋体" w:cs="新宋体" w:eastAsia="新宋体" w:hint="default"/>
                <w:sz w:val="18"/>
                <w:szCs w:val="18"/>
              </w:rPr>
            </w:pPr>
            <w:r>
              <w:rPr>
                <w:rFonts w:ascii="新宋体"/>
                <w:sz w:val="18"/>
              </w:rPr>
              <w:t>87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频率脉冲信号处理电路</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17"/>
              <w:jc w:val="right"/>
              <w:rPr>
                <w:rFonts w:ascii="新宋体" w:hAnsi="新宋体" w:cs="新宋体" w:eastAsia="新宋体" w:hint="default"/>
                <w:sz w:val="18"/>
                <w:szCs w:val="18"/>
              </w:rPr>
            </w:pPr>
            <w:r>
              <w:rPr>
                <w:rFonts w:ascii="新宋体"/>
                <w:spacing w:val="-1"/>
                <w:sz w:val="18"/>
              </w:rPr>
              <w:t>2012.9.7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新宋体" w:hAnsi="新宋体" w:cs="新宋体" w:eastAsia="新宋体" w:hint="default"/>
                <w:sz w:val="18"/>
                <w:szCs w:val="18"/>
              </w:rPr>
            </w:pPr>
            <w:r>
              <w:rPr>
                <w:rFonts w:ascii="新宋体"/>
                <w:sz w:val="18"/>
              </w:rPr>
              <w:t>201220454080.4</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290"/>
              <w:jc w:val="right"/>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13" w:hRule="exact"/>
        </w:trPr>
        <w:tc>
          <w:tcPr>
            <w:tcW w:w="6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5"/>
              <w:jc w:val="center"/>
              <w:rPr>
                <w:rFonts w:ascii="新宋体" w:hAnsi="新宋体" w:cs="新宋体" w:eastAsia="新宋体" w:hint="default"/>
                <w:sz w:val="18"/>
                <w:szCs w:val="18"/>
              </w:rPr>
            </w:pPr>
            <w:r>
              <w:rPr>
                <w:rFonts w:ascii="新宋体"/>
                <w:sz w:val="18"/>
              </w:rPr>
              <w:t>88</w:t>
            </w:r>
          </w:p>
        </w:tc>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传感器（煤矿用）</w:t>
            </w:r>
          </w:p>
        </w:tc>
        <w:tc>
          <w:tcPr>
            <w:tcW w:w="25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826"/>
              <w:jc w:val="right"/>
              <w:rPr>
                <w:rFonts w:ascii="新宋体" w:hAnsi="新宋体" w:cs="新宋体" w:eastAsia="新宋体" w:hint="default"/>
                <w:sz w:val="18"/>
                <w:szCs w:val="18"/>
              </w:rPr>
            </w:pPr>
            <w:r>
              <w:rPr>
                <w:rFonts w:ascii="新宋体"/>
                <w:spacing w:val="-1"/>
                <w:sz w:val="18"/>
              </w:rPr>
              <w:t>2012.11.12</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新宋体" w:hAnsi="新宋体" w:cs="新宋体" w:eastAsia="新宋体" w:hint="default"/>
                <w:sz w:val="18"/>
                <w:szCs w:val="18"/>
              </w:rPr>
            </w:pPr>
            <w:r>
              <w:rPr>
                <w:rFonts w:ascii="新宋体"/>
                <w:sz w:val="18"/>
              </w:rPr>
              <w:t>201230544793.5</w:t>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外观设计</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290"/>
              <w:jc w:val="right"/>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bl>
    <w:p>
      <w:pPr>
        <w:spacing w:after="0" w:line="240" w:lineRule="auto"/>
        <w:jc w:val="right"/>
        <w:rPr>
          <w:rFonts w:ascii="新宋体" w:hAnsi="新宋体" w:cs="新宋体" w:eastAsia="新宋体" w:hint="default"/>
          <w:sz w:val="18"/>
          <w:szCs w:val="18"/>
        </w:rPr>
        <w:sectPr>
          <w:pgSz w:w="11910" w:h="16840"/>
          <w:pgMar w:header="555" w:footer="980" w:top="1100" w:bottom="1160" w:left="5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663"/>
        <w:gridCol w:w="2465"/>
        <w:gridCol w:w="2571"/>
        <w:gridCol w:w="1992"/>
        <w:gridCol w:w="1177"/>
        <w:gridCol w:w="1339"/>
      </w:tblGrid>
      <w:tr>
        <w:trPr>
          <w:trHeight w:val="728" w:hRule="exact"/>
        </w:trPr>
        <w:tc>
          <w:tcPr>
            <w:tcW w:w="66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89</w:t>
            </w:r>
          </w:p>
        </w:tc>
        <w:tc>
          <w:tcPr>
            <w:tcW w:w="2465"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牲畜体温管理系统及其体温 校正方法</w:t>
            </w:r>
          </w:p>
        </w:tc>
        <w:tc>
          <w:tcPr>
            <w:tcW w:w="25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2012.12.24</w:t>
            </w:r>
          </w:p>
        </w:tc>
        <w:tc>
          <w:tcPr>
            <w:tcW w:w="1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201210564057.6</w:t>
            </w:r>
          </w:p>
        </w:tc>
        <w:tc>
          <w:tcPr>
            <w:tcW w:w="11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90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奇数倍、偶数倍光程反射腔 体</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2012.3.27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201210083011.1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40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新宋体" w:hAnsi="新宋体" w:cs="新宋体" w:eastAsia="新宋体" w:hint="default"/>
                <w:sz w:val="18"/>
                <w:szCs w:val="18"/>
              </w:rPr>
            </w:pPr>
            <w:r>
              <w:rPr>
                <w:rFonts w:ascii="新宋体"/>
                <w:sz w:val="18"/>
              </w:rPr>
              <w:t>91</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牲畜体温管理系统</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19" w:right="0"/>
              <w:jc w:val="left"/>
              <w:rPr>
                <w:rFonts w:ascii="新宋体" w:hAnsi="新宋体" w:cs="新宋体" w:eastAsia="新宋体" w:hint="default"/>
                <w:sz w:val="18"/>
                <w:szCs w:val="18"/>
              </w:rPr>
            </w:pPr>
            <w:r>
              <w:rPr>
                <w:rFonts w:ascii="新宋体"/>
                <w:sz w:val="18"/>
              </w:rPr>
              <w:t>2012.12.24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新宋体" w:hAnsi="新宋体" w:cs="新宋体" w:eastAsia="新宋体" w:hint="default"/>
                <w:sz w:val="18"/>
                <w:szCs w:val="18"/>
              </w:rPr>
            </w:pPr>
            <w:r>
              <w:rPr>
                <w:rFonts w:ascii="新宋体"/>
                <w:sz w:val="18"/>
              </w:rPr>
              <w:t>201220717435.5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290"/>
              <w:jc w:val="right"/>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92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带照明功能的酒精检测仪</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新宋体" w:hAnsi="新宋体" w:cs="新宋体" w:eastAsia="新宋体" w:hint="default"/>
                <w:sz w:val="18"/>
                <w:szCs w:val="18"/>
              </w:rPr>
            </w:pPr>
            <w:r>
              <w:rPr>
                <w:rFonts w:ascii="新宋体"/>
                <w:sz w:val="18"/>
              </w:rPr>
              <w:t>2012.9.7</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sz w:val="18"/>
              </w:rPr>
              <w:t>201220454296</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实用新型</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智威宇讯</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93</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分布式中央空调分户计费装 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2007.07.24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200710054832.1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94</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定流量温差型中央空调计费 方法及计费装置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2008.03.18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200810049371.3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18"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95</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定风量温差型中央空调计费 方法及计费装置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2008.03.18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200810049372.8</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0"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96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一种电机运行状态故障判断 方法及其检测装置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27" w:right="0"/>
              <w:jc w:val="left"/>
              <w:rPr>
                <w:rFonts w:ascii="新宋体" w:hAnsi="新宋体" w:cs="新宋体" w:eastAsia="新宋体" w:hint="default"/>
                <w:sz w:val="18"/>
                <w:szCs w:val="18"/>
              </w:rPr>
            </w:pPr>
            <w:r>
              <w:rPr>
                <w:rFonts w:ascii="新宋体"/>
                <w:sz w:val="18"/>
              </w:rPr>
              <w:t>2010.11.24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201010556440.7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466" w:hRule="exact"/>
        </w:trPr>
        <w:tc>
          <w:tcPr>
            <w:tcW w:w="6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5"/>
              <w:jc w:val="center"/>
              <w:rPr>
                <w:rFonts w:ascii="新宋体" w:hAnsi="新宋体" w:cs="新宋体" w:eastAsia="新宋体" w:hint="default"/>
                <w:sz w:val="18"/>
                <w:szCs w:val="18"/>
              </w:rPr>
            </w:pPr>
            <w:r>
              <w:rPr>
                <w:rFonts w:ascii="新宋体"/>
                <w:sz w:val="18"/>
              </w:rPr>
              <w:t>97</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新宋体" w:hAnsi="新宋体" w:cs="新宋体" w:eastAsia="新宋体" w:hint="default"/>
                <w:sz w:val="18"/>
                <w:szCs w:val="18"/>
              </w:rPr>
            </w:pPr>
            <w:r>
              <w:rPr>
                <w:rFonts w:ascii="新宋体" w:hAnsi="新宋体" w:cs="新宋体" w:eastAsia="新宋体" w:hint="default"/>
                <w:sz w:val="18"/>
                <w:szCs w:val="18"/>
              </w:rPr>
              <w:t>直控式电器节能监测装置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27" w:right="0"/>
              <w:jc w:val="left"/>
              <w:rPr>
                <w:rFonts w:ascii="新宋体" w:hAnsi="新宋体" w:cs="新宋体" w:eastAsia="新宋体" w:hint="default"/>
                <w:sz w:val="18"/>
                <w:szCs w:val="18"/>
              </w:rPr>
            </w:pPr>
            <w:r>
              <w:rPr>
                <w:rFonts w:ascii="新宋体"/>
                <w:sz w:val="18"/>
              </w:rPr>
              <w:t>2011.12.01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新宋体" w:hAnsi="新宋体" w:cs="新宋体" w:eastAsia="新宋体" w:hint="default"/>
                <w:sz w:val="18"/>
                <w:szCs w:val="18"/>
              </w:rPr>
            </w:pPr>
            <w:r>
              <w:rPr>
                <w:rFonts w:ascii="新宋体"/>
                <w:sz w:val="18"/>
              </w:rPr>
              <w:t>201110392911.X</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290"/>
              <w:jc w:val="right"/>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25" w:hRule="exact"/>
        </w:trPr>
        <w:tc>
          <w:tcPr>
            <w:tcW w:w="6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新宋体" w:hAnsi="新宋体" w:cs="新宋体" w:eastAsia="新宋体" w:hint="default"/>
                <w:sz w:val="18"/>
                <w:szCs w:val="18"/>
              </w:rPr>
            </w:pPr>
            <w:r>
              <w:rPr>
                <w:rFonts w:ascii="新宋体"/>
                <w:sz w:val="18"/>
              </w:rPr>
              <w:t>98</w:t>
            </w:r>
          </w:p>
        </w:tc>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49"/>
              <w:ind w:left="103" w:right="185"/>
              <w:jc w:val="left"/>
              <w:rPr>
                <w:rFonts w:ascii="新宋体" w:hAnsi="新宋体" w:cs="新宋体" w:eastAsia="新宋体" w:hint="default"/>
                <w:sz w:val="18"/>
                <w:szCs w:val="18"/>
              </w:rPr>
            </w:pPr>
            <w:r>
              <w:rPr>
                <w:rFonts w:ascii="新宋体" w:hAnsi="新宋体" w:cs="新宋体" w:eastAsia="新宋体" w:hint="default"/>
                <w:sz w:val="18"/>
                <w:szCs w:val="18"/>
              </w:rPr>
              <w:t>一种中央空调计费数据传输 网络及管理器</w:t>
            </w:r>
          </w:p>
        </w:tc>
        <w:tc>
          <w:tcPr>
            <w:tcW w:w="25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1" w:right="0"/>
              <w:jc w:val="left"/>
              <w:rPr>
                <w:rFonts w:ascii="新宋体" w:hAnsi="新宋体" w:cs="新宋体" w:eastAsia="新宋体" w:hint="default"/>
                <w:sz w:val="18"/>
                <w:szCs w:val="18"/>
              </w:rPr>
            </w:pPr>
            <w:r>
              <w:rPr>
                <w:rFonts w:ascii="新宋体"/>
                <w:sz w:val="18"/>
              </w:rPr>
              <w:t>2011.9.19</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新宋体" w:hAnsi="新宋体" w:cs="新宋体" w:eastAsia="新宋体" w:hint="default"/>
                <w:sz w:val="18"/>
                <w:szCs w:val="18"/>
              </w:rPr>
            </w:pPr>
            <w:r>
              <w:rPr>
                <w:rFonts w:ascii="新宋体"/>
                <w:sz w:val="18"/>
              </w:rPr>
              <w:t>201110277909.8</w:t>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发明</w:t>
            </w:r>
          </w:p>
        </w:tc>
        <w:tc>
          <w:tcPr>
            <w:tcW w:w="1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90"/>
              <w:jc w:val="right"/>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bl>
    <w:p>
      <w:pPr>
        <w:spacing w:line="240" w:lineRule="auto" w:before="2"/>
        <w:rPr>
          <w:rFonts w:ascii="Times New Roman" w:hAnsi="Times New Roman" w:cs="Times New Roman" w:eastAsia="Times New Roman" w:hint="default"/>
          <w:sz w:val="22"/>
          <w:szCs w:val="22"/>
        </w:rPr>
      </w:pPr>
    </w:p>
    <w:p>
      <w:pPr>
        <w:pStyle w:val="BodyText"/>
        <w:spacing w:line="357" w:lineRule="auto" w:before="26"/>
        <w:ind w:left="572" w:right="585" w:firstLine="427"/>
        <w:jc w:val="left"/>
      </w:pPr>
      <w:r>
        <w:rPr>
          <w:spacing w:val="-2"/>
        </w:rPr>
        <w:t>（</w:t>
      </w:r>
      <w:r>
        <w:rPr>
          <w:rFonts w:ascii="新宋体" w:hAnsi="新宋体" w:cs="新宋体" w:eastAsia="新宋体" w:hint="default"/>
          <w:spacing w:val="-2"/>
        </w:rPr>
        <w:t>4</w:t>
      </w:r>
      <w:r>
        <w:rPr>
          <w:spacing w:val="-2"/>
        </w:rPr>
        <w:t>）截止报告期末，公司及子公司共拥有注册商标</w:t>
      </w:r>
      <w:r>
        <w:rPr>
          <w:rFonts w:ascii="新宋体" w:hAnsi="新宋体" w:cs="新宋体" w:eastAsia="新宋体" w:hint="default"/>
          <w:spacing w:val="-2"/>
        </w:rPr>
        <w:t>39</w:t>
      </w:r>
      <w:r>
        <w:rPr>
          <w:spacing w:val="-2"/>
        </w:rPr>
        <w:t>项，各项注册商标的具体情况如</w:t>
      </w:r>
      <w:r>
        <w:rPr/>
        <w:t> 下：</w:t>
      </w:r>
    </w:p>
    <w:p>
      <w:pPr>
        <w:spacing w:line="240" w:lineRule="auto" w:before="12"/>
        <w:rPr>
          <w:rFonts w:ascii="新宋体" w:hAnsi="新宋体" w:cs="新宋体" w:eastAsia="新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21"/>
        <w:gridCol w:w="2012"/>
        <w:gridCol w:w="970"/>
        <w:gridCol w:w="4520"/>
        <w:gridCol w:w="1210"/>
        <w:gridCol w:w="1020"/>
      </w:tblGrid>
      <w:tr>
        <w:trPr>
          <w:trHeight w:val="434" w:hRule="exact"/>
        </w:trPr>
        <w:tc>
          <w:tcPr>
            <w:tcW w:w="52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序号</w:t>
            </w:r>
            <w:r>
              <w:rPr>
                <w:rFonts w:ascii="新宋体" w:hAnsi="新宋体" w:cs="新宋体" w:eastAsia="新宋体" w:hint="default"/>
                <w:sz w:val="18"/>
                <w:szCs w:val="18"/>
              </w:rPr>
            </w:r>
          </w:p>
        </w:tc>
        <w:tc>
          <w:tcPr>
            <w:tcW w:w="201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注册商标</w:t>
            </w:r>
            <w:r>
              <w:rPr>
                <w:rFonts w:ascii="新宋体" w:hAnsi="新宋体" w:cs="新宋体" w:eastAsia="新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商标号</w:t>
            </w:r>
            <w:r>
              <w:rPr>
                <w:rFonts w:ascii="新宋体" w:hAnsi="新宋体" w:cs="新宋体" w:eastAsia="新宋体" w:hint="default"/>
                <w:sz w:val="18"/>
                <w:szCs w:val="18"/>
              </w:rPr>
            </w:r>
          </w:p>
        </w:tc>
        <w:tc>
          <w:tcPr>
            <w:tcW w:w="452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核准具体使用商品</w:t>
            </w:r>
            <w:r>
              <w:rPr>
                <w:rFonts w:ascii="新宋体" w:hAnsi="新宋体" w:cs="新宋体" w:eastAsia="新宋体" w:hint="default"/>
                <w:sz w:val="18"/>
                <w:szCs w:val="18"/>
              </w:rPr>
            </w:r>
          </w:p>
        </w:tc>
        <w:tc>
          <w:tcPr>
            <w:tcW w:w="12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35" w:right="0"/>
              <w:jc w:val="left"/>
              <w:rPr>
                <w:rFonts w:ascii="新宋体" w:hAnsi="新宋体" w:cs="新宋体" w:eastAsia="新宋体" w:hint="default"/>
                <w:sz w:val="18"/>
                <w:szCs w:val="18"/>
              </w:rPr>
            </w:pPr>
            <w:r>
              <w:rPr>
                <w:rFonts w:ascii="新宋体" w:hAnsi="新宋体" w:cs="新宋体" w:eastAsia="新宋体" w:hint="default"/>
                <w:b/>
                <w:bCs/>
                <w:sz w:val="18"/>
                <w:szCs w:val="18"/>
              </w:rPr>
              <w:t>有效期限</w:t>
            </w:r>
            <w:r>
              <w:rPr>
                <w:rFonts w:ascii="新宋体" w:hAnsi="新宋体" w:cs="新宋体" w:eastAsia="新宋体" w:hint="default"/>
                <w:sz w:val="18"/>
                <w:szCs w:val="18"/>
              </w:rPr>
            </w:r>
          </w:p>
        </w:tc>
        <w:tc>
          <w:tcPr>
            <w:tcW w:w="10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注册人</w:t>
            </w:r>
            <w:r>
              <w:rPr>
                <w:rFonts w:ascii="新宋体" w:hAnsi="新宋体" w:cs="新宋体" w:eastAsia="新宋体" w:hint="default"/>
                <w:sz w:val="18"/>
                <w:szCs w:val="18"/>
              </w:rPr>
            </w:r>
          </w:p>
        </w:tc>
      </w:tr>
      <w:tr>
        <w:trPr>
          <w:trHeight w:val="778"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
              <w:jc w:val="center"/>
              <w:rPr>
                <w:rFonts w:ascii="新宋体" w:hAnsi="新宋体" w:cs="新宋体" w:eastAsia="新宋体" w:hint="default"/>
                <w:sz w:val="18"/>
                <w:szCs w:val="18"/>
              </w:rPr>
            </w:pPr>
            <w:r>
              <w:rPr>
                <w:rFonts w:ascii="新宋体"/>
                <w:sz w:val="18"/>
              </w:rPr>
              <w:t>1</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新宋体" w:hAnsi="新宋体" w:cs="新宋体" w:eastAsia="新宋体" w:hint="default"/>
                <w:sz w:val="18"/>
                <w:szCs w:val="18"/>
              </w:rPr>
            </w:pPr>
            <w:r>
              <w:rPr>
                <w:rFonts w:ascii="新宋体"/>
                <w:b/>
                <w:sz w:val="18"/>
              </w:rPr>
              <w:t>Winsen</w:t>
            </w:r>
            <w:r>
              <w:rPr>
                <w:rFonts w:ascii="新宋体"/>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4009390</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报警器、传感器、报警装置、温度表、空气分析仪器、探 测器、半导体器件</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新宋体" w:hAnsi="新宋体" w:cs="新宋体" w:eastAsia="新宋体" w:hint="default"/>
                <w:sz w:val="18"/>
                <w:szCs w:val="18"/>
              </w:rPr>
            </w:pPr>
            <w:r>
              <w:rPr>
                <w:rFonts w:ascii="新宋体"/>
                <w:sz w:val="18"/>
              </w:rPr>
              <w:t>2006.04.28-</w:t>
            </w:r>
          </w:p>
          <w:p>
            <w:pPr>
              <w:pStyle w:val="TableParagraph"/>
              <w:spacing w:line="240" w:lineRule="auto" w:before="115"/>
              <w:ind w:left="146" w:right="0"/>
              <w:jc w:val="left"/>
              <w:rPr>
                <w:rFonts w:ascii="新宋体" w:hAnsi="新宋体" w:cs="新宋体" w:eastAsia="新宋体" w:hint="default"/>
                <w:sz w:val="18"/>
                <w:szCs w:val="18"/>
              </w:rPr>
            </w:pPr>
            <w:r>
              <w:rPr>
                <w:rFonts w:ascii="新宋体"/>
                <w:sz w:val="18"/>
              </w:rPr>
              <w:t>2016.04.27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80"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
              <w:jc w:val="center"/>
              <w:rPr>
                <w:rFonts w:ascii="新宋体" w:hAnsi="新宋体" w:cs="新宋体" w:eastAsia="新宋体" w:hint="default"/>
                <w:sz w:val="18"/>
                <w:szCs w:val="18"/>
              </w:rPr>
            </w:pPr>
            <w:r>
              <w:rPr>
                <w:rFonts w:ascii="新宋体"/>
                <w:sz w:val="18"/>
              </w:rPr>
              <w:t>2</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炜</w:t>
            </w:r>
            <w:r>
              <w:rPr>
                <w:rFonts w:ascii="新宋体" w:hAnsi="新宋体" w:cs="新宋体" w:eastAsia="新宋体" w:hint="default"/>
                <w:b/>
                <w:bCs/>
                <w:spacing w:val="-2"/>
                <w:sz w:val="18"/>
                <w:szCs w:val="18"/>
              </w:rPr>
              <w:t> </w:t>
            </w:r>
            <w:r>
              <w:rPr>
                <w:rFonts w:ascii="新宋体" w:hAnsi="新宋体" w:cs="新宋体" w:eastAsia="新宋体" w:hint="default"/>
                <w:b/>
                <w:bCs/>
                <w:sz w:val="18"/>
                <w:szCs w:val="18"/>
              </w:rPr>
              <w:t>盛</w:t>
            </w:r>
            <w:r>
              <w:rPr>
                <w:rFonts w:ascii="新宋体" w:hAnsi="新宋体" w:cs="新宋体" w:eastAsia="新宋体" w:hint="default"/>
                <w:sz w:val="18"/>
                <w:szCs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4009391</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报警器、传感器、报警装置、温度表、空气分析仪器、探 测器、半导体器件</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新宋体" w:hAnsi="新宋体" w:cs="新宋体" w:eastAsia="新宋体" w:hint="default"/>
                <w:sz w:val="18"/>
                <w:szCs w:val="18"/>
              </w:rPr>
            </w:pPr>
            <w:r>
              <w:rPr>
                <w:rFonts w:ascii="新宋体"/>
                <w:sz w:val="18"/>
              </w:rPr>
              <w:t>2006.04.28-</w:t>
            </w:r>
          </w:p>
          <w:p>
            <w:pPr>
              <w:pStyle w:val="TableParagraph"/>
              <w:spacing w:line="240" w:lineRule="auto" w:before="115"/>
              <w:ind w:left="146" w:right="0"/>
              <w:jc w:val="left"/>
              <w:rPr>
                <w:rFonts w:ascii="新宋体" w:hAnsi="新宋体" w:cs="新宋体" w:eastAsia="新宋体" w:hint="default"/>
                <w:sz w:val="18"/>
                <w:szCs w:val="18"/>
              </w:rPr>
            </w:pPr>
            <w:r>
              <w:rPr>
                <w:rFonts w:ascii="新宋体"/>
                <w:sz w:val="18"/>
              </w:rPr>
              <w:t>2016.04.27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
              <w:jc w:val="center"/>
              <w:rPr>
                <w:rFonts w:ascii="新宋体" w:hAnsi="新宋体" w:cs="新宋体" w:eastAsia="新宋体" w:hint="default"/>
                <w:sz w:val="18"/>
                <w:szCs w:val="18"/>
              </w:rPr>
            </w:pPr>
            <w:r>
              <w:rPr>
                <w:rFonts w:ascii="新宋体"/>
                <w:sz w:val="18"/>
              </w:rPr>
              <w:t>3</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新宋体" w:hAnsi="新宋体" w:cs="新宋体" w:eastAsia="新宋体" w:hint="default"/>
                <w:sz w:val="7"/>
                <w:szCs w:val="7"/>
              </w:rPr>
            </w:pPr>
          </w:p>
          <w:p>
            <w:pPr>
              <w:pStyle w:val="TableParagraph"/>
              <w:spacing w:line="844" w:lineRule="exact"/>
              <w:ind w:left="573" w:right="0"/>
              <w:jc w:val="left"/>
              <w:rPr>
                <w:rFonts w:ascii="新宋体" w:hAnsi="新宋体" w:cs="新宋体" w:eastAsia="新宋体" w:hint="default"/>
                <w:sz w:val="20"/>
                <w:szCs w:val="20"/>
              </w:rPr>
            </w:pPr>
            <w:r>
              <w:rPr>
                <w:rFonts w:ascii="新宋体" w:hAnsi="新宋体" w:cs="新宋体" w:eastAsia="新宋体" w:hint="default"/>
                <w:position w:val="-16"/>
                <w:sz w:val="20"/>
                <w:szCs w:val="20"/>
              </w:rPr>
              <w:drawing>
                <wp:inline distT="0" distB="0" distL="0" distR="0">
                  <wp:extent cx="544129" cy="53644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544129" cy="536448"/>
                          </a:xfrm>
                          <a:prstGeom prst="rect">
                            <a:avLst/>
                          </a:prstGeom>
                        </pic:spPr>
                      </pic:pic>
                    </a:graphicData>
                  </a:graphic>
                </wp:inline>
              </w:drawing>
            </w:r>
            <w:r>
              <w:rPr>
                <w:rFonts w:ascii="新宋体" w:hAnsi="新宋体" w:cs="新宋体" w:eastAsia="新宋体" w:hint="default"/>
                <w:position w:val="-16"/>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3962763</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87"/>
              <w:jc w:val="left"/>
              <w:rPr>
                <w:rFonts w:ascii="新宋体" w:hAnsi="新宋体" w:cs="新宋体" w:eastAsia="新宋体" w:hint="default"/>
                <w:sz w:val="18"/>
                <w:szCs w:val="18"/>
              </w:rPr>
            </w:pPr>
            <w:r>
              <w:rPr>
                <w:rFonts w:ascii="新宋体" w:hAnsi="新宋体" w:cs="新宋体" w:eastAsia="新宋体" w:hint="default"/>
                <w:sz w:val="18"/>
                <w:szCs w:val="18"/>
              </w:rPr>
              <w:t>报警器</w:t>
            </w:r>
            <w:r>
              <w:rPr>
                <w:rFonts w:ascii="新宋体" w:hAnsi="新宋体" w:cs="新宋体" w:eastAsia="新宋体" w:hint="default"/>
                <w:sz w:val="18"/>
                <w:szCs w:val="18"/>
              </w:rPr>
              <w:t>;</w:t>
            </w:r>
            <w:r>
              <w:rPr>
                <w:rFonts w:ascii="新宋体" w:hAnsi="新宋体" w:cs="新宋体" w:eastAsia="新宋体" w:hint="default"/>
                <w:sz w:val="18"/>
                <w:szCs w:val="18"/>
              </w:rPr>
              <w:t>报警装置；湿度表；空气分析器；气体检测仪； 探测器；半导体器件</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新宋体" w:hAnsi="新宋体" w:cs="新宋体" w:eastAsia="新宋体" w:hint="default"/>
                <w:sz w:val="18"/>
                <w:szCs w:val="18"/>
              </w:rPr>
            </w:pPr>
            <w:r>
              <w:rPr>
                <w:rFonts w:ascii="新宋体"/>
                <w:sz w:val="18"/>
              </w:rPr>
              <w:t>2006.04.21-</w:t>
            </w:r>
          </w:p>
          <w:p>
            <w:pPr>
              <w:pStyle w:val="TableParagraph"/>
              <w:spacing w:line="240" w:lineRule="auto" w:before="117"/>
              <w:ind w:left="146" w:right="0"/>
              <w:jc w:val="left"/>
              <w:rPr>
                <w:rFonts w:ascii="新宋体" w:hAnsi="新宋体" w:cs="新宋体" w:eastAsia="新宋体" w:hint="default"/>
                <w:sz w:val="18"/>
                <w:szCs w:val="18"/>
              </w:rPr>
            </w:pPr>
            <w:r>
              <w:rPr>
                <w:rFonts w:ascii="新宋体"/>
                <w:sz w:val="18"/>
              </w:rPr>
              <w:t>2016.04.20</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2"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
              <w:jc w:val="center"/>
              <w:rPr>
                <w:rFonts w:ascii="新宋体" w:hAnsi="新宋体" w:cs="新宋体" w:eastAsia="新宋体" w:hint="default"/>
                <w:sz w:val="18"/>
                <w:szCs w:val="18"/>
              </w:rPr>
            </w:pPr>
            <w:r>
              <w:rPr>
                <w:rFonts w:ascii="新宋体"/>
                <w:sz w:val="18"/>
              </w:rPr>
              <w:t>4</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新宋体" w:hAnsi="新宋体" w:cs="新宋体" w:eastAsia="新宋体" w:hint="default"/>
                <w:sz w:val="6"/>
                <w:szCs w:val="6"/>
              </w:rPr>
            </w:pPr>
          </w:p>
          <w:p>
            <w:pPr>
              <w:pStyle w:val="TableParagraph"/>
              <w:spacing w:line="866" w:lineRule="exact"/>
              <w:ind w:left="542" w:right="0"/>
              <w:jc w:val="left"/>
              <w:rPr>
                <w:rFonts w:ascii="新宋体" w:hAnsi="新宋体" w:cs="新宋体" w:eastAsia="新宋体" w:hint="default"/>
                <w:sz w:val="20"/>
                <w:szCs w:val="20"/>
              </w:rPr>
            </w:pPr>
            <w:r>
              <w:rPr>
                <w:rFonts w:ascii="新宋体" w:hAnsi="新宋体" w:cs="新宋体" w:eastAsia="新宋体" w:hint="default"/>
                <w:position w:val="-16"/>
                <w:sz w:val="20"/>
                <w:szCs w:val="20"/>
              </w:rPr>
              <w:drawing>
                <wp:inline distT="0" distB="0" distL="0" distR="0">
                  <wp:extent cx="579287" cy="55006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579287" cy="550068"/>
                          </a:xfrm>
                          <a:prstGeom prst="rect">
                            <a:avLst/>
                          </a:prstGeom>
                        </pic:spPr>
                      </pic:pic>
                    </a:graphicData>
                  </a:graphic>
                </wp:inline>
              </w:drawing>
            </w:r>
            <w:r>
              <w:rPr>
                <w:rFonts w:ascii="新宋体" w:hAnsi="新宋体" w:cs="新宋体" w:eastAsia="新宋体" w:hint="default"/>
                <w:position w:val="-16"/>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3250813</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87"/>
              <w:jc w:val="left"/>
              <w:rPr>
                <w:rFonts w:ascii="新宋体" w:hAnsi="新宋体" w:cs="新宋体" w:eastAsia="新宋体" w:hint="default"/>
                <w:sz w:val="18"/>
                <w:szCs w:val="18"/>
              </w:rPr>
            </w:pPr>
            <w:r>
              <w:rPr>
                <w:rFonts w:ascii="新宋体" w:hAnsi="新宋体" w:cs="新宋体" w:eastAsia="新宋体" w:hint="default"/>
                <w:sz w:val="18"/>
                <w:szCs w:val="18"/>
              </w:rPr>
              <w:t>报警器</w:t>
            </w:r>
            <w:r>
              <w:rPr>
                <w:rFonts w:ascii="新宋体" w:hAnsi="新宋体" w:cs="新宋体" w:eastAsia="新宋体" w:hint="default"/>
                <w:sz w:val="18"/>
                <w:szCs w:val="18"/>
              </w:rPr>
              <w:t>;</w:t>
            </w:r>
            <w:r>
              <w:rPr>
                <w:rFonts w:ascii="新宋体" w:hAnsi="新宋体" w:cs="新宋体" w:eastAsia="新宋体" w:hint="default"/>
                <w:sz w:val="18"/>
                <w:szCs w:val="18"/>
              </w:rPr>
              <w:t>传感器；报警装置；湿度表；空气分析器；气体 检测仪；探测器；半导体器件</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46" w:right="0"/>
              <w:jc w:val="left"/>
              <w:rPr>
                <w:rFonts w:ascii="新宋体" w:hAnsi="新宋体" w:cs="新宋体" w:eastAsia="新宋体" w:hint="default"/>
                <w:sz w:val="18"/>
                <w:szCs w:val="18"/>
              </w:rPr>
            </w:pPr>
            <w:r>
              <w:rPr>
                <w:rFonts w:ascii="新宋体"/>
                <w:sz w:val="18"/>
              </w:rPr>
              <w:t>2004.01.7-</w:t>
            </w:r>
          </w:p>
          <w:p>
            <w:pPr>
              <w:pStyle w:val="TableParagraph"/>
              <w:spacing w:line="240" w:lineRule="auto" w:before="118"/>
              <w:ind w:left="146" w:right="0"/>
              <w:jc w:val="left"/>
              <w:rPr>
                <w:rFonts w:ascii="新宋体" w:hAnsi="新宋体" w:cs="新宋体" w:eastAsia="新宋体" w:hint="default"/>
                <w:sz w:val="18"/>
                <w:szCs w:val="18"/>
              </w:rPr>
            </w:pPr>
            <w:r>
              <w:rPr>
                <w:rFonts w:ascii="新宋体"/>
                <w:sz w:val="18"/>
              </w:rPr>
              <w:t>2014.01.06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8" w:hRule="exact"/>
        </w:trPr>
        <w:tc>
          <w:tcPr>
            <w:tcW w:w="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right="1"/>
              <w:jc w:val="center"/>
              <w:rPr>
                <w:rFonts w:ascii="新宋体" w:hAnsi="新宋体" w:cs="新宋体" w:eastAsia="新宋体" w:hint="default"/>
                <w:sz w:val="18"/>
                <w:szCs w:val="18"/>
              </w:rPr>
            </w:pPr>
            <w:r>
              <w:rPr>
                <w:rFonts w:ascii="新宋体"/>
                <w:sz w:val="18"/>
              </w:rPr>
              <w:t>5</w:t>
            </w:r>
          </w:p>
        </w:tc>
        <w:tc>
          <w:tcPr>
            <w:tcW w:w="2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新宋体" w:hAnsi="新宋体" w:cs="新宋体" w:eastAsia="新宋体" w:hint="default"/>
                <w:sz w:val="8"/>
                <w:szCs w:val="8"/>
              </w:rPr>
            </w:pPr>
          </w:p>
          <w:p>
            <w:pPr>
              <w:pStyle w:val="TableParagraph"/>
              <w:spacing w:line="807" w:lineRule="exact"/>
              <w:ind w:left="247" w:right="0"/>
              <w:jc w:val="left"/>
              <w:rPr>
                <w:rFonts w:ascii="新宋体" w:hAnsi="新宋体" w:cs="新宋体" w:eastAsia="新宋体" w:hint="default"/>
                <w:sz w:val="20"/>
                <w:szCs w:val="20"/>
              </w:rPr>
            </w:pPr>
            <w:r>
              <w:rPr>
                <w:rFonts w:ascii="新宋体" w:hAnsi="新宋体" w:cs="新宋体" w:eastAsia="新宋体" w:hint="default"/>
                <w:position w:val="-15"/>
                <w:sz w:val="20"/>
                <w:szCs w:val="20"/>
              </w:rPr>
              <w:drawing>
                <wp:inline distT="0" distB="0" distL="0" distR="0">
                  <wp:extent cx="954124" cy="51263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9" cstate="print"/>
                          <a:stretch>
                            <a:fillRect/>
                          </a:stretch>
                        </pic:blipFill>
                        <pic:spPr>
                          <a:xfrm>
                            <a:off x="0" y="0"/>
                            <a:ext cx="954124" cy="512635"/>
                          </a:xfrm>
                          <a:prstGeom prst="rect">
                            <a:avLst/>
                          </a:prstGeom>
                        </pic:spPr>
                      </pic:pic>
                    </a:graphicData>
                  </a:graphic>
                </wp:inline>
              </w:drawing>
            </w:r>
            <w:r>
              <w:rPr>
                <w:rFonts w:ascii="新宋体" w:hAnsi="新宋体" w:cs="新宋体" w:eastAsia="新宋体" w:hint="default"/>
                <w:position w:val="-15"/>
                <w:sz w:val="20"/>
                <w:szCs w:val="20"/>
              </w:rPr>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5998540</w:t>
            </w:r>
          </w:p>
        </w:tc>
        <w:tc>
          <w:tcPr>
            <w:tcW w:w="4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报警器；报警装置</w:t>
            </w:r>
          </w:p>
        </w:tc>
        <w:tc>
          <w:tcPr>
            <w:tcW w:w="1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100" w:right="0"/>
              <w:jc w:val="left"/>
              <w:rPr>
                <w:rFonts w:ascii="新宋体" w:hAnsi="新宋体" w:cs="新宋体" w:eastAsia="新宋体" w:hint="default"/>
                <w:sz w:val="18"/>
                <w:szCs w:val="18"/>
              </w:rPr>
            </w:pPr>
            <w:r>
              <w:rPr>
                <w:rFonts w:ascii="新宋体"/>
                <w:sz w:val="18"/>
              </w:rPr>
              <w:t>2010.02.07-</w:t>
            </w:r>
          </w:p>
          <w:p>
            <w:pPr>
              <w:pStyle w:val="TableParagraph"/>
              <w:spacing w:line="240" w:lineRule="auto" w:before="115"/>
              <w:ind w:left="146" w:right="0"/>
              <w:jc w:val="left"/>
              <w:rPr>
                <w:rFonts w:ascii="新宋体" w:hAnsi="新宋体" w:cs="新宋体" w:eastAsia="新宋体" w:hint="default"/>
                <w:sz w:val="18"/>
                <w:szCs w:val="18"/>
              </w:rPr>
            </w:pPr>
            <w:r>
              <w:rPr>
                <w:rFonts w:ascii="新宋体"/>
                <w:sz w:val="18"/>
              </w:rPr>
              <w:t>2020.02.06</w:t>
            </w:r>
          </w:p>
        </w:tc>
        <w:tc>
          <w:tcPr>
            <w:tcW w:w="10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60" w:right="820"/>
        </w:sectPr>
      </w:pPr>
    </w:p>
    <w:p>
      <w:pPr>
        <w:spacing w:line="240" w:lineRule="auto" w:before="11"/>
        <w:rPr>
          <w:rFonts w:ascii="Times New Roman" w:hAnsi="Times New Roman" w:cs="Times New Roman" w:eastAsia="Times New Roman" w:hint="default"/>
          <w:sz w:val="27"/>
          <w:szCs w:val="27"/>
        </w:rPr>
      </w:pPr>
      <w:r>
        <w:rPr/>
        <w:pict>
          <v:shape style="position:absolute;margin-left:430.451019pt;margin-top:210.265976pt;width:65.05pt;height:19.7pt;mso-position-horizontal-relative:page;mso-position-vertical-relative:page;z-index:-947872" type="#_x0000_t202" filled="false" stroked="false">
            <v:textbox inset="0,0,0,0">
              <w:txbxContent>
                <w:p>
                  <w:pPr>
                    <w:spacing w:before="49"/>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shape style="position:absolute;margin-left:430.487pt;margin-top:229.939987pt;width:65pt;height:17.55pt;mso-position-horizontal-relative:page;mso-position-vertical-relative:page;z-index:-947848" type="#_x0000_t202" filled="false" stroked="false">
            <v:textbox inset="0,0,0,0">
              <w:txbxContent>
                <w:p>
                  <w:pPr>
                    <w:spacing w:line="203" w:lineRule="exact" w:before="0"/>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shape style="position:absolute;margin-left:430.493011pt;margin-top:383.569977pt;width:65pt;height:19.7pt;mso-position-horizontal-relative:page;mso-position-vertical-relative:page;z-index:-947824" type="#_x0000_t202" filled="false" stroked="false">
            <v:textbox inset="0,0,0,0">
              <w:txbxContent>
                <w:p>
                  <w:pPr>
                    <w:spacing w:before="49"/>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shape style="position:absolute;margin-left:430.493011pt;margin-top:475.149994pt;width:65pt;height:19.6pt;mso-position-horizontal-relative:page;mso-position-vertical-relative:page;z-index:-947800" type="#_x0000_t202" filled="false" stroked="false">
            <v:textbox inset="0,0,0,0">
              <w:txbxContent>
                <w:p>
                  <w:pPr>
                    <w:spacing w:before="49"/>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shape style="position:absolute;margin-left:430.493011pt;margin-top:619.156006pt;width:65pt;height:19.6pt;mso-position-horizontal-relative:page;mso-position-vertical-relative:page;z-index:-947776" type="#_x0000_t202" filled="false" stroked="false">
            <v:textbox inset="0,0,0,0">
              <w:txbxContent>
                <w:p>
                  <w:pPr>
                    <w:spacing w:before="49"/>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shape style="position:absolute;margin-left:430.451019pt;margin-top:691.299988pt;width:65.05pt;height:17.650pt;mso-position-horizontal-relative:page;mso-position-vertical-relative:page;z-index:-947752" type="#_x0000_t202" filled="false" stroked="false">
            <v:textbox inset="0,0,0,0">
              <w:txbxContent>
                <w:p>
                  <w:pPr>
                    <w:spacing w:line="205" w:lineRule="exact" w:before="0"/>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group style="position:absolute;margin-left:435.910004pt;margin-top:210.259979pt;width:59.55pt;height:37.2pt;mso-position-horizontal-relative:page;mso-position-vertical-relative:page;z-index:-947728" coordorigin="8718,4205" coordsize="1191,744">
            <v:group style="position:absolute;left:8718;top:4205;width:1191;height:394" coordorigin="8718,4205" coordsize="1191,394">
              <v:shape style="position:absolute;left:8718;top:4205;width:1191;height:394" coordorigin="8718,4205" coordsize="1191,394" path="m8718,4599l9909,4599,9909,4205,8718,4205,8718,4599xe" filled="true" fillcolor="#ffffff" stroked="false">
                <v:path arrowok="t"/>
                <v:fill type="solid"/>
              </v:shape>
            </v:group>
            <v:group style="position:absolute;left:8718;top:4599;width:1191;height:351" coordorigin="8718,4599" coordsize="1191,351">
              <v:shape style="position:absolute;left:8718;top:4599;width:1191;height:351" coordorigin="8718,4599" coordsize="1191,351" path="m8718,4949l9909,4949,9909,4599,8718,4599,8718,4949xe" filled="true" fillcolor="#ffffff" stroked="false">
                <v:path arrowok="t"/>
                <v:fill type="solid"/>
              </v:shape>
            </v:group>
            <w10:wrap type="none"/>
          </v:group>
        </w:pict>
      </w:r>
      <w:r>
        <w:rPr/>
        <w:pict>
          <v:group style="position:absolute;margin-left:435.910004pt;margin-top:383.569977pt;width:59.55pt;height:19.7pt;mso-position-horizontal-relative:page;mso-position-vertical-relative:page;z-index:-947704" coordorigin="8718,7671" coordsize="1191,394">
            <v:shape style="position:absolute;left:8718;top:7671;width:1191;height:394" coordorigin="8718,7671" coordsize="1191,394" path="m8718,8065l9909,8065,9909,7671,8718,7671,8718,8065xe" filled="true" fillcolor="#ffffff" stroked="false">
              <v:path arrowok="t"/>
              <v:fill type="solid"/>
            </v:shape>
            <w10:wrap type="none"/>
          </v:group>
        </w:pict>
      </w:r>
      <w:r>
        <w:rPr/>
        <w:pict>
          <v:group style="position:absolute;margin-left:435.910004pt;margin-top:475.149994pt;width:59.55pt;height:19.6pt;mso-position-horizontal-relative:page;mso-position-vertical-relative:page;z-index:-947680" coordorigin="8718,9503" coordsize="1191,392">
            <v:shape style="position:absolute;left:8718;top:9503;width:1191;height:392" coordorigin="8718,9503" coordsize="1191,392" path="m8718,9894l9909,9894,9909,9503,8718,9503,8718,9894xe" filled="true" fillcolor="#ffffff" stroked="false">
              <v:path arrowok="t"/>
              <v:fill type="solid"/>
            </v:shape>
            <w10:wrap type="none"/>
          </v:group>
        </w:pict>
      </w:r>
      <w:r>
        <w:rPr/>
        <w:pict>
          <v:group style="position:absolute;margin-left:435.910004pt;margin-top:619.156006pt;width:59.55pt;height:19.6pt;mso-position-horizontal-relative:page;mso-position-vertical-relative:page;z-index:-947656" coordorigin="8718,12383" coordsize="1191,392">
            <v:shape style="position:absolute;left:8718;top:12383;width:1191;height:392" coordorigin="8718,12383" coordsize="1191,392" path="m8718,12775l9909,12775,9909,12383,8718,12383,8718,12775xe" filled="true" fillcolor="#ffffff" stroked="false">
              <v:path arrowok="t"/>
              <v:fill type="solid"/>
            </v:shape>
            <w10:wrap type="none"/>
          </v:group>
        </w:pict>
      </w:r>
      <w:r>
        <w:rPr/>
        <w:pict>
          <v:group style="position:absolute;margin-left:435.910004pt;margin-top:691.299988pt;width:59.55pt;height:17.650pt;mso-position-horizontal-relative:page;mso-position-vertical-relative:page;z-index:-947632" coordorigin="8718,13826" coordsize="1191,353">
            <v:shape style="position:absolute;left:8718;top:13826;width:1191;height:353" coordorigin="8718,13826" coordsize="1191,353" path="m8718,14179l9909,14179,9909,13826,8718,13826,8718,14179xe" filled="true" fillcolor="#ffffff" stroked="false">
              <v:path arrowok="t"/>
              <v:fill type="solid"/>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521"/>
        <w:gridCol w:w="2012"/>
        <w:gridCol w:w="970"/>
        <w:gridCol w:w="4520"/>
        <w:gridCol w:w="1210"/>
        <w:gridCol w:w="1020"/>
      </w:tblGrid>
      <w:tr>
        <w:trPr>
          <w:trHeight w:val="1371" w:hRule="exact"/>
        </w:trPr>
        <w:tc>
          <w:tcPr>
            <w:tcW w:w="52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right="1"/>
              <w:jc w:val="center"/>
              <w:rPr>
                <w:rFonts w:ascii="新宋体" w:hAnsi="新宋体" w:cs="新宋体" w:eastAsia="新宋体" w:hint="default"/>
                <w:sz w:val="18"/>
                <w:szCs w:val="18"/>
              </w:rPr>
            </w:pPr>
            <w:r>
              <w:rPr>
                <w:rFonts w:ascii="新宋体"/>
                <w:sz w:val="18"/>
              </w:rPr>
              <w:t>6</w:t>
            </w:r>
          </w:p>
        </w:tc>
        <w:tc>
          <w:tcPr>
            <w:tcW w:w="20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950" w:lineRule="exact"/>
              <w:ind w:left="35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829418" cy="603503"/>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0" cstate="print"/>
                          <a:stretch>
                            <a:fillRect/>
                          </a:stretch>
                        </pic:blipFill>
                        <pic:spPr>
                          <a:xfrm>
                            <a:off x="0" y="0"/>
                            <a:ext cx="829418" cy="603503"/>
                          </a:xfrm>
                          <a:prstGeom prst="rect">
                            <a:avLst/>
                          </a:prstGeom>
                        </pic:spPr>
                      </pic:pic>
                    </a:graphicData>
                  </a:graphic>
                </wp:inline>
              </w:drawing>
            </w:r>
            <w:r>
              <w:rPr>
                <w:rFonts w:ascii="Times New Roman" w:hAnsi="Times New Roman" w:cs="Times New Roman" w:eastAsia="Times New Roman" w:hint="default"/>
                <w:position w:val="-18"/>
                <w:sz w:val="20"/>
                <w:szCs w:val="20"/>
              </w:rPr>
            </w: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6164300</w:t>
            </w:r>
          </w:p>
        </w:tc>
        <w:tc>
          <w:tcPr>
            <w:tcW w:w="4520"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61"/>
              <w:ind w:left="4" w:right="87"/>
              <w:jc w:val="left"/>
              <w:rPr>
                <w:rFonts w:ascii="新宋体" w:hAnsi="新宋体" w:cs="新宋体" w:eastAsia="新宋体" w:hint="default"/>
                <w:sz w:val="18"/>
                <w:szCs w:val="18"/>
              </w:rPr>
            </w:pPr>
            <w:r>
              <w:rPr>
                <w:rFonts w:ascii="新宋体" w:hAnsi="新宋体" w:cs="新宋体" w:eastAsia="新宋体" w:hint="default"/>
                <w:sz w:val="18"/>
                <w:szCs w:val="18"/>
              </w:rPr>
              <w:t>报警器</w:t>
            </w:r>
            <w:r>
              <w:rPr>
                <w:rFonts w:ascii="新宋体" w:hAnsi="新宋体" w:cs="新宋体" w:eastAsia="新宋体" w:hint="default"/>
                <w:sz w:val="18"/>
                <w:szCs w:val="18"/>
              </w:rPr>
              <w:t>;</w:t>
            </w:r>
            <w:r>
              <w:rPr>
                <w:rFonts w:ascii="新宋体" w:hAnsi="新宋体" w:cs="新宋体" w:eastAsia="新宋体" w:hint="default"/>
                <w:sz w:val="18"/>
                <w:szCs w:val="18"/>
              </w:rPr>
              <w:t>传感器；报警装置；湿度表；空气分析仪器；气 体检测仪；探测器；半导体器件</w:t>
            </w:r>
          </w:p>
        </w:tc>
        <w:tc>
          <w:tcPr>
            <w:tcW w:w="12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新宋体" w:hAnsi="新宋体" w:cs="新宋体" w:eastAsia="新宋体" w:hint="default"/>
                <w:sz w:val="18"/>
                <w:szCs w:val="18"/>
              </w:rPr>
            </w:pPr>
            <w:r>
              <w:rPr>
                <w:rFonts w:ascii="新宋体"/>
                <w:sz w:val="18"/>
              </w:rPr>
              <w:t>2010.02.28-</w:t>
            </w:r>
          </w:p>
          <w:p>
            <w:pPr>
              <w:pStyle w:val="TableParagraph"/>
              <w:spacing w:line="240" w:lineRule="auto" w:before="115"/>
              <w:ind w:left="146" w:right="0"/>
              <w:jc w:val="left"/>
              <w:rPr>
                <w:rFonts w:ascii="新宋体" w:hAnsi="新宋体" w:cs="新宋体" w:eastAsia="新宋体" w:hint="default"/>
                <w:sz w:val="18"/>
                <w:szCs w:val="18"/>
              </w:rPr>
            </w:pPr>
            <w:r>
              <w:rPr>
                <w:rFonts w:ascii="新宋体"/>
                <w:sz w:val="18"/>
              </w:rPr>
              <w:t>2020.02.27</w:t>
            </w:r>
          </w:p>
        </w:tc>
        <w:tc>
          <w:tcPr>
            <w:tcW w:w="102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363"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
              <w:jc w:val="center"/>
              <w:rPr>
                <w:rFonts w:ascii="新宋体" w:hAnsi="新宋体" w:cs="新宋体" w:eastAsia="新宋体" w:hint="default"/>
                <w:sz w:val="18"/>
                <w:szCs w:val="18"/>
              </w:rPr>
            </w:pPr>
            <w:r>
              <w:rPr>
                <w:rFonts w:ascii="新宋体"/>
                <w:sz w:val="18"/>
              </w:rPr>
              <w:t>7</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979" w:lineRule="exact"/>
              <w:ind w:left="32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849276" cy="621792"/>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1" cstate="print"/>
                          <a:stretch>
                            <a:fillRect/>
                          </a:stretch>
                        </pic:blipFill>
                        <pic:spPr>
                          <a:xfrm>
                            <a:off x="0" y="0"/>
                            <a:ext cx="849276" cy="621792"/>
                          </a:xfrm>
                          <a:prstGeom prst="rect">
                            <a:avLst/>
                          </a:prstGeom>
                        </pic:spPr>
                      </pic:pic>
                    </a:graphicData>
                  </a:graphic>
                </wp:inline>
              </w:drawing>
            </w:r>
            <w:r>
              <w:rPr>
                <w:rFonts w:ascii="Times New Roman" w:hAnsi="Times New Roman" w:cs="Times New Roman" w:eastAsia="Times New Roman" w:hint="default"/>
                <w:position w:val="-19"/>
                <w:sz w:val="20"/>
                <w:szCs w:val="20"/>
              </w:rPr>
            </w:r>
          </w:p>
          <w:p>
            <w:pPr>
              <w:pStyle w:val="TableParagraph"/>
              <w:spacing w:line="240" w:lineRule="auto" w:before="1"/>
              <w:ind w:right="0"/>
              <w:jc w:val="left"/>
              <w:rPr>
                <w:rFonts w:ascii="Times New Roman" w:hAnsi="Times New Roman" w:cs="Times New Roman" w:eastAsia="Times New Roman" w:hint="default"/>
                <w:sz w:val="16"/>
                <w:szCs w:val="16"/>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5998541</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87"/>
              <w:jc w:val="left"/>
              <w:rPr>
                <w:rFonts w:ascii="新宋体" w:hAnsi="新宋体" w:cs="新宋体" w:eastAsia="新宋体" w:hint="default"/>
                <w:sz w:val="18"/>
                <w:szCs w:val="18"/>
              </w:rPr>
            </w:pPr>
            <w:r>
              <w:rPr>
                <w:rFonts w:ascii="新宋体" w:hAnsi="新宋体" w:cs="新宋体" w:eastAsia="新宋体" w:hint="default"/>
                <w:sz w:val="18"/>
                <w:szCs w:val="18"/>
              </w:rPr>
              <w:t>报警器</w:t>
            </w:r>
            <w:r>
              <w:rPr>
                <w:rFonts w:ascii="新宋体" w:hAnsi="新宋体" w:cs="新宋体" w:eastAsia="新宋体" w:hint="default"/>
                <w:sz w:val="18"/>
                <w:szCs w:val="18"/>
              </w:rPr>
              <w:t>;</w:t>
            </w:r>
            <w:r>
              <w:rPr>
                <w:rFonts w:ascii="新宋体" w:hAnsi="新宋体" w:cs="新宋体" w:eastAsia="新宋体" w:hint="default"/>
                <w:sz w:val="18"/>
                <w:szCs w:val="18"/>
              </w:rPr>
              <w:t>传感器；报警装置；温度表；空气分析仪器；探 测器；半导体器件</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新宋体" w:hAnsi="新宋体" w:cs="新宋体" w:eastAsia="新宋体" w:hint="default"/>
                <w:sz w:val="18"/>
                <w:szCs w:val="18"/>
              </w:rPr>
            </w:pPr>
            <w:r>
              <w:rPr>
                <w:rFonts w:ascii="新宋体"/>
                <w:sz w:val="18"/>
              </w:rPr>
              <w:t>2010.01.14-</w:t>
            </w:r>
          </w:p>
          <w:p>
            <w:pPr>
              <w:pStyle w:val="TableParagraph"/>
              <w:spacing w:line="240" w:lineRule="auto" w:before="115"/>
              <w:ind w:left="146" w:right="0"/>
              <w:jc w:val="left"/>
              <w:rPr>
                <w:rFonts w:ascii="新宋体" w:hAnsi="新宋体" w:cs="新宋体" w:eastAsia="新宋体" w:hint="default"/>
                <w:sz w:val="18"/>
                <w:szCs w:val="18"/>
              </w:rPr>
            </w:pPr>
            <w:r>
              <w:rPr>
                <w:rFonts w:ascii="新宋体"/>
                <w:sz w:val="18"/>
              </w:rPr>
              <w:t>2020.01.13</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364"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
              <w:jc w:val="center"/>
              <w:rPr>
                <w:rFonts w:ascii="新宋体" w:hAnsi="新宋体" w:cs="新宋体" w:eastAsia="新宋体" w:hint="default"/>
                <w:sz w:val="18"/>
                <w:szCs w:val="18"/>
              </w:rPr>
            </w:pPr>
            <w:r>
              <w:rPr>
                <w:rFonts w:ascii="新宋体"/>
                <w:sz w:val="18"/>
              </w:rPr>
              <w:t>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971" w:lineRule="exact"/>
              <w:ind w:left="1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108831" cy="616934"/>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2" cstate="print"/>
                          <a:stretch>
                            <a:fillRect/>
                          </a:stretch>
                        </pic:blipFill>
                        <pic:spPr>
                          <a:xfrm>
                            <a:off x="0" y="0"/>
                            <a:ext cx="1108831" cy="616934"/>
                          </a:xfrm>
                          <a:prstGeom prst="rect">
                            <a:avLst/>
                          </a:prstGeom>
                        </pic:spPr>
                      </pic:pic>
                    </a:graphicData>
                  </a:graphic>
                </wp:inline>
              </w:drawing>
            </w:r>
            <w:r>
              <w:rPr>
                <w:rFonts w:ascii="Times New Roman" w:hAnsi="Times New Roman" w:cs="Times New Roman" w:eastAsia="Times New Roman" w:hint="default"/>
                <w:position w:val="-18"/>
                <w:sz w:val="20"/>
                <w:szCs w:val="20"/>
              </w:rPr>
            </w:r>
          </w:p>
          <w:p>
            <w:pPr>
              <w:pStyle w:val="TableParagraph"/>
              <w:spacing w:line="240" w:lineRule="auto" w:before="8"/>
              <w:ind w:right="0"/>
              <w:jc w:val="left"/>
              <w:rPr>
                <w:rFonts w:ascii="Times New Roman" w:hAnsi="Times New Roman" w:cs="Times New Roman" w:eastAsia="Times New Roman" w:hint="default"/>
                <w:sz w:val="16"/>
                <w:szCs w:val="16"/>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5555088</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0"/>
              <w:jc w:val="both"/>
              <w:rPr>
                <w:rFonts w:ascii="新宋体" w:hAnsi="新宋体" w:cs="新宋体" w:eastAsia="新宋体" w:hint="default"/>
                <w:sz w:val="18"/>
                <w:szCs w:val="18"/>
              </w:rPr>
            </w:pPr>
            <w:r>
              <w:rPr>
                <w:rFonts w:ascii="新宋体" w:hAnsi="新宋体" w:cs="新宋体" w:eastAsia="新宋体" w:hint="default"/>
                <w:spacing w:val="-4"/>
                <w:sz w:val="18"/>
                <w:szCs w:val="18"/>
              </w:rPr>
              <w:t>计算机软件（已录制）；信号灯；光通讯设备；测量仪器</w:t>
            </w:r>
            <w:r>
              <w:rPr>
                <w:rFonts w:ascii="新宋体" w:hAnsi="新宋体" w:cs="新宋体" w:eastAsia="新宋体" w:hint="default"/>
                <w:spacing w:val="-86"/>
                <w:sz w:val="18"/>
                <w:szCs w:val="18"/>
              </w:rPr>
              <w:t> </w:t>
            </w:r>
            <w:r>
              <w:rPr>
                <w:rFonts w:ascii="新宋体" w:hAnsi="新宋体" w:cs="新宋体" w:eastAsia="新宋体" w:hint="default"/>
                <w:spacing w:val="-86"/>
                <w:sz w:val="18"/>
                <w:szCs w:val="18"/>
              </w:rPr>
            </w:r>
            <w:r>
              <w:rPr>
                <w:rFonts w:ascii="新宋体" w:hAnsi="新宋体" w:cs="新宋体" w:eastAsia="新宋体" w:hint="default"/>
                <w:spacing w:val="-4"/>
                <w:sz w:val="18"/>
                <w:szCs w:val="18"/>
              </w:rPr>
              <w:t>气体检测仪；配电控制台（电）；工业操作遥控电气设备</w:t>
            </w:r>
            <w:r>
              <w:rPr>
                <w:rFonts w:ascii="新宋体" w:hAnsi="新宋体" w:cs="新宋体" w:eastAsia="新宋体" w:hint="default"/>
                <w:spacing w:val="-84"/>
                <w:sz w:val="18"/>
                <w:szCs w:val="18"/>
              </w:rPr>
              <w:t> </w:t>
            </w:r>
            <w:r>
              <w:rPr>
                <w:rFonts w:ascii="新宋体" w:hAnsi="新宋体" w:cs="新宋体" w:eastAsia="新宋体" w:hint="default"/>
                <w:spacing w:val="-84"/>
                <w:sz w:val="18"/>
                <w:szCs w:val="18"/>
              </w:rPr>
            </w:r>
            <w:r>
              <w:rPr>
                <w:rFonts w:ascii="新宋体" w:hAnsi="新宋体" w:cs="新宋体" w:eastAsia="新宋体" w:hint="default"/>
                <w:sz w:val="18"/>
                <w:szCs w:val="18"/>
              </w:rPr>
              <w:t>报警器；火灾报警器；电池充电器。</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新宋体" w:hAnsi="新宋体" w:cs="新宋体" w:eastAsia="新宋体" w:hint="default"/>
                <w:sz w:val="18"/>
                <w:szCs w:val="18"/>
              </w:rPr>
            </w:pPr>
            <w:r>
              <w:rPr>
                <w:rFonts w:ascii="新宋体"/>
                <w:sz w:val="18"/>
              </w:rPr>
              <w:t>2009.09.21-</w:t>
            </w:r>
          </w:p>
          <w:p>
            <w:pPr>
              <w:pStyle w:val="TableParagraph"/>
              <w:spacing w:line="240" w:lineRule="auto" w:before="117"/>
              <w:ind w:left="146" w:right="0"/>
              <w:jc w:val="left"/>
              <w:rPr>
                <w:rFonts w:ascii="新宋体" w:hAnsi="新宋体" w:cs="新宋体" w:eastAsia="新宋体" w:hint="default"/>
                <w:sz w:val="18"/>
                <w:szCs w:val="18"/>
              </w:rPr>
            </w:pPr>
            <w:r>
              <w:rPr>
                <w:rFonts w:ascii="新宋体"/>
                <w:sz w:val="18"/>
              </w:rPr>
              <w:t>2019.09.20</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
              <w:jc w:val="center"/>
              <w:rPr>
                <w:rFonts w:ascii="新宋体" w:hAnsi="新宋体" w:cs="新宋体" w:eastAsia="新宋体" w:hint="default"/>
                <w:sz w:val="18"/>
                <w:szCs w:val="18"/>
              </w:rPr>
            </w:pPr>
            <w:r>
              <w:rPr>
                <w:rFonts w:ascii="新宋体"/>
                <w:sz w:val="18"/>
              </w:rPr>
              <w:t>9</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6"/>
                <w:szCs w:val="6"/>
              </w:rPr>
            </w:pPr>
          </w:p>
          <w:p>
            <w:pPr>
              <w:pStyle w:val="TableParagraph"/>
              <w:spacing w:line="891" w:lineRule="exact"/>
              <w:ind w:left="61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485690" cy="565784"/>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3" cstate="print"/>
                          <a:stretch>
                            <a:fillRect/>
                          </a:stretch>
                        </pic:blipFill>
                        <pic:spPr>
                          <a:xfrm>
                            <a:off x="0" y="0"/>
                            <a:ext cx="485690" cy="565784"/>
                          </a:xfrm>
                          <a:prstGeom prst="rect">
                            <a:avLst/>
                          </a:prstGeom>
                        </pic:spPr>
                      </pic:pic>
                    </a:graphicData>
                  </a:graphic>
                </wp:inline>
              </w:drawing>
            </w:r>
            <w:r>
              <w:rPr>
                <w:rFonts w:ascii="Times New Roman" w:hAnsi="Times New Roman" w:cs="Times New Roman" w:eastAsia="Times New Roman" w:hint="default"/>
                <w:position w:val="-17"/>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6164301</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报警器；传感器；报警装置；湿度表；空气分析仪器；气 体检测仪；探测器；半导体器件</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新宋体" w:hAnsi="新宋体" w:cs="新宋体" w:eastAsia="新宋体" w:hint="default"/>
                <w:sz w:val="18"/>
                <w:szCs w:val="18"/>
              </w:rPr>
            </w:pPr>
            <w:r>
              <w:rPr>
                <w:rFonts w:ascii="新宋体"/>
                <w:sz w:val="18"/>
              </w:rPr>
              <w:t>2010.08.28-</w:t>
            </w:r>
          </w:p>
          <w:p>
            <w:pPr>
              <w:pStyle w:val="TableParagraph"/>
              <w:spacing w:line="240" w:lineRule="auto" w:before="117"/>
              <w:ind w:left="146" w:right="0"/>
              <w:jc w:val="left"/>
              <w:rPr>
                <w:rFonts w:ascii="新宋体" w:hAnsi="新宋体" w:cs="新宋体" w:eastAsia="新宋体" w:hint="default"/>
                <w:sz w:val="18"/>
                <w:szCs w:val="18"/>
              </w:rPr>
            </w:pPr>
            <w:r>
              <w:rPr>
                <w:rFonts w:ascii="新宋体"/>
                <w:sz w:val="18"/>
              </w:rPr>
              <w:t>2020.08.27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10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8246188</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1</w:t>
            </w:r>
            <w:r>
              <w:rPr>
                <w:rFonts w:ascii="新宋体" w:hAnsi="新宋体" w:cs="新宋体" w:eastAsia="新宋体" w:hint="default"/>
                <w:sz w:val="18"/>
                <w:szCs w:val="18"/>
              </w:rPr>
              <w:t>类，工业用固态气体；工业用盐；工业用同位素；工 业用酶；纤维润滑剂；工业化学品；化学试剂（非医用或 兽医用）；植物生长调节剂；防火天制剂；工业用粘合剂</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46" w:right="0"/>
              <w:jc w:val="left"/>
              <w:rPr>
                <w:rFonts w:ascii="新宋体" w:hAnsi="新宋体" w:cs="新宋体" w:eastAsia="新宋体" w:hint="default"/>
                <w:sz w:val="18"/>
                <w:szCs w:val="18"/>
              </w:rPr>
            </w:pPr>
            <w:r>
              <w:rPr>
                <w:rFonts w:ascii="新宋体"/>
                <w:sz w:val="18"/>
              </w:rPr>
              <w:t>2011.4.28-</w:t>
            </w:r>
          </w:p>
          <w:p>
            <w:pPr>
              <w:pStyle w:val="TableParagraph"/>
              <w:spacing w:line="240" w:lineRule="auto" w:before="117"/>
              <w:ind w:left="190" w:right="0"/>
              <w:jc w:val="left"/>
              <w:rPr>
                <w:rFonts w:ascii="新宋体" w:hAnsi="新宋体" w:cs="新宋体" w:eastAsia="新宋体" w:hint="default"/>
                <w:sz w:val="18"/>
                <w:szCs w:val="18"/>
              </w:rPr>
            </w:pPr>
            <w:r>
              <w:rPr>
                <w:rFonts w:ascii="新宋体"/>
                <w:sz w:val="18"/>
              </w:rPr>
              <w:t>2021.4.27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11</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8246259</w:t>
            </w:r>
          </w:p>
        </w:tc>
        <w:tc>
          <w:tcPr>
            <w:tcW w:w="4520" w:type="dxa"/>
            <w:tcBorders>
              <w:top w:val="single" w:sz="6" w:space="0" w:color="000000"/>
              <w:left w:val="single" w:sz="6" w:space="0" w:color="000000"/>
              <w:bottom w:val="single" w:sz="6" w:space="0" w:color="000000"/>
              <w:right w:val="single" w:sz="7" w:space="0" w:color="000000"/>
            </w:tcBorders>
          </w:tcPr>
          <w:p>
            <w:pPr>
              <w:pStyle w:val="TableParagraph"/>
              <w:spacing w:line="316" w:lineRule="auto" w:before="58"/>
              <w:ind w:left="4" w:right="1"/>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2</w:t>
            </w:r>
            <w:r>
              <w:rPr>
                <w:rFonts w:ascii="新宋体" w:hAnsi="新宋体" w:cs="新宋体" w:eastAsia="新宋体" w:hint="default"/>
                <w:sz w:val="18"/>
                <w:szCs w:val="18"/>
              </w:rPr>
              <w:t>类。着色剂；颜料；食物色素；印刷合成物（油墨） </w:t>
            </w:r>
            <w:r>
              <w:rPr>
                <w:rFonts w:ascii="新宋体" w:hAnsi="新宋体" w:cs="新宋体" w:eastAsia="新宋体" w:hint="default"/>
                <w:spacing w:val="-8"/>
                <w:sz w:val="18"/>
                <w:szCs w:val="18"/>
              </w:rPr>
              <w:t>油漆；杀菌漆；油漆凝结剂；稀料；防腐剂；天然树脂（原</w:t>
            </w:r>
            <w:r>
              <w:rPr>
                <w:rFonts w:ascii="新宋体" w:hAnsi="新宋体" w:cs="新宋体" w:eastAsia="新宋体" w:hint="default"/>
                <w:spacing w:val="-70"/>
                <w:sz w:val="18"/>
                <w:szCs w:val="18"/>
              </w:rPr>
              <w:t> </w:t>
            </w:r>
            <w:r>
              <w:rPr>
                <w:rFonts w:ascii="新宋体" w:hAnsi="新宋体" w:cs="新宋体" w:eastAsia="新宋体" w:hint="default"/>
                <w:spacing w:val="-70"/>
                <w:sz w:val="18"/>
                <w:szCs w:val="18"/>
              </w:rPr>
            </w:r>
            <w:r>
              <w:rPr>
                <w:rFonts w:ascii="新宋体" w:hAnsi="新宋体" w:cs="新宋体" w:eastAsia="新宋体" w:hint="default"/>
                <w:sz w:val="18"/>
                <w:szCs w:val="18"/>
              </w:rPr>
              <w:t>料）</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left="145" w:right="0"/>
              <w:jc w:val="left"/>
              <w:rPr>
                <w:rFonts w:ascii="新宋体" w:hAnsi="新宋体" w:cs="新宋体" w:eastAsia="新宋体" w:hint="default"/>
                <w:sz w:val="18"/>
                <w:szCs w:val="18"/>
              </w:rPr>
            </w:pPr>
            <w:r>
              <w:rPr>
                <w:rFonts w:ascii="新宋体"/>
                <w:sz w:val="18"/>
              </w:rPr>
              <w:t>2011.4.28-</w:t>
            </w:r>
          </w:p>
          <w:p>
            <w:pPr>
              <w:pStyle w:val="TableParagraph"/>
              <w:spacing w:line="240" w:lineRule="auto" w:before="117"/>
              <w:ind w:left="188" w:right="0"/>
              <w:jc w:val="left"/>
              <w:rPr>
                <w:rFonts w:ascii="新宋体" w:hAnsi="新宋体" w:cs="新宋体" w:eastAsia="新宋体" w:hint="default"/>
                <w:sz w:val="18"/>
                <w:szCs w:val="18"/>
              </w:rPr>
            </w:pPr>
            <w:r>
              <w:rPr>
                <w:rFonts w:ascii="新宋体"/>
                <w:sz w:val="18"/>
              </w:rPr>
              <w:t>2021.4.27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78"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0"/>
              <w:jc w:val="center"/>
              <w:rPr>
                <w:rFonts w:ascii="新宋体" w:hAnsi="新宋体" w:cs="新宋体" w:eastAsia="新宋体" w:hint="default"/>
                <w:sz w:val="18"/>
                <w:szCs w:val="18"/>
              </w:rPr>
            </w:pPr>
            <w:r>
              <w:rPr>
                <w:rFonts w:ascii="新宋体"/>
                <w:sz w:val="18"/>
              </w:rPr>
              <w:t>12</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3"/>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24" cstate="print"/>
                          <a:stretch>
                            <a:fillRect/>
                          </a:stretch>
                        </pic:blipFill>
                        <pic:spPr>
                          <a:xfrm>
                            <a:off x="0" y="0"/>
                            <a:ext cx="449043"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新宋体" w:hAnsi="新宋体" w:cs="新宋体" w:eastAsia="新宋体" w:hint="default"/>
                <w:sz w:val="18"/>
                <w:szCs w:val="18"/>
              </w:rPr>
            </w:pPr>
            <w:r>
              <w:rPr>
                <w:rFonts w:ascii="新宋体"/>
                <w:sz w:val="18"/>
              </w:rPr>
              <w:t>8247158</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87"/>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3</w:t>
            </w:r>
            <w:r>
              <w:rPr>
                <w:rFonts w:ascii="新宋体" w:hAnsi="新宋体" w:cs="新宋体" w:eastAsia="新宋体" w:hint="default"/>
                <w:sz w:val="18"/>
                <w:szCs w:val="18"/>
              </w:rPr>
              <w:t>类。洗发液；洗衣剂；去渍剂；抛光制剂；工业用香 料；化妆品；牙膏；香；动物用化妆品</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6" w:right="0"/>
              <w:jc w:val="left"/>
              <w:rPr>
                <w:rFonts w:ascii="新宋体" w:hAnsi="新宋体" w:cs="新宋体" w:eastAsia="新宋体" w:hint="default"/>
                <w:sz w:val="18"/>
                <w:szCs w:val="18"/>
              </w:rPr>
            </w:pPr>
            <w:r>
              <w:rPr>
                <w:rFonts w:ascii="新宋体"/>
                <w:sz w:val="18"/>
              </w:rPr>
              <w:t>2011.4.28-</w:t>
            </w:r>
          </w:p>
          <w:p>
            <w:pPr>
              <w:pStyle w:val="TableParagraph"/>
              <w:spacing w:line="240" w:lineRule="auto" w:before="115"/>
              <w:ind w:left="190" w:right="0"/>
              <w:jc w:val="left"/>
              <w:rPr>
                <w:rFonts w:ascii="新宋体" w:hAnsi="新宋体" w:cs="新宋体" w:eastAsia="新宋体" w:hint="default"/>
                <w:sz w:val="18"/>
                <w:szCs w:val="18"/>
              </w:rPr>
            </w:pPr>
            <w:r>
              <w:rPr>
                <w:rFonts w:ascii="新宋体"/>
                <w:sz w:val="18"/>
              </w:rPr>
              <w:t>2021.4.27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80"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13</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3"/>
                  <wp:effectExtent l="0" t="0" r="0" b="0"/>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24" cstate="print"/>
                          <a:stretch>
                            <a:fillRect/>
                          </a:stretch>
                        </pic:blipFill>
                        <pic:spPr>
                          <a:xfrm>
                            <a:off x="0" y="0"/>
                            <a:ext cx="449043"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8247204</w:t>
            </w:r>
          </w:p>
        </w:tc>
        <w:tc>
          <w:tcPr>
            <w:tcW w:w="4520" w:type="dxa"/>
            <w:tcBorders>
              <w:top w:val="single" w:sz="6" w:space="0" w:color="000000"/>
              <w:left w:val="single" w:sz="6" w:space="0" w:color="000000"/>
              <w:bottom w:val="single" w:sz="6" w:space="0" w:color="000000"/>
              <w:right w:val="single" w:sz="7" w:space="0" w:color="000000"/>
            </w:tcBorders>
          </w:tcPr>
          <w:p>
            <w:pPr>
              <w:pStyle w:val="TableParagraph"/>
              <w:spacing w:line="314" w:lineRule="auto" w:before="61"/>
              <w:ind w:left="4" w:right="88"/>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4</w:t>
            </w:r>
            <w:r>
              <w:rPr>
                <w:rFonts w:ascii="新宋体" w:hAnsi="新宋体" w:cs="新宋体" w:eastAsia="新宋体" w:hint="default"/>
                <w:sz w:val="18"/>
                <w:szCs w:val="18"/>
              </w:rPr>
              <w:t>类。工业用脂；工业用油；润滑剂；燃料；气体燃料 煤；蜡（原料）；蜡烛；除尘制剂；电能</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left="145" w:right="0"/>
              <w:jc w:val="left"/>
              <w:rPr>
                <w:rFonts w:ascii="新宋体" w:hAnsi="新宋体" w:cs="新宋体" w:eastAsia="新宋体" w:hint="default"/>
                <w:sz w:val="18"/>
                <w:szCs w:val="18"/>
              </w:rPr>
            </w:pPr>
            <w:r>
              <w:rPr>
                <w:rFonts w:ascii="新宋体"/>
                <w:sz w:val="18"/>
              </w:rPr>
              <w:t>2011.4.28-</w:t>
            </w:r>
          </w:p>
          <w:p>
            <w:pPr>
              <w:pStyle w:val="TableParagraph"/>
              <w:spacing w:line="240" w:lineRule="auto" w:before="115"/>
              <w:ind w:left="188" w:right="0"/>
              <w:jc w:val="left"/>
              <w:rPr>
                <w:rFonts w:ascii="新宋体" w:hAnsi="新宋体" w:cs="新宋体" w:eastAsia="新宋体" w:hint="default"/>
                <w:sz w:val="18"/>
                <w:szCs w:val="18"/>
              </w:rPr>
            </w:pPr>
            <w:r>
              <w:rPr>
                <w:rFonts w:ascii="新宋体"/>
                <w:sz w:val="18"/>
              </w:rPr>
              <w:t>2021.4.27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14</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25" name="image10.png" descr=""/>
                  <wp:cNvGraphicFramePr>
                    <a:graphicFrameLocks noChangeAspect="1"/>
                  </wp:cNvGraphicFramePr>
                  <a:graphic>
                    <a:graphicData uri="http://schemas.openxmlformats.org/drawingml/2006/picture">
                      <pic:pic>
                        <pic:nvPicPr>
                          <pic:cNvPr id="26"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8247250</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5</w:t>
            </w:r>
            <w:r>
              <w:rPr>
                <w:rFonts w:ascii="新宋体" w:hAnsi="新宋体" w:cs="新宋体" w:eastAsia="新宋体" w:hint="default"/>
                <w:sz w:val="18"/>
                <w:szCs w:val="18"/>
              </w:rPr>
              <w:t>类。人用药；医药制剂；生化药品；消毒剂；医用食 物营养制剂；空气净化制剂；兽医用化学制剂；土壤消毒 剂；浸药液的薄纸；牙用光洁剂</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46" w:right="0"/>
              <w:jc w:val="left"/>
              <w:rPr>
                <w:rFonts w:ascii="新宋体" w:hAnsi="新宋体" w:cs="新宋体" w:eastAsia="新宋体" w:hint="default"/>
                <w:sz w:val="18"/>
                <w:szCs w:val="18"/>
              </w:rPr>
            </w:pPr>
            <w:r>
              <w:rPr>
                <w:rFonts w:ascii="新宋体"/>
                <w:sz w:val="18"/>
              </w:rPr>
              <w:t>2011.4.28-</w:t>
            </w:r>
          </w:p>
          <w:p>
            <w:pPr>
              <w:pStyle w:val="TableParagraph"/>
              <w:spacing w:line="240" w:lineRule="auto" w:before="117"/>
              <w:ind w:left="190" w:right="0"/>
              <w:jc w:val="left"/>
              <w:rPr>
                <w:rFonts w:ascii="新宋体" w:hAnsi="新宋体" w:cs="新宋体" w:eastAsia="新宋体" w:hint="default"/>
                <w:sz w:val="18"/>
                <w:szCs w:val="18"/>
              </w:rPr>
            </w:pPr>
            <w:r>
              <w:rPr>
                <w:rFonts w:ascii="新宋体"/>
                <w:sz w:val="18"/>
              </w:rPr>
              <w:t>2021.4.27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15</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4"/>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24" cstate="print"/>
                          <a:stretch>
                            <a:fillRect/>
                          </a:stretch>
                        </pic:blipFill>
                        <pic:spPr>
                          <a:xfrm>
                            <a:off x="0" y="0"/>
                            <a:ext cx="449774" cy="393954"/>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8247274</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6</w:t>
            </w:r>
            <w:r>
              <w:rPr>
                <w:rFonts w:ascii="新宋体" w:hAnsi="新宋体" w:cs="新宋体" w:eastAsia="新宋体" w:hint="default"/>
                <w:sz w:val="18"/>
                <w:szCs w:val="18"/>
              </w:rPr>
              <w:t>类。未加工或半加工普通金属；金属管道；金属建筑 材料；铁路金属材料；金属丝网；金属家具部件；五金器 具；金属容器；金属标志牌；普通金属艺术品</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46" w:right="0"/>
              <w:jc w:val="left"/>
              <w:rPr>
                <w:rFonts w:ascii="新宋体" w:hAnsi="新宋体" w:cs="新宋体" w:eastAsia="新宋体" w:hint="default"/>
                <w:sz w:val="18"/>
                <w:szCs w:val="18"/>
              </w:rPr>
            </w:pPr>
            <w:r>
              <w:rPr>
                <w:rFonts w:ascii="新宋体"/>
                <w:sz w:val="18"/>
              </w:rPr>
              <w:t>2011.4.28-</w:t>
            </w:r>
          </w:p>
          <w:p>
            <w:pPr>
              <w:pStyle w:val="TableParagraph"/>
              <w:spacing w:line="240" w:lineRule="auto" w:before="117"/>
              <w:ind w:left="190" w:right="0"/>
              <w:jc w:val="left"/>
              <w:rPr>
                <w:rFonts w:ascii="新宋体" w:hAnsi="新宋体" w:cs="新宋体" w:eastAsia="新宋体" w:hint="default"/>
                <w:sz w:val="18"/>
                <w:szCs w:val="18"/>
              </w:rPr>
            </w:pPr>
            <w:r>
              <w:rPr>
                <w:rFonts w:ascii="新宋体"/>
                <w:sz w:val="18"/>
              </w:rPr>
              <w:t>2021.4.27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2"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0"/>
              <w:jc w:val="center"/>
              <w:rPr>
                <w:rFonts w:ascii="新宋体" w:hAnsi="新宋体" w:cs="新宋体" w:eastAsia="新宋体" w:hint="default"/>
                <w:sz w:val="18"/>
                <w:szCs w:val="18"/>
              </w:rPr>
            </w:pPr>
            <w:r>
              <w:rPr>
                <w:rFonts w:ascii="新宋体"/>
                <w:sz w:val="18"/>
              </w:rPr>
              <w:t>16</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4"/>
                  <wp:effectExtent l="0" t="0" r="0" b="0"/>
                  <wp:docPr id="29" name="image10.png" descr=""/>
                  <wp:cNvGraphicFramePr>
                    <a:graphicFrameLocks noChangeAspect="1"/>
                  </wp:cNvGraphicFramePr>
                  <a:graphic>
                    <a:graphicData uri="http://schemas.openxmlformats.org/drawingml/2006/picture">
                      <pic:pic>
                        <pic:nvPicPr>
                          <pic:cNvPr id="30" name="image10.png"/>
                          <pic:cNvPicPr/>
                        </pic:nvPicPr>
                        <pic:blipFill>
                          <a:blip r:embed="rId24" cstate="print"/>
                          <a:stretch>
                            <a:fillRect/>
                          </a:stretch>
                        </pic:blipFill>
                        <pic:spPr>
                          <a:xfrm>
                            <a:off x="0" y="0"/>
                            <a:ext cx="449043" cy="393954"/>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新宋体" w:hAnsi="新宋体" w:cs="新宋体" w:eastAsia="新宋体" w:hint="default"/>
                <w:sz w:val="18"/>
                <w:szCs w:val="18"/>
              </w:rPr>
            </w:pPr>
            <w:r>
              <w:rPr>
                <w:rFonts w:ascii="新宋体"/>
                <w:sz w:val="18"/>
              </w:rPr>
              <w:t>8247308</w:t>
            </w:r>
          </w:p>
        </w:tc>
        <w:tc>
          <w:tcPr>
            <w:tcW w:w="4520" w:type="dxa"/>
            <w:tcBorders>
              <w:top w:val="single" w:sz="6" w:space="0" w:color="000000"/>
              <w:left w:val="single" w:sz="6" w:space="0" w:color="000000"/>
              <w:bottom w:val="single" w:sz="6" w:space="0" w:color="000000"/>
              <w:right w:val="single" w:sz="7" w:space="0" w:color="000000"/>
            </w:tcBorders>
          </w:tcPr>
          <w:p>
            <w:pPr>
              <w:pStyle w:val="TableParagraph"/>
              <w:spacing w:line="316" w:lineRule="auto" w:before="59"/>
              <w:ind w:left="4" w:right="-1"/>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7</w:t>
            </w:r>
            <w:r>
              <w:rPr>
                <w:rFonts w:ascii="新宋体" w:hAnsi="新宋体" w:cs="新宋体" w:eastAsia="新宋体" w:hint="default"/>
                <w:sz w:val="18"/>
                <w:szCs w:val="18"/>
              </w:rPr>
              <w:t>类。农业机械；升降设备；金属加工机械；铸件设备 非手工操作工具；电子工业设备；气体分离设备；非陆地 车辆发动机；液压泵；非陆地车辆动力装置</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9"/>
              <w:ind w:left="145" w:right="0"/>
              <w:jc w:val="left"/>
              <w:rPr>
                <w:rFonts w:ascii="新宋体" w:hAnsi="新宋体" w:cs="新宋体" w:eastAsia="新宋体" w:hint="default"/>
                <w:sz w:val="18"/>
                <w:szCs w:val="18"/>
              </w:rPr>
            </w:pPr>
            <w:r>
              <w:rPr>
                <w:rFonts w:ascii="新宋体"/>
                <w:sz w:val="18"/>
              </w:rPr>
              <w:t>2011.4.28-</w:t>
            </w:r>
          </w:p>
          <w:p>
            <w:pPr>
              <w:pStyle w:val="TableParagraph"/>
              <w:spacing w:line="240" w:lineRule="auto" w:before="115"/>
              <w:ind w:left="188" w:right="0"/>
              <w:jc w:val="left"/>
              <w:rPr>
                <w:rFonts w:ascii="新宋体" w:hAnsi="新宋体" w:cs="新宋体" w:eastAsia="新宋体" w:hint="default"/>
                <w:sz w:val="18"/>
                <w:szCs w:val="18"/>
              </w:rPr>
            </w:pPr>
            <w:r>
              <w:rPr>
                <w:rFonts w:ascii="新宋体"/>
                <w:sz w:val="18"/>
              </w:rPr>
              <w:t>2021.4.27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17</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4"/>
                  <wp:effectExtent l="0" t="0" r="0" b="0"/>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24" cstate="print"/>
                          <a:stretch>
                            <a:fillRect/>
                          </a:stretch>
                        </pic:blipFill>
                        <pic:spPr>
                          <a:xfrm>
                            <a:off x="0" y="0"/>
                            <a:ext cx="449043" cy="393954"/>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8247335</w:t>
            </w:r>
          </w:p>
        </w:tc>
        <w:tc>
          <w:tcPr>
            <w:tcW w:w="4520" w:type="dxa"/>
            <w:tcBorders>
              <w:top w:val="single" w:sz="6" w:space="0" w:color="000000"/>
              <w:left w:val="single" w:sz="6" w:space="0" w:color="000000"/>
              <w:bottom w:val="single" w:sz="6" w:space="0" w:color="000000"/>
              <w:right w:val="single" w:sz="7" w:space="0" w:color="000000"/>
            </w:tcBorders>
          </w:tcPr>
          <w:p>
            <w:pPr>
              <w:pStyle w:val="TableParagraph"/>
              <w:spacing w:line="316" w:lineRule="auto" w:before="58"/>
              <w:ind w:left="4" w:right="87"/>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8</w:t>
            </w:r>
            <w:r>
              <w:rPr>
                <w:rFonts w:ascii="新宋体" w:hAnsi="新宋体" w:cs="新宋体" w:eastAsia="新宋体" w:hint="default"/>
                <w:sz w:val="18"/>
                <w:szCs w:val="18"/>
              </w:rPr>
              <w:t>类。磨具（手工具）；农业器具（手动的）；园艺工 </w:t>
            </w:r>
            <w:r>
              <w:rPr>
                <w:rFonts w:ascii="新宋体" w:hAnsi="新宋体" w:cs="新宋体" w:eastAsia="新宋体" w:hint="default"/>
                <w:spacing w:val="-4"/>
                <w:sz w:val="18"/>
                <w:szCs w:val="18"/>
              </w:rPr>
              <w:t>具（手动的）；剃须刀；手工操作的手工具；制模用铁器</w:t>
            </w:r>
            <w:r>
              <w:rPr>
                <w:rFonts w:ascii="新宋体" w:hAnsi="新宋体" w:cs="新宋体" w:eastAsia="新宋体" w:hint="default"/>
                <w:sz w:val="18"/>
                <w:szCs w:val="18"/>
              </w:rPr>
              <w:t> </w:t>
            </w:r>
            <w:r>
              <w:rPr>
                <w:rFonts w:ascii="新宋体" w:hAnsi="新宋体" w:cs="新宋体" w:eastAsia="新宋体" w:hint="default"/>
                <w:spacing w:val="-4"/>
                <w:sz w:val="18"/>
                <w:szCs w:val="18"/>
              </w:rPr>
              <w:t>雕刻工具（手工具）；刀；随身武器；餐具（刀、叉和匙</w:t>
            </w:r>
          </w:p>
        </w:tc>
        <w:tc>
          <w:tcPr>
            <w:tcW w:w="1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8"/>
              <w:ind w:left="145" w:right="0"/>
              <w:jc w:val="left"/>
              <w:rPr>
                <w:rFonts w:ascii="新宋体" w:hAnsi="新宋体" w:cs="新宋体" w:eastAsia="新宋体" w:hint="default"/>
                <w:sz w:val="18"/>
                <w:szCs w:val="18"/>
              </w:rPr>
            </w:pPr>
            <w:r>
              <w:rPr>
                <w:rFonts w:ascii="新宋体"/>
                <w:sz w:val="18"/>
              </w:rPr>
              <w:t>2011.6.14-</w:t>
            </w:r>
          </w:p>
          <w:p>
            <w:pPr>
              <w:pStyle w:val="TableParagraph"/>
              <w:spacing w:line="240" w:lineRule="auto" w:before="115"/>
              <w:ind w:left="188" w:right="0"/>
              <w:jc w:val="left"/>
              <w:rPr>
                <w:rFonts w:ascii="新宋体" w:hAnsi="新宋体" w:cs="新宋体" w:eastAsia="新宋体" w:hint="default"/>
                <w:sz w:val="18"/>
                <w:szCs w:val="18"/>
              </w:rPr>
            </w:pPr>
            <w:r>
              <w:rPr>
                <w:rFonts w:ascii="新宋体"/>
                <w:sz w:val="18"/>
              </w:rPr>
              <w:t>2021.6.13</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87" w:hRule="exact"/>
        </w:trPr>
        <w:tc>
          <w:tcPr>
            <w:tcW w:w="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18</w:t>
            </w:r>
          </w:p>
        </w:tc>
        <w:tc>
          <w:tcPr>
            <w:tcW w:w="2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33" name="image10.png" descr=""/>
                  <wp:cNvGraphicFramePr>
                    <a:graphicFrameLocks noChangeAspect="1"/>
                  </wp:cNvGraphicFramePr>
                  <a:graphic>
                    <a:graphicData uri="http://schemas.openxmlformats.org/drawingml/2006/picture">
                      <pic:pic>
                        <pic:nvPicPr>
                          <pic:cNvPr id="34"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8247362</w:t>
            </w:r>
          </w:p>
        </w:tc>
        <w:tc>
          <w:tcPr>
            <w:tcW w:w="452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11</w:t>
            </w:r>
            <w:r>
              <w:rPr>
                <w:rFonts w:ascii="新宋体" w:hAnsi="新宋体" w:cs="新宋体" w:eastAsia="新宋体" w:hint="default"/>
                <w:sz w:val="18"/>
                <w:szCs w:val="18"/>
              </w:rPr>
              <w:t>类。灯；电炊具；冷冻设备和机器；气体净化装置； 加热装置；暖气装置；太阳能热水器；污物净化设备；暖</w:t>
            </w:r>
          </w:p>
        </w:tc>
        <w:tc>
          <w:tcPr>
            <w:tcW w:w="1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146" w:right="0"/>
              <w:jc w:val="left"/>
              <w:rPr>
                <w:rFonts w:ascii="新宋体" w:hAnsi="新宋体" w:cs="新宋体" w:eastAsia="新宋体" w:hint="default"/>
                <w:sz w:val="18"/>
                <w:szCs w:val="18"/>
              </w:rPr>
            </w:pPr>
            <w:r>
              <w:rPr>
                <w:rFonts w:ascii="新宋体"/>
                <w:sz w:val="18"/>
              </w:rPr>
              <w:t>2011.6.14-</w:t>
            </w:r>
          </w:p>
          <w:p>
            <w:pPr>
              <w:pStyle w:val="TableParagraph"/>
              <w:spacing w:line="240" w:lineRule="auto" w:before="114"/>
              <w:ind w:left="190" w:right="0"/>
              <w:jc w:val="left"/>
              <w:rPr>
                <w:rFonts w:ascii="新宋体" w:hAnsi="新宋体" w:cs="新宋体" w:eastAsia="新宋体" w:hint="default"/>
                <w:sz w:val="18"/>
                <w:szCs w:val="18"/>
              </w:rPr>
            </w:pPr>
            <w:r>
              <w:rPr>
                <w:rFonts w:ascii="新宋体"/>
                <w:sz w:val="18"/>
              </w:rPr>
              <w:t>2021.6.13</w:t>
            </w:r>
          </w:p>
        </w:tc>
        <w:tc>
          <w:tcPr>
            <w:tcW w:w="10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60" w:right="820"/>
        </w:sectPr>
      </w:pPr>
    </w:p>
    <w:p>
      <w:pPr>
        <w:spacing w:line="240" w:lineRule="auto" w:before="11"/>
        <w:rPr>
          <w:rFonts w:ascii="Times New Roman" w:hAnsi="Times New Roman" w:cs="Times New Roman" w:eastAsia="Times New Roman" w:hint="default"/>
          <w:sz w:val="27"/>
          <w:szCs w:val="27"/>
        </w:rPr>
      </w:pPr>
      <w:r>
        <w:rPr/>
        <w:pict>
          <v:shape style="position:absolute;margin-left:430.477997pt;margin-top:276.409973pt;width:65pt;height:19.6pt;mso-position-horizontal-relative:page;mso-position-vertical-relative:page;z-index:-947608" type="#_x0000_t202" filled="false" stroked="false">
            <v:textbox inset="0,0,0,0">
              <w:txbxContent>
                <w:p>
                  <w:pPr>
                    <w:spacing w:before="49"/>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shape style="position:absolute;margin-left:430.469025pt;margin-top:632.73999pt;width:65pt;height:19.6pt;mso-position-horizontal-relative:page;mso-position-vertical-relative:page;z-index:-947584" type="#_x0000_t202" filled="false" stroked="false">
            <v:textbox inset="0,0,0,0">
              <w:txbxContent>
                <w:p>
                  <w:pPr>
                    <w:spacing w:before="49"/>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group style="position:absolute;margin-left:435.910004pt;margin-top:276.409973pt;width:59.55pt;height:19.6pt;mso-position-horizontal-relative:page;mso-position-vertical-relative:page;z-index:-947560" coordorigin="8718,5528" coordsize="1191,392">
            <v:shape style="position:absolute;left:8718;top:5528;width:1191;height:392" coordorigin="8718,5528" coordsize="1191,392" path="m8718,5919l9909,5919,9909,5528,8718,5528,8718,5919xe" filled="true" fillcolor="#ffffff" stroked="false">
              <v:path arrowok="t"/>
              <v:fill type="solid"/>
            </v:shape>
            <w10:wrap type="none"/>
          </v:group>
        </w:pict>
      </w:r>
      <w:r>
        <w:rPr/>
        <w:pict>
          <v:group style="position:absolute;margin-left:435.910004pt;margin-top:632.73999pt;width:59.55pt;height:19.6pt;mso-position-horizontal-relative:page;mso-position-vertical-relative:page;z-index:-947536" coordorigin="8718,12655" coordsize="1191,392">
            <v:shape style="position:absolute;left:8718;top:12655;width:1191;height:392" coordorigin="8718,12655" coordsize="1191,392" path="m8718,13046l9909,13046,9909,12655,8718,12655,8718,13046xe" filled="true" fillcolor="#ffffff" stroked="false">
              <v:path arrowok="t"/>
              <v:fill type="solid"/>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521"/>
        <w:gridCol w:w="2012"/>
        <w:gridCol w:w="970"/>
        <w:gridCol w:w="4520"/>
        <w:gridCol w:w="139"/>
        <w:gridCol w:w="1071"/>
        <w:gridCol w:w="1020"/>
      </w:tblGrid>
      <w:tr>
        <w:trPr>
          <w:trHeight w:val="394" w:hRule="exact"/>
        </w:trPr>
        <w:tc>
          <w:tcPr>
            <w:tcW w:w="521" w:type="dxa"/>
            <w:tcBorders>
              <w:top w:val="single" w:sz="12" w:space="0" w:color="000000"/>
              <w:left w:val="single" w:sz="12" w:space="0" w:color="000000"/>
              <w:bottom w:val="single" w:sz="6" w:space="0" w:color="000000"/>
              <w:right w:val="single" w:sz="6" w:space="0" w:color="000000"/>
            </w:tcBorders>
          </w:tcPr>
          <w:p>
            <w:pPr/>
          </w:p>
        </w:tc>
        <w:tc>
          <w:tcPr>
            <w:tcW w:w="2012" w:type="dxa"/>
            <w:tcBorders>
              <w:top w:val="single" w:sz="12" w:space="0" w:color="000000"/>
              <w:left w:val="single" w:sz="6" w:space="0" w:color="000000"/>
              <w:bottom w:val="single" w:sz="6" w:space="0" w:color="000000"/>
              <w:right w:val="single" w:sz="6" w:space="0" w:color="000000"/>
            </w:tcBorders>
          </w:tcPr>
          <w:p>
            <w:pPr/>
          </w:p>
        </w:tc>
        <w:tc>
          <w:tcPr>
            <w:tcW w:w="970" w:type="dxa"/>
            <w:tcBorders>
              <w:top w:val="single" w:sz="12" w:space="0" w:color="000000"/>
              <w:left w:val="single" w:sz="6" w:space="0" w:color="000000"/>
              <w:bottom w:val="single" w:sz="6" w:space="0" w:color="000000"/>
              <w:right w:val="single" w:sz="6" w:space="0" w:color="000000"/>
            </w:tcBorders>
          </w:tcPr>
          <w:p>
            <w:pPr/>
          </w:p>
        </w:tc>
        <w:tc>
          <w:tcPr>
            <w:tcW w:w="45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器；打火机</w:t>
            </w:r>
          </w:p>
        </w:tc>
        <w:tc>
          <w:tcPr>
            <w:tcW w:w="1210" w:type="dxa"/>
            <w:gridSpan w:val="2"/>
            <w:tcBorders>
              <w:top w:val="single" w:sz="12" w:space="0" w:color="000000"/>
              <w:left w:val="single" w:sz="6" w:space="0" w:color="000000"/>
              <w:bottom w:val="single" w:sz="6" w:space="0" w:color="000000"/>
              <w:right w:val="single" w:sz="6" w:space="0" w:color="000000"/>
            </w:tcBorders>
          </w:tcPr>
          <w:p>
            <w:pPr/>
          </w:p>
        </w:tc>
        <w:tc>
          <w:tcPr>
            <w:tcW w:w="1020" w:type="dxa"/>
            <w:tcBorders>
              <w:top w:val="single" w:sz="12" w:space="0" w:color="000000"/>
              <w:left w:val="single" w:sz="6" w:space="0" w:color="000000"/>
              <w:bottom w:val="single" w:sz="6" w:space="0" w:color="000000"/>
              <w:right w:val="single" w:sz="12" w:space="0" w:color="000000"/>
            </w:tcBorders>
          </w:tcPr>
          <w:p>
            <w:pPr/>
          </w:p>
        </w:tc>
      </w:tr>
      <w:tr>
        <w:trPr>
          <w:trHeight w:val="780"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19</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35" name="image10.png" descr=""/>
                  <wp:cNvGraphicFramePr>
                    <a:graphicFrameLocks noChangeAspect="1"/>
                  </wp:cNvGraphicFramePr>
                  <a:graphic>
                    <a:graphicData uri="http://schemas.openxmlformats.org/drawingml/2006/picture">
                      <pic:pic>
                        <pic:nvPicPr>
                          <pic:cNvPr id="36"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8247379</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12</w:t>
            </w:r>
            <w:r>
              <w:rPr>
                <w:rFonts w:ascii="新宋体" w:hAnsi="新宋体" w:cs="新宋体" w:eastAsia="新宋体" w:hint="default"/>
                <w:sz w:val="18"/>
                <w:szCs w:val="18"/>
              </w:rPr>
              <w:t>类。汽车；汽车车轮；车辆防盗设备；小型机动车； 电动自行车；缆车；手推车；车辆轮胎；飞机；船</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6" w:right="0"/>
              <w:jc w:val="left"/>
              <w:rPr>
                <w:rFonts w:ascii="新宋体" w:hAnsi="新宋体" w:cs="新宋体" w:eastAsia="新宋体" w:hint="default"/>
                <w:sz w:val="18"/>
                <w:szCs w:val="18"/>
              </w:rPr>
            </w:pPr>
            <w:r>
              <w:rPr>
                <w:rFonts w:ascii="新宋体"/>
                <w:sz w:val="18"/>
              </w:rPr>
              <w:t>2011.4.28-</w:t>
            </w:r>
          </w:p>
          <w:p>
            <w:pPr>
              <w:pStyle w:val="TableParagraph"/>
              <w:spacing w:line="240" w:lineRule="auto" w:before="115"/>
              <w:ind w:left="190" w:right="0"/>
              <w:jc w:val="left"/>
              <w:rPr>
                <w:rFonts w:ascii="新宋体" w:hAnsi="新宋体" w:cs="新宋体" w:eastAsia="新宋体" w:hint="default"/>
                <w:sz w:val="18"/>
                <w:szCs w:val="18"/>
              </w:rPr>
            </w:pPr>
            <w:r>
              <w:rPr>
                <w:rFonts w:ascii="新宋体"/>
                <w:sz w:val="18"/>
              </w:rPr>
              <w:t>2021.4.27</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20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3"/>
                  <wp:effectExtent l="0" t="0" r="0" b="0"/>
                  <wp:docPr id="37" name="image10.png" descr=""/>
                  <wp:cNvGraphicFramePr>
                    <a:graphicFrameLocks noChangeAspect="1"/>
                  </wp:cNvGraphicFramePr>
                  <a:graphic>
                    <a:graphicData uri="http://schemas.openxmlformats.org/drawingml/2006/picture">
                      <pic:pic>
                        <pic:nvPicPr>
                          <pic:cNvPr id="38" name="image10.png"/>
                          <pic:cNvPicPr/>
                        </pic:nvPicPr>
                        <pic:blipFill>
                          <a:blip r:embed="rId24" cstate="print"/>
                          <a:stretch>
                            <a:fillRect/>
                          </a:stretch>
                        </pic:blipFill>
                        <pic:spPr>
                          <a:xfrm>
                            <a:off x="0" y="0"/>
                            <a:ext cx="449043"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8250608</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16</w:t>
            </w:r>
            <w:r>
              <w:rPr>
                <w:rFonts w:ascii="新宋体" w:hAnsi="新宋体" w:cs="新宋体" w:eastAsia="新宋体" w:hint="default"/>
                <w:sz w:val="18"/>
                <w:szCs w:val="18"/>
              </w:rPr>
              <w:t>类。纸；纸巾；笔记本；宣传画；家具除外的办公必 需品；绘画仪器；绘画材料；速印机；数学教具；模型材 料</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7"/>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21</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39" name="image10.png" descr=""/>
                  <wp:cNvGraphicFramePr>
                    <a:graphicFrameLocks noChangeAspect="1"/>
                  </wp:cNvGraphicFramePr>
                  <a:graphic>
                    <a:graphicData uri="http://schemas.openxmlformats.org/drawingml/2006/picture">
                      <pic:pic>
                        <pic:nvPicPr>
                          <pic:cNvPr id="40"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8250656</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17</w:t>
            </w:r>
            <w:r>
              <w:rPr>
                <w:rFonts w:ascii="新宋体" w:hAnsi="新宋体" w:cs="新宋体" w:eastAsia="新宋体" w:hint="default"/>
                <w:sz w:val="18"/>
                <w:szCs w:val="18"/>
              </w:rPr>
              <w:t>类。生橡胶或半成品橡胶；橡皮减震器；非金属管套 筒；硬橡胶（硫化的）；有机玻璃；非金属软管；保温用 非导热材料；隔音材料；绝缘材料；防水包装物</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7"/>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78"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22</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41" name="image10.png" descr=""/>
                  <wp:cNvGraphicFramePr>
                    <a:graphicFrameLocks noChangeAspect="1"/>
                  </wp:cNvGraphicFramePr>
                  <a:graphic>
                    <a:graphicData uri="http://schemas.openxmlformats.org/drawingml/2006/picture">
                      <pic:pic>
                        <pic:nvPicPr>
                          <pic:cNvPr id="42"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8250686</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18</w:t>
            </w:r>
            <w:r>
              <w:rPr>
                <w:rFonts w:ascii="新宋体" w:hAnsi="新宋体" w:cs="新宋体" w:eastAsia="新宋体" w:hint="default"/>
                <w:sz w:val="18"/>
                <w:szCs w:val="18"/>
              </w:rPr>
              <w:t>类。仿皮；旅行包；运动包；毛皮制覆盖物；皮制系 带；裘皮；伞；手杖；宠物服装；香肠肠衣</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8"/>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23</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43" name="image10.png" descr=""/>
                  <wp:cNvGraphicFramePr>
                    <a:graphicFrameLocks noChangeAspect="1"/>
                  </wp:cNvGraphicFramePr>
                  <a:graphic>
                    <a:graphicData uri="http://schemas.openxmlformats.org/drawingml/2006/picture">
                      <pic:pic>
                        <pic:nvPicPr>
                          <pic:cNvPr id="44"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8250719</w:t>
            </w:r>
          </w:p>
        </w:tc>
        <w:tc>
          <w:tcPr>
            <w:tcW w:w="4520" w:type="dxa"/>
            <w:tcBorders>
              <w:top w:val="single" w:sz="6" w:space="0" w:color="000000"/>
              <w:left w:val="single" w:sz="6" w:space="0" w:color="000000"/>
              <w:bottom w:val="single" w:sz="6" w:space="0" w:color="000000"/>
              <w:right w:val="single" w:sz="7" w:space="0" w:color="000000"/>
            </w:tcBorders>
          </w:tcPr>
          <w:p>
            <w:pPr>
              <w:pStyle w:val="TableParagraph"/>
              <w:spacing w:line="316" w:lineRule="auto" w:before="61"/>
              <w:ind w:left="4" w:right="-1"/>
              <w:jc w:val="left"/>
              <w:rPr>
                <w:rFonts w:ascii="新宋体" w:hAnsi="新宋体" w:cs="新宋体" w:eastAsia="新宋体" w:hint="default"/>
                <w:sz w:val="18"/>
                <w:szCs w:val="18"/>
              </w:rPr>
            </w:pPr>
            <w:r>
              <w:rPr>
                <w:rFonts w:ascii="新宋体" w:hAnsi="新宋体" w:cs="新宋体" w:eastAsia="新宋体" w:hint="default"/>
                <w:spacing w:val="-4"/>
                <w:sz w:val="18"/>
                <w:szCs w:val="18"/>
              </w:rPr>
              <w:t>第</w:t>
            </w:r>
            <w:r>
              <w:rPr>
                <w:rFonts w:ascii="新宋体" w:hAnsi="新宋体" w:cs="新宋体" w:eastAsia="新宋体" w:hint="default"/>
                <w:spacing w:val="-4"/>
                <w:sz w:val="18"/>
                <w:szCs w:val="18"/>
              </w:rPr>
              <w:t>19</w:t>
            </w:r>
            <w:r>
              <w:rPr>
                <w:rFonts w:ascii="新宋体" w:hAnsi="新宋体" w:cs="新宋体" w:eastAsia="新宋体" w:hint="default"/>
                <w:spacing w:val="-4"/>
                <w:sz w:val="18"/>
                <w:szCs w:val="18"/>
              </w:rPr>
              <w:t>类。半成品木材；建筑石料；水泥；混凝土建筑构件</w:t>
            </w:r>
            <w:r>
              <w:rPr>
                <w:rFonts w:ascii="新宋体" w:hAnsi="新宋体" w:cs="新宋体" w:eastAsia="新宋体" w:hint="default"/>
                <w:spacing w:val="-80"/>
                <w:sz w:val="18"/>
                <w:szCs w:val="18"/>
              </w:rPr>
              <w:t> </w:t>
            </w:r>
            <w:r>
              <w:rPr>
                <w:rFonts w:ascii="新宋体" w:hAnsi="新宋体" w:cs="新宋体" w:eastAsia="新宋体" w:hint="default"/>
                <w:spacing w:val="-80"/>
                <w:sz w:val="18"/>
                <w:szCs w:val="18"/>
              </w:rPr>
            </w:r>
            <w:r>
              <w:rPr>
                <w:rFonts w:ascii="新宋体" w:hAnsi="新宋体" w:cs="新宋体" w:eastAsia="新宋体" w:hint="default"/>
                <w:sz w:val="18"/>
                <w:szCs w:val="18"/>
              </w:rPr>
              <w:t>非金属耐火建筑材料；非金属建筑材料；非金属建筑物； 建筑玻璃；非金属建筑涂面材料；石料粘合剂</w:t>
            </w:r>
          </w:p>
        </w:tc>
        <w:tc>
          <w:tcPr>
            <w:tcW w:w="139" w:type="dxa"/>
            <w:tcBorders>
              <w:top w:val="single" w:sz="6" w:space="0" w:color="000000"/>
              <w:left w:val="single" w:sz="7" w:space="0" w:color="000000"/>
              <w:bottom w:val="single" w:sz="6" w:space="0" w:color="000000"/>
              <w:right w:val="nil" w:sz="6" w:space="0" w:color="auto"/>
            </w:tcBorders>
          </w:tcPr>
          <w:p>
            <w:pPr/>
          </w:p>
        </w:tc>
        <w:tc>
          <w:tcPr>
            <w:tcW w:w="1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58"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103"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24</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45" name="image10.png" descr=""/>
                  <wp:cNvGraphicFramePr>
                    <a:graphicFrameLocks noChangeAspect="1"/>
                  </wp:cNvGraphicFramePr>
                  <a:graphic>
                    <a:graphicData uri="http://schemas.openxmlformats.org/drawingml/2006/picture">
                      <pic:pic>
                        <pic:nvPicPr>
                          <pic:cNvPr id="46"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8250767</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20</w:t>
            </w:r>
            <w:r>
              <w:rPr>
                <w:rFonts w:ascii="新宋体" w:hAnsi="新宋体" w:cs="新宋体" w:eastAsia="新宋体" w:hint="default"/>
                <w:sz w:val="18"/>
                <w:szCs w:val="18"/>
              </w:rPr>
              <w:t>类。家具；非金属密封容器；镜子（玻璃镜）；竹木 工艺品；木、蜡、石膏或塑料艺术品；非金属数字牌；家 庭宠物巢箱；家具用非金属附件；野营睡袋；非金属锁</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364"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25</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3"/>
                  <wp:effectExtent l="0" t="0" r="0" b="0"/>
                  <wp:docPr id="47" name="image10.png" descr=""/>
                  <wp:cNvGraphicFramePr>
                    <a:graphicFrameLocks noChangeAspect="1"/>
                  </wp:cNvGraphicFramePr>
                  <a:graphic>
                    <a:graphicData uri="http://schemas.openxmlformats.org/drawingml/2006/picture">
                      <pic:pic>
                        <pic:nvPicPr>
                          <pic:cNvPr id="48" name="image10.png"/>
                          <pic:cNvPicPr/>
                        </pic:nvPicPr>
                        <pic:blipFill>
                          <a:blip r:embed="rId24" cstate="print"/>
                          <a:stretch>
                            <a:fillRect/>
                          </a:stretch>
                        </pic:blipFill>
                        <pic:spPr>
                          <a:xfrm>
                            <a:off x="0" y="0"/>
                            <a:ext cx="449043"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8250809</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21</w:t>
            </w:r>
            <w:r>
              <w:rPr>
                <w:rFonts w:ascii="新宋体" w:hAnsi="新宋体" w:cs="新宋体" w:eastAsia="新宋体" w:hint="default"/>
                <w:sz w:val="18"/>
                <w:szCs w:val="18"/>
              </w:rPr>
              <w:t>类家用或厨房用容器；日用玻璃器皿（包括杯、盘、 壶、缸）；家庭用陶瓷制品；瓷、赤陶或玻璃艺术品；茶 具；化妆用具；清洁器具（手工操作）；未加工或半加工 玻璃（建筑玻璃除外）；室内水族池</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80"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26</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3"/>
                  <wp:effectExtent l="0" t="0" r="0" b="0"/>
                  <wp:docPr id="49" name="image10.png" descr=""/>
                  <wp:cNvGraphicFramePr>
                    <a:graphicFrameLocks noChangeAspect="1"/>
                  </wp:cNvGraphicFramePr>
                  <a:graphic>
                    <a:graphicData uri="http://schemas.openxmlformats.org/drawingml/2006/picture">
                      <pic:pic>
                        <pic:nvPicPr>
                          <pic:cNvPr id="50" name="image10.png"/>
                          <pic:cNvPicPr/>
                        </pic:nvPicPr>
                        <pic:blipFill>
                          <a:blip r:embed="rId24" cstate="print"/>
                          <a:stretch>
                            <a:fillRect/>
                          </a:stretch>
                        </pic:blipFill>
                        <pic:spPr>
                          <a:xfrm>
                            <a:off x="0" y="0"/>
                            <a:ext cx="449043"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8250837</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25</w:t>
            </w:r>
            <w:r>
              <w:rPr>
                <w:rFonts w:ascii="新宋体" w:hAnsi="新宋体" w:cs="新宋体" w:eastAsia="新宋体" w:hint="default"/>
                <w:sz w:val="18"/>
                <w:szCs w:val="18"/>
              </w:rPr>
              <w:t>类。服装；婴儿全套衣；游泳衣；鞋；帽；袜；手套</w:t>
            </w:r>
          </w:p>
          <w:p>
            <w:pPr>
              <w:pStyle w:val="TableParagraph"/>
              <w:spacing w:line="240" w:lineRule="auto" w:before="74"/>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（服装）；领带；皮带（服饰用）</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78"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27</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51" name="image10.png" descr=""/>
                  <wp:cNvGraphicFramePr>
                    <a:graphicFrameLocks noChangeAspect="1"/>
                  </wp:cNvGraphicFramePr>
                  <a:graphic>
                    <a:graphicData uri="http://schemas.openxmlformats.org/drawingml/2006/picture">
                      <pic:pic>
                        <pic:nvPicPr>
                          <pic:cNvPr id="52"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8250873</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87"/>
              <w:jc w:val="left"/>
              <w:rPr>
                <w:rFonts w:ascii="新宋体" w:hAnsi="新宋体" w:cs="新宋体" w:eastAsia="新宋体" w:hint="default"/>
                <w:sz w:val="18"/>
                <w:szCs w:val="18"/>
              </w:rPr>
            </w:pPr>
            <w:r>
              <w:rPr>
                <w:rFonts w:ascii="新宋体" w:hAnsi="新宋体" w:cs="新宋体" w:eastAsia="新宋体" w:hint="default"/>
                <w:spacing w:val="-4"/>
                <w:sz w:val="18"/>
                <w:szCs w:val="18"/>
              </w:rPr>
              <w:t>第</w:t>
            </w:r>
            <w:r>
              <w:rPr>
                <w:rFonts w:ascii="新宋体" w:hAnsi="新宋体" w:cs="新宋体" w:eastAsia="新宋体" w:hint="default"/>
                <w:spacing w:val="-4"/>
                <w:sz w:val="18"/>
                <w:szCs w:val="18"/>
              </w:rPr>
              <w:t>27</w:t>
            </w:r>
            <w:r>
              <w:rPr>
                <w:rFonts w:ascii="新宋体" w:hAnsi="新宋体" w:cs="新宋体" w:eastAsia="新宋体" w:hint="default"/>
                <w:spacing w:val="-4"/>
                <w:sz w:val="18"/>
                <w:szCs w:val="18"/>
              </w:rPr>
              <w:t>类。地毯；垫席；席；枕席；汽车毡毯；汽车用垫毯</w:t>
            </w:r>
            <w:r>
              <w:rPr>
                <w:rFonts w:ascii="新宋体" w:hAnsi="新宋体" w:cs="新宋体" w:eastAsia="新宋体" w:hint="default"/>
                <w:spacing w:val="-81"/>
                <w:sz w:val="18"/>
                <w:szCs w:val="18"/>
              </w:rPr>
              <w:t> </w:t>
            </w:r>
            <w:r>
              <w:rPr>
                <w:rFonts w:ascii="新宋体" w:hAnsi="新宋体" w:cs="新宋体" w:eastAsia="新宋体" w:hint="default"/>
                <w:spacing w:val="-81"/>
                <w:sz w:val="18"/>
                <w:szCs w:val="18"/>
              </w:rPr>
            </w:r>
            <w:r>
              <w:rPr>
                <w:rFonts w:ascii="新宋体" w:hAnsi="新宋体" w:cs="新宋体" w:eastAsia="新宋体" w:hint="default"/>
                <w:sz w:val="18"/>
                <w:szCs w:val="18"/>
              </w:rPr>
              <w:t>防滑垫；地垫；墙纸；非纺织品壁挂</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7"/>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53" name="image10.png" descr=""/>
                  <wp:cNvGraphicFramePr>
                    <a:graphicFrameLocks noChangeAspect="1"/>
                  </wp:cNvGraphicFramePr>
                  <a:graphic>
                    <a:graphicData uri="http://schemas.openxmlformats.org/drawingml/2006/picture">
                      <pic:pic>
                        <pic:nvPicPr>
                          <pic:cNvPr id="54"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8250900</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28</w:t>
            </w:r>
            <w:r>
              <w:rPr>
                <w:rFonts w:ascii="新宋体" w:hAnsi="新宋体" w:cs="新宋体" w:eastAsia="新宋体" w:hint="default"/>
                <w:sz w:val="18"/>
                <w:szCs w:val="18"/>
              </w:rPr>
              <w:t>类。游戏机；玩具；棋类游戏；运动球类；锻炼身体 器械；射箭用器；体育活动器械；游泳池（娱乐用）；保 护垫（成套运动服部件）；钓具</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2"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29</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4"/>
                  <wp:effectExtent l="0" t="0" r="0" b="0"/>
                  <wp:docPr id="55" name="image10.png" descr=""/>
                  <wp:cNvGraphicFramePr>
                    <a:graphicFrameLocks noChangeAspect="1"/>
                  </wp:cNvGraphicFramePr>
                  <a:graphic>
                    <a:graphicData uri="http://schemas.openxmlformats.org/drawingml/2006/picture">
                      <pic:pic>
                        <pic:nvPicPr>
                          <pic:cNvPr id="56" name="image10.png"/>
                          <pic:cNvPicPr/>
                        </pic:nvPicPr>
                        <pic:blipFill>
                          <a:blip r:embed="rId24" cstate="print"/>
                          <a:stretch>
                            <a:fillRect/>
                          </a:stretch>
                        </pic:blipFill>
                        <pic:spPr>
                          <a:xfrm>
                            <a:off x="0" y="0"/>
                            <a:ext cx="449043" cy="393954"/>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8255223</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30</w:t>
            </w:r>
            <w:r>
              <w:rPr>
                <w:rFonts w:ascii="新宋体" w:hAnsi="新宋体" w:cs="新宋体" w:eastAsia="新宋体" w:hint="default"/>
                <w:sz w:val="18"/>
                <w:szCs w:val="18"/>
              </w:rPr>
              <w:t>类。咖啡饮料；茶；糖果；蜂蜜；糕点；谷类制品； </w:t>
            </w:r>
            <w:r>
              <w:rPr>
                <w:rFonts w:ascii="新宋体" w:hAnsi="新宋体" w:cs="新宋体" w:eastAsia="新宋体" w:hint="default"/>
                <w:spacing w:val="-8"/>
                <w:sz w:val="18"/>
                <w:szCs w:val="18"/>
              </w:rPr>
              <w:t>面粉制品；以谷物为主的零食小吃；调味品；食用香料（不</w:t>
            </w:r>
            <w:r>
              <w:rPr>
                <w:rFonts w:ascii="新宋体" w:hAnsi="新宋体" w:cs="新宋体" w:eastAsia="新宋体" w:hint="default"/>
                <w:spacing w:val="-66"/>
                <w:sz w:val="18"/>
                <w:szCs w:val="18"/>
              </w:rPr>
              <w:t> </w:t>
            </w:r>
            <w:r>
              <w:rPr>
                <w:rFonts w:ascii="新宋体" w:hAnsi="新宋体" w:cs="新宋体" w:eastAsia="新宋体" w:hint="default"/>
                <w:spacing w:val="-66"/>
                <w:sz w:val="18"/>
                <w:szCs w:val="18"/>
              </w:rPr>
            </w:r>
            <w:r>
              <w:rPr>
                <w:rFonts w:ascii="新宋体" w:hAnsi="新宋体" w:cs="新宋体" w:eastAsia="新宋体" w:hint="default"/>
                <w:sz w:val="18"/>
                <w:szCs w:val="18"/>
              </w:rPr>
              <w:t>包括含醚香料和香精油）</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30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043" cy="393954"/>
                  <wp:effectExtent l="0" t="0" r="0" b="0"/>
                  <wp:docPr id="57" name="image10.png" descr=""/>
                  <wp:cNvGraphicFramePr>
                    <a:graphicFrameLocks noChangeAspect="1"/>
                  </wp:cNvGraphicFramePr>
                  <a:graphic>
                    <a:graphicData uri="http://schemas.openxmlformats.org/drawingml/2006/picture">
                      <pic:pic>
                        <pic:nvPicPr>
                          <pic:cNvPr id="58" name="image10.png"/>
                          <pic:cNvPicPr/>
                        </pic:nvPicPr>
                        <pic:blipFill>
                          <a:blip r:embed="rId24" cstate="print"/>
                          <a:stretch>
                            <a:fillRect/>
                          </a:stretch>
                        </pic:blipFill>
                        <pic:spPr>
                          <a:xfrm>
                            <a:off x="0" y="0"/>
                            <a:ext cx="449043" cy="393954"/>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8255293</w:t>
            </w:r>
          </w:p>
        </w:tc>
        <w:tc>
          <w:tcPr>
            <w:tcW w:w="4520" w:type="dxa"/>
            <w:tcBorders>
              <w:top w:val="single" w:sz="6" w:space="0" w:color="000000"/>
              <w:left w:val="single" w:sz="6" w:space="0" w:color="000000"/>
              <w:bottom w:val="single" w:sz="6" w:space="0" w:color="000000"/>
              <w:right w:val="single" w:sz="7" w:space="0" w:color="000000"/>
            </w:tcBorders>
          </w:tcPr>
          <w:p>
            <w:pPr>
              <w:pStyle w:val="TableParagraph"/>
              <w:spacing w:line="316" w:lineRule="auto" w:before="61"/>
              <w:ind w:left="4" w:right="55"/>
              <w:jc w:val="both"/>
              <w:rPr>
                <w:rFonts w:ascii="新宋体" w:hAnsi="新宋体" w:cs="新宋体" w:eastAsia="新宋体" w:hint="default"/>
                <w:sz w:val="18"/>
                <w:szCs w:val="18"/>
              </w:rPr>
            </w:pPr>
            <w:r>
              <w:rPr>
                <w:rFonts w:ascii="新宋体" w:hAnsi="新宋体" w:cs="新宋体" w:eastAsia="新宋体" w:hint="default"/>
                <w:spacing w:val="-9"/>
                <w:sz w:val="18"/>
                <w:szCs w:val="18"/>
              </w:rPr>
              <w:t>第</w:t>
            </w:r>
            <w:r>
              <w:rPr>
                <w:rFonts w:ascii="新宋体" w:hAnsi="新宋体" w:cs="新宋体" w:eastAsia="新宋体" w:hint="default"/>
                <w:spacing w:val="-9"/>
                <w:sz w:val="18"/>
                <w:szCs w:val="18"/>
              </w:rPr>
              <w:t>32</w:t>
            </w:r>
            <w:r>
              <w:rPr>
                <w:rFonts w:ascii="新宋体" w:hAnsi="新宋体" w:cs="新宋体" w:eastAsia="新宋体" w:hint="default"/>
                <w:spacing w:val="-9"/>
                <w:sz w:val="18"/>
                <w:szCs w:val="18"/>
              </w:rPr>
              <w:t>类。啤酒；乳清饮料；水（饮料）；果汁饮料（饮料）</w:t>
            </w:r>
            <w:r>
              <w:rPr>
                <w:rFonts w:ascii="新宋体" w:hAnsi="新宋体" w:cs="新宋体" w:eastAsia="新宋体" w:hint="default"/>
                <w:sz w:val="18"/>
                <w:szCs w:val="18"/>
              </w:rPr>
              <w:t> </w:t>
            </w:r>
            <w:r>
              <w:rPr>
                <w:rFonts w:ascii="新宋体" w:hAnsi="新宋体" w:cs="新宋体" w:eastAsia="新宋体" w:hint="default"/>
                <w:spacing w:val="-4"/>
                <w:sz w:val="18"/>
                <w:szCs w:val="18"/>
              </w:rPr>
              <w:t>无酒精饮料；水果饮料（不含酒精）；奶茶（非奶为主）</w:t>
            </w:r>
            <w:r>
              <w:rPr>
                <w:rFonts w:ascii="新宋体" w:hAnsi="新宋体" w:cs="新宋体" w:eastAsia="新宋体" w:hint="default"/>
                <w:spacing w:val="-68"/>
                <w:sz w:val="18"/>
                <w:szCs w:val="18"/>
              </w:rPr>
              <w:t> </w:t>
            </w:r>
            <w:r>
              <w:rPr>
                <w:rFonts w:ascii="新宋体" w:hAnsi="新宋体" w:cs="新宋体" w:eastAsia="新宋体" w:hint="default"/>
                <w:spacing w:val="-68"/>
                <w:sz w:val="18"/>
                <w:szCs w:val="18"/>
              </w:rPr>
            </w:r>
            <w:r>
              <w:rPr>
                <w:rFonts w:ascii="新宋体" w:hAnsi="新宋体" w:cs="新宋体" w:eastAsia="新宋体" w:hint="default"/>
                <w:sz w:val="18"/>
                <w:szCs w:val="18"/>
              </w:rPr>
              <w:t>植物饮料；乳酸饮料（果制品，非奶）；饮料制剂</w:t>
            </w:r>
          </w:p>
        </w:tc>
        <w:tc>
          <w:tcPr>
            <w:tcW w:w="139" w:type="dxa"/>
            <w:tcBorders>
              <w:top w:val="single" w:sz="6" w:space="0" w:color="000000"/>
              <w:left w:val="single" w:sz="7" w:space="0" w:color="000000"/>
              <w:bottom w:val="single" w:sz="6" w:space="0" w:color="000000"/>
              <w:right w:val="nil" w:sz="6" w:space="0" w:color="auto"/>
            </w:tcBorders>
          </w:tcPr>
          <w:p>
            <w:pPr/>
          </w:p>
        </w:tc>
        <w:tc>
          <w:tcPr>
            <w:tcW w:w="1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58"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103"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80"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31</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4"/>
                <w:szCs w:val="4"/>
              </w:rPr>
            </w:pPr>
          </w:p>
          <w:p>
            <w:pPr>
              <w:pStyle w:val="TableParagraph"/>
              <w:spacing w:line="620" w:lineRule="exact"/>
              <w:ind w:left="64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449774" cy="393953"/>
                  <wp:effectExtent l="0" t="0" r="0" b="0"/>
                  <wp:docPr id="59" name="image10.png" descr=""/>
                  <wp:cNvGraphicFramePr>
                    <a:graphicFrameLocks noChangeAspect="1"/>
                  </wp:cNvGraphicFramePr>
                  <a:graphic>
                    <a:graphicData uri="http://schemas.openxmlformats.org/drawingml/2006/picture">
                      <pic:pic>
                        <pic:nvPicPr>
                          <pic:cNvPr id="60" name="image10.png"/>
                          <pic:cNvPicPr/>
                        </pic:nvPicPr>
                        <pic:blipFill>
                          <a:blip r:embed="rId24" cstate="print"/>
                          <a:stretch>
                            <a:fillRect/>
                          </a:stretch>
                        </pic:blipFill>
                        <pic:spPr>
                          <a:xfrm>
                            <a:off x="0" y="0"/>
                            <a:ext cx="449774" cy="39395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8255312</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33</w:t>
            </w:r>
            <w:r>
              <w:rPr>
                <w:rFonts w:ascii="新宋体" w:hAnsi="新宋体" w:cs="新宋体" w:eastAsia="新宋体" w:hint="default"/>
                <w:sz w:val="18"/>
                <w:szCs w:val="18"/>
              </w:rPr>
              <w:t>类。开胃酒；烧酒；蒸馏饮料；苹果酒；鸡尾酒；葡 萄酒；酒（饮料）；威士忌酒；含水果的酒精饮料；黄酒</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87" w:hRule="exact"/>
        </w:trPr>
        <w:tc>
          <w:tcPr>
            <w:tcW w:w="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32</w:t>
            </w:r>
          </w:p>
        </w:tc>
        <w:tc>
          <w:tcPr>
            <w:tcW w:w="2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6"/>
                <w:szCs w:val="6"/>
              </w:rPr>
            </w:pPr>
          </w:p>
          <w:p>
            <w:pPr>
              <w:pStyle w:val="TableParagraph"/>
              <w:spacing w:line="570" w:lineRule="exact"/>
              <w:ind w:left="8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161282" cy="361950"/>
                  <wp:effectExtent l="0" t="0" r="0" b="0"/>
                  <wp:docPr id="61" name="image11.jpeg" descr=""/>
                  <wp:cNvGraphicFramePr>
                    <a:graphicFrameLocks noChangeAspect="1"/>
                  </wp:cNvGraphicFramePr>
                  <a:graphic>
                    <a:graphicData uri="http://schemas.openxmlformats.org/drawingml/2006/picture">
                      <pic:pic>
                        <pic:nvPicPr>
                          <pic:cNvPr id="62" name="image11.jpeg"/>
                          <pic:cNvPicPr/>
                        </pic:nvPicPr>
                        <pic:blipFill>
                          <a:blip r:embed="rId25" cstate="print"/>
                          <a:stretch>
                            <a:fillRect/>
                          </a:stretch>
                        </pic:blipFill>
                        <pic:spPr>
                          <a:xfrm>
                            <a:off x="0" y="0"/>
                            <a:ext cx="1161282" cy="361950"/>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8260702</w:t>
            </w:r>
          </w:p>
        </w:tc>
        <w:tc>
          <w:tcPr>
            <w:tcW w:w="452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14</w:t>
            </w:r>
            <w:r>
              <w:rPr>
                <w:rFonts w:ascii="新宋体" w:hAnsi="新宋体" w:cs="新宋体" w:eastAsia="新宋体" w:hint="default"/>
                <w:sz w:val="18"/>
                <w:szCs w:val="18"/>
              </w:rPr>
              <w:t>类。未加工或半加工贵金属；首饰盒；银饰品；象牙 制品（首饰）；珠宝（首饰）；贵重金属塑像；贵重金属</w:t>
            </w:r>
          </w:p>
        </w:tc>
        <w:tc>
          <w:tcPr>
            <w:tcW w:w="121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4"/>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60" w:right="820"/>
        </w:sectPr>
      </w:pPr>
    </w:p>
    <w:p>
      <w:pPr>
        <w:spacing w:line="240" w:lineRule="auto" w:before="11"/>
        <w:rPr>
          <w:rFonts w:ascii="Times New Roman" w:hAnsi="Times New Roman" w:cs="Times New Roman" w:eastAsia="Times New Roman" w:hint="default"/>
          <w:sz w:val="27"/>
          <w:szCs w:val="27"/>
        </w:rPr>
      </w:pPr>
      <w:r>
        <w:rPr/>
        <w:pict>
          <v:shape style="position:absolute;margin-left:430.505005pt;margin-top:93.379982pt;width:64.95pt;height:19.6pt;mso-position-horizontal-relative:page;mso-position-vertical-relative:page;z-index:-947512" type="#_x0000_t202" filled="false" stroked="false">
            <v:textbox inset="0,0,0,0">
              <w:txbxContent>
                <w:p>
                  <w:pPr>
                    <w:spacing w:before="49"/>
                    <w:ind w:left="0" w:right="0" w:firstLine="0"/>
                    <w:jc w:val="left"/>
                    <w:rPr>
                      <w:rFonts w:ascii="新宋体" w:hAnsi="新宋体" w:cs="新宋体" w:eastAsia="新宋体" w:hint="default"/>
                      <w:sz w:val="18"/>
                      <w:szCs w:val="18"/>
                    </w:rPr>
                  </w:pPr>
                  <w:r>
                    <w:rPr>
                      <w:rFonts w:ascii="新宋体" w:hAnsi="新宋体" w:cs="新宋体" w:eastAsia="新宋体" w:hint="default"/>
                      <w:sz w:val="18"/>
                      <w:szCs w:val="18"/>
                    </w:rPr>
                    <w:t>；</w:t>
                  </w:r>
                </w:p>
              </w:txbxContent>
            </v:textbox>
            <w10:wrap type="none"/>
          </v:shape>
        </w:pict>
      </w:r>
      <w:r>
        <w:rPr/>
        <w:pict>
          <v:group style="position:absolute;margin-left:435.910004pt;margin-top:93.379982pt;width:59.55pt;height:19.6pt;mso-position-horizontal-relative:page;mso-position-vertical-relative:page;z-index:-947488" coordorigin="8718,1868" coordsize="1191,392">
            <v:shape style="position:absolute;left:8718;top:1868;width:1191;height:392" coordorigin="8718,1868" coordsize="1191,392" path="m8718,2259l9909,2259,9909,1868,8718,1868,8718,2259xe" filled="true" fillcolor="#ffffff" stroked="false">
              <v:path arrowok="t"/>
              <v:fill type="solid"/>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521"/>
        <w:gridCol w:w="2012"/>
        <w:gridCol w:w="970"/>
        <w:gridCol w:w="4520"/>
        <w:gridCol w:w="139"/>
        <w:gridCol w:w="1071"/>
        <w:gridCol w:w="1020"/>
      </w:tblGrid>
      <w:tr>
        <w:trPr>
          <w:trHeight w:val="394" w:hRule="exact"/>
        </w:trPr>
        <w:tc>
          <w:tcPr>
            <w:tcW w:w="521" w:type="dxa"/>
            <w:tcBorders>
              <w:top w:val="single" w:sz="12" w:space="0" w:color="000000"/>
              <w:left w:val="single" w:sz="12" w:space="0" w:color="000000"/>
              <w:bottom w:val="single" w:sz="6" w:space="0" w:color="000000"/>
              <w:right w:val="single" w:sz="6" w:space="0" w:color="000000"/>
            </w:tcBorders>
          </w:tcPr>
          <w:p>
            <w:pPr/>
          </w:p>
        </w:tc>
        <w:tc>
          <w:tcPr>
            <w:tcW w:w="2012" w:type="dxa"/>
            <w:tcBorders>
              <w:top w:val="single" w:sz="12" w:space="0" w:color="000000"/>
              <w:left w:val="single" w:sz="6" w:space="0" w:color="000000"/>
              <w:bottom w:val="single" w:sz="6" w:space="0" w:color="000000"/>
              <w:right w:val="single" w:sz="6" w:space="0" w:color="000000"/>
            </w:tcBorders>
          </w:tcPr>
          <w:p>
            <w:pPr/>
          </w:p>
        </w:tc>
        <w:tc>
          <w:tcPr>
            <w:tcW w:w="970" w:type="dxa"/>
            <w:tcBorders>
              <w:top w:val="single" w:sz="12" w:space="0" w:color="000000"/>
              <w:left w:val="single" w:sz="6" w:space="0" w:color="000000"/>
              <w:bottom w:val="single" w:sz="6" w:space="0" w:color="000000"/>
              <w:right w:val="single" w:sz="6" w:space="0" w:color="000000"/>
            </w:tcBorders>
          </w:tcPr>
          <w:p>
            <w:pPr/>
          </w:p>
        </w:tc>
        <w:tc>
          <w:tcPr>
            <w:tcW w:w="45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艺术品；银制工艺品；磁疗首饰；表</w:t>
            </w:r>
          </w:p>
        </w:tc>
        <w:tc>
          <w:tcPr>
            <w:tcW w:w="1210" w:type="dxa"/>
            <w:gridSpan w:val="2"/>
            <w:tcBorders>
              <w:top w:val="single" w:sz="12" w:space="0" w:color="000000"/>
              <w:left w:val="single" w:sz="6" w:space="0" w:color="000000"/>
              <w:bottom w:val="single" w:sz="6" w:space="0" w:color="000000"/>
              <w:right w:val="single" w:sz="6" w:space="0" w:color="000000"/>
            </w:tcBorders>
          </w:tcPr>
          <w:p>
            <w:pPr/>
          </w:p>
        </w:tc>
        <w:tc>
          <w:tcPr>
            <w:tcW w:w="1020" w:type="dxa"/>
            <w:tcBorders>
              <w:top w:val="single" w:sz="12" w:space="0" w:color="000000"/>
              <w:left w:val="single" w:sz="6" w:space="0" w:color="000000"/>
              <w:bottom w:val="single" w:sz="6" w:space="0" w:color="000000"/>
              <w:right w:val="single" w:sz="12" w:space="0" w:color="000000"/>
            </w:tcBorders>
          </w:tcPr>
          <w:p>
            <w:pPr/>
          </w:p>
        </w:tc>
      </w:tr>
      <w:tr>
        <w:trPr>
          <w:trHeight w:val="780"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33</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6"/>
                <w:szCs w:val="6"/>
              </w:rPr>
            </w:pPr>
          </w:p>
          <w:p>
            <w:pPr>
              <w:pStyle w:val="TableParagraph"/>
              <w:spacing w:line="570" w:lineRule="exact"/>
              <w:ind w:left="8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159252" cy="361950"/>
                  <wp:effectExtent l="0" t="0" r="0" b="0"/>
                  <wp:docPr id="63" name="image11.jpeg" descr=""/>
                  <wp:cNvGraphicFramePr>
                    <a:graphicFrameLocks noChangeAspect="1"/>
                  </wp:cNvGraphicFramePr>
                  <a:graphic>
                    <a:graphicData uri="http://schemas.openxmlformats.org/drawingml/2006/picture">
                      <pic:pic>
                        <pic:nvPicPr>
                          <pic:cNvPr id="64" name="image11.jpeg"/>
                          <pic:cNvPicPr/>
                        </pic:nvPicPr>
                        <pic:blipFill>
                          <a:blip r:embed="rId25" cstate="print"/>
                          <a:stretch>
                            <a:fillRect/>
                          </a:stretch>
                        </pic:blipFill>
                        <pic:spPr>
                          <a:xfrm>
                            <a:off x="0" y="0"/>
                            <a:ext cx="1159252" cy="361950"/>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8260730</w:t>
            </w:r>
          </w:p>
        </w:tc>
        <w:tc>
          <w:tcPr>
            <w:tcW w:w="4520" w:type="dxa"/>
            <w:tcBorders>
              <w:top w:val="single" w:sz="6" w:space="0" w:color="000000"/>
              <w:left w:val="single" w:sz="6" w:space="0" w:color="000000"/>
              <w:bottom w:val="single" w:sz="6" w:space="0" w:color="000000"/>
              <w:right w:val="single" w:sz="7" w:space="0" w:color="000000"/>
            </w:tcBorders>
          </w:tcPr>
          <w:p>
            <w:pPr>
              <w:pStyle w:val="TableParagraph"/>
              <w:spacing w:line="316" w:lineRule="auto" w:before="61"/>
              <w:ind w:left="4" w:right="49"/>
              <w:jc w:val="left"/>
              <w:rPr>
                <w:rFonts w:ascii="新宋体" w:hAnsi="新宋体" w:cs="新宋体" w:eastAsia="新宋体" w:hint="default"/>
                <w:sz w:val="18"/>
                <w:szCs w:val="18"/>
              </w:rPr>
            </w:pPr>
            <w:r>
              <w:rPr>
                <w:rFonts w:ascii="新宋体" w:hAnsi="新宋体" w:cs="新宋体" w:eastAsia="新宋体" w:hint="default"/>
                <w:spacing w:val="-9"/>
                <w:sz w:val="18"/>
                <w:szCs w:val="18"/>
              </w:rPr>
              <w:t>第</w:t>
            </w:r>
            <w:r>
              <w:rPr>
                <w:rFonts w:ascii="新宋体" w:hAnsi="新宋体" w:cs="新宋体" w:eastAsia="新宋体" w:hint="default"/>
                <w:spacing w:val="-9"/>
                <w:sz w:val="18"/>
                <w:szCs w:val="18"/>
              </w:rPr>
              <w:t>15</w:t>
            </w:r>
            <w:r>
              <w:rPr>
                <w:rFonts w:ascii="新宋体" w:hAnsi="新宋体" w:cs="新宋体" w:eastAsia="新宋体" w:hint="default"/>
                <w:spacing w:val="-9"/>
                <w:sz w:val="18"/>
                <w:szCs w:val="18"/>
              </w:rPr>
              <w:t>类。钢琴；乐器；弦乐器；小提琴；唢呐（中国喇叭）</w:t>
            </w:r>
            <w:r>
              <w:rPr>
                <w:rFonts w:ascii="新宋体" w:hAnsi="新宋体" w:cs="新宋体" w:eastAsia="新宋体" w:hint="default"/>
                <w:spacing w:val="-85"/>
                <w:sz w:val="18"/>
                <w:szCs w:val="18"/>
              </w:rPr>
              <w:t> </w:t>
            </w:r>
            <w:r>
              <w:rPr>
                <w:rFonts w:ascii="新宋体" w:hAnsi="新宋体" w:cs="新宋体" w:eastAsia="新宋体" w:hint="default"/>
                <w:spacing w:val="-85"/>
                <w:sz w:val="18"/>
                <w:szCs w:val="18"/>
              </w:rPr>
            </w:r>
            <w:r>
              <w:rPr>
                <w:rFonts w:ascii="新宋体" w:hAnsi="新宋体" w:cs="新宋体" w:eastAsia="新宋体" w:hint="default"/>
                <w:sz w:val="18"/>
                <w:szCs w:val="18"/>
              </w:rPr>
              <w:t>电子琴；筝；箫；打击乐器；乐谱架</w:t>
            </w:r>
          </w:p>
        </w:tc>
        <w:tc>
          <w:tcPr>
            <w:tcW w:w="139" w:type="dxa"/>
            <w:tcBorders>
              <w:top w:val="single" w:sz="6" w:space="0" w:color="000000"/>
              <w:left w:val="single" w:sz="7" w:space="0" w:color="000000"/>
              <w:bottom w:val="single" w:sz="6" w:space="0" w:color="000000"/>
              <w:right w:val="nil" w:sz="6" w:space="0" w:color="auto"/>
            </w:tcBorders>
          </w:tcPr>
          <w:p>
            <w:pPr/>
          </w:p>
        </w:tc>
        <w:tc>
          <w:tcPr>
            <w:tcW w:w="10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57"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5"/>
              <w:ind w:left="103"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34</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6"/>
                <w:szCs w:val="6"/>
              </w:rPr>
            </w:pPr>
          </w:p>
          <w:p>
            <w:pPr>
              <w:pStyle w:val="TableParagraph"/>
              <w:spacing w:line="570" w:lineRule="exact"/>
              <w:ind w:left="8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161282" cy="361950"/>
                  <wp:effectExtent l="0" t="0" r="0" b="0"/>
                  <wp:docPr id="65" name="image11.jpeg" descr=""/>
                  <wp:cNvGraphicFramePr>
                    <a:graphicFrameLocks noChangeAspect="1"/>
                  </wp:cNvGraphicFramePr>
                  <a:graphic>
                    <a:graphicData uri="http://schemas.openxmlformats.org/drawingml/2006/picture">
                      <pic:pic>
                        <pic:nvPicPr>
                          <pic:cNvPr id="66" name="image11.jpeg"/>
                          <pic:cNvPicPr/>
                        </pic:nvPicPr>
                        <pic:blipFill>
                          <a:blip r:embed="rId25" cstate="print"/>
                          <a:stretch>
                            <a:fillRect/>
                          </a:stretch>
                        </pic:blipFill>
                        <pic:spPr>
                          <a:xfrm>
                            <a:off x="0" y="0"/>
                            <a:ext cx="1161282" cy="36195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8260756</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22</w:t>
            </w:r>
            <w:r>
              <w:rPr>
                <w:rFonts w:ascii="新宋体" w:hAnsi="新宋体" w:cs="新宋体" w:eastAsia="新宋体" w:hint="default"/>
                <w:sz w:val="18"/>
                <w:szCs w:val="18"/>
              </w:rPr>
              <w:t>类。包装或捆扎非金属带；网织物；车辆盖罩（非安 装）；帆；防水帆布；帐篷；包装用纺织品袋（包）；瓶 用草制包装物；非橡胶非塑料填料；纤维纺织原料</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7"/>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051"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35</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6"/>
                <w:szCs w:val="6"/>
              </w:rPr>
            </w:pPr>
          </w:p>
          <w:p>
            <w:pPr>
              <w:pStyle w:val="TableParagraph"/>
              <w:spacing w:line="570" w:lineRule="exact"/>
              <w:ind w:left="8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161282" cy="361950"/>
                  <wp:effectExtent l="0" t="0" r="0" b="0"/>
                  <wp:docPr id="67" name="image11.jpeg" descr=""/>
                  <wp:cNvGraphicFramePr>
                    <a:graphicFrameLocks noChangeAspect="1"/>
                  </wp:cNvGraphicFramePr>
                  <a:graphic>
                    <a:graphicData uri="http://schemas.openxmlformats.org/drawingml/2006/picture">
                      <pic:pic>
                        <pic:nvPicPr>
                          <pic:cNvPr id="68" name="image11.jpeg"/>
                          <pic:cNvPicPr/>
                        </pic:nvPicPr>
                        <pic:blipFill>
                          <a:blip r:embed="rId25" cstate="print"/>
                          <a:stretch>
                            <a:fillRect/>
                          </a:stretch>
                        </pic:blipFill>
                        <pic:spPr>
                          <a:xfrm>
                            <a:off x="0" y="0"/>
                            <a:ext cx="1161282" cy="36195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8266856</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both"/>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39</w:t>
            </w:r>
            <w:r>
              <w:rPr>
                <w:rFonts w:ascii="新宋体" w:hAnsi="新宋体" w:cs="新宋体" w:eastAsia="新宋体" w:hint="default"/>
                <w:sz w:val="18"/>
                <w:szCs w:val="18"/>
              </w:rPr>
              <w:t>类。货运；河运；汽车运输；导航；车辆租赁；货物 贮存；能源分配；液化气站；快递（信件或商品）；旅游 安排</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0" w:right="0"/>
              <w:jc w:val="left"/>
              <w:rPr>
                <w:rFonts w:ascii="新宋体" w:hAnsi="新宋体" w:cs="新宋体" w:eastAsia="新宋体" w:hint="default"/>
                <w:sz w:val="18"/>
                <w:szCs w:val="18"/>
              </w:rPr>
            </w:pPr>
            <w:r>
              <w:rPr>
                <w:rFonts w:ascii="新宋体"/>
                <w:sz w:val="18"/>
              </w:rPr>
              <w:t>2011.5.7-</w:t>
            </w:r>
          </w:p>
          <w:p>
            <w:pPr>
              <w:pStyle w:val="TableParagraph"/>
              <w:spacing w:line="240" w:lineRule="auto" w:before="117"/>
              <w:ind w:left="235" w:right="0"/>
              <w:jc w:val="left"/>
              <w:rPr>
                <w:rFonts w:ascii="新宋体" w:hAnsi="新宋体" w:cs="新宋体" w:eastAsia="新宋体" w:hint="default"/>
                <w:sz w:val="18"/>
                <w:szCs w:val="18"/>
              </w:rPr>
            </w:pPr>
            <w:r>
              <w:rPr>
                <w:rFonts w:ascii="新宋体"/>
                <w:sz w:val="18"/>
              </w:rPr>
              <w:t>2021.5.6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2612"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36</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1608" w:lineRule="exact"/>
              <w:ind w:left="10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133861" cy="1021175"/>
                  <wp:effectExtent l="0" t="0" r="0" b="0"/>
                  <wp:docPr id="69" name="image12.png" descr=""/>
                  <wp:cNvGraphicFramePr>
                    <a:graphicFrameLocks noChangeAspect="1"/>
                  </wp:cNvGraphicFramePr>
                  <a:graphic>
                    <a:graphicData uri="http://schemas.openxmlformats.org/drawingml/2006/picture">
                      <pic:pic>
                        <pic:nvPicPr>
                          <pic:cNvPr id="70" name="image12.png"/>
                          <pic:cNvPicPr/>
                        </pic:nvPicPr>
                        <pic:blipFill>
                          <a:blip r:embed="rId26" cstate="print"/>
                          <a:stretch>
                            <a:fillRect/>
                          </a:stretch>
                        </pic:blipFill>
                        <pic:spPr>
                          <a:xfrm>
                            <a:off x="0" y="0"/>
                            <a:ext cx="1133861" cy="1021175"/>
                          </a:xfrm>
                          <a:prstGeom prst="rect">
                            <a:avLst/>
                          </a:prstGeom>
                        </pic:spPr>
                      </pic:pic>
                    </a:graphicData>
                  </a:graphic>
                </wp:inline>
              </w:drawing>
            </w:r>
            <w:r>
              <w:rPr>
                <w:rFonts w:ascii="Times New Roman" w:hAnsi="Times New Roman" w:cs="Times New Roman" w:eastAsia="Times New Roman" w:hint="default"/>
                <w:position w:val="-3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 w:right="0"/>
              <w:jc w:val="both"/>
              <w:rPr>
                <w:rFonts w:ascii="新宋体" w:hAnsi="新宋体" w:cs="新宋体" w:eastAsia="新宋体" w:hint="default"/>
                <w:sz w:val="18"/>
                <w:szCs w:val="18"/>
              </w:rPr>
            </w:pPr>
            <w:r>
              <w:rPr>
                <w:rFonts w:ascii="新宋体"/>
                <w:sz w:val="18"/>
              </w:rPr>
              <w:t>annexure</w:t>
            </w:r>
            <w:r>
              <w:rPr>
                <w:rFonts w:ascii="新宋体"/>
                <w:spacing w:val="-42"/>
                <w:sz w:val="18"/>
              </w:rPr>
              <w:t> </w:t>
            </w:r>
            <w:r>
              <w:rPr>
                <w:rFonts w:ascii="新宋体"/>
                <w:sz w:val="18"/>
              </w:rPr>
              <w:t>of</w:t>
            </w:r>
            <w:r>
              <w:rPr>
                <w:rFonts w:ascii="新宋体"/>
                <w:sz w:val="18"/>
              </w:rPr>
              <w:t> certificat e</w:t>
            </w:r>
          </w:p>
          <w:p>
            <w:pPr>
              <w:pStyle w:val="TableParagraph"/>
              <w:spacing w:line="240" w:lineRule="auto" w:before="17"/>
              <w:ind w:left="2" w:right="0"/>
              <w:jc w:val="left"/>
              <w:rPr>
                <w:rFonts w:ascii="新宋体" w:hAnsi="新宋体" w:cs="新宋体" w:eastAsia="新宋体" w:hint="default"/>
                <w:sz w:val="18"/>
                <w:szCs w:val="18"/>
              </w:rPr>
            </w:pPr>
            <w:r>
              <w:rPr>
                <w:rFonts w:ascii="新宋体"/>
                <w:sz w:val="18"/>
              </w:rPr>
              <w:t>no.</w:t>
            </w:r>
            <w:r>
              <w:rPr>
                <w:rFonts w:ascii="新宋体"/>
                <w:spacing w:val="-3"/>
                <w:sz w:val="18"/>
              </w:rPr>
              <w:t> </w:t>
            </w:r>
            <w:r>
              <w:rPr>
                <w:rFonts w:ascii="新宋体"/>
                <w:sz w:val="18"/>
              </w:rPr>
              <w:t>:10068</w:t>
            </w:r>
          </w:p>
          <w:p>
            <w:pPr>
              <w:pStyle w:val="TableParagraph"/>
              <w:spacing w:line="316" w:lineRule="auto" w:before="76"/>
              <w:ind w:left="2" w:right="51"/>
              <w:jc w:val="left"/>
              <w:rPr>
                <w:rFonts w:ascii="新宋体" w:hAnsi="新宋体" w:cs="新宋体" w:eastAsia="新宋体" w:hint="default"/>
                <w:sz w:val="18"/>
                <w:szCs w:val="18"/>
              </w:rPr>
            </w:pPr>
            <w:r>
              <w:rPr>
                <w:rFonts w:ascii="新宋体"/>
                <w:sz w:val="18"/>
              </w:rPr>
              <w:t>50;trade mark no.:196494 0</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3"/>
              <w:jc w:val="left"/>
              <w:rPr>
                <w:rFonts w:ascii="新宋体" w:hAnsi="新宋体" w:cs="新宋体" w:eastAsia="新宋体" w:hint="default"/>
                <w:sz w:val="18"/>
                <w:szCs w:val="18"/>
              </w:rPr>
            </w:pPr>
            <w:r>
              <w:rPr>
                <w:rFonts w:ascii="新宋体" w:hAnsi="新宋体" w:cs="新宋体" w:eastAsia="新宋体" w:hint="default"/>
                <w:spacing w:val="-3"/>
                <w:sz w:val="18"/>
                <w:szCs w:val="18"/>
              </w:rPr>
              <w:t>第</w:t>
            </w:r>
            <w:r>
              <w:rPr>
                <w:rFonts w:ascii="新宋体" w:hAnsi="新宋体" w:cs="新宋体" w:eastAsia="新宋体" w:hint="default"/>
                <w:spacing w:val="-3"/>
                <w:sz w:val="18"/>
                <w:szCs w:val="18"/>
              </w:rPr>
              <w:t>9</w:t>
            </w:r>
            <w:r>
              <w:rPr>
                <w:rFonts w:ascii="新宋体" w:hAnsi="新宋体" w:cs="新宋体" w:eastAsia="新宋体" w:hint="default"/>
                <w:spacing w:val="-3"/>
                <w:sz w:val="18"/>
                <w:szCs w:val="18"/>
              </w:rPr>
              <w:t>类。</w:t>
            </w:r>
            <w:r>
              <w:rPr>
                <w:rFonts w:ascii="新宋体" w:hAnsi="新宋体" w:cs="新宋体" w:eastAsia="新宋体" w:hint="default"/>
                <w:spacing w:val="-3"/>
                <w:sz w:val="18"/>
                <w:szCs w:val="18"/>
              </w:rPr>
              <w:t>DETECTORS;MEASURING</w:t>
            </w:r>
            <w:r>
              <w:rPr>
                <w:rFonts w:ascii="新宋体" w:hAnsi="新宋体" w:cs="新宋体" w:eastAsia="新宋体" w:hint="default"/>
                <w:spacing w:val="-44"/>
                <w:sz w:val="18"/>
                <w:szCs w:val="18"/>
              </w:rPr>
              <w:t> </w:t>
            </w:r>
            <w:r>
              <w:rPr>
                <w:rFonts w:ascii="新宋体" w:hAnsi="新宋体" w:cs="新宋体" w:eastAsia="新宋体" w:hint="default"/>
                <w:sz w:val="18"/>
                <w:szCs w:val="18"/>
              </w:rPr>
              <w:t>INSTRUMENTS;</w:t>
            </w:r>
            <w:r>
              <w:rPr>
                <w:rFonts w:ascii="新宋体" w:hAnsi="新宋体" w:cs="新宋体" w:eastAsia="新宋体" w:hint="default"/>
                <w:spacing w:val="-46"/>
                <w:sz w:val="18"/>
                <w:szCs w:val="18"/>
              </w:rPr>
              <w:t> </w:t>
            </w:r>
            <w:r>
              <w:rPr>
                <w:rFonts w:ascii="新宋体" w:hAnsi="新宋体" w:cs="新宋体" w:eastAsia="新宋体" w:hint="default"/>
                <w:sz w:val="18"/>
                <w:szCs w:val="18"/>
              </w:rPr>
              <w:t>AIR</w:t>
            </w:r>
            <w:r>
              <w:rPr>
                <w:rFonts w:ascii="新宋体" w:hAnsi="新宋体" w:cs="新宋体" w:eastAsia="新宋体" w:hint="default"/>
                <w:spacing w:val="-46"/>
                <w:sz w:val="18"/>
                <w:szCs w:val="18"/>
              </w:rPr>
              <w:t> </w:t>
            </w:r>
            <w:r>
              <w:rPr>
                <w:rFonts w:ascii="新宋体" w:hAnsi="新宋体" w:cs="新宋体" w:eastAsia="新宋体" w:hint="default"/>
                <w:sz w:val="18"/>
                <w:szCs w:val="18"/>
              </w:rPr>
              <w:t>ANALYSIS</w:t>
            </w:r>
            <w:r>
              <w:rPr>
                <w:rFonts w:ascii="新宋体" w:hAnsi="新宋体" w:cs="新宋体" w:eastAsia="新宋体" w:hint="default"/>
                <w:sz w:val="18"/>
                <w:szCs w:val="18"/>
              </w:rPr>
              <w:t> APPARATUS;HYGROMETERS;GAS</w:t>
            </w:r>
            <w:r>
              <w:rPr>
                <w:rFonts w:ascii="新宋体" w:hAnsi="新宋体" w:cs="新宋体" w:eastAsia="新宋体" w:hint="default"/>
                <w:spacing w:val="-2"/>
                <w:sz w:val="18"/>
                <w:szCs w:val="18"/>
              </w:rPr>
              <w:t> </w:t>
            </w:r>
            <w:r>
              <w:rPr>
                <w:rFonts w:ascii="新宋体" w:hAnsi="新宋体" w:cs="新宋体" w:eastAsia="新宋体" w:hint="default"/>
                <w:sz w:val="18"/>
                <w:szCs w:val="18"/>
              </w:rPr>
              <w:t>TESTING</w:t>
            </w:r>
            <w:r>
              <w:rPr>
                <w:rFonts w:ascii="新宋体" w:hAnsi="新宋体" w:cs="新宋体" w:eastAsia="新宋体" w:hint="default"/>
                <w:sz w:val="18"/>
                <w:szCs w:val="18"/>
              </w:rPr>
              <w:t> INSTRUMENTS;MEASURING</w:t>
            </w:r>
          </w:p>
          <w:p>
            <w:pPr>
              <w:pStyle w:val="TableParagraph"/>
              <w:spacing w:line="316" w:lineRule="auto" w:before="17"/>
              <w:ind w:left="4" w:right="86"/>
              <w:jc w:val="left"/>
              <w:rPr>
                <w:rFonts w:ascii="新宋体" w:hAnsi="新宋体" w:cs="新宋体" w:eastAsia="新宋体" w:hint="default"/>
                <w:sz w:val="18"/>
                <w:szCs w:val="18"/>
              </w:rPr>
            </w:pPr>
            <w:r>
              <w:rPr>
                <w:rFonts w:ascii="新宋体"/>
                <w:sz w:val="18"/>
              </w:rPr>
              <w:t>DEVICES,ELECTRIC;SEMI-CONDUCTORS,INDUCTORS(ELECTR ICITY); ALARMS;BELLS(WARNING</w:t>
            </w:r>
            <w:r>
              <w:rPr>
                <w:rFonts w:ascii="新宋体"/>
                <w:spacing w:val="-15"/>
                <w:sz w:val="18"/>
              </w:rPr>
              <w:t> </w:t>
            </w:r>
            <w:r>
              <w:rPr>
                <w:rFonts w:ascii="新宋体"/>
                <w:sz w:val="18"/>
              </w:rPr>
              <w:t>DEVICES)</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46" w:right="0"/>
              <w:jc w:val="left"/>
              <w:rPr>
                <w:rFonts w:ascii="新宋体" w:hAnsi="新宋体" w:cs="新宋体" w:eastAsia="新宋体" w:hint="default"/>
                <w:sz w:val="18"/>
                <w:szCs w:val="18"/>
              </w:rPr>
            </w:pPr>
            <w:r>
              <w:rPr>
                <w:rFonts w:ascii="新宋体"/>
                <w:sz w:val="18"/>
              </w:rPr>
              <w:t>2011.4.25-</w:t>
            </w:r>
          </w:p>
          <w:p>
            <w:pPr>
              <w:pStyle w:val="TableParagraph"/>
              <w:spacing w:line="240" w:lineRule="auto" w:before="118"/>
              <w:ind w:left="190" w:right="0"/>
              <w:jc w:val="left"/>
              <w:rPr>
                <w:rFonts w:ascii="新宋体" w:hAnsi="新宋体" w:cs="新宋体" w:eastAsia="新宋体" w:hint="default"/>
                <w:sz w:val="18"/>
                <w:szCs w:val="18"/>
              </w:rPr>
            </w:pPr>
            <w:r>
              <w:rPr>
                <w:rFonts w:ascii="新宋体"/>
                <w:sz w:val="18"/>
              </w:rPr>
              <w:t>2021.4.24</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988"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37</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624" w:lineRule="exact"/>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147219" cy="396335"/>
                  <wp:effectExtent l="0" t="0" r="0" b="0"/>
                  <wp:docPr id="71" name="image13.jpeg" descr=""/>
                  <wp:cNvGraphicFramePr>
                    <a:graphicFrameLocks noChangeAspect="1"/>
                  </wp:cNvGraphicFramePr>
                  <a:graphic>
                    <a:graphicData uri="http://schemas.openxmlformats.org/drawingml/2006/picture">
                      <pic:pic>
                        <pic:nvPicPr>
                          <pic:cNvPr id="72" name="image13.jpeg"/>
                          <pic:cNvPicPr/>
                        </pic:nvPicPr>
                        <pic:blipFill>
                          <a:blip r:embed="rId27" cstate="print"/>
                          <a:stretch>
                            <a:fillRect/>
                          </a:stretch>
                        </pic:blipFill>
                        <pic:spPr>
                          <a:xfrm>
                            <a:off x="0" y="0"/>
                            <a:ext cx="1147219" cy="396335"/>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8481456</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第</w:t>
            </w:r>
            <w:r>
              <w:rPr>
                <w:rFonts w:ascii="新宋体" w:hAnsi="新宋体" w:cs="新宋体" w:eastAsia="新宋体" w:hint="default"/>
                <w:sz w:val="18"/>
                <w:szCs w:val="18"/>
              </w:rPr>
              <w:t>9</w:t>
            </w:r>
            <w:r>
              <w:rPr>
                <w:rFonts w:ascii="新宋体" w:hAnsi="新宋体" w:cs="新宋体" w:eastAsia="新宋体" w:hint="default"/>
                <w:sz w:val="18"/>
                <w:szCs w:val="18"/>
              </w:rPr>
              <w:t>类。传感器；探测器；报警器；气体检测仪；酒精含 量计；空气分析仪器；半导体器件；感应器；湿度表；测 量装置；烟雾探测器；火灾报警器；仪表元件和仪表专用 材料；传感器测试系统；感应器模块；电子防盗装置；防 盗报警器；车辆轮胎低压自动显示器；车辆轮胎低压自动 指示器；车辆测速器；车轴恒温器</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46" w:right="0"/>
              <w:jc w:val="left"/>
              <w:rPr>
                <w:rFonts w:ascii="新宋体" w:hAnsi="新宋体" w:cs="新宋体" w:eastAsia="新宋体" w:hint="default"/>
                <w:sz w:val="18"/>
                <w:szCs w:val="18"/>
              </w:rPr>
            </w:pPr>
            <w:r>
              <w:rPr>
                <w:rFonts w:ascii="新宋体"/>
                <w:sz w:val="18"/>
              </w:rPr>
              <w:t>2011.11.7-</w:t>
            </w:r>
          </w:p>
          <w:p>
            <w:pPr>
              <w:pStyle w:val="TableParagraph"/>
              <w:spacing w:line="240" w:lineRule="auto" w:before="117"/>
              <w:ind w:left="190" w:right="0"/>
              <w:jc w:val="left"/>
              <w:rPr>
                <w:rFonts w:ascii="新宋体" w:hAnsi="新宋体" w:cs="新宋体" w:eastAsia="新宋体" w:hint="default"/>
                <w:sz w:val="18"/>
                <w:szCs w:val="18"/>
              </w:rPr>
            </w:pPr>
            <w:r>
              <w:rPr>
                <w:rFonts w:ascii="新宋体"/>
                <w:sz w:val="18"/>
              </w:rPr>
              <w:t>2021.11.6</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1363" w:hRule="exact"/>
        </w:trPr>
        <w:tc>
          <w:tcPr>
            <w:tcW w:w="5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90" w:right="0"/>
              <w:jc w:val="center"/>
              <w:rPr>
                <w:rFonts w:ascii="新宋体" w:hAnsi="新宋体" w:cs="新宋体" w:eastAsia="新宋体" w:hint="default"/>
                <w:sz w:val="18"/>
                <w:szCs w:val="18"/>
              </w:rPr>
            </w:pPr>
            <w:r>
              <w:rPr>
                <w:rFonts w:ascii="新宋体"/>
                <w:sz w:val="18"/>
              </w:rPr>
              <w:t>38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633" w:lineRule="exact"/>
              <w:ind w:left="16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065646" cy="402336"/>
                  <wp:effectExtent l="0" t="0" r="0" b="0"/>
                  <wp:docPr id="73" name="image14.jpeg" descr=""/>
                  <wp:cNvGraphicFramePr>
                    <a:graphicFrameLocks noChangeAspect="1"/>
                  </wp:cNvGraphicFramePr>
                  <a:graphic>
                    <a:graphicData uri="http://schemas.openxmlformats.org/drawingml/2006/picture">
                      <pic:pic>
                        <pic:nvPicPr>
                          <pic:cNvPr id="74" name="image14.jpeg"/>
                          <pic:cNvPicPr/>
                        </pic:nvPicPr>
                        <pic:blipFill>
                          <a:blip r:embed="rId28" cstate="print"/>
                          <a:stretch>
                            <a:fillRect/>
                          </a:stretch>
                        </pic:blipFill>
                        <pic:spPr>
                          <a:xfrm>
                            <a:off x="0" y="0"/>
                            <a:ext cx="1065646" cy="402336"/>
                          </a:xfrm>
                          <a:prstGeom prst="rect">
                            <a:avLst/>
                          </a:prstGeom>
                        </pic:spPr>
                      </pic:pic>
                    </a:graphicData>
                  </a:graphic>
                </wp:inline>
              </w:drawing>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8564827</w:t>
            </w:r>
          </w:p>
        </w:tc>
        <w:tc>
          <w:tcPr>
            <w:tcW w:w="45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新宋体" w:hAnsi="新宋体" w:cs="新宋体" w:eastAsia="新宋体" w:hint="default"/>
                <w:sz w:val="18"/>
                <w:szCs w:val="18"/>
              </w:rPr>
            </w:pPr>
            <w:r>
              <w:rPr>
                <w:rFonts w:ascii="新宋体" w:hAnsi="新宋体" w:cs="新宋体" w:eastAsia="新宋体" w:hint="default"/>
                <w:sz w:val="18"/>
                <w:szCs w:val="18"/>
              </w:rPr>
              <w:t>数据处理设备；微处理机；连接器（数据处理设备）；读 </w:t>
            </w:r>
            <w:r>
              <w:rPr>
                <w:rFonts w:ascii="新宋体" w:hAnsi="新宋体" w:cs="新宋体" w:eastAsia="新宋体" w:hint="default"/>
                <w:spacing w:val="-4"/>
                <w:sz w:val="18"/>
                <w:szCs w:val="18"/>
              </w:rPr>
              <w:t>出器（数据处理设备）；智能卡（集成电路卡）；计时器</w:t>
            </w:r>
            <w:r>
              <w:rPr>
                <w:rFonts w:ascii="新宋体" w:hAnsi="新宋体" w:cs="新宋体" w:eastAsia="新宋体" w:hint="default"/>
                <w:spacing w:val="-83"/>
                <w:sz w:val="18"/>
                <w:szCs w:val="18"/>
              </w:rPr>
              <w:t> </w:t>
            </w:r>
            <w:r>
              <w:rPr>
                <w:rFonts w:ascii="新宋体" w:hAnsi="新宋体" w:cs="新宋体" w:eastAsia="新宋体" w:hint="default"/>
                <w:spacing w:val="-83"/>
                <w:sz w:val="18"/>
                <w:szCs w:val="18"/>
              </w:rPr>
            </w:r>
            <w:r>
              <w:rPr>
                <w:rFonts w:ascii="新宋体" w:hAnsi="新宋体" w:cs="新宋体" w:eastAsia="新宋体" w:hint="default"/>
                <w:sz w:val="18"/>
                <w:szCs w:val="18"/>
              </w:rPr>
              <w:t>信息处理机（中央处理装置）；计算机软件（已录制）； 集成电路；计量仪表；电子信号发射机（截止）</w:t>
            </w:r>
          </w:p>
        </w:tc>
        <w:tc>
          <w:tcPr>
            <w:tcW w:w="1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46" w:right="0"/>
              <w:jc w:val="left"/>
              <w:rPr>
                <w:rFonts w:ascii="新宋体" w:hAnsi="新宋体" w:cs="新宋体" w:eastAsia="新宋体" w:hint="default"/>
                <w:sz w:val="18"/>
                <w:szCs w:val="18"/>
              </w:rPr>
            </w:pPr>
            <w:r>
              <w:rPr>
                <w:rFonts w:ascii="新宋体"/>
                <w:sz w:val="18"/>
              </w:rPr>
              <w:t>2011.8.14-</w:t>
            </w:r>
          </w:p>
          <w:p>
            <w:pPr>
              <w:pStyle w:val="TableParagraph"/>
              <w:spacing w:line="240" w:lineRule="auto" w:before="115"/>
              <w:ind w:left="190" w:right="0"/>
              <w:jc w:val="left"/>
              <w:rPr>
                <w:rFonts w:ascii="新宋体" w:hAnsi="新宋体" w:cs="新宋体" w:eastAsia="新宋体" w:hint="default"/>
                <w:sz w:val="18"/>
                <w:szCs w:val="18"/>
              </w:rPr>
            </w:pPr>
            <w:r>
              <w:rPr>
                <w:rFonts w:ascii="新宋体"/>
                <w:sz w:val="18"/>
              </w:rPr>
              <w:t>2021.8.13</w:t>
            </w:r>
          </w:p>
        </w:tc>
        <w:tc>
          <w:tcPr>
            <w:tcW w:w="1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1370" w:hRule="exact"/>
        </w:trPr>
        <w:tc>
          <w:tcPr>
            <w:tcW w:w="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left="91" w:right="0"/>
              <w:jc w:val="center"/>
              <w:rPr>
                <w:rFonts w:ascii="新宋体" w:hAnsi="新宋体" w:cs="新宋体" w:eastAsia="新宋体" w:hint="default"/>
                <w:sz w:val="18"/>
                <w:szCs w:val="18"/>
              </w:rPr>
            </w:pPr>
            <w:r>
              <w:rPr>
                <w:rFonts w:ascii="新宋体"/>
                <w:sz w:val="18"/>
              </w:rPr>
              <w:t>39</w:t>
            </w:r>
          </w:p>
        </w:tc>
        <w:tc>
          <w:tcPr>
            <w:tcW w:w="20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1095" w:lineRule="exact"/>
              <w:ind w:left="42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729627" cy="695706"/>
                  <wp:effectExtent l="0" t="0" r="0" b="0"/>
                  <wp:docPr id="75" name="image15.jpeg" descr=""/>
                  <wp:cNvGraphicFramePr>
                    <a:graphicFrameLocks noChangeAspect="1"/>
                  </wp:cNvGraphicFramePr>
                  <a:graphic>
                    <a:graphicData uri="http://schemas.openxmlformats.org/drawingml/2006/picture">
                      <pic:pic>
                        <pic:nvPicPr>
                          <pic:cNvPr id="76" name="image15.jpeg"/>
                          <pic:cNvPicPr/>
                        </pic:nvPicPr>
                        <pic:blipFill>
                          <a:blip r:embed="rId29" cstate="print"/>
                          <a:stretch>
                            <a:fillRect/>
                          </a:stretch>
                        </pic:blipFill>
                        <pic:spPr>
                          <a:xfrm>
                            <a:off x="0" y="0"/>
                            <a:ext cx="729627" cy="695706"/>
                          </a:xfrm>
                          <a:prstGeom prst="rect">
                            <a:avLst/>
                          </a:prstGeom>
                        </pic:spPr>
                      </pic:pic>
                    </a:graphicData>
                  </a:graphic>
                </wp:inline>
              </w:drawing>
            </w:r>
            <w:r>
              <w:rPr>
                <w:rFonts w:ascii="Times New Roman" w:hAnsi="Times New Roman" w:cs="Times New Roman" w:eastAsia="Times New Roman" w:hint="default"/>
                <w:position w:val="-21"/>
                <w:sz w:val="20"/>
                <w:szCs w:val="20"/>
              </w:rPr>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1917044</w:t>
            </w:r>
          </w:p>
        </w:tc>
        <w:tc>
          <w:tcPr>
            <w:tcW w:w="452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8"/>
              <w:ind w:left="4" w:right="0"/>
              <w:jc w:val="both"/>
              <w:rPr>
                <w:rFonts w:ascii="新宋体" w:hAnsi="新宋体" w:cs="新宋体" w:eastAsia="新宋体" w:hint="default"/>
                <w:sz w:val="18"/>
                <w:szCs w:val="18"/>
              </w:rPr>
            </w:pPr>
            <w:r>
              <w:rPr>
                <w:rFonts w:ascii="新宋体" w:hAnsi="新宋体" w:cs="新宋体" w:eastAsia="新宋体" w:hint="default"/>
                <w:spacing w:val="-8"/>
                <w:sz w:val="18"/>
                <w:szCs w:val="18"/>
              </w:rPr>
              <w:t>计量仪表、计时器、计算机软件（已录制的）、连接器（数</w:t>
            </w:r>
            <w:r>
              <w:rPr>
                <w:rFonts w:ascii="新宋体" w:hAnsi="新宋体" w:cs="新宋体" w:eastAsia="新宋体" w:hint="default"/>
                <w:spacing w:val="-67"/>
                <w:sz w:val="18"/>
                <w:szCs w:val="18"/>
              </w:rPr>
              <w:t> </w:t>
            </w:r>
            <w:r>
              <w:rPr>
                <w:rFonts w:ascii="新宋体" w:hAnsi="新宋体" w:cs="新宋体" w:eastAsia="新宋体" w:hint="default"/>
                <w:spacing w:val="-67"/>
                <w:sz w:val="18"/>
                <w:szCs w:val="18"/>
              </w:rPr>
            </w:r>
            <w:r>
              <w:rPr>
                <w:rFonts w:ascii="新宋体" w:hAnsi="新宋体" w:cs="新宋体" w:eastAsia="新宋体" w:hint="default"/>
                <w:sz w:val="18"/>
                <w:szCs w:val="18"/>
              </w:rPr>
              <w:t>据处理设备）、信息处理机（中央处理装置）、已录制的 计算机操作程序、已录制的计算机程序（程序）、用于计 算机操作仪表的机械装置（商品截止）</w:t>
            </w:r>
          </w:p>
        </w:tc>
        <w:tc>
          <w:tcPr>
            <w:tcW w:w="121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2012.11.20-20</w:t>
            </w:r>
          </w:p>
          <w:p>
            <w:pPr>
              <w:pStyle w:val="TableParagraph"/>
              <w:spacing w:line="240" w:lineRule="auto" w:before="76"/>
              <w:ind w:right="1"/>
              <w:jc w:val="center"/>
              <w:rPr>
                <w:rFonts w:ascii="新宋体" w:hAnsi="新宋体" w:cs="新宋体" w:eastAsia="新宋体" w:hint="default"/>
                <w:sz w:val="18"/>
                <w:szCs w:val="18"/>
              </w:rPr>
            </w:pPr>
            <w:r>
              <w:rPr>
                <w:rFonts w:ascii="新宋体"/>
                <w:sz w:val="18"/>
              </w:rPr>
              <w:t>22.11.19</w:t>
            </w:r>
          </w:p>
        </w:tc>
        <w:tc>
          <w:tcPr>
            <w:tcW w:w="10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bl>
    <w:p>
      <w:pPr>
        <w:spacing w:line="240" w:lineRule="auto" w:before="1"/>
        <w:rPr>
          <w:rFonts w:ascii="Times New Roman" w:hAnsi="Times New Roman" w:cs="Times New Roman" w:eastAsia="Times New Roman" w:hint="default"/>
          <w:sz w:val="22"/>
          <w:szCs w:val="22"/>
        </w:rPr>
      </w:pPr>
    </w:p>
    <w:p>
      <w:pPr>
        <w:pStyle w:val="BodyText"/>
        <w:spacing w:line="240" w:lineRule="auto" w:before="26"/>
        <w:ind w:left="998" w:right="585"/>
        <w:jc w:val="left"/>
      </w:pPr>
      <w:r>
        <w:rPr/>
        <w:t>（</w:t>
      </w:r>
      <w:r>
        <w:rPr>
          <w:rFonts w:ascii="新宋体" w:hAnsi="新宋体" w:cs="新宋体" w:eastAsia="新宋体" w:hint="default"/>
        </w:rPr>
        <w:t>5</w:t>
      </w:r>
      <w:r>
        <w:rPr/>
        <w:t>）截止报告期末，公司及子公司共取得</w:t>
      </w:r>
      <w:r>
        <w:rPr>
          <w:rFonts w:ascii="新宋体" w:hAnsi="新宋体" w:cs="新宋体" w:eastAsia="新宋体" w:hint="default"/>
        </w:rPr>
        <w:t>49</w:t>
      </w:r>
      <w:r>
        <w:rPr/>
        <w:t>项计算机软件著作权，具体情况如下：</w:t>
      </w:r>
    </w:p>
    <w:p>
      <w:pPr>
        <w:spacing w:line="240" w:lineRule="auto" w:before="12"/>
        <w:rPr>
          <w:rFonts w:ascii="新宋体" w:hAnsi="新宋体" w:cs="新宋体" w:eastAsia="新宋体" w:hint="default"/>
          <w:sz w:val="11"/>
          <w:szCs w:val="11"/>
        </w:rPr>
      </w:pPr>
    </w:p>
    <w:tbl>
      <w:tblPr>
        <w:tblW w:w="0" w:type="auto"/>
        <w:jc w:val="left"/>
        <w:tblInd w:w="251" w:type="dxa"/>
        <w:tblLayout w:type="fixed"/>
        <w:tblCellMar>
          <w:top w:w="0" w:type="dxa"/>
          <w:left w:w="0" w:type="dxa"/>
          <w:bottom w:w="0" w:type="dxa"/>
          <w:right w:w="0" w:type="dxa"/>
        </w:tblCellMar>
        <w:tblLook w:val="01E0"/>
      </w:tblPr>
      <w:tblGrid>
        <w:gridCol w:w="524"/>
        <w:gridCol w:w="2383"/>
        <w:gridCol w:w="2242"/>
        <w:gridCol w:w="1404"/>
        <w:gridCol w:w="1123"/>
        <w:gridCol w:w="1124"/>
        <w:gridCol w:w="1174"/>
      </w:tblGrid>
      <w:tr>
        <w:trPr>
          <w:trHeight w:val="434" w:hRule="exact"/>
        </w:trPr>
        <w:tc>
          <w:tcPr>
            <w:tcW w:w="52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8"/>
              <w:ind w:left="1"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序号</w:t>
            </w:r>
            <w:r>
              <w:rPr>
                <w:rFonts w:ascii="新宋体" w:hAnsi="新宋体" w:cs="新宋体" w:eastAsia="新宋体" w:hint="default"/>
                <w:sz w:val="18"/>
                <w:szCs w:val="18"/>
              </w:rPr>
            </w:r>
          </w:p>
        </w:tc>
        <w:tc>
          <w:tcPr>
            <w:tcW w:w="23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专利名称</w:t>
            </w:r>
            <w:r>
              <w:rPr>
                <w:rFonts w:ascii="新宋体" w:hAnsi="新宋体" w:cs="新宋体" w:eastAsia="新宋体" w:hint="default"/>
                <w:sz w:val="18"/>
                <w:szCs w:val="18"/>
              </w:rPr>
            </w:r>
          </w:p>
        </w:tc>
        <w:tc>
          <w:tcPr>
            <w:tcW w:w="224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著作权保护期限</w:t>
            </w:r>
            <w:r>
              <w:rPr>
                <w:rFonts w:ascii="新宋体" w:hAnsi="新宋体" w:cs="新宋体" w:eastAsia="新宋体" w:hint="default"/>
                <w:sz w:val="18"/>
                <w:szCs w:val="18"/>
              </w:rPr>
            </w:r>
          </w:p>
        </w:tc>
        <w:tc>
          <w:tcPr>
            <w:tcW w:w="14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登记号</w:t>
            </w:r>
            <w:r>
              <w:rPr>
                <w:rFonts w:ascii="新宋体" w:hAnsi="新宋体" w:cs="新宋体" w:eastAsia="新宋体" w:hint="default"/>
                <w:sz w:val="18"/>
                <w:szCs w:val="18"/>
              </w:rPr>
            </w:r>
          </w:p>
        </w:tc>
        <w:tc>
          <w:tcPr>
            <w:tcW w:w="112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b/>
                <w:bCs/>
                <w:w w:val="95"/>
                <w:sz w:val="18"/>
                <w:szCs w:val="18"/>
              </w:rPr>
              <w:t>取得方式</w:t>
            </w:r>
            <w:r>
              <w:rPr>
                <w:rFonts w:ascii="新宋体" w:hAnsi="新宋体" w:cs="新宋体" w:eastAsia="新宋体" w:hint="default"/>
                <w:sz w:val="18"/>
                <w:szCs w:val="18"/>
              </w:rPr>
            </w:r>
          </w:p>
        </w:tc>
        <w:tc>
          <w:tcPr>
            <w:tcW w:w="11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1"/>
              <w:jc w:val="center"/>
              <w:rPr>
                <w:rFonts w:ascii="新宋体" w:hAnsi="新宋体" w:cs="新宋体" w:eastAsia="新宋体" w:hint="default"/>
                <w:sz w:val="18"/>
                <w:szCs w:val="18"/>
              </w:rPr>
            </w:pPr>
            <w:r>
              <w:rPr>
                <w:rFonts w:ascii="新宋体" w:hAnsi="新宋体" w:cs="新宋体" w:eastAsia="新宋体" w:hint="default"/>
                <w:b/>
                <w:bCs/>
                <w:sz w:val="18"/>
                <w:szCs w:val="18"/>
              </w:rPr>
              <w:t>权利范围</w:t>
            </w:r>
            <w:r>
              <w:rPr>
                <w:rFonts w:ascii="新宋体" w:hAnsi="新宋体" w:cs="新宋体" w:eastAsia="新宋体" w:hint="default"/>
                <w:sz w:val="18"/>
                <w:szCs w:val="18"/>
              </w:rPr>
            </w:r>
          </w:p>
        </w:tc>
        <w:tc>
          <w:tcPr>
            <w:tcW w:w="117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8"/>
              <w:ind w:left="2"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著作权人</w:t>
            </w:r>
            <w:r>
              <w:rPr>
                <w:rFonts w:ascii="新宋体" w:hAnsi="新宋体" w:cs="新宋体" w:eastAsia="新宋体" w:hint="default"/>
                <w:sz w:val="18"/>
                <w:szCs w:val="18"/>
              </w:rPr>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2"/>
              <w:jc w:val="center"/>
              <w:rPr>
                <w:rFonts w:ascii="新宋体" w:hAnsi="新宋体" w:cs="新宋体" w:eastAsia="新宋体" w:hint="default"/>
                <w:sz w:val="18"/>
                <w:szCs w:val="18"/>
              </w:rPr>
            </w:pPr>
            <w:r>
              <w:rPr>
                <w:rFonts w:ascii="新宋体"/>
                <w:sz w:val="18"/>
              </w:rPr>
              <w:t>1</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汉威气敏元件测试软件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2000.6.10-2050.12.31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sz w:val="18"/>
              </w:rPr>
              <w:t>2008SR09429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2"/>
              <w:jc w:val="center"/>
              <w:rPr>
                <w:rFonts w:ascii="新宋体" w:hAnsi="新宋体" w:cs="新宋体" w:eastAsia="新宋体" w:hint="default"/>
                <w:sz w:val="18"/>
                <w:szCs w:val="18"/>
              </w:rPr>
            </w:pPr>
            <w:r>
              <w:rPr>
                <w:rFonts w:ascii="新宋体"/>
                <w:sz w:val="18"/>
              </w:rPr>
              <w:t>2</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汉威重大危险源安全管理信息 系统</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2008.9.17-2058.12.31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2009SR014048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46" w:hRule="exact"/>
        </w:trPr>
        <w:tc>
          <w:tcPr>
            <w:tcW w:w="5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right="2"/>
              <w:jc w:val="center"/>
              <w:rPr>
                <w:rFonts w:ascii="新宋体" w:hAnsi="新宋体" w:cs="新宋体" w:eastAsia="新宋体" w:hint="default"/>
                <w:sz w:val="18"/>
                <w:szCs w:val="18"/>
              </w:rPr>
            </w:pPr>
            <w:r>
              <w:rPr>
                <w:rFonts w:ascii="新宋体"/>
                <w:sz w:val="18"/>
              </w:rPr>
              <w:t>3</w:t>
            </w:r>
          </w:p>
        </w:tc>
        <w:tc>
          <w:tcPr>
            <w:tcW w:w="238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汉威安全生产监控与管理信息 系统</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2009.1.16-2059.12.31</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2009SR014508</w:t>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560" w:right="82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524"/>
        <w:gridCol w:w="2383"/>
        <w:gridCol w:w="2242"/>
        <w:gridCol w:w="1404"/>
        <w:gridCol w:w="1123"/>
        <w:gridCol w:w="1124"/>
        <w:gridCol w:w="1174"/>
      </w:tblGrid>
      <w:tr>
        <w:trPr>
          <w:trHeight w:val="747" w:hRule="exact"/>
        </w:trPr>
        <w:tc>
          <w:tcPr>
            <w:tcW w:w="52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right="2"/>
              <w:jc w:val="center"/>
              <w:rPr>
                <w:rFonts w:ascii="新宋体" w:hAnsi="新宋体" w:cs="新宋体" w:eastAsia="新宋体" w:hint="default"/>
                <w:sz w:val="18"/>
                <w:szCs w:val="18"/>
              </w:rPr>
            </w:pPr>
            <w:r>
              <w:rPr>
                <w:rFonts w:ascii="新宋体"/>
                <w:sz w:val="18"/>
              </w:rPr>
              <w:t>4</w:t>
            </w:r>
          </w:p>
        </w:tc>
        <w:tc>
          <w:tcPr>
            <w:tcW w:w="238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汉威危险源分类监管管理系统 软件</w:t>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168" w:right="0"/>
              <w:jc w:val="left"/>
              <w:rPr>
                <w:rFonts w:ascii="新宋体" w:hAnsi="新宋体" w:cs="新宋体" w:eastAsia="新宋体" w:hint="default"/>
                <w:sz w:val="18"/>
                <w:szCs w:val="18"/>
              </w:rPr>
            </w:pPr>
            <w:r>
              <w:rPr>
                <w:rFonts w:ascii="新宋体"/>
                <w:sz w:val="18"/>
              </w:rPr>
              <w:t>2009.10.20-2059.12.31</w:t>
            </w:r>
          </w:p>
        </w:tc>
        <w:tc>
          <w:tcPr>
            <w:tcW w:w="14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2010SR033297</w:t>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2"/>
              <w:jc w:val="center"/>
              <w:rPr>
                <w:rFonts w:ascii="新宋体" w:hAnsi="新宋体" w:cs="新宋体" w:eastAsia="新宋体" w:hint="default"/>
                <w:sz w:val="18"/>
                <w:szCs w:val="18"/>
              </w:rPr>
            </w:pPr>
            <w:r>
              <w:rPr>
                <w:rFonts w:ascii="新宋体"/>
                <w:sz w:val="18"/>
              </w:rPr>
              <w:t>5</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汉威危险源信息申报管理系统 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8" w:right="0"/>
              <w:jc w:val="left"/>
              <w:rPr>
                <w:rFonts w:ascii="新宋体" w:hAnsi="新宋体" w:cs="新宋体" w:eastAsia="新宋体" w:hint="default"/>
                <w:sz w:val="18"/>
                <w:szCs w:val="18"/>
              </w:rPr>
            </w:pPr>
            <w:r>
              <w:rPr>
                <w:rFonts w:ascii="新宋体"/>
                <w:sz w:val="18"/>
              </w:rPr>
              <w:t>2009.10.20-2059.12.31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2010SR031807</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2"/>
              <w:jc w:val="center"/>
              <w:rPr>
                <w:rFonts w:ascii="新宋体" w:hAnsi="新宋体" w:cs="新宋体" w:eastAsia="新宋体" w:hint="default"/>
                <w:sz w:val="18"/>
                <w:szCs w:val="18"/>
              </w:rPr>
            </w:pPr>
            <w:r>
              <w:rPr>
                <w:rFonts w:ascii="新宋体"/>
                <w:sz w:val="18"/>
              </w:rPr>
              <w:t>6</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汉威应急预案管理系统软件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8" w:right="0"/>
              <w:jc w:val="left"/>
              <w:rPr>
                <w:rFonts w:ascii="新宋体" w:hAnsi="新宋体" w:cs="新宋体" w:eastAsia="新宋体" w:hint="default"/>
                <w:sz w:val="18"/>
                <w:szCs w:val="18"/>
              </w:rPr>
            </w:pPr>
            <w:r>
              <w:rPr>
                <w:rFonts w:ascii="新宋体"/>
                <w:sz w:val="18"/>
              </w:rPr>
              <w:t>2009.10.30-2059.12.31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2010SR031779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2"/>
              <w:jc w:val="center"/>
              <w:rPr>
                <w:rFonts w:ascii="新宋体" w:hAnsi="新宋体" w:cs="新宋体" w:eastAsia="新宋体" w:hint="default"/>
                <w:sz w:val="18"/>
                <w:szCs w:val="18"/>
              </w:rPr>
            </w:pPr>
            <w:r>
              <w:rPr>
                <w:rFonts w:ascii="新宋体"/>
                <w:sz w:val="18"/>
              </w:rPr>
              <w:t>7</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汉威应急救援统计分析系统软 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8" w:right="0"/>
              <w:jc w:val="left"/>
              <w:rPr>
                <w:rFonts w:ascii="新宋体" w:hAnsi="新宋体" w:cs="新宋体" w:eastAsia="新宋体" w:hint="default"/>
                <w:sz w:val="18"/>
                <w:szCs w:val="18"/>
              </w:rPr>
            </w:pPr>
            <w:r>
              <w:rPr>
                <w:rFonts w:ascii="新宋体"/>
                <w:sz w:val="18"/>
              </w:rPr>
              <w:t>2009.11.20-2059.12.31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2010SR033744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2"/>
              <w:jc w:val="center"/>
              <w:rPr>
                <w:rFonts w:ascii="新宋体" w:hAnsi="新宋体" w:cs="新宋体" w:eastAsia="新宋体" w:hint="default"/>
                <w:sz w:val="18"/>
                <w:szCs w:val="18"/>
              </w:rPr>
            </w:pPr>
            <w:r>
              <w:rPr>
                <w:rFonts w:ascii="新宋体"/>
                <w:sz w:val="18"/>
              </w:rPr>
              <w:t>8</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汉威应急救援辅助决策系统软 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8" w:right="0"/>
              <w:jc w:val="left"/>
              <w:rPr>
                <w:rFonts w:ascii="新宋体" w:hAnsi="新宋体" w:cs="新宋体" w:eastAsia="新宋体" w:hint="default"/>
                <w:sz w:val="18"/>
                <w:szCs w:val="18"/>
              </w:rPr>
            </w:pPr>
            <w:r>
              <w:rPr>
                <w:rFonts w:ascii="新宋体"/>
                <w:sz w:val="18"/>
              </w:rPr>
              <w:t>2009.11.20-2059.12.31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2010SR031891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40"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2"/>
              <w:jc w:val="center"/>
              <w:rPr>
                <w:rFonts w:ascii="新宋体" w:hAnsi="新宋体" w:cs="新宋体" w:eastAsia="新宋体" w:hint="default"/>
                <w:sz w:val="18"/>
                <w:szCs w:val="18"/>
              </w:rPr>
            </w:pPr>
            <w:r>
              <w:rPr>
                <w:rFonts w:ascii="新宋体"/>
                <w:sz w:val="18"/>
              </w:rPr>
              <w:t>9</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汉威危险化学品监督管理系统 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8" w:right="0"/>
              <w:jc w:val="left"/>
              <w:rPr>
                <w:rFonts w:ascii="新宋体" w:hAnsi="新宋体" w:cs="新宋体" w:eastAsia="新宋体" w:hint="default"/>
                <w:sz w:val="18"/>
                <w:szCs w:val="18"/>
              </w:rPr>
            </w:pPr>
            <w:r>
              <w:rPr>
                <w:rFonts w:ascii="新宋体"/>
                <w:sz w:val="18"/>
              </w:rPr>
              <w:t>2009.11.25-2059.12.31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2010SR033743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10</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汉威危险源和事故隐患管理系 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8" w:right="0"/>
              <w:jc w:val="left"/>
              <w:rPr>
                <w:rFonts w:ascii="新宋体" w:hAnsi="新宋体" w:cs="新宋体" w:eastAsia="新宋体" w:hint="default"/>
                <w:sz w:val="18"/>
                <w:szCs w:val="18"/>
              </w:rPr>
            </w:pPr>
            <w:r>
              <w:rPr>
                <w:rFonts w:ascii="新宋体"/>
                <w:sz w:val="18"/>
              </w:rPr>
              <w:t>2009.11.25-2059.12.31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2010SR033259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11</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汉威危险源辨识与分级管理系 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8" w:right="0"/>
              <w:jc w:val="left"/>
              <w:rPr>
                <w:rFonts w:ascii="新宋体" w:hAnsi="新宋体" w:cs="新宋体" w:eastAsia="新宋体" w:hint="default"/>
                <w:sz w:val="18"/>
                <w:szCs w:val="18"/>
              </w:rPr>
            </w:pPr>
            <w:r>
              <w:rPr>
                <w:rFonts w:ascii="新宋体"/>
                <w:sz w:val="18"/>
              </w:rPr>
              <w:t>2009.11.25-2059.12.31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2010SR033221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25"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12</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汉威危险源动态监控系统软件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8" w:right="0"/>
              <w:jc w:val="left"/>
              <w:rPr>
                <w:rFonts w:ascii="新宋体" w:hAnsi="新宋体" w:cs="新宋体" w:eastAsia="新宋体" w:hint="default"/>
                <w:sz w:val="18"/>
                <w:szCs w:val="18"/>
              </w:rPr>
            </w:pPr>
            <w:r>
              <w:rPr>
                <w:rFonts w:ascii="新宋体"/>
                <w:sz w:val="18"/>
              </w:rPr>
              <w:t>2009.11.29-2059.12.31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2010SR033010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1" w:right="0"/>
              <w:jc w:val="center"/>
              <w:rPr>
                <w:rFonts w:ascii="新宋体" w:hAnsi="新宋体" w:cs="新宋体" w:eastAsia="新宋体" w:hint="default"/>
                <w:sz w:val="18"/>
                <w:szCs w:val="18"/>
              </w:rPr>
            </w:pPr>
            <w:r>
              <w:rPr>
                <w:rFonts w:ascii="新宋体"/>
                <w:sz w:val="18"/>
              </w:rPr>
              <w:t>13</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汉威安全生产知识库管理系统 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8" w:right="0"/>
              <w:jc w:val="left"/>
              <w:rPr>
                <w:rFonts w:ascii="新宋体" w:hAnsi="新宋体" w:cs="新宋体" w:eastAsia="新宋体" w:hint="default"/>
                <w:sz w:val="18"/>
                <w:szCs w:val="18"/>
              </w:rPr>
            </w:pPr>
            <w:r>
              <w:rPr>
                <w:rFonts w:ascii="新宋体"/>
                <w:sz w:val="18"/>
              </w:rPr>
              <w:t>2009.12.10-2059.12.31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2010SR033257</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40"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1" w:right="0"/>
              <w:jc w:val="center"/>
              <w:rPr>
                <w:rFonts w:ascii="新宋体" w:hAnsi="新宋体" w:cs="新宋体" w:eastAsia="新宋体" w:hint="default"/>
                <w:sz w:val="18"/>
                <w:szCs w:val="18"/>
              </w:rPr>
            </w:pPr>
            <w:r>
              <w:rPr>
                <w:rFonts w:ascii="新宋体"/>
                <w:sz w:val="18"/>
              </w:rPr>
              <w:t>14</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汉威应急培训模拟演练管理系 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8" w:right="0"/>
              <w:jc w:val="left"/>
              <w:rPr>
                <w:rFonts w:ascii="新宋体" w:hAnsi="新宋体" w:cs="新宋体" w:eastAsia="新宋体" w:hint="default"/>
                <w:sz w:val="18"/>
                <w:szCs w:val="18"/>
              </w:rPr>
            </w:pPr>
            <w:r>
              <w:rPr>
                <w:rFonts w:ascii="新宋体"/>
                <w:sz w:val="18"/>
              </w:rPr>
              <w:t>2009.12.15-2059.12.31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2010SR033470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1" w:right="0"/>
              <w:jc w:val="center"/>
              <w:rPr>
                <w:rFonts w:ascii="新宋体" w:hAnsi="新宋体" w:cs="新宋体" w:eastAsia="新宋体" w:hint="default"/>
                <w:sz w:val="18"/>
                <w:szCs w:val="18"/>
              </w:rPr>
            </w:pPr>
            <w:r>
              <w:rPr>
                <w:rFonts w:ascii="新宋体"/>
                <w:sz w:val="18"/>
              </w:rPr>
              <w:t>15</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汉威安全生产监控预警管理信 息系统软件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8" w:right="0"/>
              <w:jc w:val="left"/>
              <w:rPr>
                <w:rFonts w:ascii="新宋体" w:hAnsi="新宋体" w:cs="新宋体" w:eastAsia="新宋体" w:hint="default"/>
                <w:sz w:val="18"/>
                <w:szCs w:val="18"/>
              </w:rPr>
            </w:pPr>
            <w:r>
              <w:rPr>
                <w:rFonts w:ascii="新宋体"/>
                <w:sz w:val="18"/>
              </w:rPr>
              <w:t>2009.12.31-2059.12.31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2010SR033009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1" w:right="0"/>
              <w:jc w:val="center"/>
              <w:rPr>
                <w:rFonts w:ascii="新宋体" w:hAnsi="新宋体" w:cs="新宋体" w:eastAsia="新宋体" w:hint="default"/>
                <w:sz w:val="18"/>
                <w:szCs w:val="18"/>
              </w:rPr>
            </w:pPr>
            <w:r>
              <w:rPr>
                <w:rFonts w:ascii="新宋体"/>
                <w:sz w:val="18"/>
              </w:rPr>
              <w:t>16</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汉威燃气管网巡检系统管理软 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4" w:right="0"/>
              <w:jc w:val="left"/>
              <w:rPr>
                <w:rFonts w:ascii="新宋体" w:hAnsi="新宋体" w:cs="新宋体" w:eastAsia="新宋体" w:hint="default"/>
                <w:sz w:val="18"/>
                <w:szCs w:val="18"/>
              </w:rPr>
            </w:pPr>
            <w:r>
              <w:rPr>
                <w:rFonts w:ascii="新宋体"/>
                <w:sz w:val="18"/>
              </w:rPr>
              <w:t>2009.3.10-2059.12.31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2010SR031975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1" w:right="0"/>
              <w:jc w:val="center"/>
              <w:rPr>
                <w:rFonts w:ascii="新宋体" w:hAnsi="新宋体" w:cs="新宋体" w:eastAsia="新宋体" w:hint="default"/>
                <w:sz w:val="18"/>
                <w:szCs w:val="18"/>
              </w:rPr>
            </w:pPr>
            <w:r>
              <w:rPr>
                <w:rFonts w:ascii="新宋体"/>
                <w:sz w:val="18"/>
              </w:rPr>
              <w:t>17</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汉威危险源企业信息普查管理 系统软件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4" w:right="0"/>
              <w:jc w:val="left"/>
              <w:rPr>
                <w:rFonts w:ascii="新宋体" w:hAnsi="新宋体" w:cs="新宋体" w:eastAsia="新宋体" w:hint="default"/>
                <w:sz w:val="18"/>
                <w:szCs w:val="18"/>
              </w:rPr>
            </w:pPr>
            <w:r>
              <w:rPr>
                <w:rFonts w:ascii="新宋体"/>
                <w:sz w:val="18"/>
              </w:rPr>
              <w:t>2009.9.29-2059.12.31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2010SR031667</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18</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汉威职业卫生管理系统</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4" w:right="0"/>
              <w:jc w:val="left"/>
              <w:rPr>
                <w:rFonts w:ascii="新宋体" w:hAnsi="新宋体" w:cs="新宋体" w:eastAsia="新宋体" w:hint="default"/>
                <w:sz w:val="18"/>
                <w:szCs w:val="18"/>
              </w:rPr>
            </w:pPr>
            <w:r>
              <w:rPr>
                <w:rFonts w:ascii="新宋体"/>
                <w:sz w:val="18"/>
              </w:rPr>
              <w:t>2010.2.10-2060.12.31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2010SR033255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19</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汉威企业及重大危险源统计分 析系统软件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4" w:right="0"/>
              <w:jc w:val="left"/>
              <w:rPr>
                <w:rFonts w:ascii="新宋体" w:hAnsi="新宋体" w:cs="新宋体" w:eastAsia="新宋体" w:hint="default"/>
                <w:sz w:val="18"/>
                <w:szCs w:val="18"/>
              </w:rPr>
            </w:pPr>
            <w:r>
              <w:rPr>
                <w:rFonts w:ascii="新宋体"/>
                <w:sz w:val="18"/>
              </w:rPr>
              <w:t>2010.2.10-2060.12.31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2010SR033008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40"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 w:right="0"/>
              <w:jc w:val="center"/>
              <w:rPr>
                <w:rFonts w:ascii="新宋体" w:hAnsi="新宋体" w:cs="新宋体" w:eastAsia="新宋体" w:hint="default"/>
                <w:sz w:val="18"/>
                <w:szCs w:val="18"/>
              </w:rPr>
            </w:pPr>
            <w:r>
              <w:rPr>
                <w:rFonts w:ascii="新宋体"/>
                <w:sz w:val="18"/>
              </w:rPr>
              <w:t>20</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汉威事故快报及综合处理管理 系统软件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14" w:right="0"/>
              <w:jc w:val="left"/>
              <w:rPr>
                <w:rFonts w:ascii="新宋体" w:hAnsi="新宋体" w:cs="新宋体" w:eastAsia="新宋体" w:hint="default"/>
                <w:sz w:val="18"/>
                <w:szCs w:val="18"/>
              </w:rPr>
            </w:pPr>
            <w:r>
              <w:rPr>
                <w:rFonts w:ascii="新宋体"/>
                <w:sz w:val="18"/>
              </w:rPr>
              <w:t>2010.2.20-2060.12.31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新宋体" w:hAnsi="新宋体" w:cs="新宋体" w:eastAsia="新宋体" w:hint="default"/>
                <w:sz w:val="18"/>
                <w:szCs w:val="18"/>
              </w:rPr>
            </w:pPr>
            <w:r>
              <w:rPr>
                <w:rFonts w:ascii="新宋体"/>
                <w:sz w:val="18"/>
              </w:rPr>
              <w:t>2010SR031976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21</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汉威政务办公系统软件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57" w:right="0"/>
              <w:jc w:val="left"/>
              <w:rPr>
                <w:rFonts w:ascii="新宋体" w:hAnsi="新宋体" w:cs="新宋体" w:eastAsia="新宋体" w:hint="default"/>
                <w:sz w:val="18"/>
                <w:szCs w:val="18"/>
              </w:rPr>
            </w:pPr>
            <w:r>
              <w:rPr>
                <w:rFonts w:ascii="新宋体"/>
                <w:sz w:val="18"/>
              </w:rPr>
              <w:t>2010.3.1-2060.12.31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2010SR033765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22</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13"/>
              <w:jc w:val="left"/>
              <w:rPr>
                <w:rFonts w:ascii="新宋体" w:hAnsi="新宋体" w:cs="新宋体" w:eastAsia="新宋体" w:hint="default"/>
                <w:sz w:val="18"/>
                <w:szCs w:val="18"/>
              </w:rPr>
            </w:pPr>
            <w:r>
              <w:rPr>
                <w:rFonts w:ascii="新宋体" w:hAnsi="新宋体" w:cs="新宋体" w:eastAsia="新宋体" w:hint="default"/>
                <w:sz w:val="18"/>
                <w:szCs w:val="18"/>
              </w:rPr>
              <w:t>汉威安全生产监督</w:t>
            </w:r>
            <w:r>
              <w:rPr>
                <w:rFonts w:ascii="新宋体" w:hAnsi="新宋体" w:cs="新宋体" w:eastAsia="新宋体" w:hint="default"/>
                <w:sz w:val="18"/>
                <w:szCs w:val="18"/>
              </w:rPr>
              <w:t>GIS</w:t>
            </w:r>
            <w:r>
              <w:rPr>
                <w:rFonts w:ascii="新宋体" w:hAnsi="新宋体" w:cs="新宋体" w:eastAsia="新宋体" w:hint="default"/>
                <w:sz w:val="18"/>
                <w:szCs w:val="18"/>
              </w:rPr>
              <w:t>地理信 息及网格化管理软件</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4" w:right="0"/>
              <w:jc w:val="left"/>
              <w:rPr>
                <w:rFonts w:ascii="新宋体" w:hAnsi="新宋体" w:cs="新宋体" w:eastAsia="新宋体" w:hint="default"/>
                <w:sz w:val="18"/>
                <w:szCs w:val="18"/>
              </w:rPr>
            </w:pPr>
            <w:r>
              <w:rPr>
                <w:rFonts w:ascii="新宋体"/>
                <w:sz w:val="18"/>
              </w:rPr>
              <w:t>2010.3.30-2060.12.31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2010SR033468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r>
        <w:trPr>
          <w:trHeight w:val="746" w:hRule="exact"/>
        </w:trPr>
        <w:tc>
          <w:tcPr>
            <w:tcW w:w="5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left="1" w:right="0"/>
              <w:jc w:val="center"/>
              <w:rPr>
                <w:rFonts w:ascii="新宋体" w:hAnsi="新宋体" w:cs="新宋体" w:eastAsia="新宋体" w:hint="default"/>
                <w:sz w:val="18"/>
                <w:szCs w:val="18"/>
              </w:rPr>
            </w:pPr>
            <w:r>
              <w:rPr>
                <w:rFonts w:ascii="新宋体"/>
                <w:sz w:val="18"/>
              </w:rPr>
              <w:t>23</w:t>
            </w:r>
          </w:p>
        </w:tc>
        <w:tc>
          <w:tcPr>
            <w:tcW w:w="238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汉威管网巡检实时调度系统管 理软件</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214" w:right="0"/>
              <w:jc w:val="left"/>
              <w:rPr>
                <w:rFonts w:ascii="新宋体" w:hAnsi="新宋体" w:cs="新宋体" w:eastAsia="新宋体" w:hint="default"/>
                <w:sz w:val="18"/>
                <w:szCs w:val="18"/>
              </w:rPr>
            </w:pPr>
            <w:r>
              <w:rPr>
                <w:rFonts w:ascii="新宋体"/>
                <w:sz w:val="18"/>
              </w:rPr>
              <w:t>2010.4.22-2060.12.31</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2010SR033298</w:t>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700" w:right="96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524"/>
        <w:gridCol w:w="2383"/>
        <w:gridCol w:w="2242"/>
        <w:gridCol w:w="1404"/>
        <w:gridCol w:w="1123"/>
        <w:gridCol w:w="1124"/>
        <w:gridCol w:w="1174"/>
      </w:tblGrid>
      <w:tr>
        <w:trPr>
          <w:trHeight w:val="435" w:hRule="exact"/>
        </w:trPr>
        <w:tc>
          <w:tcPr>
            <w:tcW w:w="52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24</w:t>
            </w:r>
          </w:p>
        </w:tc>
        <w:tc>
          <w:tcPr>
            <w:tcW w:w="23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创威煤矿安全监控系统</w:t>
            </w:r>
            <w:r>
              <w:rPr>
                <w:rFonts w:ascii="新宋体" w:hAnsi="新宋体" w:cs="新宋体" w:eastAsia="新宋体" w:hint="default"/>
                <w:sz w:val="18"/>
                <w:szCs w:val="18"/>
              </w:rPr>
              <w:t>V1.0</w:t>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新宋体" w:hAnsi="新宋体" w:cs="新宋体" w:eastAsia="新宋体" w:hint="default"/>
                <w:sz w:val="18"/>
                <w:szCs w:val="18"/>
              </w:rPr>
            </w:pPr>
            <w:r>
              <w:rPr>
                <w:rFonts w:ascii="新宋体"/>
                <w:spacing w:val="-1"/>
                <w:sz w:val="18"/>
              </w:rPr>
              <w:t>2010.5.11-2060.5.10</w:t>
            </w:r>
          </w:p>
        </w:tc>
        <w:tc>
          <w:tcPr>
            <w:tcW w:w="14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2011SR009125</w:t>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25</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创威煤矿人员管理系统</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新宋体" w:hAnsi="新宋体" w:cs="新宋体" w:eastAsia="新宋体" w:hint="default"/>
                <w:sz w:val="18"/>
                <w:szCs w:val="18"/>
              </w:rPr>
            </w:pPr>
            <w:r>
              <w:rPr>
                <w:rFonts w:ascii="新宋体"/>
                <w:spacing w:val="-1"/>
                <w:sz w:val="18"/>
              </w:rPr>
              <w:t>2010.5.11-2060.5.10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2011SR009126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26</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创威矿山企业信息普查管理系 统</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11"/>
              <w:jc w:val="right"/>
              <w:rPr>
                <w:rFonts w:ascii="新宋体" w:hAnsi="新宋体" w:cs="新宋体" w:eastAsia="新宋体" w:hint="default"/>
                <w:sz w:val="18"/>
                <w:szCs w:val="18"/>
              </w:rPr>
            </w:pPr>
            <w:r>
              <w:rPr>
                <w:rFonts w:ascii="新宋体"/>
                <w:spacing w:val="-1"/>
                <w:sz w:val="18"/>
              </w:rPr>
              <w:t>2011.10.10-2061.10.9</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2011SR094540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27</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创威尾矿库巡检管理信息系统 </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48" w:right="0"/>
              <w:jc w:val="left"/>
              <w:rPr>
                <w:rFonts w:ascii="新宋体" w:hAnsi="新宋体" w:cs="新宋体" w:eastAsia="新宋体" w:hint="default"/>
                <w:sz w:val="18"/>
                <w:szCs w:val="18"/>
              </w:rPr>
            </w:pPr>
            <w:r>
              <w:rPr>
                <w:rFonts w:ascii="新宋体"/>
                <w:sz w:val="18"/>
              </w:rPr>
              <w:t>2011.4.5-2061.4.4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2011SR094542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28</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04"/>
              <w:jc w:val="left"/>
              <w:rPr>
                <w:rFonts w:ascii="新宋体" w:hAnsi="新宋体" w:cs="新宋体" w:eastAsia="新宋体" w:hint="default"/>
                <w:sz w:val="18"/>
                <w:szCs w:val="18"/>
              </w:rPr>
            </w:pPr>
            <w:r>
              <w:rPr>
                <w:rFonts w:ascii="新宋体" w:hAnsi="新宋体" w:cs="新宋体" w:eastAsia="新宋体" w:hint="default"/>
                <w:sz w:val="18"/>
                <w:szCs w:val="18"/>
              </w:rPr>
              <w:t>创威矿山安全监控联网系统 </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56"/>
              <w:jc w:val="right"/>
              <w:rPr>
                <w:rFonts w:ascii="新宋体" w:hAnsi="新宋体" w:cs="新宋体" w:eastAsia="新宋体" w:hint="default"/>
                <w:sz w:val="18"/>
                <w:szCs w:val="18"/>
              </w:rPr>
            </w:pPr>
            <w:r>
              <w:rPr>
                <w:rFonts w:ascii="新宋体"/>
                <w:spacing w:val="-1"/>
                <w:sz w:val="18"/>
              </w:rPr>
              <w:t>2011.5.31-2061.5.30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2011SR095773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29</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创威尾矿库监测监控管理系统 </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56"/>
              <w:jc w:val="right"/>
              <w:rPr>
                <w:rFonts w:ascii="新宋体" w:hAnsi="新宋体" w:cs="新宋体" w:eastAsia="新宋体" w:hint="default"/>
                <w:sz w:val="18"/>
                <w:szCs w:val="18"/>
              </w:rPr>
            </w:pPr>
            <w:r>
              <w:rPr>
                <w:rFonts w:ascii="新宋体"/>
                <w:spacing w:val="-1"/>
                <w:sz w:val="18"/>
              </w:rPr>
              <w:t>2011.7.31-2061.7.30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2011SR094563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740"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156"/>
              <w:jc w:val="right"/>
              <w:rPr>
                <w:rFonts w:ascii="新宋体" w:hAnsi="新宋体" w:cs="新宋体" w:eastAsia="新宋体" w:hint="default"/>
                <w:sz w:val="18"/>
                <w:szCs w:val="18"/>
              </w:rPr>
            </w:pPr>
            <w:r>
              <w:rPr>
                <w:rFonts w:ascii="新宋体"/>
                <w:sz w:val="18"/>
              </w:rPr>
              <w:t>30</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创威矿山应急培训模拟演练系 统</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48" w:right="0"/>
              <w:jc w:val="left"/>
              <w:rPr>
                <w:rFonts w:ascii="新宋体" w:hAnsi="新宋体" w:cs="新宋体" w:eastAsia="新宋体" w:hint="default"/>
                <w:sz w:val="18"/>
                <w:szCs w:val="18"/>
              </w:rPr>
            </w:pPr>
            <w:r>
              <w:rPr>
                <w:rFonts w:ascii="新宋体"/>
                <w:sz w:val="18"/>
              </w:rPr>
              <w:t>2011.8.2-2061.8.1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新宋体" w:hAnsi="新宋体" w:cs="新宋体" w:eastAsia="新宋体" w:hint="default"/>
                <w:sz w:val="18"/>
                <w:szCs w:val="18"/>
              </w:rPr>
            </w:pPr>
            <w:r>
              <w:rPr>
                <w:rFonts w:ascii="新宋体"/>
                <w:sz w:val="18"/>
              </w:rPr>
              <w:t>2011SR094196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31</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创威矿山安全生产知识库系统 </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56"/>
              <w:jc w:val="right"/>
              <w:rPr>
                <w:rFonts w:ascii="新宋体" w:hAnsi="新宋体" w:cs="新宋体" w:eastAsia="新宋体" w:hint="default"/>
                <w:sz w:val="18"/>
                <w:szCs w:val="18"/>
              </w:rPr>
            </w:pPr>
            <w:r>
              <w:rPr>
                <w:rFonts w:ascii="新宋体"/>
                <w:spacing w:val="-1"/>
                <w:sz w:val="18"/>
              </w:rPr>
              <w:t>2011.8.25-2061.8.24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2011SR094145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73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32</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04"/>
              <w:jc w:val="left"/>
              <w:rPr>
                <w:rFonts w:ascii="新宋体" w:hAnsi="新宋体" w:cs="新宋体" w:eastAsia="新宋体" w:hint="default"/>
                <w:sz w:val="18"/>
                <w:szCs w:val="18"/>
              </w:rPr>
            </w:pPr>
            <w:r>
              <w:rPr>
                <w:rFonts w:ascii="新宋体" w:hAnsi="新宋体" w:cs="新宋体" w:eastAsia="新宋体" w:hint="default"/>
                <w:sz w:val="18"/>
                <w:szCs w:val="18"/>
              </w:rPr>
              <w:t>创威矿山安全隐患排查系统 </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56"/>
              <w:jc w:val="right"/>
              <w:rPr>
                <w:rFonts w:ascii="新宋体" w:hAnsi="新宋体" w:cs="新宋体" w:eastAsia="新宋体" w:hint="default"/>
                <w:sz w:val="18"/>
                <w:szCs w:val="18"/>
              </w:rPr>
            </w:pPr>
            <w:r>
              <w:rPr>
                <w:rFonts w:ascii="新宋体"/>
                <w:spacing w:val="-1"/>
                <w:sz w:val="18"/>
              </w:rPr>
              <w:t>2011.8.27-2061.8.26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2011SR094329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创威煤安</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33</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中威便携式气体检测软件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新宋体" w:hAnsi="新宋体" w:cs="新宋体" w:eastAsia="新宋体" w:hint="default"/>
                <w:sz w:val="18"/>
                <w:szCs w:val="18"/>
              </w:rPr>
            </w:pPr>
            <w:r>
              <w:rPr>
                <w:rFonts w:ascii="新宋体"/>
                <w:spacing w:val="-1"/>
                <w:sz w:val="18"/>
              </w:rPr>
              <w:t>2012.2.15-2062.2.14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2012SR023446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34</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中威点型气体检测软件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新宋体" w:hAnsi="新宋体" w:cs="新宋体" w:eastAsia="新宋体" w:hint="default"/>
                <w:sz w:val="18"/>
                <w:szCs w:val="18"/>
              </w:rPr>
            </w:pPr>
            <w:r>
              <w:rPr>
                <w:rFonts w:ascii="新宋体"/>
                <w:spacing w:val="-1"/>
                <w:sz w:val="18"/>
              </w:rPr>
              <w:t>2012.2.15-2062.2.14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2012SR023444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35</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中威家用气体检测软件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新宋体" w:hAnsi="新宋体" w:cs="新宋体" w:eastAsia="新宋体" w:hint="default"/>
                <w:sz w:val="18"/>
                <w:szCs w:val="18"/>
              </w:rPr>
            </w:pPr>
            <w:r>
              <w:rPr>
                <w:rFonts w:ascii="新宋体"/>
                <w:spacing w:val="-1"/>
                <w:sz w:val="18"/>
              </w:rPr>
              <w:t>2012.2.15-2062.2.14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2012SR023441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428"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36</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中威控制报警软件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新宋体" w:hAnsi="新宋体" w:cs="新宋体" w:eastAsia="新宋体" w:hint="default"/>
                <w:sz w:val="18"/>
                <w:szCs w:val="18"/>
              </w:rPr>
            </w:pPr>
            <w:r>
              <w:rPr>
                <w:rFonts w:ascii="新宋体"/>
                <w:spacing w:val="-1"/>
                <w:sz w:val="18"/>
              </w:rPr>
              <w:t>2012.2.15-2062.2.14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2012SR023442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37</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中威便携式气体检测软件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新宋体" w:hAnsi="新宋体" w:cs="新宋体" w:eastAsia="新宋体" w:hint="default"/>
                <w:sz w:val="18"/>
                <w:szCs w:val="18"/>
              </w:rPr>
            </w:pPr>
            <w:r>
              <w:rPr>
                <w:rFonts w:ascii="新宋体"/>
                <w:spacing w:val="-1"/>
                <w:sz w:val="18"/>
              </w:rPr>
              <w:t>2012.2.15-2062.2.14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2012SR023446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38</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中威点型气体检测软件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56"/>
              <w:jc w:val="right"/>
              <w:rPr>
                <w:rFonts w:ascii="新宋体" w:hAnsi="新宋体" w:cs="新宋体" w:eastAsia="新宋体" w:hint="default"/>
                <w:sz w:val="18"/>
                <w:szCs w:val="18"/>
              </w:rPr>
            </w:pPr>
            <w:r>
              <w:rPr>
                <w:rFonts w:ascii="新宋体"/>
                <w:spacing w:val="-1"/>
                <w:sz w:val="18"/>
              </w:rPr>
              <w:t>2012.2.15-2062.2.14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2012SR023444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39</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中威家用气体检测软件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56"/>
              <w:jc w:val="right"/>
              <w:rPr>
                <w:rFonts w:ascii="新宋体" w:hAnsi="新宋体" w:cs="新宋体" w:eastAsia="新宋体" w:hint="default"/>
                <w:sz w:val="18"/>
                <w:szCs w:val="18"/>
              </w:rPr>
            </w:pPr>
            <w:r>
              <w:rPr>
                <w:rFonts w:ascii="新宋体"/>
                <w:spacing w:val="-1"/>
                <w:sz w:val="18"/>
              </w:rPr>
              <w:t>2012.2.15-2062.2.14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2012SR023441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42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40</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新宋体" w:hAnsi="新宋体" w:cs="新宋体" w:eastAsia="新宋体" w:hint="default"/>
                <w:sz w:val="18"/>
                <w:szCs w:val="18"/>
              </w:rPr>
            </w:pPr>
            <w:r>
              <w:rPr>
                <w:rFonts w:ascii="新宋体" w:hAnsi="新宋体" w:cs="新宋体" w:eastAsia="新宋体" w:hint="default"/>
                <w:sz w:val="18"/>
                <w:szCs w:val="18"/>
              </w:rPr>
              <w:t>中威控制报警软件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56"/>
              <w:jc w:val="right"/>
              <w:rPr>
                <w:rFonts w:ascii="新宋体" w:hAnsi="新宋体" w:cs="新宋体" w:eastAsia="新宋体" w:hint="default"/>
                <w:sz w:val="18"/>
                <w:szCs w:val="18"/>
              </w:rPr>
            </w:pPr>
            <w:r>
              <w:rPr>
                <w:rFonts w:ascii="新宋体"/>
                <w:spacing w:val="-1"/>
                <w:sz w:val="18"/>
              </w:rPr>
              <w:t>2012.2.15-2062.2.14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2012SR023442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41</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中威车载气象仪数据接入及显 示终端软件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02"/>
              <w:jc w:val="right"/>
              <w:rPr>
                <w:rFonts w:ascii="新宋体" w:hAnsi="新宋体" w:cs="新宋体" w:eastAsia="新宋体" w:hint="default"/>
                <w:sz w:val="18"/>
                <w:szCs w:val="18"/>
              </w:rPr>
            </w:pPr>
            <w:r>
              <w:rPr>
                <w:rFonts w:ascii="新宋体"/>
                <w:spacing w:val="-1"/>
                <w:sz w:val="18"/>
              </w:rPr>
              <w:t>2012.3.1-2062.2.28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2012SR026216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42</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中威无线应急救援生命保障软 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02"/>
              <w:jc w:val="right"/>
              <w:rPr>
                <w:rFonts w:ascii="新宋体" w:hAnsi="新宋体" w:cs="新宋体" w:eastAsia="新宋体" w:hint="default"/>
                <w:sz w:val="18"/>
                <w:szCs w:val="18"/>
              </w:rPr>
            </w:pPr>
            <w:r>
              <w:rPr>
                <w:rFonts w:ascii="新宋体"/>
                <w:spacing w:val="-1"/>
                <w:sz w:val="18"/>
              </w:rPr>
              <w:t>2012.3.1-2062.2.28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2012SR026214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740"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156"/>
              <w:jc w:val="right"/>
              <w:rPr>
                <w:rFonts w:ascii="新宋体" w:hAnsi="新宋体" w:cs="新宋体" w:eastAsia="新宋体" w:hint="default"/>
                <w:sz w:val="18"/>
                <w:szCs w:val="18"/>
              </w:rPr>
            </w:pPr>
            <w:r>
              <w:rPr>
                <w:rFonts w:ascii="新宋体"/>
                <w:sz w:val="18"/>
              </w:rPr>
              <w:t>43</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中威危险化学品非视距无线监 控预警软件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02"/>
              <w:jc w:val="right"/>
              <w:rPr>
                <w:rFonts w:ascii="新宋体" w:hAnsi="新宋体" w:cs="新宋体" w:eastAsia="新宋体" w:hint="default"/>
                <w:sz w:val="18"/>
                <w:szCs w:val="18"/>
              </w:rPr>
            </w:pPr>
            <w:r>
              <w:rPr>
                <w:rFonts w:ascii="新宋体"/>
                <w:spacing w:val="-1"/>
                <w:sz w:val="18"/>
              </w:rPr>
              <w:t>2012.3.1-2062.2.28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新宋体" w:hAnsi="新宋体" w:cs="新宋体" w:eastAsia="新宋体" w:hint="default"/>
                <w:sz w:val="18"/>
                <w:szCs w:val="18"/>
              </w:rPr>
            </w:pPr>
            <w:r>
              <w:rPr>
                <w:rFonts w:ascii="新宋体"/>
                <w:sz w:val="18"/>
              </w:rPr>
              <w:t>2012SR026211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737"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44</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中威安全生产网络一体化监控 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02"/>
              <w:jc w:val="right"/>
              <w:rPr>
                <w:rFonts w:ascii="新宋体" w:hAnsi="新宋体" w:cs="新宋体" w:eastAsia="新宋体" w:hint="default"/>
                <w:sz w:val="18"/>
                <w:szCs w:val="18"/>
              </w:rPr>
            </w:pPr>
            <w:r>
              <w:rPr>
                <w:rFonts w:ascii="新宋体"/>
                <w:spacing w:val="-1"/>
                <w:sz w:val="18"/>
              </w:rPr>
              <w:t>2012.3.1-2062.2.28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2012SR026217</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45</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中威危险化学品事故移动应急 救援与处置软件</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2"/>
              <w:jc w:val="right"/>
              <w:rPr>
                <w:rFonts w:ascii="新宋体" w:hAnsi="新宋体" w:cs="新宋体" w:eastAsia="新宋体" w:hint="default"/>
                <w:sz w:val="18"/>
                <w:szCs w:val="18"/>
              </w:rPr>
            </w:pPr>
            <w:r>
              <w:rPr>
                <w:rFonts w:ascii="新宋体"/>
                <w:spacing w:val="-1"/>
                <w:sz w:val="18"/>
              </w:rPr>
              <w:t>2012.3.1-2062.2.28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2012SR026209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全部权利</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上海中威</w:t>
            </w:r>
          </w:p>
        </w:tc>
      </w:tr>
      <w:tr>
        <w:trPr>
          <w:trHeight w:val="749" w:hRule="exact"/>
        </w:trPr>
        <w:tc>
          <w:tcPr>
            <w:tcW w:w="5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46</w:t>
            </w:r>
          </w:p>
        </w:tc>
        <w:tc>
          <w:tcPr>
            <w:tcW w:w="2383" w:type="dxa"/>
            <w:tcBorders>
              <w:top w:val="single" w:sz="6" w:space="0" w:color="000000"/>
              <w:left w:val="single" w:sz="6" w:space="0" w:color="000000"/>
              <w:bottom w:val="single" w:sz="12" w:space="0" w:color="000000"/>
              <w:right w:val="single" w:sz="6" w:space="0" w:color="000000"/>
            </w:tcBorders>
          </w:tcPr>
          <w:p>
            <w:pPr>
              <w:pStyle w:val="TableParagraph"/>
              <w:spacing w:line="314"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嵌入式中央空调计费管理及节 能自控软件</w:t>
            </w:r>
            <w:r>
              <w:rPr>
                <w:rFonts w:ascii="新宋体" w:hAnsi="新宋体" w:cs="新宋体" w:eastAsia="新宋体" w:hint="default"/>
                <w:spacing w:val="1"/>
                <w:sz w:val="18"/>
                <w:szCs w:val="18"/>
              </w:rPr>
              <w:t> </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302"/>
              <w:jc w:val="right"/>
              <w:rPr>
                <w:rFonts w:ascii="新宋体" w:hAnsi="新宋体" w:cs="新宋体" w:eastAsia="新宋体" w:hint="default"/>
                <w:sz w:val="18"/>
                <w:szCs w:val="18"/>
              </w:rPr>
            </w:pPr>
            <w:r>
              <w:rPr>
                <w:rFonts w:ascii="新宋体"/>
                <w:spacing w:val="-1"/>
                <w:sz w:val="18"/>
              </w:rPr>
              <w:t>2005.6.10-2055.6.9</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2006SR04122</w:t>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bl>
    <w:p>
      <w:pPr>
        <w:spacing w:after="0" w:line="240" w:lineRule="auto"/>
        <w:jc w:val="center"/>
        <w:rPr>
          <w:rFonts w:ascii="新宋体" w:hAnsi="新宋体" w:cs="新宋体" w:eastAsia="新宋体" w:hint="default"/>
          <w:sz w:val="18"/>
          <w:szCs w:val="18"/>
        </w:rPr>
        <w:sectPr>
          <w:pgSz w:w="11910" w:h="16840"/>
          <w:pgMar w:header="555" w:footer="980" w:top="1100" w:bottom="1160" w:left="700" w:right="96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24"/>
        <w:gridCol w:w="2383"/>
        <w:gridCol w:w="2242"/>
        <w:gridCol w:w="1404"/>
        <w:gridCol w:w="1123"/>
        <w:gridCol w:w="1124"/>
        <w:gridCol w:w="1174"/>
      </w:tblGrid>
      <w:tr>
        <w:trPr>
          <w:trHeight w:val="747" w:hRule="exact"/>
        </w:trPr>
        <w:tc>
          <w:tcPr>
            <w:tcW w:w="52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47</w:t>
            </w:r>
          </w:p>
        </w:tc>
        <w:tc>
          <w:tcPr>
            <w:tcW w:w="2383"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61"/>
              <w:ind w:left="2" w:right="24"/>
              <w:jc w:val="left"/>
              <w:rPr>
                <w:rFonts w:ascii="新宋体" w:hAnsi="新宋体" w:cs="新宋体" w:eastAsia="新宋体" w:hint="default"/>
                <w:sz w:val="18"/>
                <w:szCs w:val="18"/>
              </w:rPr>
            </w:pPr>
            <w:r>
              <w:rPr>
                <w:rFonts w:ascii="新宋体" w:hAnsi="新宋体" w:cs="新宋体" w:eastAsia="新宋体" w:hint="default"/>
                <w:sz w:val="18"/>
                <w:szCs w:val="18"/>
              </w:rPr>
              <w:t>中央空调计费及能源监测信息 管理软件</w:t>
            </w:r>
            <w:r>
              <w:rPr>
                <w:rFonts w:ascii="新宋体" w:hAnsi="新宋体" w:cs="新宋体" w:eastAsia="新宋体" w:hint="default"/>
                <w:spacing w:val="1"/>
                <w:sz w:val="18"/>
                <w:szCs w:val="18"/>
              </w:rPr>
              <w:t> </w:t>
            </w:r>
            <w:r>
              <w:rPr>
                <w:rFonts w:ascii="新宋体" w:hAnsi="新宋体" w:cs="新宋体" w:eastAsia="新宋体" w:hint="default"/>
                <w:sz w:val="18"/>
                <w:szCs w:val="18"/>
              </w:rPr>
              <w:t>V2.0</w:t>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302"/>
              <w:jc w:val="right"/>
              <w:rPr>
                <w:rFonts w:ascii="新宋体" w:hAnsi="新宋体" w:cs="新宋体" w:eastAsia="新宋体" w:hint="default"/>
                <w:sz w:val="18"/>
                <w:szCs w:val="18"/>
              </w:rPr>
            </w:pPr>
            <w:r>
              <w:rPr>
                <w:rFonts w:ascii="新宋体"/>
                <w:spacing w:val="-1"/>
                <w:sz w:val="18"/>
              </w:rPr>
              <w:t>2005.6.10-2055.6.9</w:t>
            </w:r>
          </w:p>
        </w:tc>
        <w:tc>
          <w:tcPr>
            <w:tcW w:w="14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新宋体" w:hAnsi="新宋体" w:cs="新宋体" w:eastAsia="新宋体" w:hint="default"/>
                <w:sz w:val="18"/>
                <w:szCs w:val="18"/>
              </w:rPr>
            </w:pPr>
            <w:r>
              <w:rPr>
                <w:rFonts w:ascii="新宋体"/>
                <w:sz w:val="18"/>
              </w:rPr>
              <w:t>2006SR08670</w:t>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39" w:hRule="exact"/>
        </w:trPr>
        <w:tc>
          <w:tcPr>
            <w:tcW w:w="5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56"/>
              <w:jc w:val="right"/>
              <w:rPr>
                <w:rFonts w:ascii="新宋体" w:hAnsi="新宋体" w:cs="新宋体" w:eastAsia="新宋体" w:hint="default"/>
                <w:sz w:val="18"/>
                <w:szCs w:val="18"/>
              </w:rPr>
            </w:pPr>
            <w:r>
              <w:rPr>
                <w:rFonts w:ascii="新宋体"/>
                <w:sz w:val="18"/>
              </w:rPr>
              <w:t>48</w:t>
            </w:r>
          </w:p>
        </w:tc>
        <w:tc>
          <w:tcPr>
            <w:tcW w:w="238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204"/>
              <w:jc w:val="left"/>
              <w:rPr>
                <w:rFonts w:ascii="新宋体" w:hAnsi="新宋体" w:cs="新宋体" w:eastAsia="新宋体" w:hint="default"/>
                <w:sz w:val="18"/>
                <w:szCs w:val="18"/>
              </w:rPr>
            </w:pPr>
            <w:r>
              <w:rPr>
                <w:rFonts w:ascii="新宋体" w:hAnsi="新宋体" w:cs="新宋体" w:eastAsia="新宋体" w:hint="default"/>
                <w:sz w:val="18"/>
                <w:szCs w:val="18"/>
              </w:rPr>
              <w:t>春泉中央空调计费管理平台 </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新宋体" w:hAnsi="新宋体" w:cs="新宋体" w:eastAsia="新宋体" w:hint="default"/>
                <w:sz w:val="18"/>
                <w:szCs w:val="18"/>
              </w:rPr>
            </w:pPr>
            <w:r>
              <w:rPr>
                <w:rFonts w:ascii="新宋体"/>
                <w:spacing w:val="-1"/>
                <w:sz w:val="18"/>
              </w:rPr>
              <w:t>2010.8.19-2060.8.18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新宋体" w:hAnsi="新宋体" w:cs="新宋体" w:eastAsia="新宋体" w:hint="default"/>
                <w:sz w:val="18"/>
                <w:szCs w:val="18"/>
              </w:rPr>
            </w:pPr>
            <w:r>
              <w:rPr>
                <w:rFonts w:ascii="新宋体"/>
                <w:sz w:val="18"/>
              </w:rPr>
              <w:t>2011SR024062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r>
        <w:trPr>
          <w:trHeight w:val="746" w:hRule="exact"/>
        </w:trPr>
        <w:tc>
          <w:tcPr>
            <w:tcW w:w="5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8"/>
              <w:ind w:right="156"/>
              <w:jc w:val="right"/>
              <w:rPr>
                <w:rFonts w:ascii="新宋体" w:hAnsi="新宋体" w:cs="新宋体" w:eastAsia="新宋体" w:hint="default"/>
                <w:sz w:val="18"/>
                <w:szCs w:val="18"/>
              </w:rPr>
            </w:pPr>
            <w:r>
              <w:rPr>
                <w:rFonts w:ascii="新宋体"/>
                <w:sz w:val="18"/>
              </w:rPr>
              <w:t>49</w:t>
            </w:r>
          </w:p>
        </w:tc>
        <w:tc>
          <w:tcPr>
            <w:tcW w:w="238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8"/>
              <w:ind w:left="2" w:right="204"/>
              <w:jc w:val="left"/>
              <w:rPr>
                <w:rFonts w:ascii="新宋体" w:hAnsi="新宋体" w:cs="新宋体" w:eastAsia="新宋体" w:hint="default"/>
                <w:sz w:val="18"/>
                <w:szCs w:val="18"/>
              </w:rPr>
            </w:pPr>
            <w:r>
              <w:rPr>
                <w:rFonts w:ascii="新宋体" w:hAnsi="新宋体" w:cs="新宋体" w:eastAsia="新宋体" w:hint="default"/>
                <w:sz w:val="18"/>
                <w:szCs w:val="18"/>
              </w:rPr>
              <w:t>春泉建筑能耗监测信息系统 </w:t>
            </w:r>
            <w:r>
              <w:rPr>
                <w:rFonts w:ascii="新宋体" w:hAnsi="新宋体" w:cs="新宋体" w:eastAsia="新宋体" w:hint="default"/>
                <w:sz w:val="18"/>
                <w:szCs w:val="18"/>
              </w:rPr>
              <w:t>V1.0</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256"/>
              <w:jc w:val="right"/>
              <w:rPr>
                <w:rFonts w:ascii="新宋体" w:hAnsi="新宋体" w:cs="新宋体" w:eastAsia="新宋体" w:hint="default"/>
                <w:sz w:val="18"/>
                <w:szCs w:val="18"/>
              </w:rPr>
            </w:pPr>
            <w:r>
              <w:rPr>
                <w:rFonts w:ascii="新宋体"/>
                <w:spacing w:val="-1"/>
                <w:sz w:val="18"/>
              </w:rPr>
              <w:t>2011.3.14-2061.3.13</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2" w:right="0"/>
              <w:jc w:val="center"/>
              <w:rPr>
                <w:rFonts w:ascii="新宋体" w:hAnsi="新宋体" w:cs="新宋体" w:eastAsia="新宋体" w:hint="default"/>
                <w:sz w:val="18"/>
                <w:szCs w:val="18"/>
              </w:rPr>
            </w:pPr>
            <w:r>
              <w:rPr>
                <w:rFonts w:ascii="新宋体"/>
                <w:sz w:val="18"/>
              </w:rPr>
              <w:t>2011SR065227</w:t>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92"/>
              <w:jc w:val="right"/>
              <w:rPr>
                <w:rFonts w:ascii="新宋体" w:hAnsi="新宋体" w:cs="新宋体" w:eastAsia="新宋体" w:hint="default"/>
                <w:sz w:val="18"/>
                <w:szCs w:val="18"/>
              </w:rPr>
            </w:pPr>
            <w:r>
              <w:rPr>
                <w:rFonts w:ascii="新宋体" w:hAnsi="新宋体" w:cs="新宋体" w:eastAsia="新宋体" w:hint="default"/>
                <w:sz w:val="18"/>
                <w:szCs w:val="18"/>
              </w:rPr>
              <w:t>原始取得</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372"/>
              <w:jc w:val="right"/>
              <w:rPr>
                <w:rFonts w:ascii="新宋体" w:hAnsi="新宋体" w:cs="新宋体" w:eastAsia="新宋体" w:hint="default"/>
                <w:sz w:val="18"/>
                <w:szCs w:val="18"/>
              </w:rPr>
            </w:pPr>
            <w:r>
              <w:rPr>
                <w:rFonts w:ascii="新宋体" w:hAnsi="新宋体" w:cs="新宋体" w:eastAsia="新宋体" w:hint="default"/>
                <w:sz w:val="18"/>
                <w:szCs w:val="18"/>
              </w:rPr>
              <w:t>全部</w:t>
            </w:r>
          </w:p>
        </w:tc>
        <w:tc>
          <w:tcPr>
            <w:tcW w:w="11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8"/>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郑州春泉</w:t>
            </w:r>
          </w:p>
        </w:tc>
      </w:tr>
    </w:tbl>
    <w:p>
      <w:pPr>
        <w:spacing w:line="240" w:lineRule="auto" w:before="11"/>
        <w:rPr>
          <w:rFonts w:ascii="Times New Roman" w:hAnsi="Times New Roman" w:cs="Times New Roman" w:eastAsia="Times New Roman" w:hint="default"/>
          <w:sz w:val="21"/>
          <w:szCs w:val="21"/>
        </w:rPr>
      </w:pPr>
    </w:p>
    <w:p>
      <w:pPr>
        <w:pStyle w:val="BodyText"/>
        <w:spacing w:line="367" w:lineRule="auto" w:before="26"/>
        <w:ind w:left="878" w:right="1808" w:firstLine="2"/>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）土地使用权 截至报告期末，公司及其子公司共拥有</w:t>
      </w:r>
      <w:r>
        <w:rPr>
          <w:rFonts w:ascii="Times New Roman" w:hAnsi="Times New Roman" w:cs="Times New Roman" w:eastAsia="Times New Roman" w:hint="default"/>
        </w:rPr>
        <w:t>3</w:t>
      </w:r>
      <w:r>
        <w:rPr>
          <w:rFonts w:ascii="宋体" w:hAnsi="宋体" w:cs="宋体" w:eastAsia="宋体" w:hint="default"/>
        </w:rPr>
        <w:t>宗土地使用权，具体情况如下：</w:t>
      </w:r>
    </w:p>
    <w:tbl>
      <w:tblPr>
        <w:tblW w:w="0" w:type="auto"/>
        <w:jc w:val="left"/>
        <w:tblInd w:w="119" w:type="dxa"/>
        <w:tblLayout w:type="fixed"/>
        <w:tblCellMar>
          <w:top w:w="0" w:type="dxa"/>
          <w:left w:w="0" w:type="dxa"/>
          <w:bottom w:w="0" w:type="dxa"/>
          <w:right w:w="0" w:type="dxa"/>
        </w:tblCellMar>
        <w:tblLook w:val="01E0"/>
      </w:tblPr>
      <w:tblGrid>
        <w:gridCol w:w="1313"/>
        <w:gridCol w:w="1174"/>
        <w:gridCol w:w="1047"/>
        <w:gridCol w:w="1277"/>
        <w:gridCol w:w="1565"/>
        <w:gridCol w:w="1032"/>
        <w:gridCol w:w="1666"/>
        <w:gridCol w:w="922"/>
      </w:tblGrid>
      <w:tr>
        <w:trPr>
          <w:trHeight w:val="435" w:hRule="exact"/>
        </w:trPr>
        <w:tc>
          <w:tcPr>
            <w:tcW w:w="131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5"/>
              <w:ind w:left="194" w:right="0"/>
              <w:jc w:val="left"/>
              <w:rPr>
                <w:rFonts w:ascii="新宋体" w:hAnsi="新宋体" w:cs="新宋体" w:eastAsia="新宋体" w:hint="default"/>
                <w:sz w:val="18"/>
                <w:szCs w:val="18"/>
              </w:rPr>
            </w:pPr>
            <w:r>
              <w:rPr>
                <w:rFonts w:ascii="新宋体" w:hAnsi="新宋体" w:cs="新宋体" w:eastAsia="新宋体" w:hint="default"/>
                <w:sz w:val="18"/>
                <w:szCs w:val="18"/>
              </w:rPr>
              <w:t>土地使用权</w:t>
            </w:r>
          </w:p>
        </w:tc>
        <w:tc>
          <w:tcPr>
            <w:tcW w:w="11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新宋体" w:hAnsi="新宋体" w:cs="新宋体" w:eastAsia="新宋体" w:hint="default"/>
                <w:sz w:val="18"/>
                <w:szCs w:val="18"/>
              </w:rPr>
            </w:pPr>
            <w:r>
              <w:rPr>
                <w:rFonts w:ascii="新宋体" w:hAnsi="新宋体" w:cs="新宋体" w:eastAsia="新宋体" w:hint="default"/>
                <w:sz w:val="18"/>
                <w:szCs w:val="18"/>
              </w:rPr>
              <w:t>地址</w:t>
            </w:r>
          </w:p>
        </w:tc>
        <w:tc>
          <w:tcPr>
            <w:tcW w:w="104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1" w:right="0"/>
              <w:jc w:val="center"/>
              <w:rPr>
                <w:rFonts w:ascii="新宋体" w:hAnsi="新宋体" w:cs="新宋体" w:eastAsia="新宋体" w:hint="default"/>
                <w:sz w:val="18"/>
                <w:szCs w:val="18"/>
              </w:rPr>
            </w:pPr>
            <w:r>
              <w:rPr>
                <w:rFonts w:ascii="新宋体" w:hAnsi="新宋体" w:cs="新宋体" w:eastAsia="新宋体" w:hint="default"/>
                <w:sz w:val="18"/>
                <w:szCs w:val="18"/>
              </w:rPr>
              <w:t>权利人</w:t>
            </w:r>
          </w:p>
        </w:tc>
        <w:tc>
          <w:tcPr>
            <w:tcW w:w="12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新宋体" w:hAnsi="新宋体" w:cs="新宋体" w:eastAsia="新宋体" w:hint="default"/>
                <w:sz w:val="18"/>
                <w:szCs w:val="18"/>
              </w:rPr>
            </w:pPr>
            <w:r>
              <w:rPr>
                <w:rFonts w:ascii="新宋体" w:hAnsi="新宋体" w:cs="新宋体" w:eastAsia="新宋体" w:hint="default"/>
                <w:sz w:val="18"/>
                <w:szCs w:val="18"/>
              </w:rPr>
              <w:t>地号</w:t>
            </w:r>
          </w:p>
        </w:tc>
        <w:tc>
          <w:tcPr>
            <w:tcW w:w="15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新宋体" w:hAnsi="新宋体" w:cs="新宋体" w:eastAsia="新宋体" w:hint="default"/>
                <w:sz w:val="18"/>
                <w:szCs w:val="18"/>
              </w:rPr>
            </w:pPr>
            <w:r>
              <w:rPr>
                <w:rFonts w:ascii="新宋体" w:hAnsi="新宋体" w:cs="新宋体" w:eastAsia="新宋体" w:hint="default"/>
                <w:sz w:val="18"/>
                <w:szCs w:val="18"/>
              </w:rPr>
              <w:t>面积</w:t>
            </w:r>
          </w:p>
        </w:tc>
        <w:tc>
          <w:tcPr>
            <w:tcW w:w="10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取得方式</w:t>
            </w:r>
          </w:p>
        </w:tc>
        <w:tc>
          <w:tcPr>
            <w:tcW w:w="16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194"/>
              <w:jc w:val="right"/>
              <w:rPr>
                <w:rFonts w:ascii="新宋体" w:hAnsi="新宋体" w:cs="新宋体" w:eastAsia="新宋体" w:hint="default"/>
                <w:sz w:val="18"/>
                <w:szCs w:val="18"/>
              </w:rPr>
            </w:pPr>
            <w:r>
              <w:rPr>
                <w:rFonts w:ascii="新宋体" w:hAnsi="新宋体" w:cs="新宋体" w:eastAsia="新宋体" w:hint="default"/>
                <w:sz w:val="18"/>
                <w:szCs w:val="18"/>
              </w:rPr>
              <w:t>使用权截止日期</w:t>
            </w:r>
          </w:p>
        </w:tc>
        <w:tc>
          <w:tcPr>
            <w:tcW w:w="92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5"/>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土地用途</w:t>
            </w:r>
          </w:p>
        </w:tc>
      </w:tr>
      <w:tr>
        <w:trPr>
          <w:trHeight w:val="739"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5"/>
              <w:ind w:left="374" w:right="103" w:hanging="269"/>
              <w:jc w:val="left"/>
              <w:rPr>
                <w:rFonts w:ascii="新宋体" w:hAnsi="新宋体" w:cs="新宋体" w:eastAsia="新宋体" w:hint="default"/>
                <w:sz w:val="18"/>
                <w:szCs w:val="18"/>
              </w:rPr>
            </w:pPr>
            <w:r>
              <w:rPr>
                <w:rFonts w:ascii="新宋体" w:hAnsi="新宋体" w:cs="新宋体" w:eastAsia="新宋体" w:hint="default"/>
                <w:sz w:val="18"/>
                <w:szCs w:val="18"/>
              </w:rPr>
              <w:t>郑国用</w:t>
            </w:r>
            <w:r>
              <w:rPr>
                <w:rFonts w:ascii="新宋体" w:hAnsi="新宋体" w:cs="新宋体" w:eastAsia="新宋体" w:hint="default"/>
                <w:sz w:val="18"/>
                <w:szCs w:val="18"/>
              </w:rPr>
              <w:t>2008</w:t>
            </w:r>
            <w:r>
              <w:rPr>
                <w:rFonts w:ascii="新宋体" w:hAnsi="新宋体" w:cs="新宋体" w:eastAsia="新宋体" w:hint="default"/>
                <w:sz w:val="18"/>
                <w:szCs w:val="18"/>
              </w:rPr>
              <w:t>第 </w:t>
            </w:r>
            <w:r>
              <w:rPr>
                <w:rFonts w:ascii="新宋体" w:hAnsi="新宋体" w:cs="新宋体" w:eastAsia="新宋体" w:hint="default"/>
                <w:sz w:val="18"/>
                <w:szCs w:val="18"/>
              </w:rPr>
              <w:t>0481</w:t>
            </w:r>
            <w:r>
              <w:rPr>
                <w:rFonts w:ascii="新宋体" w:hAnsi="新宋体" w:cs="新宋体" w:eastAsia="新宋体" w:hint="default"/>
                <w:sz w:val="18"/>
                <w:szCs w:val="18"/>
              </w:rPr>
              <w:t>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309" w:right="38" w:hanging="272"/>
              <w:jc w:val="left"/>
              <w:rPr>
                <w:rFonts w:ascii="新宋体" w:hAnsi="新宋体" w:cs="新宋体" w:eastAsia="新宋体" w:hint="default"/>
                <w:sz w:val="18"/>
                <w:szCs w:val="18"/>
              </w:rPr>
            </w:pPr>
            <w:r>
              <w:rPr>
                <w:rFonts w:ascii="新宋体" w:hAnsi="新宋体" w:cs="新宋体" w:eastAsia="新宋体" w:hint="default"/>
                <w:sz w:val="18"/>
                <w:szCs w:val="18"/>
              </w:rPr>
              <w:t>金梭路南、雪 松路东</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82" w:right="0"/>
              <w:jc w:val="left"/>
              <w:rPr>
                <w:rFonts w:ascii="新宋体" w:hAnsi="新宋体" w:cs="新宋体" w:eastAsia="新宋体" w:hint="default"/>
                <w:sz w:val="18"/>
                <w:szCs w:val="18"/>
              </w:rPr>
            </w:pPr>
            <w:r>
              <w:rPr>
                <w:rFonts w:ascii="新宋体"/>
                <w:sz w:val="18"/>
              </w:rPr>
              <w:t>GX1-100-82</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新宋体" w:hAnsi="新宋体" w:cs="新宋体" w:eastAsia="新宋体" w:hint="default"/>
                <w:sz w:val="18"/>
                <w:szCs w:val="18"/>
              </w:rPr>
            </w:pPr>
            <w:r>
              <w:rPr>
                <w:rFonts w:ascii="新宋体" w:hAnsi="新宋体" w:cs="新宋体" w:eastAsia="新宋体" w:hint="default"/>
                <w:sz w:val="18"/>
                <w:szCs w:val="18"/>
              </w:rPr>
              <w:t>15155.8</w:t>
            </w:r>
            <w:r>
              <w:rPr>
                <w:rFonts w:ascii="新宋体" w:hAnsi="新宋体" w:cs="新宋体" w:eastAsia="新宋体" w:hint="default"/>
                <w:sz w:val="18"/>
                <w:szCs w:val="18"/>
              </w:rPr>
              <w:t>平方米</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出让</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39"/>
              <w:jc w:val="right"/>
              <w:rPr>
                <w:rFonts w:ascii="新宋体" w:hAnsi="新宋体" w:cs="新宋体" w:eastAsia="新宋体" w:hint="default"/>
                <w:sz w:val="18"/>
                <w:szCs w:val="18"/>
              </w:rPr>
            </w:pPr>
            <w:r>
              <w:rPr>
                <w:rFonts w:ascii="新宋体" w:hAnsi="新宋体" w:cs="新宋体" w:eastAsia="新宋体" w:hint="default"/>
                <w:spacing w:val="-1"/>
                <w:sz w:val="18"/>
                <w:szCs w:val="18"/>
              </w:rPr>
              <w:t>2055</w:t>
            </w:r>
            <w:r>
              <w:rPr>
                <w:rFonts w:ascii="新宋体" w:hAnsi="新宋体" w:cs="新宋体" w:eastAsia="新宋体" w:hint="default"/>
                <w:spacing w:val="-1"/>
                <w:sz w:val="18"/>
                <w:szCs w:val="18"/>
              </w:rPr>
              <w:t>年</w:t>
            </w:r>
            <w:r>
              <w:rPr>
                <w:rFonts w:ascii="新宋体" w:hAnsi="新宋体" w:cs="新宋体" w:eastAsia="新宋体" w:hint="default"/>
                <w:spacing w:val="-1"/>
                <w:sz w:val="18"/>
                <w:szCs w:val="18"/>
              </w:rPr>
              <w:t>3</w:t>
            </w:r>
            <w:r>
              <w:rPr>
                <w:rFonts w:ascii="新宋体" w:hAnsi="新宋体" w:cs="新宋体" w:eastAsia="新宋体" w:hint="default"/>
                <w:spacing w:val="-1"/>
                <w:sz w:val="18"/>
                <w:szCs w:val="18"/>
              </w:rPr>
              <w:t>月</w:t>
            </w:r>
            <w:r>
              <w:rPr>
                <w:rFonts w:ascii="新宋体" w:hAnsi="新宋体" w:cs="新宋体" w:eastAsia="新宋体" w:hint="default"/>
                <w:spacing w:val="-1"/>
                <w:sz w:val="18"/>
                <w:szCs w:val="18"/>
              </w:rPr>
              <w:t>21</w:t>
            </w:r>
            <w:r>
              <w:rPr>
                <w:rFonts w:ascii="新宋体" w:hAnsi="新宋体" w:cs="新宋体" w:eastAsia="新宋体" w:hint="default"/>
                <w:spacing w:val="-1"/>
                <w:sz w:val="18"/>
                <w:szCs w:val="18"/>
              </w:rPr>
              <w:t>日</w:t>
            </w:r>
          </w:p>
        </w:tc>
        <w:tc>
          <w:tcPr>
            <w:tcW w:w="9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工业</w:t>
            </w:r>
          </w:p>
        </w:tc>
      </w:tr>
      <w:tr>
        <w:trPr>
          <w:trHeight w:val="739"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5"/>
              <w:ind w:left="374" w:right="103" w:hanging="269"/>
              <w:jc w:val="left"/>
              <w:rPr>
                <w:rFonts w:ascii="新宋体" w:hAnsi="新宋体" w:cs="新宋体" w:eastAsia="新宋体" w:hint="default"/>
                <w:sz w:val="18"/>
                <w:szCs w:val="18"/>
              </w:rPr>
            </w:pPr>
            <w:r>
              <w:rPr>
                <w:rFonts w:ascii="新宋体" w:hAnsi="新宋体" w:cs="新宋体" w:eastAsia="新宋体" w:hint="default"/>
                <w:sz w:val="18"/>
                <w:szCs w:val="18"/>
              </w:rPr>
              <w:t>郑国用</w:t>
            </w:r>
            <w:r>
              <w:rPr>
                <w:rFonts w:ascii="新宋体" w:hAnsi="新宋体" w:cs="新宋体" w:eastAsia="新宋体" w:hint="default"/>
                <w:sz w:val="18"/>
                <w:szCs w:val="18"/>
              </w:rPr>
              <w:t>2010</w:t>
            </w:r>
            <w:r>
              <w:rPr>
                <w:rFonts w:ascii="新宋体" w:hAnsi="新宋体" w:cs="新宋体" w:eastAsia="新宋体" w:hint="default"/>
                <w:sz w:val="18"/>
                <w:szCs w:val="18"/>
              </w:rPr>
              <w:t>第 </w:t>
            </w:r>
            <w:r>
              <w:rPr>
                <w:rFonts w:ascii="新宋体" w:hAnsi="新宋体" w:cs="新宋体" w:eastAsia="新宋体" w:hint="default"/>
                <w:sz w:val="18"/>
                <w:szCs w:val="18"/>
              </w:rPr>
              <w:t>0299</w:t>
            </w:r>
            <w:r>
              <w:rPr>
                <w:rFonts w:ascii="新宋体" w:hAnsi="新宋体" w:cs="新宋体" w:eastAsia="新宋体" w:hint="default"/>
                <w:sz w:val="18"/>
                <w:szCs w:val="18"/>
              </w:rPr>
              <w:t>号</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309" w:right="38" w:hanging="272"/>
              <w:jc w:val="left"/>
              <w:rPr>
                <w:rFonts w:ascii="新宋体" w:hAnsi="新宋体" w:cs="新宋体" w:eastAsia="新宋体" w:hint="default"/>
                <w:sz w:val="18"/>
                <w:szCs w:val="18"/>
              </w:rPr>
            </w:pPr>
            <w:r>
              <w:rPr>
                <w:rFonts w:ascii="新宋体" w:hAnsi="新宋体" w:cs="新宋体" w:eastAsia="新宋体" w:hint="default"/>
                <w:sz w:val="18"/>
                <w:szCs w:val="18"/>
              </w:rPr>
              <w:t>银屏路北、牡 丹路西</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36" w:right="0"/>
              <w:jc w:val="left"/>
              <w:rPr>
                <w:rFonts w:ascii="新宋体" w:hAnsi="新宋体" w:cs="新宋体" w:eastAsia="新宋体" w:hint="default"/>
                <w:sz w:val="18"/>
                <w:szCs w:val="18"/>
              </w:rPr>
            </w:pPr>
            <w:r>
              <w:rPr>
                <w:rFonts w:ascii="新宋体"/>
                <w:sz w:val="18"/>
              </w:rPr>
              <w:t>GX1-100-300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新宋体" w:hAnsi="新宋体" w:cs="新宋体" w:eastAsia="新宋体" w:hint="default"/>
                <w:sz w:val="18"/>
                <w:szCs w:val="18"/>
              </w:rPr>
            </w:pPr>
            <w:r>
              <w:rPr>
                <w:rFonts w:ascii="新宋体" w:hAnsi="新宋体" w:cs="新宋体" w:eastAsia="新宋体" w:hint="default"/>
                <w:sz w:val="18"/>
                <w:szCs w:val="18"/>
              </w:rPr>
              <w:t>12538.10</w:t>
            </w:r>
            <w:r>
              <w:rPr>
                <w:rFonts w:ascii="新宋体" w:hAnsi="新宋体" w:cs="新宋体" w:eastAsia="新宋体" w:hint="default"/>
                <w:sz w:val="18"/>
                <w:szCs w:val="18"/>
              </w:rPr>
              <w:t>平方米</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出让</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85" w:right="0"/>
              <w:jc w:val="left"/>
              <w:rPr>
                <w:rFonts w:ascii="新宋体" w:hAnsi="新宋体" w:cs="新宋体" w:eastAsia="新宋体" w:hint="default"/>
                <w:sz w:val="18"/>
                <w:szCs w:val="18"/>
              </w:rPr>
            </w:pPr>
            <w:r>
              <w:rPr>
                <w:rFonts w:ascii="新宋体" w:hAnsi="新宋体" w:cs="新宋体" w:eastAsia="新宋体" w:hint="default"/>
                <w:sz w:val="18"/>
                <w:szCs w:val="18"/>
              </w:rPr>
              <w:t>2060</w:t>
            </w:r>
            <w:r>
              <w:rPr>
                <w:rFonts w:ascii="新宋体" w:hAnsi="新宋体" w:cs="新宋体" w:eastAsia="新宋体" w:hint="default"/>
                <w:sz w:val="18"/>
                <w:szCs w:val="18"/>
              </w:rPr>
              <w:t>年</w:t>
            </w:r>
            <w:r>
              <w:rPr>
                <w:rFonts w:ascii="新宋体" w:hAnsi="新宋体" w:cs="新宋体" w:eastAsia="新宋体" w:hint="default"/>
                <w:sz w:val="18"/>
                <w:szCs w:val="18"/>
              </w:rPr>
              <w:t>5</w:t>
            </w:r>
            <w:r>
              <w:rPr>
                <w:rFonts w:ascii="新宋体" w:hAnsi="新宋体" w:cs="新宋体" w:eastAsia="新宋体" w:hint="default"/>
                <w:sz w:val="18"/>
                <w:szCs w:val="18"/>
              </w:rPr>
              <w:t>月</w:t>
            </w:r>
            <w:r>
              <w:rPr>
                <w:rFonts w:ascii="新宋体" w:hAnsi="新宋体" w:cs="新宋体" w:eastAsia="新宋体" w:hint="default"/>
                <w:sz w:val="18"/>
                <w:szCs w:val="18"/>
              </w:rPr>
              <w:t>3</w:t>
            </w:r>
            <w:r>
              <w:rPr>
                <w:rFonts w:ascii="新宋体" w:hAnsi="新宋体" w:cs="新宋体" w:eastAsia="新宋体" w:hint="default"/>
                <w:sz w:val="18"/>
                <w:szCs w:val="18"/>
              </w:rPr>
              <w:t>日</w:t>
            </w:r>
          </w:p>
        </w:tc>
        <w:tc>
          <w:tcPr>
            <w:tcW w:w="9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工业</w:t>
            </w:r>
          </w:p>
        </w:tc>
      </w:tr>
      <w:tr>
        <w:trPr>
          <w:trHeight w:val="746" w:hRule="exact"/>
        </w:trPr>
        <w:tc>
          <w:tcPr>
            <w:tcW w:w="1313"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5"/>
              <w:ind w:left="374" w:right="103" w:hanging="269"/>
              <w:jc w:val="left"/>
              <w:rPr>
                <w:rFonts w:ascii="新宋体" w:hAnsi="新宋体" w:cs="新宋体" w:eastAsia="新宋体" w:hint="default"/>
                <w:sz w:val="18"/>
                <w:szCs w:val="18"/>
              </w:rPr>
            </w:pPr>
            <w:r>
              <w:rPr>
                <w:rFonts w:ascii="新宋体" w:hAnsi="新宋体" w:cs="新宋体" w:eastAsia="新宋体" w:hint="default"/>
                <w:sz w:val="18"/>
                <w:szCs w:val="18"/>
              </w:rPr>
              <w:t>郑国用</w:t>
            </w:r>
            <w:r>
              <w:rPr>
                <w:rFonts w:ascii="新宋体" w:hAnsi="新宋体" w:cs="新宋体" w:eastAsia="新宋体" w:hint="default"/>
                <w:sz w:val="18"/>
                <w:szCs w:val="18"/>
              </w:rPr>
              <w:t>2011</w:t>
            </w:r>
            <w:r>
              <w:rPr>
                <w:rFonts w:ascii="新宋体" w:hAnsi="新宋体" w:cs="新宋体" w:eastAsia="新宋体" w:hint="default"/>
                <w:sz w:val="18"/>
                <w:szCs w:val="18"/>
              </w:rPr>
              <w:t>第 </w:t>
            </w:r>
            <w:r>
              <w:rPr>
                <w:rFonts w:ascii="新宋体" w:hAnsi="新宋体" w:cs="新宋体" w:eastAsia="新宋体" w:hint="default"/>
                <w:sz w:val="18"/>
                <w:szCs w:val="18"/>
              </w:rPr>
              <w:t>0550</w:t>
            </w:r>
            <w:r>
              <w:rPr>
                <w:rFonts w:ascii="新宋体" w:hAnsi="新宋体" w:cs="新宋体" w:eastAsia="新宋体" w:hint="default"/>
                <w:sz w:val="18"/>
                <w:szCs w:val="18"/>
              </w:rPr>
              <w:t>号</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5"/>
              <w:ind w:left="309" w:right="38" w:hanging="272"/>
              <w:jc w:val="left"/>
              <w:rPr>
                <w:rFonts w:ascii="新宋体" w:hAnsi="新宋体" w:cs="新宋体" w:eastAsia="新宋体" w:hint="default"/>
                <w:sz w:val="18"/>
                <w:szCs w:val="18"/>
              </w:rPr>
            </w:pPr>
            <w:r>
              <w:rPr>
                <w:rFonts w:ascii="新宋体" w:hAnsi="新宋体" w:cs="新宋体" w:eastAsia="新宋体" w:hint="default"/>
                <w:sz w:val="18"/>
                <w:szCs w:val="18"/>
              </w:rPr>
              <w:t>金梭路南、牡 丹路西</w:t>
            </w:r>
          </w:p>
        </w:tc>
        <w:tc>
          <w:tcPr>
            <w:tcW w:w="1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汉威电子</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36" w:right="0"/>
              <w:jc w:val="left"/>
              <w:rPr>
                <w:rFonts w:ascii="新宋体" w:hAnsi="新宋体" w:cs="新宋体" w:eastAsia="新宋体" w:hint="default"/>
                <w:sz w:val="18"/>
                <w:szCs w:val="18"/>
              </w:rPr>
            </w:pPr>
            <w:r>
              <w:rPr>
                <w:rFonts w:ascii="新宋体"/>
                <w:sz w:val="18"/>
              </w:rPr>
              <w:t>GX1-100-183</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0"/>
              <w:jc w:val="center"/>
              <w:rPr>
                <w:rFonts w:ascii="新宋体" w:hAnsi="新宋体" w:cs="新宋体" w:eastAsia="新宋体" w:hint="default"/>
                <w:sz w:val="18"/>
                <w:szCs w:val="18"/>
              </w:rPr>
            </w:pPr>
            <w:r>
              <w:rPr>
                <w:rFonts w:ascii="新宋体" w:hAnsi="新宋体" w:cs="新宋体" w:eastAsia="新宋体" w:hint="default"/>
                <w:sz w:val="18"/>
                <w:szCs w:val="18"/>
              </w:rPr>
              <w:t>11916.95</w:t>
            </w:r>
            <w:r>
              <w:rPr>
                <w:rFonts w:ascii="新宋体" w:hAnsi="新宋体" w:cs="新宋体" w:eastAsia="新宋体" w:hint="default"/>
                <w:sz w:val="18"/>
                <w:szCs w:val="18"/>
              </w:rPr>
              <w:t>平方米</w:t>
            </w:r>
          </w:p>
        </w:tc>
        <w:tc>
          <w:tcPr>
            <w:tcW w:w="1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4" w:right="0"/>
              <w:jc w:val="center"/>
              <w:rPr>
                <w:rFonts w:ascii="新宋体" w:hAnsi="新宋体" w:cs="新宋体" w:eastAsia="新宋体" w:hint="default"/>
                <w:sz w:val="18"/>
                <w:szCs w:val="18"/>
              </w:rPr>
            </w:pPr>
            <w:r>
              <w:rPr>
                <w:rFonts w:ascii="新宋体" w:hAnsi="新宋体" w:cs="新宋体" w:eastAsia="新宋体" w:hint="default"/>
                <w:sz w:val="18"/>
                <w:szCs w:val="18"/>
              </w:rPr>
              <w:t>出让</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239"/>
              <w:jc w:val="right"/>
              <w:rPr>
                <w:rFonts w:ascii="新宋体" w:hAnsi="新宋体" w:cs="新宋体" w:eastAsia="新宋体" w:hint="default"/>
                <w:sz w:val="18"/>
                <w:szCs w:val="18"/>
              </w:rPr>
            </w:pPr>
            <w:r>
              <w:rPr>
                <w:rFonts w:ascii="新宋体" w:hAnsi="新宋体" w:cs="新宋体" w:eastAsia="新宋体" w:hint="default"/>
                <w:spacing w:val="-1"/>
                <w:sz w:val="18"/>
                <w:szCs w:val="18"/>
              </w:rPr>
              <w:t>2056</w:t>
            </w:r>
            <w:r>
              <w:rPr>
                <w:rFonts w:ascii="新宋体" w:hAnsi="新宋体" w:cs="新宋体" w:eastAsia="新宋体" w:hint="default"/>
                <w:spacing w:val="-1"/>
                <w:sz w:val="18"/>
                <w:szCs w:val="18"/>
              </w:rPr>
              <w:t>年</w:t>
            </w:r>
            <w:r>
              <w:rPr>
                <w:rFonts w:ascii="新宋体" w:hAnsi="新宋体" w:cs="新宋体" w:eastAsia="新宋体" w:hint="default"/>
                <w:spacing w:val="-1"/>
                <w:sz w:val="18"/>
                <w:szCs w:val="18"/>
              </w:rPr>
              <w:t>8</w:t>
            </w:r>
            <w:r>
              <w:rPr>
                <w:rFonts w:ascii="新宋体" w:hAnsi="新宋体" w:cs="新宋体" w:eastAsia="新宋体" w:hint="default"/>
                <w:spacing w:val="-1"/>
                <w:sz w:val="18"/>
                <w:szCs w:val="18"/>
              </w:rPr>
              <w:t>月</w:t>
            </w:r>
            <w:r>
              <w:rPr>
                <w:rFonts w:ascii="新宋体" w:hAnsi="新宋体" w:cs="新宋体" w:eastAsia="新宋体" w:hint="default"/>
                <w:spacing w:val="-1"/>
                <w:sz w:val="18"/>
                <w:szCs w:val="18"/>
              </w:rPr>
              <w:t>20</w:t>
            </w:r>
            <w:r>
              <w:rPr>
                <w:rFonts w:ascii="新宋体" w:hAnsi="新宋体" w:cs="新宋体" w:eastAsia="新宋体" w:hint="default"/>
                <w:spacing w:val="-1"/>
                <w:sz w:val="18"/>
                <w:szCs w:val="18"/>
              </w:rPr>
              <w:t>日</w:t>
            </w:r>
          </w:p>
        </w:tc>
        <w:tc>
          <w:tcPr>
            <w:tcW w:w="9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2" w:right="0"/>
              <w:jc w:val="center"/>
              <w:rPr>
                <w:rFonts w:ascii="新宋体" w:hAnsi="新宋体" w:cs="新宋体" w:eastAsia="新宋体" w:hint="default"/>
                <w:sz w:val="18"/>
                <w:szCs w:val="18"/>
              </w:rPr>
            </w:pPr>
            <w:r>
              <w:rPr>
                <w:rFonts w:ascii="新宋体" w:hAnsi="新宋体" w:cs="新宋体" w:eastAsia="新宋体" w:hint="default"/>
                <w:sz w:val="18"/>
                <w:szCs w:val="18"/>
              </w:rPr>
              <w:t>工业</w:t>
            </w:r>
          </w:p>
        </w:tc>
      </w:tr>
    </w:tbl>
    <w:p>
      <w:pPr>
        <w:spacing w:line="240" w:lineRule="auto" w:before="13"/>
        <w:rPr>
          <w:rFonts w:ascii="宋体" w:hAnsi="宋体" w:cs="宋体" w:eastAsia="宋体" w:hint="default"/>
          <w:sz w:val="18"/>
          <w:szCs w:val="18"/>
        </w:rPr>
      </w:pPr>
    </w:p>
    <w:p>
      <w:pPr>
        <w:spacing w:before="36"/>
        <w:ind w:left="452" w:right="18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、投资状况分析</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452" w:right="18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4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445" w:type="dxa"/>
        <w:tblLayout w:type="fixed"/>
        <w:tblCellMar>
          <w:top w:w="0" w:type="dxa"/>
          <w:left w:w="0" w:type="dxa"/>
          <w:bottom w:w="0" w:type="dxa"/>
          <w:right w:w="0" w:type="dxa"/>
        </w:tblCellMar>
        <w:tblLook w:val="01E0"/>
      </w:tblPr>
      <w:tblGrid>
        <w:gridCol w:w="4083"/>
        <w:gridCol w:w="5480"/>
      </w:tblGrid>
      <w:tr>
        <w:trPr>
          <w:trHeight w:val="414" w:hRule="exact"/>
        </w:trPr>
        <w:tc>
          <w:tcPr>
            <w:tcW w:w="40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7"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90"/>
              <w:ind w:right="9"/>
              <w:jc w:val="right"/>
              <w:rPr>
                <w:rFonts w:ascii="Times New Roman" w:hAnsi="Times New Roman" w:cs="Times New Roman" w:eastAsia="Times New Roman" w:hint="default"/>
                <w:sz w:val="18"/>
                <w:szCs w:val="18"/>
              </w:rPr>
            </w:pPr>
            <w:r>
              <w:rPr>
                <w:rFonts w:ascii="Times New Roman"/>
                <w:spacing w:val="-1"/>
                <w:sz w:val="18"/>
              </w:rPr>
              <w:t>37,363.95</w:t>
            </w:r>
          </w:p>
        </w:tc>
      </w:tr>
      <w:tr>
        <w:trPr>
          <w:trHeight w:val="407" w:hRule="exact"/>
        </w:trPr>
        <w:tc>
          <w:tcPr>
            <w:tcW w:w="40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w w:val="95"/>
                <w:sz w:val="18"/>
              </w:rPr>
              <w:t>11,916.49</w:t>
            </w:r>
          </w:p>
        </w:tc>
      </w:tr>
      <w:tr>
        <w:trPr>
          <w:trHeight w:val="407" w:hRule="exact"/>
        </w:trPr>
        <w:tc>
          <w:tcPr>
            <w:tcW w:w="40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34,558.76</w:t>
            </w:r>
          </w:p>
        </w:tc>
      </w:tr>
      <w:tr>
        <w:trPr>
          <w:trHeight w:val="408" w:hRule="exact"/>
        </w:trPr>
        <w:tc>
          <w:tcPr>
            <w:tcW w:w="40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0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408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0"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4"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25" w:hRule="exact"/>
        </w:trPr>
        <w:tc>
          <w:tcPr>
            <w:tcW w:w="9564"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公司募集资金净额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37,363.95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万元，截止报告期末，已累计使用募集资金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34,558.76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万元，剩余募集资金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4,050.97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（含累计收取的存款利息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万元）存放于募集资金专户。</w:t>
            </w:r>
          </w:p>
        </w:tc>
      </w:tr>
    </w:tbl>
    <w:p>
      <w:pPr>
        <w:spacing w:line="240" w:lineRule="auto" w:before="5"/>
        <w:rPr>
          <w:rFonts w:ascii="宋体" w:hAnsi="宋体" w:cs="宋体" w:eastAsia="宋体" w:hint="default"/>
          <w:sz w:val="19"/>
          <w:szCs w:val="19"/>
        </w:rPr>
      </w:pPr>
    </w:p>
    <w:p>
      <w:pPr>
        <w:spacing w:before="36"/>
        <w:ind w:left="452" w:right="18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4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9"/>
          <w:szCs w:val="9"/>
        </w:rPr>
      </w:pPr>
    </w:p>
    <w:tbl>
      <w:tblPr>
        <w:tblW w:w="0" w:type="auto"/>
        <w:jc w:val="left"/>
        <w:tblInd w:w="416" w:type="dxa"/>
        <w:tblLayout w:type="fixed"/>
        <w:tblCellMar>
          <w:top w:w="0" w:type="dxa"/>
          <w:left w:w="0" w:type="dxa"/>
          <w:bottom w:w="0" w:type="dxa"/>
          <w:right w:w="0" w:type="dxa"/>
        </w:tblCellMar>
        <w:tblLook w:val="01E0"/>
      </w:tblPr>
      <w:tblGrid>
        <w:gridCol w:w="1732"/>
        <w:gridCol w:w="763"/>
        <w:gridCol w:w="766"/>
        <w:gridCol w:w="764"/>
        <w:gridCol w:w="776"/>
        <w:gridCol w:w="776"/>
        <w:gridCol w:w="766"/>
        <w:gridCol w:w="764"/>
        <w:gridCol w:w="766"/>
        <w:gridCol w:w="768"/>
        <w:gridCol w:w="1014"/>
      </w:tblGrid>
      <w:tr>
        <w:trPr>
          <w:trHeight w:val="722" w:hRule="exact"/>
        </w:trPr>
        <w:tc>
          <w:tcPr>
            <w:tcW w:w="1732"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39"/>
              <w:ind w:left="487" w:right="52"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63"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58"/>
              <w:ind w:left="104" w:right="102"/>
              <w:jc w:val="left"/>
              <w:rPr>
                <w:rFonts w:ascii="宋体" w:hAnsi="宋体" w:cs="宋体" w:eastAsia="宋体" w:hint="default"/>
                <w:sz w:val="18"/>
                <w:szCs w:val="18"/>
              </w:rPr>
            </w:pPr>
            <w:r>
              <w:rPr>
                <w:rFonts w:ascii="宋体" w:hAnsi="宋体" w:cs="宋体" w:eastAsia="宋体" w:hint="default"/>
                <w:sz w:val="18"/>
                <w:szCs w:val="18"/>
              </w:rPr>
              <w:t>是否已 变更项</w:t>
            </w:r>
          </w:p>
        </w:tc>
        <w:tc>
          <w:tcPr>
            <w:tcW w:w="766"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58"/>
              <w:ind w:left="104" w:right="105"/>
              <w:jc w:val="left"/>
              <w:rPr>
                <w:rFonts w:ascii="宋体" w:hAnsi="宋体" w:cs="宋体" w:eastAsia="宋体" w:hint="default"/>
                <w:sz w:val="18"/>
                <w:szCs w:val="18"/>
              </w:rPr>
            </w:pPr>
            <w:r>
              <w:rPr>
                <w:rFonts w:ascii="宋体" w:hAnsi="宋体" w:cs="宋体" w:eastAsia="宋体" w:hint="default"/>
                <w:sz w:val="18"/>
                <w:szCs w:val="18"/>
              </w:rPr>
              <w:t>募集资 金承诺</w:t>
            </w:r>
          </w:p>
        </w:tc>
        <w:tc>
          <w:tcPr>
            <w:tcW w:w="764"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58"/>
              <w:ind w:left="104" w:right="103"/>
              <w:jc w:val="left"/>
              <w:rPr>
                <w:rFonts w:ascii="宋体" w:hAnsi="宋体" w:cs="宋体" w:eastAsia="宋体" w:hint="default"/>
                <w:sz w:val="18"/>
                <w:szCs w:val="18"/>
              </w:rPr>
            </w:pPr>
            <w:r>
              <w:rPr>
                <w:rFonts w:ascii="宋体" w:hAnsi="宋体" w:cs="宋体" w:eastAsia="宋体" w:hint="default"/>
                <w:sz w:val="18"/>
                <w:szCs w:val="18"/>
              </w:rPr>
              <w:t>调整后 投资总</w:t>
            </w:r>
          </w:p>
        </w:tc>
        <w:tc>
          <w:tcPr>
            <w:tcW w:w="776"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39"/>
              <w:ind w:left="21" w:right="1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76"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58"/>
              <w:ind w:left="20" w:right="18"/>
              <w:jc w:val="left"/>
              <w:rPr>
                <w:rFonts w:ascii="宋体" w:hAnsi="宋体" w:cs="宋体" w:eastAsia="宋体" w:hint="default"/>
                <w:sz w:val="18"/>
                <w:szCs w:val="18"/>
              </w:rPr>
            </w:pPr>
            <w:r>
              <w:rPr>
                <w:rFonts w:ascii="宋体" w:hAnsi="宋体" w:cs="宋体" w:eastAsia="宋体" w:hint="default"/>
                <w:sz w:val="18"/>
                <w:szCs w:val="18"/>
              </w:rPr>
              <w:t>截至期末 累计投入</w:t>
            </w:r>
          </w:p>
        </w:tc>
        <w:tc>
          <w:tcPr>
            <w:tcW w:w="766"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58"/>
              <w:ind w:left="104" w:right="104"/>
              <w:jc w:val="left"/>
              <w:rPr>
                <w:rFonts w:ascii="宋体" w:hAnsi="宋体" w:cs="宋体" w:eastAsia="宋体" w:hint="default"/>
                <w:sz w:val="18"/>
                <w:szCs w:val="18"/>
              </w:rPr>
            </w:pPr>
            <w:r>
              <w:rPr>
                <w:rFonts w:ascii="宋体" w:hAnsi="宋体" w:cs="宋体" w:eastAsia="宋体" w:hint="default"/>
                <w:sz w:val="18"/>
                <w:szCs w:val="18"/>
              </w:rPr>
              <w:t>截至期 末投资</w:t>
            </w:r>
          </w:p>
        </w:tc>
        <w:tc>
          <w:tcPr>
            <w:tcW w:w="764"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58"/>
              <w:ind w:left="104" w:right="103"/>
              <w:jc w:val="left"/>
              <w:rPr>
                <w:rFonts w:ascii="宋体" w:hAnsi="宋体" w:cs="宋体" w:eastAsia="宋体" w:hint="default"/>
                <w:sz w:val="18"/>
                <w:szCs w:val="18"/>
              </w:rPr>
            </w:pPr>
            <w:r>
              <w:rPr>
                <w:rFonts w:ascii="宋体" w:hAnsi="宋体" w:cs="宋体" w:eastAsia="宋体" w:hint="default"/>
                <w:sz w:val="18"/>
                <w:szCs w:val="18"/>
              </w:rPr>
              <w:t>项目达 到预定</w:t>
            </w:r>
          </w:p>
        </w:tc>
        <w:tc>
          <w:tcPr>
            <w:tcW w:w="766"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58"/>
              <w:ind w:left="105" w:right="104"/>
              <w:jc w:val="left"/>
              <w:rPr>
                <w:rFonts w:ascii="宋体" w:hAnsi="宋体" w:cs="宋体" w:eastAsia="宋体" w:hint="default"/>
                <w:sz w:val="18"/>
                <w:szCs w:val="18"/>
              </w:rPr>
            </w:pPr>
            <w:r>
              <w:rPr>
                <w:rFonts w:ascii="宋体" w:hAnsi="宋体" w:cs="宋体" w:eastAsia="宋体" w:hint="default"/>
                <w:sz w:val="18"/>
                <w:szCs w:val="18"/>
              </w:rPr>
              <w:t>本报告 期实现</w:t>
            </w:r>
          </w:p>
        </w:tc>
        <w:tc>
          <w:tcPr>
            <w:tcW w:w="768" w:type="dxa"/>
            <w:tcBorders>
              <w:top w:val="single" w:sz="12" w:space="0" w:color="000000"/>
              <w:left w:val="single" w:sz="6" w:space="0" w:color="000000"/>
              <w:bottom w:val="single" w:sz="12" w:space="0" w:color="000000"/>
              <w:right w:val="single" w:sz="6" w:space="0" w:color="000000"/>
            </w:tcBorders>
            <w:shd w:val="clear" w:color="auto" w:fill="D2D2D2"/>
          </w:tcPr>
          <w:p>
            <w:pPr>
              <w:pStyle w:val="TableParagraph"/>
              <w:spacing w:line="316" w:lineRule="auto" w:before="58"/>
              <w:ind w:left="105" w:right="107"/>
              <w:jc w:val="left"/>
              <w:rPr>
                <w:rFonts w:ascii="宋体" w:hAnsi="宋体" w:cs="宋体" w:eastAsia="宋体" w:hint="default"/>
                <w:sz w:val="18"/>
                <w:szCs w:val="18"/>
              </w:rPr>
            </w:pPr>
            <w:r>
              <w:rPr>
                <w:rFonts w:ascii="宋体" w:hAnsi="宋体" w:cs="宋体" w:eastAsia="宋体" w:hint="default"/>
                <w:sz w:val="18"/>
                <w:szCs w:val="18"/>
              </w:rPr>
              <w:t>是否达 到预计</w:t>
            </w:r>
          </w:p>
        </w:tc>
        <w:tc>
          <w:tcPr>
            <w:tcW w:w="1014" w:type="dxa"/>
            <w:tcBorders>
              <w:top w:val="single" w:sz="12" w:space="0" w:color="000000"/>
              <w:left w:val="single" w:sz="6" w:space="0" w:color="000000"/>
              <w:bottom w:val="single" w:sz="12" w:space="0" w:color="000000"/>
              <w:right w:val="single" w:sz="12" w:space="0" w:color="000000"/>
            </w:tcBorders>
            <w:shd w:val="clear" w:color="auto" w:fill="D2D2D2"/>
          </w:tcPr>
          <w:p>
            <w:pPr>
              <w:pStyle w:val="TableParagraph"/>
              <w:spacing w:line="316" w:lineRule="auto" w:before="58"/>
              <w:ind w:left="52" w:right="37"/>
              <w:jc w:val="left"/>
              <w:rPr>
                <w:rFonts w:ascii="宋体" w:hAnsi="宋体" w:cs="宋体" w:eastAsia="宋体" w:hint="default"/>
                <w:sz w:val="18"/>
                <w:szCs w:val="18"/>
              </w:rPr>
            </w:pPr>
            <w:r>
              <w:rPr>
                <w:rFonts w:ascii="宋体" w:hAnsi="宋体" w:cs="宋体" w:eastAsia="宋体" w:hint="default"/>
                <w:sz w:val="18"/>
                <w:szCs w:val="18"/>
              </w:rPr>
              <w:t>项目可行性 是否发生重</w:t>
            </w:r>
          </w:p>
        </w:tc>
      </w:tr>
    </w:tbl>
    <w:p>
      <w:pPr>
        <w:spacing w:after="0" w:line="316" w:lineRule="auto"/>
        <w:jc w:val="left"/>
        <w:rPr>
          <w:rFonts w:ascii="宋体" w:hAnsi="宋体" w:cs="宋体" w:eastAsia="宋体" w:hint="default"/>
          <w:sz w:val="18"/>
          <w:szCs w:val="18"/>
        </w:rPr>
        <w:sectPr>
          <w:pgSz w:w="11910" w:h="16840"/>
          <w:pgMar w:header="555" w:footer="980" w:top="1100" w:bottom="1160" w:left="680" w:right="960"/>
        </w:sectPr>
      </w:pPr>
    </w:p>
    <w:p>
      <w:pPr>
        <w:spacing w:line="240" w:lineRule="auto" w:before="11"/>
        <w:rPr>
          <w:rFonts w:ascii="Times New Roman" w:hAnsi="Times New Roman" w:cs="Times New Roman" w:eastAsia="Times New Roman" w:hint="default"/>
          <w:sz w:val="27"/>
          <w:szCs w:val="27"/>
        </w:rPr>
      </w:pPr>
      <w:r>
        <w:rPr/>
        <w:pict>
          <v:shape style="position:absolute;margin-left:109.200005pt;margin-top:580.98999pt;width:69.75pt;height:19.6pt;mso-position-horizontal-relative:page;mso-position-vertical-relative:page;z-index:-9474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738"/>
        <w:gridCol w:w="192"/>
        <w:gridCol w:w="571"/>
        <w:gridCol w:w="766"/>
        <w:gridCol w:w="766"/>
        <w:gridCol w:w="775"/>
        <w:gridCol w:w="776"/>
        <w:gridCol w:w="766"/>
        <w:gridCol w:w="766"/>
        <w:gridCol w:w="766"/>
        <w:gridCol w:w="766"/>
        <w:gridCol w:w="1022"/>
      </w:tblGrid>
      <w:tr>
        <w:trPr>
          <w:trHeight w:val="999" w:hRule="exact"/>
        </w:trPr>
        <w:tc>
          <w:tcPr>
            <w:tcW w:w="173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63"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10"/>
              <w:ind w:left="7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286" w:right="104" w:hanging="181"/>
              <w:jc w:val="left"/>
              <w:rPr>
                <w:rFonts w:ascii="宋体" w:hAnsi="宋体" w:cs="宋体" w:eastAsia="宋体" w:hint="default"/>
                <w:sz w:val="18"/>
                <w:szCs w:val="18"/>
              </w:rPr>
            </w:pPr>
            <w:r>
              <w:rPr>
                <w:rFonts w:ascii="宋体" w:hAnsi="宋体" w:cs="宋体" w:eastAsia="宋体" w:hint="default"/>
                <w:sz w:val="18"/>
                <w:szCs w:val="18"/>
              </w:rPr>
              <w:t>投资总 额</w:t>
            </w:r>
          </w:p>
        </w:tc>
        <w:tc>
          <w:tcPr>
            <w:tcW w:w="7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775"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7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进度</w:t>
            </w:r>
          </w:p>
          <w:p>
            <w:pPr>
              <w:pStyle w:val="TableParagraph"/>
              <w:spacing w:line="240" w:lineRule="auto" w:before="7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(2)/(1)</w:t>
            </w:r>
          </w:p>
        </w:tc>
        <w:tc>
          <w:tcPr>
            <w:tcW w:w="7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105" w:right="103"/>
              <w:jc w:val="center"/>
              <w:rPr>
                <w:rFonts w:ascii="宋体" w:hAnsi="宋体" w:cs="宋体" w:eastAsia="宋体" w:hint="default"/>
                <w:sz w:val="18"/>
                <w:szCs w:val="18"/>
              </w:rPr>
            </w:pPr>
            <w:r>
              <w:rPr>
                <w:rFonts w:ascii="宋体" w:hAnsi="宋体" w:cs="宋体" w:eastAsia="宋体" w:hint="default"/>
                <w:sz w:val="18"/>
                <w:szCs w:val="18"/>
              </w:rPr>
              <w:t>可使用 状态日 期</w:t>
            </w:r>
          </w:p>
        </w:tc>
        <w:tc>
          <w:tcPr>
            <w:tcW w:w="7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的效益</w:t>
            </w:r>
          </w:p>
        </w:tc>
        <w:tc>
          <w:tcPr>
            <w:tcW w:w="7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效益</w:t>
            </w:r>
          </w:p>
        </w:tc>
        <w:tc>
          <w:tcPr>
            <w:tcW w:w="10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大变化</w:t>
            </w:r>
          </w:p>
        </w:tc>
      </w:tr>
      <w:tr>
        <w:trPr>
          <w:trHeight w:val="408" w:hRule="exact"/>
        </w:trPr>
        <w:tc>
          <w:tcPr>
            <w:tcW w:w="9669"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2" w:hRule="exact"/>
        </w:trPr>
        <w:tc>
          <w:tcPr>
            <w:tcW w:w="17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万支红外气体</w:t>
            </w:r>
          </w:p>
          <w:p>
            <w:pPr>
              <w:pStyle w:val="TableParagraph"/>
              <w:spacing w:line="309" w:lineRule="auto" w:before="63"/>
              <w:ind w:left="14" w:right="81"/>
              <w:jc w:val="both"/>
              <w:rPr>
                <w:rFonts w:ascii="宋体" w:hAnsi="宋体" w:cs="宋体" w:eastAsia="宋体" w:hint="default"/>
                <w:sz w:val="18"/>
                <w:szCs w:val="18"/>
              </w:rPr>
            </w:pPr>
            <w:r>
              <w:rPr>
                <w:rFonts w:ascii="宋体" w:hAnsi="宋体" w:cs="宋体" w:eastAsia="宋体" w:hint="default"/>
                <w:sz w:val="18"/>
                <w:szCs w:val="18"/>
              </w:rPr>
              <w:t>传感器及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万台红 外气体检测仪仪器仪 表项目</w:t>
            </w:r>
          </w:p>
        </w:tc>
        <w:tc>
          <w:tcPr>
            <w:tcW w:w="7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7,020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7,020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3,011.76</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5,884.2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83.82%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557.44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2" w:hRule="exact"/>
        </w:trPr>
        <w:tc>
          <w:tcPr>
            <w:tcW w:w="17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14" w:right="1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万台电化学气 体检测仪器仪表项目</w:t>
            </w:r>
          </w:p>
        </w:tc>
        <w:tc>
          <w:tcPr>
            <w:tcW w:w="7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8,560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8,560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2,711.58</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5,331.87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62.29%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784.77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0" w:hRule="exact"/>
        </w:trPr>
        <w:tc>
          <w:tcPr>
            <w:tcW w:w="17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4" w:right="81"/>
              <w:jc w:val="left"/>
              <w:rPr>
                <w:rFonts w:ascii="宋体" w:hAnsi="宋体" w:cs="宋体" w:eastAsia="宋体" w:hint="default"/>
                <w:sz w:val="18"/>
                <w:szCs w:val="18"/>
              </w:rPr>
            </w:pPr>
            <w:r>
              <w:rPr>
                <w:rFonts w:ascii="宋体" w:hAnsi="宋体" w:cs="宋体" w:eastAsia="宋体" w:hint="default"/>
                <w:sz w:val="18"/>
                <w:szCs w:val="18"/>
              </w:rPr>
              <w:t>客户营销服务网络建 设项目</w:t>
            </w:r>
          </w:p>
        </w:tc>
        <w:tc>
          <w:tcPr>
            <w:tcW w:w="7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2,577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2,577</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1,264.65</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2,396.71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2" w:hRule="exact"/>
        </w:trPr>
        <w:tc>
          <w:tcPr>
            <w:tcW w:w="17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 w:right="0"/>
              <w:jc w:val="left"/>
              <w:rPr>
                <w:rFonts w:ascii="宋体" w:hAnsi="宋体" w:cs="宋体" w:eastAsia="宋体" w:hint="default"/>
                <w:sz w:val="18"/>
                <w:szCs w:val="18"/>
              </w:rPr>
            </w:pPr>
            <w:r>
              <w:rPr>
                <w:rFonts w:ascii="宋体" w:hAnsi="宋体" w:cs="宋体" w:eastAsia="宋体" w:hint="default"/>
                <w:sz w:val="18"/>
                <w:szCs w:val="18"/>
              </w:rPr>
              <w:t>暂时补充流动资金</w:t>
            </w:r>
          </w:p>
        </w:tc>
        <w:tc>
          <w:tcPr>
            <w:tcW w:w="7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18,157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18,157</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10,487.99</w:t>
            </w:r>
          </w:p>
        </w:tc>
        <w:tc>
          <w:tcPr>
            <w:tcW w:w="776"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w w:val="95"/>
                <w:sz w:val="18"/>
              </w:rPr>
              <w:t>17,112.78</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9" w:space="0" w:color="D2D2D2"/>
              <w:bottom w:val="single" w:sz="6"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w w:val="95"/>
                <w:sz w:val="18"/>
              </w:rPr>
              <w:t>1,342.21</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2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9669"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32" w:hRule="exact"/>
        </w:trPr>
        <w:tc>
          <w:tcPr>
            <w:tcW w:w="17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宋体" w:hAnsi="宋体" w:cs="宋体" w:eastAsia="宋体" w:hint="default"/>
                <w:sz w:val="18"/>
                <w:szCs w:val="18"/>
              </w:rPr>
              <w:t>投资设立智威宇讯</w:t>
            </w:r>
          </w:p>
        </w:tc>
        <w:tc>
          <w:tcPr>
            <w:tcW w:w="7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0" w:hRule="exact"/>
        </w:trPr>
        <w:tc>
          <w:tcPr>
            <w:tcW w:w="17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 w:right="0"/>
              <w:jc w:val="left"/>
              <w:rPr>
                <w:rFonts w:ascii="宋体" w:hAnsi="宋体" w:cs="宋体" w:eastAsia="宋体" w:hint="default"/>
                <w:sz w:val="18"/>
                <w:szCs w:val="18"/>
              </w:rPr>
            </w:pPr>
            <w:r>
              <w:rPr>
                <w:rFonts w:ascii="宋体" w:hAnsi="宋体" w:cs="宋体" w:eastAsia="宋体" w:hint="default"/>
                <w:sz w:val="18"/>
                <w:szCs w:val="18"/>
              </w:rPr>
              <w:t>增资子公司创威煤安</w:t>
            </w:r>
          </w:p>
        </w:tc>
        <w:tc>
          <w:tcPr>
            <w:tcW w:w="7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75"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2" w:hRule="exact"/>
        </w:trPr>
        <w:tc>
          <w:tcPr>
            <w:tcW w:w="17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 w:right="0"/>
              <w:jc w:val="left"/>
              <w:rPr>
                <w:rFonts w:ascii="宋体" w:hAnsi="宋体" w:cs="宋体" w:eastAsia="宋体" w:hint="default"/>
                <w:sz w:val="18"/>
                <w:szCs w:val="18"/>
              </w:rPr>
            </w:pPr>
            <w:r>
              <w:rPr>
                <w:rFonts w:ascii="宋体" w:hAnsi="宋体" w:cs="宋体" w:eastAsia="宋体" w:hint="default"/>
                <w:sz w:val="18"/>
                <w:szCs w:val="18"/>
              </w:rPr>
              <w:t>扩建研发中心</w:t>
            </w:r>
          </w:p>
        </w:tc>
        <w:tc>
          <w:tcPr>
            <w:tcW w:w="7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1,131.5</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4,545.98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物联网产业园土地</w:t>
            </w:r>
          </w:p>
        </w:tc>
        <w:tc>
          <w:tcPr>
            <w:tcW w:w="7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297</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192" w:type="dxa"/>
            <w:tcBorders>
              <w:top w:val="single" w:sz="6" w:space="0" w:color="000000"/>
              <w:left w:val="single" w:sz="6" w:space="0" w:color="000000"/>
              <w:bottom w:val="single" w:sz="6" w:space="0" w:color="000000"/>
              <w:right w:val="nil" w:sz="6" w:space="0" w:color="auto"/>
            </w:tcBorders>
            <w:shd w:val="clear" w:color="auto" w:fill="D2D2D2"/>
          </w:tcPr>
          <w:p>
            <w:pPr/>
          </w:p>
        </w:tc>
        <w:tc>
          <w:tcPr>
            <w:tcW w:w="571"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766" w:type="dxa"/>
            <w:tcBorders>
              <w:top w:val="single" w:sz="6" w:space="0" w:color="000000"/>
              <w:left w:val="single" w:sz="6" w:space="0" w:color="000000"/>
              <w:bottom w:val="single" w:sz="6" w:space="0" w:color="000000"/>
              <w:right w:val="single" w:sz="9"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2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17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1,428.5</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17,445.98</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9" w:space="0" w:color="D2D2D2"/>
              <w:bottom w:val="single" w:sz="6"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2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173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36,557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35,557</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11,916.49</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34,558.76</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6" w:space="0" w:color="000000"/>
              <w:left w:val="single" w:sz="9" w:space="0" w:color="D2D2D2"/>
              <w:bottom w:val="single" w:sz="6"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w w:val="95"/>
                <w:sz w:val="18"/>
              </w:rPr>
              <w:t>1,342.21</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22"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1738" w:type="dxa"/>
            <w:tcBorders>
              <w:top w:val="single" w:sz="6" w:space="0" w:color="000000"/>
              <w:left w:val="single" w:sz="12" w:space="0" w:color="000000"/>
              <w:bottom w:val="nil" w:sz="6" w:space="0" w:color="auto"/>
              <w:right w:val="single" w:sz="6" w:space="0" w:color="000000"/>
            </w:tcBorders>
            <w:shd w:val="clear" w:color="auto" w:fill="D2D2D2"/>
          </w:tcPr>
          <w:p>
            <w:pPr/>
          </w:p>
        </w:tc>
        <w:tc>
          <w:tcPr>
            <w:tcW w:w="7931" w:type="dxa"/>
            <w:gridSpan w:val="11"/>
            <w:vMerge w:val="restart"/>
            <w:tcBorders>
              <w:top w:val="single" w:sz="6" w:space="0" w:color="000000"/>
              <w:left w:val="single" w:sz="9" w:space="0" w:color="D2D2D2"/>
              <w:right w:val="single" w:sz="12"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、项目进度情况</w:t>
            </w:r>
          </w:p>
          <w:p>
            <w:pPr>
              <w:pStyle w:val="TableParagraph"/>
              <w:spacing w:line="309" w:lineRule="auto" w:before="101"/>
              <w:ind w:left="17" w:right="12"/>
              <w:jc w:val="left"/>
              <w:rPr>
                <w:rFonts w:ascii="宋体" w:hAnsi="宋体" w:cs="宋体" w:eastAsia="宋体" w:hint="default"/>
                <w:sz w:val="18"/>
                <w:szCs w:val="18"/>
              </w:rPr>
            </w:pPr>
            <w:r>
              <w:rPr>
                <w:rFonts w:ascii="宋体" w:hAnsi="宋体" w:cs="宋体" w:eastAsia="宋体" w:hint="default"/>
                <w:sz w:val="18"/>
                <w:szCs w:val="18"/>
              </w:rPr>
              <w:t>募投项目之“年产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万支红外气体传感器及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万台红外气体检测仪器仪表项目”及“年产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万台 </w:t>
            </w:r>
            <w:r>
              <w:rPr>
                <w:rFonts w:ascii="宋体" w:hAnsi="宋体" w:cs="宋体" w:eastAsia="宋体" w:hint="default"/>
                <w:spacing w:val="-2"/>
                <w:sz w:val="18"/>
                <w:szCs w:val="18"/>
              </w:rPr>
              <w:t>电化学气体检测仪器仪表项目”原规划用地与公司后期新购置的一块土地相邻，为优化工业园整体布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局，公司对项目基建工程部分调整规划设计，两项目实际跨地块进行，两地块土地证号分别为郑国用</w:t>
            </w:r>
          </w:p>
          <w:p>
            <w:pPr>
              <w:pStyle w:val="TableParagraph"/>
              <w:spacing w:line="240" w:lineRule="auto" w:before="24"/>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0099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号、郑国用【</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号。报告期内，两项目设备采购正在按照计划进行。目</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前项目资金均未使用完毕，剩余部分资金将按照合同约定进度支付。两项目土建已于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月开</w:t>
            </w:r>
          </w:p>
          <w:p>
            <w:pPr>
              <w:pStyle w:val="TableParagraph"/>
              <w:spacing w:line="240" w:lineRule="auto" w:before="62"/>
              <w:ind w:left="17" w:right="0"/>
              <w:jc w:val="left"/>
              <w:rPr>
                <w:rFonts w:ascii="宋体" w:hAnsi="宋体" w:cs="宋体" w:eastAsia="宋体" w:hint="default"/>
                <w:sz w:val="18"/>
                <w:szCs w:val="18"/>
              </w:rPr>
            </w:pPr>
            <w:r>
              <w:rPr>
                <w:rFonts w:ascii="宋体" w:hAnsi="宋体" w:cs="宋体" w:eastAsia="宋体" w:hint="default"/>
                <w:sz w:val="18"/>
                <w:szCs w:val="18"/>
              </w:rPr>
              <w:t>始施工，建设期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个月。截止报告期末，上述两项目及扩建研发中心项目主体工程已完工，生产设</w:t>
            </w:r>
          </w:p>
        </w:tc>
      </w:tr>
      <w:tr>
        <w:trPr>
          <w:trHeight w:val="1015" w:hRule="exact"/>
        </w:trPr>
        <w:tc>
          <w:tcPr>
            <w:tcW w:w="1738"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314" w:lineRule="auto" w:before="49"/>
              <w:ind w:left="14" w:right="8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31" w:type="dxa"/>
            <w:gridSpan w:val="11"/>
            <w:vMerge/>
            <w:tcBorders>
              <w:left w:val="single" w:sz="9" w:space="0" w:color="D2D2D2"/>
              <w:right w:val="single" w:sz="12" w:space="0" w:color="000000"/>
            </w:tcBorders>
          </w:tcPr>
          <w:p>
            <w:pPr/>
          </w:p>
        </w:tc>
      </w:tr>
      <w:tr>
        <w:trPr>
          <w:trHeight w:val="638" w:hRule="exact"/>
        </w:trPr>
        <w:tc>
          <w:tcPr>
            <w:tcW w:w="1738" w:type="dxa"/>
            <w:tcBorders>
              <w:top w:val="nil" w:sz="6" w:space="0" w:color="auto"/>
              <w:left w:val="single" w:sz="12" w:space="0" w:color="000000"/>
              <w:bottom w:val="single" w:sz="12" w:space="0" w:color="000000"/>
              <w:right w:val="single" w:sz="6" w:space="0" w:color="000000"/>
            </w:tcBorders>
            <w:shd w:val="clear" w:color="auto" w:fill="D2D2D2"/>
          </w:tcPr>
          <w:p>
            <w:pPr/>
          </w:p>
        </w:tc>
        <w:tc>
          <w:tcPr>
            <w:tcW w:w="7931" w:type="dxa"/>
            <w:gridSpan w:val="11"/>
            <w:vMerge/>
            <w:tcBorders>
              <w:left w:val="single" w:sz="9" w:space="0" w:color="D2D2D2"/>
              <w:bottom w:val="single" w:sz="12" w:space="0" w:color="000000"/>
              <w:right w:val="single" w:sz="12" w:space="0" w:color="000000"/>
            </w:tcBorders>
          </w:tcPr>
          <w:p>
            <w:pPr/>
          </w:p>
        </w:tc>
      </w:tr>
    </w:tbl>
    <w:p>
      <w:pPr>
        <w:spacing w:after="0"/>
        <w:sectPr>
          <w:pgSz w:w="11910" w:h="16840"/>
          <w:pgMar w:header="555" w:footer="980" w:top="1100" w:bottom="1160" w:left="980" w:right="100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737"/>
        <w:gridCol w:w="7931"/>
      </w:tblGrid>
      <w:tr>
        <w:trPr>
          <w:trHeight w:val="2326" w:hRule="exact"/>
        </w:trPr>
        <w:tc>
          <w:tcPr>
            <w:tcW w:w="1737"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3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1" w:right="0"/>
              <w:jc w:val="both"/>
              <w:rPr>
                <w:rFonts w:ascii="宋体" w:hAnsi="宋体" w:cs="宋体" w:eastAsia="宋体" w:hint="default"/>
                <w:sz w:val="18"/>
                <w:szCs w:val="18"/>
              </w:rPr>
            </w:pPr>
            <w:r>
              <w:rPr>
                <w:rFonts w:ascii="宋体" w:hAnsi="宋体" w:cs="宋体" w:eastAsia="宋体" w:hint="default"/>
                <w:sz w:val="18"/>
                <w:szCs w:val="18"/>
              </w:rPr>
              <w:t>备已基本调试完毕并逐步投入使用。客户营销服务网络建设项目正在按计划有序进行。</w:t>
            </w:r>
          </w:p>
          <w:p>
            <w:pPr>
              <w:pStyle w:val="TableParagraph"/>
              <w:spacing w:line="240" w:lineRule="auto" w:before="115"/>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、实现收益情况</w:t>
            </w:r>
          </w:p>
          <w:p>
            <w:pPr>
              <w:pStyle w:val="TableParagraph"/>
              <w:spacing w:line="240" w:lineRule="auto" w:before="103"/>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日，公司第二届董事会第十七次会议审议通过了《关于延长募集资金投资项目达到预</w:t>
            </w:r>
          </w:p>
          <w:p>
            <w:pPr>
              <w:pStyle w:val="TableParagraph"/>
              <w:spacing w:line="309" w:lineRule="auto" w:before="63"/>
              <w:ind w:left="21" w:right="9"/>
              <w:jc w:val="both"/>
              <w:rPr>
                <w:rFonts w:ascii="Times New Roman" w:hAnsi="Times New Roman" w:cs="Times New Roman" w:eastAsia="Times New Roman" w:hint="default"/>
                <w:sz w:val="18"/>
                <w:szCs w:val="18"/>
              </w:rPr>
            </w:pPr>
            <w:r>
              <w:rPr>
                <w:rFonts w:ascii="宋体" w:hAnsi="宋体" w:cs="宋体" w:eastAsia="宋体" w:hint="default"/>
                <w:sz w:val="18"/>
                <w:szCs w:val="18"/>
              </w:rPr>
              <w:t>定可使用状态时间的议案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项</w:t>
            </w:r>
            <w:r>
              <w:rPr>
                <w:rFonts w:ascii="宋体" w:hAnsi="宋体" w:cs="宋体" w:eastAsia="宋体" w:hint="default"/>
                <w:sz w:val="18"/>
                <w:szCs w:val="18"/>
              </w:rPr>
              <w:t>目可使用状态日期顺延至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月。报告期内，募投项</w:t>
            </w:r>
            <w:r>
              <w:rPr>
                <w:rFonts w:ascii="宋体" w:hAnsi="宋体" w:cs="宋体" w:eastAsia="宋体" w:hint="default"/>
                <w:spacing w:val="-3"/>
                <w:sz w:val="18"/>
                <w:szCs w:val="18"/>
              </w:rPr>
              <w:t>目</w:t>
            </w:r>
            <w:r>
              <w:rPr>
                <w:rFonts w:ascii="宋体" w:hAnsi="宋体" w:cs="宋体" w:eastAsia="宋体" w:hint="default"/>
                <w:sz w:val="18"/>
                <w:szCs w:val="18"/>
              </w:rPr>
              <w:t>尚处于</w:t>
            </w:r>
            <w:r>
              <w:rPr>
                <w:rFonts w:ascii="宋体" w:hAnsi="宋体" w:cs="宋体" w:eastAsia="宋体" w:hint="default"/>
                <w:sz w:val="18"/>
                <w:szCs w:val="18"/>
              </w:rPr>
              <w:t> 建设期内</w:t>
            </w:r>
            <w:r>
              <w:rPr>
                <w:rFonts w:ascii="宋体" w:hAnsi="宋体" w:cs="宋体" w:eastAsia="宋体" w:hint="default"/>
                <w:spacing w:val="-34"/>
                <w:sz w:val="18"/>
                <w:szCs w:val="18"/>
              </w:rPr>
              <w:t>，</w:t>
            </w:r>
            <w:r>
              <w:rPr>
                <w:rFonts w:ascii="宋体" w:hAnsi="宋体" w:cs="宋体" w:eastAsia="宋体" w:hint="default"/>
                <w:sz w:val="18"/>
                <w:szCs w:val="18"/>
              </w:rPr>
              <w:t>但公司在原有剩余厂房中购置部分设备进行生产</w:t>
            </w:r>
            <w:r>
              <w:rPr>
                <w:rFonts w:ascii="宋体" w:hAnsi="宋体" w:cs="宋体" w:eastAsia="宋体" w:hint="default"/>
                <w:spacing w:val="-34"/>
                <w:sz w:val="18"/>
                <w:szCs w:val="18"/>
              </w:rPr>
              <w:t>，</w:t>
            </w:r>
            <w:r>
              <w:rPr>
                <w:rFonts w:ascii="宋体" w:hAnsi="宋体" w:cs="宋体" w:eastAsia="宋体" w:hint="default"/>
                <w:sz w:val="18"/>
                <w:szCs w:val="18"/>
              </w:rPr>
              <w:t>努力争取实现项目效益</w:t>
            </w:r>
            <w:r>
              <w:rPr>
                <w:rFonts w:ascii="宋体" w:hAnsi="宋体" w:cs="宋体" w:eastAsia="宋体" w:hint="default"/>
                <w:spacing w:val="-34"/>
                <w:sz w:val="18"/>
                <w:szCs w:val="18"/>
              </w:rPr>
              <w:t>。</w:t>
            </w:r>
            <w:r>
              <w:rPr>
                <w:rFonts w:ascii="宋体" w:hAnsi="宋体" w:cs="宋体" w:eastAsia="宋体" w:hint="default"/>
                <w:sz w:val="18"/>
                <w:szCs w:val="18"/>
              </w:rPr>
              <w:t>报告期</w:t>
            </w:r>
            <w:r>
              <w:rPr>
                <w:rFonts w:ascii="宋体" w:hAnsi="宋体" w:cs="宋体" w:eastAsia="宋体" w:hint="default"/>
                <w:spacing w:val="1"/>
                <w:sz w:val="18"/>
                <w:szCs w:val="18"/>
              </w:rPr>
              <w:t>内</w:t>
            </w:r>
            <w:r>
              <w:rPr>
                <w:rFonts w:ascii="宋体" w:hAnsi="宋体" w:cs="宋体" w:eastAsia="宋体" w:hint="default"/>
                <w:spacing w:val="-125"/>
                <w:sz w:val="18"/>
                <w:szCs w:val="18"/>
              </w:rPr>
              <w:t>，</w:t>
            </w:r>
            <w:r>
              <w:rPr>
                <w:rFonts w:ascii="宋体" w:hAnsi="宋体" w:cs="宋体" w:eastAsia="宋体" w:hint="default"/>
                <w:sz w:val="18"/>
                <w:szCs w:val="18"/>
              </w:rPr>
              <w:t>“年</w:t>
            </w:r>
            <w:r>
              <w:rPr>
                <w:rFonts w:ascii="宋体" w:hAnsi="宋体" w:cs="宋体" w:eastAsia="宋体" w:hint="default"/>
                <w:sz w:val="18"/>
                <w:szCs w:val="18"/>
              </w:rPr>
              <w:t> 产</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万台电化学气体检测仪</w:t>
            </w:r>
            <w:r>
              <w:rPr>
                <w:rFonts w:ascii="宋体" w:hAnsi="宋体" w:cs="宋体" w:eastAsia="宋体" w:hint="default"/>
                <w:spacing w:val="-3"/>
                <w:sz w:val="18"/>
                <w:szCs w:val="18"/>
              </w:rPr>
              <w:t>器</w:t>
            </w:r>
            <w:r>
              <w:rPr>
                <w:rFonts w:ascii="宋体" w:hAnsi="宋体" w:cs="宋体" w:eastAsia="宋体" w:hint="default"/>
                <w:sz w:val="18"/>
                <w:szCs w:val="18"/>
              </w:rPr>
              <w:t>仪表项目”实现效益</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万支红外气体传</w:t>
            </w:r>
            <w:r>
              <w:rPr>
                <w:rFonts w:ascii="宋体" w:hAnsi="宋体" w:cs="宋体" w:eastAsia="宋体" w:hint="default"/>
                <w:spacing w:val="-3"/>
                <w:sz w:val="18"/>
                <w:szCs w:val="18"/>
              </w:rPr>
              <w:t>感</w:t>
            </w:r>
            <w:r>
              <w:rPr>
                <w:rFonts w:ascii="宋体" w:hAnsi="宋体" w:cs="宋体" w:eastAsia="宋体" w:hint="default"/>
                <w:sz w:val="18"/>
                <w:szCs w:val="18"/>
              </w:rPr>
              <w:t>器及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.5</w:t>
            </w:r>
          </w:p>
          <w:p>
            <w:pPr>
              <w:pStyle w:val="TableParagraph"/>
              <w:spacing w:line="240" w:lineRule="auto" w:before="5"/>
              <w:ind w:left="21" w:right="0"/>
              <w:jc w:val="both"/>
              <w:rPr>
                <w:rFonts w:ascii="宋体" w:hAnsi="宋体" w:cs="宋体" w:eastAsia="宋体" w:hint="default"/>
                <w:sz w:val="18"/>
                <w:szCs w:val="18"/>
              </w:rPr>
            </w:pPr>
            <w:r>
              <w:rPr>
                <w:rFonts w:ascii="宋体" w:hAnsi="宋体" w:cs="宋体" w:eastAsia="宋体" w:hint="default"/>
                <w:sz w:val="18"/>
                <w:szCs w:val="18"/>
              </w:rPr>
              <w:t>万台红外气体检测仪仪器仪表项目”实现效益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20" w:hRule="exact"/>
        </w:trPr>
        <w:tc>
          <w:tcPr>
            <w:tcW w:w="17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51"/>
              <w:ind w:left="13" w:right="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8" w:hRule="exact"/>
        </w:trPr>
        <w:tc>
          <w:tcPr>
            <w:tcW w:w="1737"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13" w:right="8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52" w:hRule="exact"/>
        </w:trPr>
        <w:tc>
          <w:tcPr>
            <w:tcW w:w="1737" w:type="dxa"/>
            <w:vMerge/>
            <w:tcBorders>
              <w:left w:val="single" w:sz="12" w:space="0" w:color="000000"/>
              <w:bottom w:val="single" w:sz="6" w:space="0" w:color="000000"/>
              <w:right w:val="single" w:sz="6" w:space="0" w:color="000000"/>
            </w:tcBorders>
            <w:shd w:val="clear" w:color="auto" w:fill="D2D2D2"/>
          </w:tcPr>
          <w:p>
            <w:pP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新宋体" w:hAnsi="新宋体" w:cs="新宋体" w:eastAsia="新宋体" w:hint="default"/>
                <w:sz w:val="18"/>
                <w:szCs w:val="18"/>
              </w:rPr>
            </w:pPr>
            <w:r>
              <w:rPr>
                <w:rFonts w:ascii="新宋体" w:hAnsi="新宋体" w:cs="新宋体" w:eastAsia="新宋体" w:hint="default"/>
                <w:sz w:val="18"/>
                <w:szCs w:val="18"/>
              </w:rPr>
              <w:t>公司共取得超募资金</w:t>
            </w:r>
            <w:r>
              <w:rPr>
                <w:rFonts w:ascii="新宋体" w:hAnsi="新宋体" w:cs="新宋体" w:eastAsia="新宋体" w:hint="default"/>
                <w:spacing w:val="-46"/>
                <w:sz w:val="18"/>
                <w:szCs w:val="18"/>
              </w:rPr>
              <w:t> </w:t>
            </w:r>
            <w:r>
              <w:rPr>
                <w:rFonts w:ascii="新宋体" w:hAnsi="新宋体" w:cs="新宋体" w:eastAsia="新宋体" w:hint="default"/>
                <w:sz w:val="18"/>
                <w:szCs w:val="18"/>
              </w:rPr>
              <w:t>19.206.95</w:t>
            </w:r>
            <w:r>
              <w:rPr>
                <w:rFonts w:ascii="新宋体" w:hAnsi="新宋体" w:cs="新宋体" w:eastAsia="新宋体" w:hint="default"/>
                <w:spacing w:val="-47"/>
                <w:sz w:val="18"/>
                <w:szCs w:val="18"/>
              </w:rPr>
              <w:t> </w:t>
            </w:r>
            <w:r>
              <w:rPr>
                <w:rFonts w:ascii="新宋体" w:hAnsi="新宋体" w:cs="新宋体" w:eastAsia="新宋体" w:hint="default"/>
                <w:sz w:val="18"/>
                <w:szCs w:val="18"/>
              </w:rPr>
              <w:t>万元，其中：</w:t>
            </w:r>
          </w:p>
          <w:p>
            <w:pPr>
              <w:pStyle w:val="TableParagraph"/>
              <w:spacing w:line="240" w:lineRule="auto" w:before="115"/>
              <w:ind w:left="21" w:right="0"/>
              <w:jc w:val="left"/>
              <w:rPr>
                <w:rFonts w:ascii="新宋体" w:hAnsi="新宋体" w:cs="新宋体" w:eastAsia="新宋体" w:hint="default"/>
                <w:sz w:val="18"/>
                <w:szCs w:val="18"/>
              </w:rPr>
            </w:pPr>
            <w:r>
              <w:rPr>
                <w:rFonts w:ascii="新宋体" w:hAnsi="新宋体" w:cs="新宋体" w:eastAsia="新宋体" w:hint="default"/>
                <w:sz w:val="18"/>
                <w:szCs w:val="18"/>
              </w:rPr>
              <w:t>1</w:t>
            </w:r>
            <w:r>
              <w:rPr>
                <w:rFonts w:ascii="新宋体" w:hAnsi="新宋体" w:cs="新宋体" w:eastAsia="新宋体" w:hint="default"/>
                <w:sz w:val="18"/>
                <w:szCs w:val="18"/>
              </w:rPr>
              <w:t>、投资设立智威宇讯公司投入超募资金</w:t>
            </w:r>
            <w:r>
              <w:rPr>
                <w:rFonts w:ascii="新宋体" w:hAnsi="新宋体" w:cs="新宋体" w:eastAsia="新宋体" w:hint="default"/>
                <w:spacing w:val="-45"/>
                <w:sz w:val="18"/>
                <w:szCs w:val="18"/>
              </w:rPr>
              <w:t> </w:t>
            </w:r>
            <w:r>
              <w:rPr>
                <w:rFonts w:ascii="新宋体" w:hAnsi="新宋体" w:cs="新宋体" w:eastAsia="新宋体" w:hint="default"/>
                <w:sz w:val="18"/>
                <w:szCs w:val="18"/>
              </w:rPr>
              <w:t>4,900</w:t>
            </w:r>
            <w:r>
              <w:rPr>
                <w:rFonts w:ascii="新宋体" w:hAnsi="新宋体" w:cs="新宋体" w:eastAsia="新宋体" w:hint="default"/>
                <w:spacing w:val="-46"/>
                <w:sz w:val="18"/>
                <w:szCs w:val="18"/>
              </w:rPr>
              <w:t> </w:t>
            </w:r>
            <w:r>
              <w:rPr>
                <w:rFonts w:ascii="新宋体" w:hAnsi="新宋体" w:cs="新宋体" w:eastAsia="新宋体" w:hint="default"/>
                <w:sz w:val="18"/>
                <w:szCs w:val="18"/>
              </w:rPr>
              <w:t>万元，增资全资子公司创威煤安公司投入超募资金</w:t>
            </w:r>
          </w:p>
          <w:p>
            <w:pPr>
              <w:pStyle w:val="TableParagraph"/>
              <w:spacing w:line="240" w:lineRule="auto" w:before="76"/>
              <w:ind w:left="21" w:right="0"/>
              <w:jc w:val="left"/>
              <w:rPr>
                <w:rFonts w:ascii="新宋体" w:hAnsi="新宋体" w:cs="新宋体" w:eastAsia="新宋体" w:hint="default"/>
                <w:sz w:val="18"/>
                <w:szCs w:val="18"/>
              </w:rPr>
            </w:pPr>
            <w:r>
              <w:rPr>
                <w:rFonts w:ascii="新宋体" w:hAnsi="新宋体" w:cs="新宋体" w:eastAsia="新宋体" w:hint="default"/>
                <w:sz w:val="18"/>
                <w:szCs w:val="18"/>
              </w:rPr>
              <w:t>3,000</w:t>
            </w:r>
            <w:r>
              <w:rPr>
                <w:rFonts w:ascii="新宋体" w:hAnsi="新宋体" w:cs="新宋体" w:eastAsia="新宋体" w:hint="default"/>
                <w:spacing w:val="-47"/>
                <w:sz w:val="18"/>
                <w:szCs w:val="18"/>
              </w:rPr>
              <w:t> </w:t>
            </w:r>
            <w:r>
              <w:rPr>
                <w:rFonts w:ascii="新宋体" w:hAnsi="新宋体" w:cs="新宋体" w:eastAsia="新宋体" w:hint="default"/>
                <w:sz w:val="18"/>
                <w:szCs w:val="18"/>
              </w:rPr>
              <w:t>万元，上述两子公司均已于</w:t>
            </w:r>
            <w:r>
              <w:rPr>
                <w:rFonts w:ascii="新宋体" w:hAnsi="新宋体" w:cs="新宋体" w:eastAsia="新宋体" w:hint="default"/>
                <w:spacing w:val="-45"/>
                <w:sz w:val="18"/>
                <w:szCs w:val="18"/>
              </w:rPr>
              <w:t> </w:t>
            </w:r>
            <w:r>
              <w:rPr>
                <w:rFonts w:ascii="新宋体" w:hAnsi="新宋体" w:cs="新宋体" w:eastAsia="新宋体" w:hint="default"/>
                <w:sz w:val="18"/>
                <w:szCs w:val="18"/>
              </w:rPr>
              <w:t>2010</w:t>
            </w:r>
            <w:r>
              <w:rPr>
                <w:rFonts w:ascii="新宋体" w:hAnsi="新宋体" w:cs="新宋体" w:eastAsia="新宋体" w:hint="default"/>
                <w:spacing w:val="-47"/>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新宋体" w:hAnsi="新宋体" w:cs="新宋体" w:eastAsia="新宋体" w:hint="default"/>
                <w:sz w:val="18"/>
                <w:szCs w:val="18"/>
              </w:rPr>
              <w:t>6</w:t>
            </w:r>
            <w:r>
              <w:rPr>
                <w:rFonts w:ascii="新宋体" w:hAnsi="新宋体" w:cs="新宋体" w:eastAsia="新宋体" w:hint="default"/>
                <w:spacing w:val="-47"/>
                <w:sz w:val="18"/>
                <w:szCs w:val="18"/>
              </w:rPr>
              <w:t> </w:t>
            </w:r>
            <w:r>
              <w:rPr>
                <w:rFonts w:ascii="新宋体" w:hAnsi="新宋体" w:cs="新宋体" w:eastAsia="新宋体" w:hint="default"/>
                <w:sz w:val="18"/>
                <w:szCs w:val="18"/>
              </w:rPr>
              <w:t>月完成工商变更事项。</w:t>
            </w:r>
          </w:p>
          <w:p>
            <w:pPr>
              <w:pStyle w:val="TableParagraph"/>
              <w:spacing w:line="240" w:lineRule="auto" w:before="117"/>
              <w:ind w:left="21" w:right="0"/>
              <w:jc w:val="left"/>
              <w:rPr>
                <w:rFonts w:ascii="新宋体" w:hAnsi="新宋体" w:cs="新宋体" w:eastAsia="新宋体" w:hint="default"/>
                <w:sz w:val="18"/>
                <w:szCs w:val="18"/>
              </w:rPr>
            </w:pPr>
            <w:r>
              <w:rPr>
                <w:rFonts w:ascii="新宋体" w:hAnsi="新宋体" w:cs="新宋体" w:eastAsia="新宋体" w:hint="default"/>
                <w:sz w:val="18"/>
                <w:szCs w:val="18"/>
              </w:rPr>
              <w:t>2</w:t>
            </w:r>
            <w:r>
              <w:rPr>
                <w:rFonts w:ascii="新宋体" w:hAnsi="新宋体" w:cs="新宋体" w:eastAsia="新宋体" w:hint="default"/>
                <w:sz w:val="18"/>
                <w:szCs w:val="18"/>
              </w:rPr>
              <w:t>、公司于</w:t>
            </w:r>
            <w:r>
              <w:rPr>
                <w:rFonts w:ascii="新宋体" w:hAnsi="新宋体" w:cs="新宋体" w:eastAsia="新宋体" w:hint="default"/>
                <w:spacing w:val="-46"/>
                <w:sz w:val="18"/>
                <w:szCs w:val="18"/>
              </w:rPr>
              <w:t> </w:t>
            </w:r>
            <w:r>
              <w:rPr>
                <w:rFonts w:ascii="新宋体" w:hAnsi="新宋体" w:cs="新宋体" w:eastAsia="新宋体" w:hint="default"/>
                <w:sz w:val="18"/>
                <w:szCs w:val="18"/>
              </w:rPr>
              <w:t>2010</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新宋体" w:hAnsi="新宋体" w:cs="新宋体" w:eastAsia="新宋体" w:hint="default"/>
                <w:sz w:val="18"/>
                <w:szCs w:val="18"/>
              </w:rPr>
              <w:t>6</w:t>
            </w:r>
            <w:r>
              <w:rPr>
                <w:rFonts w:ascii="新宋体" w:hAnsi="新宋体" w:cs="新宋体" w:eastAsia="新宋体" w:hint="default"/>
                <w:spacing w:val="-47"/>
                <w:sz w:val="18"/>
                <w:szCs w:val="18"/>
              </w:rPr>
              <w:t> </w:t>
            </w:r>
            <w:r>
              <w:rPr>
                <w:rFonts w:ascii="新宋体" w:hAnsi="新宋体" w:cs="新宋体" w:eastAsia="新宋体" w:hint="default"/>
                <w:sz w:val="18"/>
                <w:szCs w:val="18"/>
              </w:rPr>
              <w:t>月使用超募资金归还银行贷款</w:t>
            </w:r>
            <w:r>
              <w:rPr>
                <w:rFonts w:ascii="新宋体" w:hAnsi="新宋体" w:cs="新宋体" w:eastAsia="新宋体" w:hint="default"/>
                <w:spacing w:val="-45"/>
                <w:sz w:val="18"/>
                <w:szCs w:val="18"/>
              </w:rPr>
              <w:t> </w:t>
            </w:r>
            <w:r>
              <w:rPr>
                <w:rFonts w:ascii="新宋体" w:hAnsi="新宋体" w:cs="新宋体" w:eastAsia="新宋体" w:hint="default"/>
                <w:sz w:val="18"/>
                <w:szCs w:val="18"/>
              </w:rPr>
              <w:t>1,000</w:t>
            </w:r>
            <w:r>
              <w:rPr>
                <w:rFonts w:ascii="新宋体" w:hAnsi="新宋体" w:cs="新宋体" w:eastAsia="新宋体" w:hint="default"/>
                <w:spacing w:val="-47"/>
                <w:sz w:val="18"/>
                <w:szCs w:val="18"/>
              </w:rPr>
              <w:t> </w:t>
            </w:r>
            <w:r>
              <w:rPr>
                <w:rFonts w:ascii="新宋体" w:hAnsi="新宋体" w:cs="新宋体" w:eastAsia="新宋体" w:hint="default"/>
                <w:sz w:val="18"/>
                <w:szCs w:val="18"/>
              </w:rPr>
              <w:t>万元。</w:t>
            </w:r>
          </w:p>
          <w:p>
            <w:pPr>
              <w:pStyle w:val="TableParagraph"/>
              <w:spacing w:line="316" w:lineRule="auto" w:before="117"/>
              <w:ind w:left="21" w:right="-34"/>
              <w:jc w:val="left"/>
              <w:rPr>
                <w:rFonts w:ascii="新宋体" w:hAnsi="新宋体" w:cs="新宋体" w:eastAsia="新宋体" w:hint="default"/>
                <w:sz w:val="18"/>
                <w:szCs w:val="18"/>
              </w:rPr>
            </w:pPr>
            <w:r>
              <w:rPr>
                <w:rFonts w:ascii="新宋体" w:hAnsi="新宋体" w:cs="新宋体" w:eastAsia="新宋体" w:hint="default"/>
                <w:sz w:val="18"/>
                <w:szCs w:val="18"/>
              </w:rPr>
              <w:t>3</w:t>
            </w:r>
            <w:r>
              <w:rPr>
                <w:rFonts w:ascii="新宋体" w:hAnsi="新宋体" w:cs="新宋体" w:eastAsia="新宋体" w:hint="default"/>
                <w:sz w:val="18"/>
                <w:szCs w:val="18"/>
              </w:rPr>
              <w:t>、扩建研发中心计划使用</w:t>
            </w:r>
            <w:r>
              <w:rPr>
                <w:rFonts w:ascii="新宋体" w:hAnsi="新宋体" w:cs="新宋体" w:eastAsia="新宋体" w:hint="default"/>
                <w:spacing w:val="-46"/>
                <w:sz w:val="18"/>
                <w:szCs w:val="18"/>
              </w:rPr>
              <w:t> </w:t>
            </w:r>
            <w:r>
              <w:rPr>
                <w:rFonts w:ascii="新宋体" w:hAnsi="新宋体" w:cs="新宋体" w:eastAsia="新宋体" w:hint="default"/>
                <w:sz w:val="18"/>
                <w:szCs w:val="18"/>
              </w:rPr>
              <w:t>4,500</w:t>
            </w:r>
            <w:r>
              <w:rPr>
                <w:rFonts w:ascii="新宋体" w:hAnsi="新宋体" w:cs="新宋体" w:eastAsia="新宋体" w:hint="default"/>
                <w:spacing w:val="-48"/>
                <w:sz w:val="18"/>
                <w:szCs w:val="18"/>
              </w:rPr>
              <w:t> </w:t>
            </w:r>
            <w:r>
              <w:rPr>
                <w:rFonts w:ascii="新宋体" w:hAnsi="新宋体" w:cs="新宋体" w:eastAsia="新宋体" w:hint="default"/>
                <w:sz w:val="18"/>
                <w:szCs w:val="18"/>
              </w:rPr>
              <w:t>万元，实际使用</w:t>
            </w:r>
            <w:r>
              <w:rPr>
                <w:rFonts w:ascii="新宋体" w:hAnsi="新宋体" w:cs="新宋体" w:eastAsia="新宋体" w:hint="default"/>
                <w:spacing w:val="-46"/>
                <w:sz w:val="18"/>
                <w:szCs w:val="18"/>
              </w:rPr>
              <w:t> </w:t>
            </w:r>
            <w:r>
              <w:rPr>
                <w:rFonts w:ascii="新宋体" w:hAnsi="新宋体" w:cs="新宋体" w:eastAsia="新宋体" w:hint="default"/>
                <w:sz w:val="18"/>
                <w:szCs w:val="18"/>
              </w:rPr>
              <w:t>4,545.97</w:t>
            </w:r>
            <w:r>
              <w:rPr>
                <w:rFonts w:ascii="新宋体" w:hAnsi="新宋体" w:cs="新宋体" w:eastAsia="新宋体" w:hint="default"/>
                <w:spacing w:val="-47"/>
                <w:sz w:val="18"/>
                <w:szCs w:val="18"/>
              </w:rPr>
              <w:t> </w:t>
            </w:r>
            <w:r>
              <w:rPr>
                <w:rFonts w:ascii="新宋体" w:hAnsi="新宋体" w:cs="新宋体" w:eastAsia="新宋体" w:hint="default"/>
                <w:sz w:val="18"/>
                <w:szCs w:val="18"/>
              </w:rPr>
              <w:t>万元，超出部分用超募资金的利息支付。 截止报告期末，项目主体工程已经完工。</w:t>
            </w:r>
          </w:p>
          <w:p>
            <w:pPr>
              <w:pStyle w:val="TableParagraph"/>
              <w:spacing w:line="240" w:lineRule="auto" w:before="57"/>
              <w:ind w:left="21" w:right="0"/>
              <w:jc w:val="left"/>
              <w:rPr>
                <w:rFonts w:ascii="新宋体" w:hAnsi="新宋体" w:cs="新宋体" w:eastAsia="新宋体" w:hint="default"/>
                <w:sz w:val="18"/>
                <w:szCs w:val="18"/>
              </w:rPr>
            </w:pPr>
            <w:r>
              <w:rPr>
                <w:rFonts w:ascii="新宋体" w:hAnsi="新宋体" w:cs="新宋体" w:eastAsia="新宋体" w:hint="default"/>
                <w:spacing w:val="-4"/>
                <w:sz w:val="18"/>
                <w:szCs w:val="18"/>
              </w:rPr>
              <w:t>4</w:t>
            </w:r>
            <w:r>
              <w:rPr>
                <w:rFonts w:ascii="新宋体" w:hAnsi="新宋体" w:cs="新宋体" w:eastAsia="新宋体" w:hint="default"/>
                <w:spacing w:val="-4"/>
                <w:sz w:val="18"/>
                <w:szCs w:val="18"/>
              </w:rPr>
              <w:t>、购置物联网产业园土地，计划使用超募资金</w:t>
            </w:r>
            <w:r>
              <w:rPr>
                <w:rFonts w:ascii="新宋体" w:hAnsi="新宋体" w:cs="新宋体" w:eastAsia="新宋体" w:hint="default"/>
                <w:spacing w:val="-40"/>
                <w:sz w:val="18"/>
                <w:szCs w:val="18"/>
              </w:rPr>
              <w:t> </w:t>
            </w:r>
            <w:r>
              <w:rPr>
                <w:rFonts w:ascii="新宋体" w:hAnsi="新宋体" w:cs="新宋体" w:eastAsia="新宋体" w:hint="default"/>
                <w:sz w:val="18"/>
                <w:szCs w:val="18"/>
              </w:rPr>
              <w:t>4,000</w:t>
            </w:r>
            <w:r>
              <w:rPr>
                <w:rFonts w:ascii="新宋体" w:hAnsi="新宋体" w:cs="新宋体" w:eastAsia="新宋体" w:hint="default"/>
                <w:spacing w:val="-43"/>
                <w:sz w:val="18"/>
                <w:szCs w:val="18"/>
              </w:rPr>
              <w:t> </w:t>
            </w:r>
            <w:r>
              <w:rPr>
                <w:rFonts w:ascii="新宋体" w:hAnsi="新宋体" w:cs="新宋体" w:eastAsia="新宋体" w:hint="default"/>
                <w:spacing w:val="-3"/>
                <w:sz w:val="18"/>
                <w:szCs w:val="18"/>
              </w:rPr>
              <w:t>万元，截止报告期末累计使用</w:t>
            </w:r>
            <w:r>
              <w:rPr>
                <w:rFonts w:ascii="新宋体" w:hAnsi="新宋体" w:cs="新宋体" w:eastAsia="新宋体" w:hint="default"/>
                <w:spacing w:val="-40"/>
                <w:sz w:val="18"/>
                <w:szCs w:val="18"/>
              </w:rPr>
              <w:t> </w:t>
            </w:r>
            <w:r>
              <w:rPr>
                <w:rFonts w:ascii="新宋体" w:hAnsi="新宋体" w:cs="新宋体" w:eastAsia="新宋体" w:hint="default"/>
                <w:sz w:val="18"/>
                <w:szCs w:val="18"/>
              </w:rPr>
              <w:t>4,000</w:t>
            </w:r>
            <w:r>
              <w:rPr>
                <w:rFonts w:ascii="新宋体" w:hAnsi="新宋体" w:cs="新宋体" w:eastAsia="新宋体" w:hint="default"/>
                <w:spacing w:val="-43"/>
                <w:sz w:val="18"/>
                <w:szCs w:val="18"/>
              </w:rPr>
              <w:t> </w:t>
            </w:r>
            <w:r>
              <w:rPr>
                <w:rFonts w:ascii="新宋体" w:hAnsi="新宋体" w:cs="新宋体" w:eastAsia="新宋体" w:hint="default"/>
                <w:spacing w:val="-5"/>
                <w:sz w:val="18"/>
                <w:szCs w:val="18"/>
              </w:rPr>
              <w:t>万元。</w:t>
            </w:r>
            <w:r>
              <w:rPr>
                <w:rFonts w:ascii="新宋体" w:hAnsi="新宋体" w:cs="新宋体" w:eastAsia="新宋体" w:hint="default"/>
                <w:spacing w:val="-5"/>
                <w:sz w:val="18"/>
                <w:szCs w:val="18"/>
              </w:rPr>
              <w:t>2012</w:t>
            </w:r>
          </w:p>
          <w:p>
            <w:pPr>
              <w:pStyle w:val="TableParagraph"/>
              <w:spacing w:line="240" w:lineRule="auto" w:before="76"/>
              <w:ind w:left="292" w:right="0"/>
              <w:jc w:val="left"/>
              <w:rPr>
                <w:rFonts w:ascii="新宋体" w:hAnsi="新宋体" w:cs="新宋体" w:eastAsia="新宋体" w:hint="default"/>
                <w:sz w:val="18"/>
                <w:szCs w:val="18"/>
              </w:rPr>
            </w:pP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新宋体" w:hAnsi="新宋体" w:cs="新宋体" w:eastAsia="新宋体" w:hint="default"/>
                <w:sz w:val="18"/>
                <w:szCs w:val="18"/>
              </w:rPr>
              <w:t>11</w:t>
            </w:r>
            <w:r>
              <w:rPr>
                <w:rFonts w:ascii="新宋体" w:hAnsi="新宋体" w:cs="新宋体" w:eastAsia="新宋体" w:hint="default"/>
                <w:spacing w:val="-47"/>
                <w:sz w:val="18"/>
                <w:szCs w:val="18"/>
              </w:rPr>
              <w:t> </w:t>
            </w:r>
            <w:r>
              <w:rPr>
                <w:rFonts w:ascii="新宋体" w:hAnsi="新宋体" w:cs="新宋体" w:eastAsia="新宋体" w:hint="default"/>
                <w:sz w:val="18"/>
                <w:szCs w:val="18"/>
              </w:rPr>
              <w:t>月</w:t>
            </w:r>
            <w:r>
              <w:rPr>
                <w:rFonts w:ascii="新宋体" w:hAnsi="新宋体" w:cs="新宋体" w:eastAsia="新宋体" w:hint="default"/>
                <w:spacing w:val="-45"/>
                <w:sz w:val="18"/>
                <w:szCs w:val="18"/>
              </w:rPr>
              <w:t> </w:t>
            </w:r>
            <w:r>
              <w:rPr>
                <w:rFonts w:ascii="新宋体" w:hAnsi="新宋体" w:cs="新宋体" w:eastAsia="新宋体" w:hint="default"/>
                <w:sz w:val="18"/>
                <w:szCs w:val="18"/>
              </w:rPr>
              <w:t>21</w:t>
            </w:r>
            <w:r>
              <w:rPr>
                <w:rFonts w:ascii="新宋体" w:hAnsi="新宋体" w:cs="新宋体" w:eastAsia="新宋体" w:hint="default"/>
                <w:spacing w:val="-47"/>
                <w:sz w:val="18"/>
                <w:szCs w:val="18"/>
              </w:rPr>
              <w:t> </w:t>
            </w:r>
            <w:r>
              <w:rPr>
                <w:rFonts w:ascii="新宋体" w:hAnsi="新宋体" w:cs="新宋体" w:eastAsia="新宋体" w:hint="default"/>
                <w:sz w:val="18"/>
                <w:szCs w:val="18"/>
              </w:rPr>
              <w:t>日，公司第二届董事会第二十次会议及第二届监事会第十五次会议审议通过了《关于</w:t>
            </w:r>
          </w:p>
          <w:p>
            <w:pPr>
              <w:pStyle w:val="TableParagraph"/>
              <w:spacing w:line="240" w:lineRule="auto" w:before="76"/>
              <w:ind w:left="292" w:right="0"/>
              <w:jc w:val="left"/>
              <w:rPr>
                <w:rFonts w:ascii="新宋体" w:hAnsi="新宋体" w:cs="新宋体" w:eastAsia="新宋体" w:hint="default"/>
                <w:sz w:val="18"/>
                <w:szCs w:val="18"/>
              </w:rPr>
            </w:pPr>
            <w:r>
              <w:rPr>
                <w:rFonts w:ascii="新宋体" w:hAnsi="新宋体" w:cs="新宋体" w:eastAsia="新宋体" w:hint="default"/>
                <w:sz w:val="18"/>
                <w:szCs w:val="18"/>
              </w:rPr>
              <w:t>使用自有资金置换部分已投入募集资金的议</w:t>
            </w:r>
            <w:r>
              <w:rPr>
                <w:rFonts w:ascii="新宋体" w:hAnsi="新宋体" w:cs="新宋体" w:eastAsia="新宋体" w:hint="default"/>
                <w:spacing w:val="2"/>
                <w:sz w:val="18"/>
                <w:szCs w:val="18"/>
              </w:rPr>
              <w:t>案</w:t>
            </w:r>
            <w:r>
              <w:rPr>
                <w:rFonts w:ascii="新宋体" w:hAnsi="新宋体" w:cs="新宋体" w:eastAsia="新宋体" w:hint="default"/>
                <w:spacing w:val="-92"/>
                <w:sz w:val="18"/>
                <w:szCs w:val="18"/>
              </w:rPr>
              <w:t>》</w:t>
            </w:r>
            <w:r>
              <w:rPr>
                <w:rFonts w:ascii="新宋体" w:hAnsi="新宋体" w:cs="新宋体" w:eastAsia="新宋体" w:hint="default"/>
                <w:sz w:val="18"/>
                <w:szCs w:val="18"/>
              </w:rPr>
              <w:t>，同意公司使用自有资金</w:t>
            </w:r>
            <w:r>
              <w:rPr>
                <w:rFonts w:ascii="新宋体" w:hAnsi="新宋体" w:cs="新宋体" w:eastAsia="新宋体" w:hint="default"/>
                <w:spacing w:val="-43"/>
                <w:sz w:val="18"/>
                <w:szCs w:val="18"/>
              </w:rPr>
              <w:t> </w:t>
            </w:r>
            <w:r>
              <w:rPr>
                <w:rFonts w:ascii="新宋体" w:hAnsi="新宋体" w:cs="新宋体" w:eastAsia="新宋体" w:hint="default"/>
                <w:spacing w:val="1"/>
                <w:sz w:val="18"/>
                <w:szCs w:val="18"/>
              </w:rPr>
              <w:t>1</w:t>
            </w:r>
            <w:r>
              <w:rPr>
                <w:rFonts w:ascii="新宋体" w:hAnsi="新宋体" w:cs="新宋体" w:eastAsia="新宋体" w:hint="default"/>
                <w:spacing w:val="-2"/>
                <w:sz w:val="18"/>
                <w:szCs w:val="18"/>
              </w:rPr>
              <w:t>,</w:t>
            </w:r>
            <w:r>
              <w:rPr>
                <w:rFonts w:ascii="新宋体" w:hAnsi="新宋体" w:cs="新宋体" w:eastAsia="新宋体" w:hint="default"/>
                <w:spacing w:val="1"/>
                <w:sz w:val="18"/>
                <w:szCs w:val="18"/>
              </w:rPr>
              <w:t>3</w:t>
            </w:r>
            <w:r>
              <w:rPr>
                <w:rFonts w:ascii="新宋体" w:hAnsi="新宋体" w:cs="新宋体" w:eastAsia="新宋体" w:hint="default"/>
                <w:spacing w:val="-2"/>
                <w:sz w:val="18"/>
                <w:szCs w:val="18"/>
              </w:rPr>
              <w:t>7</w:t>
            </w:r>
            <w:r>
              <w:rPr>
                <w:rFonts w:ascii="新宋体" w:hAnsi="新宋体" w:cs="新宋体" w:eastAsia="新宋体" w:hint="default"/>
                <w:spacing w:val="1"/>
                <w:sz w:val="18"/>
                <w:szCs w:val="18"/>
              </w:rPr>
              <w:t>6</w:t>
            </w:r>
            <w:r>
              <w:rPr>
                <w:rFonts w:ascii="新宋体" w:hAnsi="新宋体" w:cs="新宋体" w:eastAsia="新宋体" w:hint="default"/>
                <w:spacing w:val="-2"/>
                <w:sz w:val="18"/>
                <w:szCs w:val="18"/>
              </w:rPr>
              <w:t>.</w:t>
            </w:r>
            <w:r>
              <w:rPr>
                <w:rFonts w:ascii="新宋体" w:hAnsi="新宋体" w:cs="新宋体" w:eastAsia="新宋体" w:hint="default"/>
                <w:spacing w:val="1"/>
                <w:sz w:val="18"/>
                <w:szCs w:val="18"/>
              </w:rPr>
              <w:t>7</w:t>
            </w:r>
            <w:r>
              <w:rPr>
                <w:rFonts w:ascii="新宋体" w:hAnsi="新宋体" w:cs="新宋体" w:eastAsia="新宋体" w:hint="default"/>
                <w:sz w:val="18"/>
                <w:szCs w:val="18"/>
              </w:rPr>
              <w:t>5</w:t>
            </w:r>
            <w:r>
              <w:rPr>
                <w:rFonts w:ascii="新宋体" w:hAnsi="新宋体" w:cs="新宋体" w:eastAsia="新宋体" w:hint="default"/>
                <w:spacing w:val="-45"/>
                <w:sz w:val="18"/>
                <w:szCs w:val="18"/>
              </w:rPr>
              <w:t> </w:t>
            </w:r>
            <w:r>
              <w:rPr>
                <w:rFonts w:ascii="新宋体" w:hAnsi="新宋体" w:cs="新宋体" w:eastAsia="新宋体" w:hint="default"/>
                <w:sz w:val="18"/>
                <w:szCs w:val="18"/>
              </w:rPr>
              <w:t>万元置换已投</w:t>
            </w:r>
          </w:p>
          <w:p>
            <w:pPr>
              <w:pStyle w:val="TableParagraph"/>
              <w:spacing w:line="240" w:lineRule="auto" w:before="76"/>
              <w:ind w:left="292" w:right="0"/>
              <w:jc w:val="left"/>
              <w:rPr>
                <w:rFonts w:ascii="新宋体" w:hAnsi="新宋体" w:cs="新宋体" w:eastAsia="新宋体" w:hint="default"/>
                <w:sz w:val="18"/>
                <w:szCs w:val="18"/>
              </w:rPr>
            </w:pPr>
            <w:r>
              <w:rPr>
                <w:rFonts w:ascii="新宋体" w:hAnsi="新宋体" w:cs="新宋体" w:eastAsia="新宋体" w:hint="default"/>
                <w:sz w:val="18"/>
                <w:szCs w:val="18"/>
              </w:rPr>
              <w:t>入的用于购买“郑政出</w:t>
            </w:r>
            <w:r>
              <w:rPr>
                <w:rFonts w:ascii="新宋体" w:hAnsi="新宋体" w:cs="新宋体" w:eastAsia="新宋体" w:hint="default"/>
                <w:sz w:val="18"/>
                <w:szCs w:val="18"/>
              </w:rPr>
              <w:t>[2011]13</w:t>
            </w:r>
            <w:r>
              <w:rPr>
                <w:rFonts w:ascii="新宋体" w:hAnsi="新宋体" w:cs="新宋体" w:eastAsia="新宋体" w:hint="default"/>
                <w:spacing w:val="-46"/>
                <w:sz w:val="18"/>
                <w:szCs w:val="18"/>
              </w:rPr>
              <w:t> </w:t>
            </w:r>
            <w:r>
              <w:rPr>
                <w:rFonts w:ascii="新宋体" w:hAnsi="新宋体" w:cs="新宋体" w:eastAsia="新宋体" w:hint="default"/>
                <w:sz w:val="18"/>
                <w:szCs w:val="18"/>
              </w:rPr>
              <w:t>号”土地的募集资金，内容详见公司于</w:t>
            </w:r>
            <w:r>
              <w:rPr>
                <w:rFonts w:ascii="新宋体" w:hAnsi="新宋体" w:cs="新宋体" w:eastAsia="新宋体" w:hint="default"/>
                <w:spacing w:val="-45"/>
                <w:sz w:val="18"/>
                <w:szCs w:val="18"/>
              </w:rPr>
              <w:t> </w:t>
            </w:r>
            <w:r>
              <w:rPr>
                <w:rFonts w:ascii="新宋体" w:hAnsi="新宋体" w:cs="新宋体" w:eastAsia="新宋体" w:hint="default"/>
                <w:sz w:val="18"/>
                <w:szCs w:val="18"/>
              </w:rPr>
              <w:t>2012</w:t>
            </w:r>
            <w:r>
              <w:rPr>
                <w:rFonts w:ascii="新宋体" w:hAnsi="新宋体" w:cs="新宋体" w:eastAsia="新宋体" w:hint="default"/>
                <w:spacing w:val="-47"/>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新宋体" w:hAnsi="新宋体" w:cs="新宋体" w:eastAsia="新宋体" w:hint="default"/>
                <w:sz w:val="18"/>
                <w:szCs w:val="18"/>
              </w:rPr>
              <w:t>11</w:t>
            </w:r>
            <w:r>
              <w:rPr>
                <w:rFonts w:ascii="新宋体" w:hAnsi="新宋体" w:cs="新宋体" w:eastAsia="新宋体" w:hint="default"/>
                <w:spacing w:val="-47"/>
                <w:sz w:val="18"/>
                <w:szCs w:val="18"/>
              </w:rPr>
              <w:t>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新宋体" w:hAnsi="新宋体" w:cs="新宋体" w:eastAsia="新宋体" w:hint="default"/>
                <w:sz w:val="18"/>
                <w:szCs w:val="18"/>
              </w:rPr>
              <w:t>21</w:t>
            </w:r>
            <w:r>
              <w:rPr>
                <w:rFonts w:ascii="新宋体" w:hAnsi="新宋体" w:cs="新宋体" w:eastAsia="新宋体" w:hint="default"/>
                <w:spacing w:val="-47"/>
                <w:sz w:val="18"/>
                <w:szCs w:val="18"/>
              </w:rPr>
              <w:t> </w:t>
            </w:r>
            <w:r>
              <w:rPr>
                <w:rFonts w:ascii="新宋体" w:hAnsi="新宋体" w:cs="新宋体" w:eastAsia="新宋体" w:hint="default"/>
                <w:sz w:val="18"/>
                <w:szCs w:val="18"/>
              </w:rPr>
              <w:t>日在中</w:t>
            </w:r>
          </w:p>
          <w:p>
            <w:pPr>
              <w:pStyle w:val="TableParagraph"/>
              <w:spacing w:line="316" w:lineRule="auto" w:before="76"/>
              <w:ind w:left="292" w:right="96"/>
              <w:jc w:val="left"/>
              <w:rPr>
                <w:rFonts w:ascii="新宋体" w:hAnsi="新宋体" w:cs="新宋体" w:eastAsia="新宋体" w:hint="default"/>
                <w:sz w:val="18"/>
                <w:szCs w:val="18"/>
              </w:rPr>
            </w:pPr>
            <w:r>
              <w:rPr>
                <w:rFonts w:ascii="新宋体" w:hAnsi="新宋体" w:cs="新宋体" w:eastAsia="新宋体" w:hint="default"/>
                <w:sz w:val="18"/>
                <w:szCs w:val="18"/>
              </w:rPr>
              <w:t>国证监会指定创业板信息披露网站上的公告。</w:t>
            </w:r>
            <w:r>
              <w:rPr>
                <w:rFonts w:ascii="新宋体" w:hAnsi="新宋体" w:cs="新宋体" w:eastAsia="新宋体" w:hint="default"/>
                <w:sz w:val="18"/>
                <w:szCs w:val="18"/>
              </w:rPr>
              <w:t>2013</w:t>
            </w:r>
            <w:r>
              <w:rPr>
                <w:rFonts w:ascii="新宋体" w:hAnsi="新宋体" w:cs="新宋体" w:eastAsia="新宋体" w:hint="default"/>
                <w:spacing w:val="-47"/>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新宋体" w:hAnsi="新宋体" w:cs="新宋体" w:eastAsia="新宋体" w:hint="default"/>
                <w:sz w:val="18"/>
                <w:szCs w:val="18"/>
              </w:rPr>
              <w:t>1</w:t>
            </w:r>
            <w:r>
              <w:rPr>
                <w:rFonts w:ascii="新宋体" w:hAnsi="新宋体" w:cs="新宋体" w:eastAsia="新宋体" w:hint="default"/>
                <w:spacing w:val="-47"/>
                <w:sz w:val="18"/>
                <w:szCs w:val="18"/>
              </w:rPr>
              <w:t> </w:t>
            </w:r>
            <w:r>
              <w:rPr>
                <w:rFonts w:ascii="新宋体" w:hAnsi="新宋体" w:cs="新宋体" w:eastAsia="新宋体" w:hint="default"/>
                <w:sz w:val="18"/>
                <w:szCs w:val="18"/>
              </w:rPr>
              <w:t>月，公司使用自有资金</w:t>
            </w:r>
            <w:r>
              <w:rPr>
                <w:rFonts w:ascii="新宋体" w:hAnsi="新宋体" w:cs="新宋体" w:eastAsia="新宋体" w:hint="default"/>
                <w:spacing w:val="-45"/>
                <w:sz w:val="18"/>
                <w:szCs w:val="18"/>
              </w:rPr>
              <w:t> </w:t>
            </w:r>
            <w:r>
              <w:rPr>
                <w:rFonts w:ascii="新宋体" w:hAnsi="新宋体" w:cs="新宋体" w:eastAsia="新宋体" w:hint="default"/>
                <w:sz w:val="18"/>
                <w:szCs w:val="18"/>
              </w:rPr>
              <w:t>1,376.75</w:t>
            </w:r>
            <w:r>
              <w:rPr>
                <w:rFonts w:ascii="新宋体" w:hAnsi="新宋体" w:cs="新宋体" w:eastAsia="新宋体" w:hint="default"/>
                <w:spacing w:val="-46"/>
                <w:sz w:val="18"/>
                <w:szCs w:val="18"/>
              </w:rPr>
              <w:t> </w:t>
            </w:r>
            <w:r>
              <w:rPr>
                <w:rFonts w:ascii="新宋体" w:hAnsi="新宋体" w:cs="新宋体" w:eastAsia="新宋体" w:hint="default"/>
                <w:sz w:val="18"/>
                <w:szCs w:val="18"/>
              </w:rPr>
              <w:t>万元置 换了已投入的募集资金。</w:t>
            </w:r>
          </w:p>
          <w:p>
            <w:pPr>
              <w:pStyle w:val="TableParagraph"/>
              <w:spacing w:line="240" w:lineRule="auto" w:before="60"/>
              <w:ind w:left="21" w:right="0"/>
              <w:jc w:val="left"/>
              <w:rPr>
                <w:rFonts w:ascii="新宋体" w:hAnsi="新宋体" w:cs="新宋体" w:eastAsia="新宋体" w:hint="default"/>
                <w:sz w:val="18"/>
                <w:szCs w:val="18"/>
              </w:rPr>
            </w:pPr>
            <w:r>
              <w:rPr>
                <w:rFonts w:ascii="新宋体" w:hAnsi="新宋体" w:cs="新宋体" w:eastAsia="新宋体" w:hint="default"/>
                <w:sz w:val="18"/>
                <w:szCs w:val="18"/>
              </w:rPr>
              <w:t>截止报告期末，未计划使用的超募资金共为</w:t>
            </w:r>
            <w:r>
              <w:rPr>
                <w:rFonts w:ascii="新宋体" w:hAnsi="新宋体" w:cs="新宋体" w:eastAsia="新宋体" w:hint="default"/>
                <w:spacing w:val="-45"/>
                <w:sz w:val="18"/>
                <w:szCs w:val="18"/>
              </w:rPr>
              <w:t> </w:t>
            </w:r>
            <w:r>
              <w:rPr>
                <w:rFonts w:ascii="新宋体" w:hAnsi="新宋体" w:cs="新宋体" w:eastAsia="新宋体" w:hint="default"/>
                <w:sz w:val="18"/>
                <w:szCs w:val="18"/>
              </w:rPr>
              <w:t>1.806.95</w:t>
            </w:r>
            <w:r>
              <w:rPr>
                <w:rFonts w:ascii="新宋体" w:hAnsi="新宋体" w:cs="新宋体" w:eastAsia="新宋体" w:hint="default"/>
                <w:spacing w:val="-46"/>
                <w:sz w:val="18"/>
                <w:szCs w:val="18"/>
              </w:rPr>
              <w:t> </w:t>
            </w:r>
            <w:r>
              <w:rPr>
                <w:rFonts w:ascii="新宋体" w:hAnsi="新宋体" w:cs="新宋体" w:eastAsia="新宋体" w:hint="default"/>
                <w:sz w:val="18"/>
                <w:szCs w:val="18"/>
              </w:rPr>
              <w:t>万元。</w:t>
            </w:r>
          </w:p>
        </w:tc>
      </w:tr>
      <w:tr>
        <w:trPr>
          <w:trHeight w:val="624" w:hRule="exact"/>
        </w:trPr>
        <w:tc>
          <w:tcPr>
            <w:tcW w:w="17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13" w:right="8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13" w:right="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4" w:lineRule="auto" w:before="49"/>
              <w:ind w:left="13" w:right="8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1737"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13" w:right="8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33" w:hRule="exact"/>
        </w:trPr>
        <w:tc>
          <w:tcPr>
            <w:tcW w:w="1737" w:type="dxa"/>
            <w:vMerge/>
            <w:tcBorders>
              <w:left w:val="single" w:sz="12" w:space="0" w:color="000000"/>
              <w:bottom w:val="single" w:sz="6" w:space="0" w:color="FFFFFF"/>
              <w:right w:val="single" w:sz="6" w:space="0" w:color="000000"/>
            </w:tcBorders>
            <w:shd w:val="clear" w:color="auto" w:fill="D2D2D2"/>
          </w:tcPr>
          <w:p>
            <w:pPr/>
          </w:p>
        </w:tc>
        <w:tc>
          <w:tcPr>
            <w:tcW w:w="7931" w:type="dxa"/>
            <w:tcBorders>
              <w:top w:val="single" w:sz="6" w:space="0" w:color="000000"/>
              <w:left w:val="single" w:sz="6" w:space="0" w:color="000000"/>
              <w:bottom w:val="single" w:sz="6" w:space="0" w:color="FFFFFF"/>
              <w:right w:val="single" w:sz="12" w:space="0" w:color="000000"/>
            </w:tcBorders>
          </w:tcPr>
          <w:p>
            <w:pPr>
              <w:pStyle w:val="TableParagraph"/>
              <w:spacing w:line="309" w:lineRule="auto" w:before="49"/>
              <w:ind w:left="21"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日，公司第二届董事会第二十次会议和第二届监事会第十五次会议分别审议通过了《关</w:t>
            </w:r>
            <w:r>
              <w:rPr>
                <w:rFonts w:ascii="宋体" w:hAnsi="宋体" w:cs="宋体" w:eastAsia="宋体" w:hint="default"/>
                <w:sz w:val="18"/>
                <w:szCs w:val="18"/>
              </w:rPr>
              <w:t> </w:t>
            </w:r>
            <w:r>
              <w:rPr>
                <w:rFonts w:ascii="宋体" w:hAnsi="宋体" w:cs="宋体" w:eastAsia="宋体" w:hint="default"/>
                <w:spacing w:val="-3"/>
                <w:sz w:val="18"/>
                <w:szCs w:val="18"/>
              </w:rPr>
              <w:t>于继续使用部分闲置募集资金暂时补充流动资金的议案》，同意继续使用部分闲置募集资金暂时补充</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流动资金计划，并自公告之日起开始实施。</w:t>
            </w:r>
          </w:p>
        </w:tc>
      </w:tr>
      <w:tr>
        <w:trPr>
          <w:trHeight w:val="406" w:hRule="exact"/>
        </w:trPr>
        <w:tc>
          <w:tcPr>
            <w:tcW w:w="1737" w:type="dxa"/>
            <w:vMerge w:val="restart"/>
            <w:tcBorders>
              <w:top w:val="single" w:sz="6" w:space="0" w:color="FFFFFF"/>
              <w:left w:val="single" w:sz="12" w:space="0" w:color="000000"/>
              <w:right w:val="single" w:sz="6" w:space="0" w:color="000000"/>
            </w:tcBorders>
            <w:shd w:val="clear" w:color="auto" w:fill="D2D2D2"/>
          </w:tcPr>
          <w:p>
            <w:pPr>
              <w:pStyle w:val="TableParagraph"/>
              <w:spacing w:line="314" w:lineRule="auto" w:before="97"/>
              <w:ind w:left="13" w:right="8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31" w:type="dxa"/>
            <w:tcBorders>
              <w:top w:val="single" w:sz="6" w:space="0" w:color="FFFFFF"/>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1737" w:type="dxa"/>
            <w:vMerge/>
            <w:tcBorders>
              <w:left w:val="single" w:sz="12" w:space="0" w:color="000000"/>
              <w:bottom w:val="single" w:sz="6" w:space="0" w:color="000000"/>
              <w:right w:val="single" w:sz="6" w:space="0" w:color="000000"/>
            </w:tcBorders>
            <w:shd w:val="clear" w:color="auto" w:fill="D2D2D2"/>
          </w:tcPr>
          <w:p>
            <w:pP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项目未结项。</w:t>
            </w:r>
          </w:p>
        </w:tc>
      </w:tr>
      <w:tr>
        <w:trPr>
          <w:trHeight w:val="718" w:hRule="exact"/>
        </w:trPr>
        <w:tc>
          <w:tcPr>
            <w:tcW w:w="173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3" w:right="8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尚未使用的募集资金均存放于募集资金账户。</w:t>
            </w:r>
          </w:p>
        </w:tc>
      </w:tr>
      <w:tr>
        <w:trPr>
          <w:trHeight w:val="1039" w:hRule="exact"/>
        </w:trPr>
        <w:tc>
          <w:tcPr>
            <w:tcW w:w="17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1"/>
              <w:ind w:left="13" w:right="8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555" w:footer="980" w:top="1100" w:bottom="1160" w:left="980" w:right="1000"/>
        </w:sectPr>
      </w:pPr>
    </w:p>
    <w:p>
      <w:pPr>
        <w:spacing w:line="240" w:lineRule="auto" w:before="1"/>
        <w:rPr>
          <w:rFonts w:ascii="Times New Roman" w:hAnsi="Times New Roman" w:cs="Times New Roman" w:eastAsia="Times New Roman" w:hint="default"/>
          <w:sz w:val="29"/>
          <w:szCs w:val="29"/>
        </w:rPr>
      </w:pPr>
    </w:p>
    <w:p>
      <w:pPr>
        <w:pStyle w:val="Heading2"/>
        <w:spacing w:line="240" w:lineRule="auto" w:before="26"/>
        <w:ind w:left="252" w:right="393"/>
        <w:jc w:val="left"/>
        <w:rPr>
          <w:b w:val="0"/>
          <w:bCs w:val="0"/>
        </w:rPr>
      </w:pPr>
      <w:r>
        <w:rPr/>
        <w:t>（</w:t>
      </w:r>
      <w:r>
        <w:rPr>
          <w:rFonts w:ascii="Times New Roman" w:hAnsi="Times New Roman" w:cs="Times New Roman" w:eastAsia="Times New Roman" w:hint="default"/>
        </w:rPr>
        <w:t>3</w:t>
      </w:r>
      <w:r>
        <w:rPr/>
        <w:t>）非募集资金投资的重大项目情况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0"/>
        <w:ind w:left="0" w:right="311"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44"/>
        <w:ind w:left="0" w:right="115" w:firstLine="0"/>
        <w:jc w:val="right"/>
        <w:rPr>
          <w:rFonts w:ascii="宋体" w:hAnsi="宋体" w:cs="宋体" w:eastAsia="宋体" w:hint="default"/>
          <w:sz w:val="18"/>
          <w:szCs w:val="18"/>
        </w:rPr>
      </w:pPr>
      <w:r>
        <w:rPr/>
        <w:pict>
          <v:shape style="position:absolute;margin-left:49.200001pt;margin-top:-279.0383pt;width:483.5pt;height:600.3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3"/>
                    <w:gridCol w:w="878"/>
                    <w:gridCol w:w="912"/>
                    <w:gridCol w:w="1361"/>
                    <w:gridCol w:w="917"/>
                    <w:gridCol w:w="2194"/>
                  </w:tblGrid>
                  <w:tr>
                    <w:trPr>
                      <w:trHeight w:val="710" w:hRule="exact"/>
                    </w:trPr>
                    <w:tc>
                      <w:tcPr>
                        <w:tcW w:w="336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87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投资总额</w:t>
                        </w:r>
                      </w:p>
                    </w:tc>
                    <w:tc>
                      <w:tcPr>
                        <w:tcW w:w="9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4"/>
                          <w:ind w:left="180" w:right="86" w:hanging="92"/>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13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4"/>
                          <w:ind w:left="223" w:right="41" w:hanging="181"/>
                          <w:jc w:val="left"/>
                          <w:rPr>
                            <w:rFonts w:ascii="宋体" w:hAnsi="宋体" w:cs="宋体" w:eastAsia="宋体" w:hint="default"/>
                            <w:sz w:val="18"/>
                            <w:szCs w:val="18"/>
                          </w:rPr>
                        </w:pPr>
                        <w:r>
                          <w:rPr>
                            <w:rFonts w:ascii="宋体" w:hAnsi="宋体" w:cs="宋体" w:eastAsia="宋体" w:hint="default"/>
                            <w:sz w:val="18"/>
                            <w:szCs w:val="18"/>
                          </w:rPr>
                          <w:t>截至期末累计实 际投入金额</w:t>
                        </w:r>
                      </w:p>
                    </w:tc>
                    <w:tc>
                      <w:tcPr>
                        <w:tcW w:w="9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21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20" w:hRule="exact"/>
                    </w:trPr>
                    <w:tc>
                      <w:tcPr>
                        <w:tcW w:w="3363"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85"/>
                          <w:jc w:val="left"/>
                          <w:rPr>
                            <w:rFonts w:ascii="宋体" w:hAnsi="宋体" w:cs="宋体" w:eastAsia="宋体" w:hint="default"/>
                            <w:sz w:val="18"/>
                            <w:szCs w:val="18"/>
                          </w:rPr>
                        </w:pPr>
                        <w:r>
                          <w:rPr>
                            <w:rFonts w:ascii="宋体" w:hAnsi="宋体" w:cs="宋体" w:eastAsia="宋体" w:hint="default"/>
                            <w:sz w:val="18"/>
                            <w:szCs w:val="18"/>
                          </w:rPr>
                          <w:t>河南汉威物联网科技产业园启动项目暨基 于物联网技术的生产安全监控系统项目</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1,007.29</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1,007.29</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尚未实现收益。</w:t>
                        </w:r>
                      </w:p>
                    </w:tc>
                  </w:tr>
                  <w:tr>
                    <w:trPr>
                      <w:trHeight w:val="720" w:hRule="exact"/>
                    </w:trPr>
                    <w:tc>
                      <w:tcPr>
                        <w:tcW w:w="3363" w:type="dxa"/>
                        <w:tcBorders>
                          <w:top w:val="single" w:sz="6" w:space="0" w:color="000000"/>
                          <w:left w:val="single" w:sz="12" w:space="0" w:color="000000"/>
                          <w:bottom w:val="single" w:sz="6" w:space="0" w:color="000000"/>
                          <w:right w:val="single" w:sz="6" w:space="0" w:color="000000"/>
                        </w:tcBorders>
                      </w:tcPr>
                      <w:p>
                        <w:pPr>
                          <w:pStyle w:val="TableParagraph"/>
                          <w:spacing w:line="300" w:lineRule="auto" w:before="49"/>
                          <w:ind w:left="14" w:right="19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w:t>
                        </w:r>
                        <w:r>
                          <w:rPr>
                            <w:rFonts w:ascii="宋体" w:hAnsi="宋体" w:cs="宋体" w:eastAsia="宋体" w:hint="default"/>
                            <w:sz w:val="18"/>
                            <w:szCs w:val="18"/>
                          </w:rPr>
                          <w:t>上海中威天安公共安全科技有 限公司</w:t>
                        </w:r>
                        <w:r>
                          <w:rPr>
                            <w:rFonts w:ascii="Times New Roman" w:hAnsi="Times New Roman" w:cs="Times New Roman" w:eastAsia="Times New Roman" w:hint="default"/>
                            <w:sz w:val="18"/>
                            <w:szCs w:val="18"/>
                          </w:rPr>
                          <w:t>"</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1,190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58"/>
                          <w:jc w:val="left"/>
                          <w:rPr>
                            <w:rFonts w:ascii="宋体" w:hAnsi="宋体" w:cs="宋体" w:eastAsia="宋体" w:hint="default"/>
                            <w:sz w:val="18"/>
                            <w:szCs w:val="18"/>
                          </w:rPr>
                        </w:pPr>
                        <w:r>
                          <w:rPr>
                            <w:rFonts w:ascii="宋体" w:hAnsi="宋体" w:cs="宋体" w:eastAsia="宋体" w:hint="default"/>
                            <w:sz w:val="18"/>
                            <w:szCs w:val="18"/>
                          </w:rPr>
                          <w:t>实现的归属于母公司所有 者的净利润为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42" w:hRule="exact"/>
                    </w:trPr>
                    <w:tc>
                      <w:tcPr>
                        <w:tcW w:w="3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增资收购哈尔滨盈江科技有限公司</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302</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302</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2194" w:type="dxa"/>
                        <w:tcBorders>
                          <w:top w:val="single" w:sz="6" w:space="0" w:color="000000"/>
                          <w:left w:val="single" w:sz="6" w:space="0" w:color="000000"/>
                          <w:bottom w:val="single" w:sz="6" w:space="0" w:color="000000"/>
                          <w:right w:val="single" w:sz="12" w:space="0" w:color="000000"/>
                        </w:tcBorders>
                      </w:tcPr>
                      <w:p>
                        <w:pPr>
                          <w:pStyle w:val="TableParagraph"/>
                          <w:spacing w:line="312" w:lineRule="auto" w:before="49"/>
                          <w:ind w:left="21" w:right="14"/>
                          <w:jc w:val="left"/>
                          <w:rPr>
                            <w:rFonts w:ascii="宋体" w:hAnsi="宋体" w:cs="宋体" w:eastAsia="宋体" w:hint="default"/>
                            <w:sz w:val="18"/>
                            <w:szCs w:val="18"/>
                          </w:rPr>
                        </w:pPr>
                        <w:r>
                          <w:rPr>
                            <w:rFonts w:ascii="宋体" w:hAnsi="宋体" w:cs="宋体" w:eastAsia="宋体" w:hint="default"/>
                            <w:sz w:val="18"/>
                            <w:szCs w:val="18"/>
                          </w:rPr>
                          <w:t>盈江公司纳入公司合并期 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5-12 </w:t>
                        </w:r>
                        <w:r>
                          <w:rPr>
                            <w:rFonts w:ascii="宋体" w:hAnsi="宋体" w:cs="宋体" w:eastAsia="宋体" w:hint="default"/>
                            <w:sz w:val="18"/>
                            <w:szCs w:val="18"/>
                          </w:rPr>
                          <w:t>月，实现 归属于母公司所有者净利 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15" w:hRule="exact"/>
                    </w:trPr>
                    <w:tc>
                      <w:tcPr>
                        <w:tcW w:w="336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9,302</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2,499.29</w:t>
                        </w:r>
                      </w:p>
                    </w:tc>
                    <w:tc>
                      <w:tcPr>
                        <w:tcW w:w="1361" w:type="dxa"/>
                        <w:tcBorders>
                          <w:top w:val="single" w:sz="6" w:space="0" w:color="000000"/>
                          <w:left w:val="single" w:sz="6" w:space="0" w:color="000000"/>
                          <w:bottom w:val="single" w:sz="6" w:space="0" w:color="000000"/>
                          <w:right w:val="single" w:sz="15"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w w:val="95"/>
                            <w:sz w:val="18"/>
                          </w:rPr>
                          <w:t>3,809.29</w:t>
                        </w:r>
                      </w:p>
                    </w:tc>
                    <w:tc>
                      <w:tcPr>
                        <w:tcW w:w="9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2194"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626" w:type="dxa"/>
                        <w:gridSpan w:val="6"/>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7671" w:hRule="exact"/>
                    </w:trPr>
                    <w:tc>
                      <w:tcPr>
                        <w:tcW w:w="9626" w:type="dxa"/>
                        <w:gridSpan w:val="6"/>
                        <w:tcBorders>
                          <w:top w:val="single" w:sz="6" w:space="0" w:color="000000"/>
                          <w:left w:val="single" w:sz="12" w:space="0" w:color="000000"/>
                          <w:bottom w:val="single" w:sz="12" w:space="0" w:color="000000"/>
                          <w:right w:val="single" w:sz="12" w:space="0" w:color="000000"/>
                        </w:tcBorders>
                      </w:tcPr>
                      <w:p>
                        <w:pPr>
                          <w:pStyle w:val="TableParagraph"/>
                          <w:spacing w:line="304" w:lineRule="auto" w:before="51"/>
                          <w:ind w:left="14" w:right="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）河南汉威物联网科技产业园启动项目暨基于物联网技术的生产安全监控系统项目。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 事会第六次会议审议通过《关于投资建设河南汉威物联网科技产业园启动项目暨基于物联网技术的生产安全监控系统项目 </w:t>
                        </w:r>
                        <w:r>
                          <w:rPr>
                            <w:rFonts w:ascii="宋体" w:hAnsi="宋体" w:cs="宋体" w:eastAsia="宋体" w:hint="default"/>
                            <w:spacing w:val="-6"/>
                            <w:sz w:val="18"/>
                            <w:szCs w:val="18"/>
                          </w:rPr>
                          <w:t>的议案》。公司在郑州高新区新征土地</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125</w:t>
                        </w:r>
                        <w:r>
                          <w:rPr>
                            <w:rFonts w:ascii="Times New Roman" w:hAnsi="Times New Roman" w:cs="Times New Roman" w:eastAsia="Times New Roman" w:hint="default"/>
                            <w:spacing w:val="7"/>
                            <w:sz w:val="18"/>
                            <w:szCs w:val="18"/>
                          </w:rPr>
                          <w:t> </w:t>
                        </w:r>
                        <w:r>
                          <w:rPr>
                            <w:rFonts w:ascii="宋体" w:hAnsi="宋体" w:cs="宋体" w:eastAsia="宋体" w:hint="default"/>
                            <w:spacing w:val="-3"/>
                            <w:w w:val="100"/>
                            <w:sz w:val="18"/>
                            <w:szCs w:val="18"/>
                          </w:rPr>
                          <w:t>亩，建设河南汉威物联网科技产业园（以下简称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物联网产业园项目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），物联网</w:t>
                        </w:r>
                        <w:r>
                          <w:rPr>
                            <w:rFonts w:ascii="宋体" w:hAnsi="宋体" w:cs="宋体" w:eastAsia="宋体" w:hint="default"/>
                            <w:spacing w:val="-78"/>
                            <w:w w:val="100"/>
                            <w:sz w:val="18"/>
                            <w:szCs w:val="18"/>
                          </w:rPr>
                          <w:t> </w:t>
                        </w:r>
                        <w:r>
                          <w:rPr>
                            <w:rFonts w:ascii="宋体" w:hAnsi="宋体" w:cs="宋体" w:eastAsia="宋体" w:hint="default"/>
                            <w:spacing w:val="-78"/>
                            <w:w w:val="100"/>
                            <w:sz w:val="18"/>
                            <w:szCs w:val="18"/>
                          </w:rPr>
                        </w:r>
                        <w:r>
                          <w:rPr>
                            <w:rFonts w:ascii="宋体" w:hAnsi="宋体" w:cs="宋体" w:eastAsia="宋体" w:hint="default"/>
                            <w:spacing w:val="-3"/>
                            <w:w w:val="100"/>
                            <w:sz w:val="18"/>
                            <w:szCs w:val="18"/>
                          </w:rPr>
                          <w:t>产业园初期投资实施的启动项目为</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基于物联网技术的生产安全监控系统项目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（以下简称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生产安全监控系统项目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），公司</w:t>
                        </w:r>
                        <w:r>
                          <w:rPr>
                            <w:rFonts w:ascii="宋体" w:hAnsi="宋体" w:cs="宋体" w:eastAsia="宋体" w:hint="default"/>
                            <w:spacing w:val="-37"/>
                            <w:w w:val="100"/>
                            <w:sz w:val="18"/>
                            <w:szCs w:val="18"/>
                          </w:rPr>
                          <w:t> </w:t>
                        </w:r>
                        <w:r>
                          <w:rPr>
                            <w:rFonts w:ascii="宋体" w:hAnsi="宋体" w:cs="宋体" w:eastAsia="宋体" w:hint="default"/>
                            <w:spacing w:val="-37"/>
                            <w:w w:val="100"/>
                            <w:sz w:val="18"/>
                            <w:szCs w:val="18"/>
                          </w:rPr>
                        </w:r>
                        <w:r>
                          <w:rPr>
                            <w:rFonts w:ascii="宋体" w:hAnsi="宋体" w:cs="宋体" w:eastAsia="宋体" w:hint="default"/>
                            <w:sz w:val="18"/>
                            <w:szCs w:val="18"/>
                          </w:rPr>
                          <w:t>计划使用自有资金共计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万元投资建设生产安全监控系统项目。该投资项目的实施有利于健全产品结构，完善产业链</w:t>
                        </w:r>
                      </w:p>
                      <w:p>
                        <w:pPr>
                          <w:pStyle w:val="TableParagraph"/>
                          <w:spacing w:line="300" w:lineRule="auto" w:before="9"/>
                          <w:ind w:left="14" w:right="-42"/>
                          <w:jc w:val="both"/>
                          <w:rPr>
                            <w:rFonts w:ascii="宋体" w:hAnsi="宋体" w:cs="宋体" w:eastAsia="宋体" w:hint="default"/>
                            <w:sz w:val="18"/>
                            <w:szCs w:val="18"/>
                          </w:rPr>
                        </w:pPr>
                        <w:r>
                          <w:rPr>
                            <w:rFonts w:ascii="宋体" w:hAnsi="宋体" w:cs="宋体" w:eastAsia="宋体" w:hint="default"/>
                            <w:spacing w:val="-4"/>
                            <w:sz w:val="18"/>
                            <w:szCs w:val="18"/>
                          </w:rPr>
                          <w:t>扩大产业规模，具有良好的经营效益和社会效益，符合公司长远发展规划。（具体内容详见</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日刊登在中国证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监会指定创业板信息披露网站（</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）上的公司公告）该项目目前正处于建设期内。截止本报告期末， 尚未实现收益。</w:t>
                        </w:r>
                      </w:p>
                      <w:p>
                        <w:pPr>
                          <w:pStyle w:val="TableParagraph"/>
                          <w:spacing w:line="309" w:lineRule="auto" w:before="72"/>
                          <w:ind w:left="14" w:right="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w:t>
                        </w:r>
                        <w:r>
                          <w:rPr>
                            <w:rFonts w:ascii="宋体" w:hAnsi="宋体" w:cs="宋体" w:eastAsia="宋体" w:hint="default"/>
                            <w:sz w:val="18"/>
                            <w:szCs w:val="18"/>
                          </w:rPr>
                          <w:t>上海中威天安公共安全科技有限公司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日，公司第二届董事会第十次会议审议通过《关于 </w:t>
                        </w:r>
                        <w:r>
                          <w:rPr>
                            <w:rFonts w:ascii="宋体" w:hAnsi="宋体" w:cs="宋体" w:eastAsia="宋体" w:hint="default"/>
                            <w:spacing w:val="-3"/>
                            <w:sz w:val="18"/>
                            <w:szCs w:val="18"/>
                          </w:rPr>
                          <w:t>共同出资设立上海中威天安公共安全科技有限公司的议案》，公司与上海中科高等研究院及自然人魏建明、张宏俊、詹自力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共同出资设立上海中威，公司注册资本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万元，主要从事安全与应急领域相关技术的研发及产业化经营（内容详见公</w:t>
                        </w:r>
                      </w:p>
                      <w:p>
                        <w:pPr>
                          <w:pStyle w:val="TableParagraph"/>
                          <w:spacing w:line="240" w:lineRule="auto" w:before="5"/>
                          <w:ind w:left="14" w:right="0"/>
                          <w:jc w:val="both"/>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w:t>
                        </w:r>
                        <w:r>
                          <w:rPr>
                            <w:rFonts w:ascii="宋体" w:hAnsi="宋体" w:cs="宋体" w:eastAsia="宋体" w:hint="default"/>
                            <w:spacing w:val="-3"/>
                            <w:sz w:val="18"/>
                            <w:szCs w:val="18"/>
                          </w:rPr>
                          <w:t>国</w:t>
                        </w:r>
                        <w:r>
                          <w:rPr>
                            <w:rFonts w:ascii="宋体" w:hAnsi="宋体" w:cs="宋体" w:eastAsia="宋体" w:hint="default"/>
                            <w:sz w:val="18"/>
                            <w:szCs w:val="18"/>
                          </w:rPr>
                          <w:t>证监会指定创业板信息披露网站上的公告</w:t>
                        </w:r>
                        <w:r>
                          <w:rPr>
                            <w:rFonts w:ascii="宋体" w:hAnsi="宋体" w:cs="宋体" w:eastAsia="宋体" w:hint="default"/>
                            <w:spacing w:val="-92"/>
                            <w:sz w:val="18"/>
                            <w:szCs w:val="18"/>
                          </w:rPr>
                          <w:t>）</w:t>
                        </w:r>
                        <w:r>
                          <w:rPr>
                            <w:rFonts w:ascii="宋体" w:hAnsi="宋体" w:cs="宋体" w:eastAsia="宋体" w:hint="default"/>
                            <w:sz w:val="18"/>
                            <w:szCs w:val="18"/>
                          </w:rPr>
                          <w:t>。根据《关于共</w:t>
                        </w:r>
                        <w:r>
                          <w:rPr>
                            <w:rFonts w:ascii="宋体" w:hAnsi="宋体" w:cs="宋体" w:eastAsia="宋体" w:hint="default"/>
                            <w:spacing w:val="2"/>
                            <w:sz w:val="18"/>
                            <w:szCs w:val="18"/>
                          </w:rPr>
                          <w:t>同</w:t>
                        </w:r>
                        <w:r>
                          <w:rPr>
                            <w:rFonts w:ascii="宋体" w:hAnsi="宋体" w:cs="宋体" w:eastAsia="宋体" w:hint="default"/>
                            <w:sz w:val="18"/>
                            <w:szCs w:val="18"/>
                          </w:rPr>
                          <w:t>出资设立上海中威天安公共安</w:t>
                        </w:r>
                      </w:p>
                      <w:p>
                        <w:pPr>
                          <w:pStyle w:val="TableParagraph"/>
                          <w:spacing w:line="240" w:lineRule="auto" w:before="63"/>
                          <w:ind w:left="1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全科技有限公司的投资协议书</w:t>
                        </w:r>
                        <w:r>
                          <w:rPr>
                            <w:rFonts w:ascii="宋体" w:hAnsi="宋体" w:cs="宋体" w:eastAsia="宋体" w:hint="default"/>
                            <w:spacing w:val="-89"/>
                            <w:sz w:val="18"/>
                            <w:szCs w:val="18"/>
                          </w:rPr>
                          <w:t>》</w:t>
                        </w:r>
                        <w:r>
                          <w:rPr>
                            <w:rFonts w:ascii="宋体" w:hAnsi="宋体" w:cs="宋体" w:eastAsia="宋体" w:hint="default"/>
                            <w:sz w:val="18"/>
                            <w:szCs w:val="18"/>
                          </w:rPr>
                          <w:t>，上海中威注册资本分两期出资到位，首期出资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，剩余出资自公司成立之日起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z w:val="18"/>
                            <w:szCs w:val="18"/>
                          </w:rPr>
                          <w:t>个月内缴足。</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日，上海中威办理完成第二期出资及工商变更登记手续，并取得了上海市工商行政管理局浦</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z w:val="18"/>
                            <w:szCs w:val="18"/>
                          </w:rPr>
                          <w:t>东新区分局颁发</w:t>
                        </w:r>
                        <w:r>
                          <w:rPr>
                            <w:rFonts w:ascii="宋体" w:hAnsi="宋体" w:cs="宋体" w:eastAsia="宋体" w:hint="default"/>
                            <w:spacing w:val="-15"/>
                            <w:sz w:val="18"/>
                            <w:szCs w:val="18"/>
                          </w:rPr>
                          <w:t>的</w:t>
                        </w:r>
                        <w:r>
                          <w:rPr>
                            <w:rFonts w:ascii="宋体" w:hAnsi="宋体" w:cs="宋体" w:eastAsia="宋体" w:hint="default"/>
                            <w:sz w:val="18"/>
                            <w:szCs w:val="18"/>
                          </w:rPr>
                          <w:t>《企业法人营业执照</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15"/>
                            <w:sz w:val="18"/>
                            <w:szCs w:val="18"/>
                          </w:rPr>
                          <w:t>，</w:t>
                        </w:r>
                        <w:r>
                          <w:rPr>
                            <w:rFonts w:ascii="宋体" w:hAnsi="宋体" w:cs="宋体" w:eastAsia="宋体" w:hint="default"/>
                            <w:sz w:val="18"/>
                            <w:szCs w:val="18"/>
                          </w:rPr>
                          <w:t>中威天安总资产</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5"/>
                            <w:sz w:val="18"/>
                            <w:szCs w:val="18"/>
                          </w:rPr>
                          <w:t>，</w:t>
                        </w:r>
                        <w:r>
                          <w:rPr>
                            <w:rFonts w:ascii="宋体" w:hAnsi="宋体" w:cs="宋体" w:eastAsia="宋体" w:hint="default"/>
                            <w:sz w:val="18"/>
                            <w:szCs w:val="18"/>
                          </w:rPr>
                          <w:t>净</w:t>
                        </w:r>
                        <w:r>
                          <w:rPr>
                            <w:rFonts w:ascii="宋体" w:hAnsi="宋体" w:cs="宋体" w:eastAsia="宋体" w:hint="default"/>
                            <w:spacing w:val="-3"/>
                            <w:sz w:val="18"/>
                            <w:szCs w:val="18"/>
                          </w:rPr>
                          <w:t>资</w:t>
                        </w:r>
                        <w:r>
                          <w:rPr>
                            <w:rFonts w:ascii="宋体" w:hAnsi="宋体" w:cs="宋体" w:eastAsia="宋体" w:hint="default"/>
                            <w:sz w:val="18"/>
                            <w:szCs w:val="18"/>
                          </w:rPr>
                          <w:t>产</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p>
                      <w:p>
                        <w:pPr>
                          <w:pStyle w:val="TableParagraph"/>
                          <w:spacing w:line="240" w:lineRule="auto" w:before="63"/>
                          <w:ind w:left="1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年度实现营业收入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1,546.13 </w:t>
                        </w:r>
                        <w:r>
                          <w:rPr>
                            <w:rFonts w:ascii="宋体" w:hAnsi="宋体" w:cs="宋体" w:eastAsia="宋体" w:hint="default"/>
                            <w:sz w:val="18"/>
                            <w:szCs w:val="18"/>
                          </w:rPr>
                          <w:t>万元，实现净利润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429.19 </w:t>
                        </w:r>
                        <w:r>
                          <w:rPr>
                            <w:rFonts w:ascii="宋体" w:hAnsi="宋体" w:cs="宋体" w:eastAsia="宋体" w:hint="default"/>
                            <w:sz w:val="18"/>
                            <w:szCs w:val="18"/>
                          </w:rPr>
                          <w:t>万元，实现的归属于母公司所有者的净利润为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184.55 </w:t>
                        </w:r>
                        <w:r>
                          <w:rPr>
                            <w:rFonts w:ascii="宋体" w:hAnsi="宋体" w:cs="宋体" w:eastAsia="宋体" w:hint="default"/>
                            <w:sz w:val="18"/>
                            <w:szCs w:val="18"/>
                          </w:rPr>
                          <w:t>万元。</w:t>
                        </w:r>
                      </w:p>
                      <w:p>
                        <w:pPr>
                          <w:pStyle w:val="TableParagraph"/>
                          <w:spacing w:line="300" w:lineRule="auto" w:before="103"/>
                          <w:ind w:left="14" w:right="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）增资收购哈尔滨盈江科技有限公司。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日，公司第二届董事会第十四次会议审议通过《关于增资收购哈 </w:t>
                        </w:r>
                        <w:r>
                          <w:rPr>
                            <w:rFonts w:ascii="宋体" w:hAnsi="宋体" w:cs="宋体" w:eastAsia="宋体" w:hint="default"/>
                            <w:spacing w:val="-3"/>
                            <w:sz w:val="18"/>
                            <w:szCs w:val="18"/>
                          </w:rPr>
                          <w:t>尔滨盈江传感器工程技术中心有限公司的议案》，公司与盈江公司、中国科学院长春应用化学科技总公司、王玉江正式签订</w:t>
                        </w:r>
                      </w:p>
                      <w:p>
                        <w:pPr>
                          <w:pStyle w:val="TableParagraph"/>
                          <w:spacing w:line="307" w:lineRule="auto" w:before="31"/>
                          <w:ind w:left="14" w:right="-50"/>
                          <w:jc w:val="left"/>
                          <w:rPr>
                            <w:rFonts w:ascii="宋体" w:hAnsi="宋体" w:cs="宋体" w:eastAsia="宋体" w:hint="default"/>
                            <w:sz w:val="18"/>
                            <w:szCs w:val="18"/>
                          </w:rPr>
                        </w:pPr>
                        <w:r>
                          <w:rPr>
                            <w:rFonts w:ascii="宋体" w:hAnsi="宋体" w:cs="宋体" w:eastAsia="宋体" w:hint="default"/>
                            <w:spacing w:val="-3"/>
                            <w:sz w:val="18"/>
                            <w:szCs w:val="18"/>
                          </w:rPr>
                          <w:t>《关于哈尔滨盈江传感器工程技术中心有限公司的增资协议书》。公司使用自有资金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万元增资盈江公司，增资完成后，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汉威电子持有盈江公司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的股权，盈江公司成为公司的控股子公司。本次增资入股盈江公司，借助长春应化所雄厚的技 术支撑力量，以及在传感器材料科学的研发优势、技术创新优势，有利于公司在特殊传感器领域补充公司现有产品线，完 善公司系统解决方案，提升和扩大市场份额。具体内容详见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日刊登在中国证监会指定创业板信息披露网站</w:t>
                        </w:r>
                      </w:p>
                      <w:p>
                        <w:pPr>
                          <w:pStyle w:val="TableParagraph"/>
                          <w:spacing w:line="240" w:lineRule="auto" w:before="7"/>
                          <w:ind w:left="14" w:right="0"/>
                          <w:jc w:val="both"/>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）上的相关公告。盈江公司纳入公司合并期间为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月，实现归属于母公司所有者净利</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106.64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555" w:footer="980" w:top="1100" w:bottom="1160" w:left="880" w:right="1100"/>
        </w:sectPr>
      </w:pPr>
    </w:p>
    <w:p>
      <w:pPr>
        <w:spacing w:line="240" w:lineRule="auto" w:before="9"/>
        <w:rPr>
          <w:rFonts w:ascii="宋体" w:hAnsi="宋体" w:cs="宋体" w:eastAsia="宋体" w:hint="default"/>
          <w:sz w:val="19"/>
          <w:szCs w:val="19"/>
        </w:rPr>
      </w:pPr>
    </w:p>
    <w:p>
      <w:pPr>
        <w:pStyle w:val="Heading2"/>
        <w:spacing w:line="240" w:lineRule="auto" w:before="26"/>
        <w:ind w:right="268"/>
        <w:jc w:val="left"/>
        <w:rPr>
          <w:rFonts w:ascii="新宋体" w:hAnsi="新宋体" w:cs="新宋体" w:eastAsia="新宋体" w:hint="default"/>
          <w:b w:val="0"/>
          <w:bCs w:val="0"/>
        </w:rPr>
      </w:pPr>
      <w:r>
        <w:rPr>
          <w:rFonts w:ascii="新宋体" w:hAnsi="新宋体" w:cs="新宋体" w:eastAsia="新宋体" w:hint="default"/>
        </w:rPr>
        <w:t>6</w:t>
      </w:r>
      <w:r>
        <w:rPr>
          <w:rFonts w:ascii="新宋体" w:hAnsi="新宋体" w:cs="新宋体" w:eastAsia="新宋体" w:hint="default"/>
        </w:rPr>
        <w:t>、主要控股参股公司分析</w:t>
      </w:r>
      <w:r>
        <w:rPr>
          <w:rFonts w:ascii="新宋体" w:hAnsi="新宋体" w:cs="新宋体" w:eastAsia="新宋体" w:hint="default"/>
          <w:b w:val="0"/>
          <w:bCs w:val="0"/>
        </w:rPr>
      </w:r>
    </w:p>
    <w:p>
      <w:pPr>
        <w:spacing w:line="240" w:lineRule="auto" w:before="11"/>
        <w:rPr>
          <w:rFonts w:ascii="新宋体" w:hAnsi="新宋体" w:cs="新宋体" w:eastAsia="新宋体" w:hint="default"/>
          <w:b/>
          <w:bCs/>
          <w:sz w:val="28"/>
          <w:szCs w:val="28"/>
        </w:rPr>
      </w:pPr>
    </w:p>
    <w:p>
      <w:pPr>
        <w:pStyle w:val="BodyText"/>
        <w:spacing w:line="357" w:lineRule="auto" w:before="0"/>
        <w:ind w:left="578" w:right="228"/>
        <w:jc w:val="left"/>
      </w:pPr>
      <w:r>
        <w:rPr/>
        <w:t>（</w:t>
      </w:r>
      <w:r>
        <w:rPr>
          <w:rFonts w:ascii="新宋体" w:hAnsi="新宋体" w:cs="新宋体" w:eastAsia="新宋体" w:hint="default"/>
        </w:rPr>
        <w:t>1</w:t>
      </w:r>
      <w:r>
        <w:rPr/>
        <w:t>）郑州炜盛电子科技有限公司 </w:t>
      </w:r>
      <w:r>
        <w:rPr>
          <w:spacing w:val="-2"/>
        </w:rPr>
        <w:t>炜盛电子是公司全资子公司，注册资本</w:t>
      </w:r>
      <w:r>
        <w:rPr>
          <w:rFonts w:ascii="新宋体" w:hAnsi="新宋体" w:cs="新宋体" w:eastAsia="新宋体" w:hint="default"/>
          <w:spacing w:val="-2"/>
        </w:rPr>
        <w:t>1,800</w:t>
      </w:r>
      <w:r>
        <w:rPr>
          <w:spacing w:val="-2"/>
        </w:rPr>
        <w:t>万元，法定代表人陈凌飞；公司住所：郑</w:t>
      </w:r>
    </w:p>
    <w:p>
      <w:pPr>
        <w:pStyle w:val="BodyText"/>
        <w:spacing w:line="357" w:lineRule="auto"/>
        <w:ind w:right="214"/>
        <w:jc w:val="left"/>
      </w:pPr>
      <w:r>
        <w:rPr>
          <w:spacing w:val="2"/>
        </w:rPr>
        <w:t>州高新开发区金梭路</w:t>
      </w:r>
      <w:r>
        <w:rPr>
          <w:rFonts w:ascii="新宋体" w:hAnsi="新宋体" w:cs="新宋体" w:eastAsia="新宋体" w:hint="default"/>
          <w:spacing w:val="2"/>
        </w:rPr>
        <w:t>299</w:t>
      </w:r>
      <w:r>
        <w:rPr>
          <w:spacing w:val="2"/>
        </w:rPr>
        <w:t>号。公司主要经营范围：气敏元件、传感器、检测控制仪表、电</w:t>
      </w:r>
      <w:r>
        <w:rPr>
          <w:spacing w:val="-103"/>
        </w:rPr>
        <w:t> </w:t>
      </w:r>
      <w:r>
        <w:rPr>
          <w:spacing w:val="-103"/>
        </w:rPr>
      </w:r>
      <w:r>
        <w:rPr/>
        <w:t>子产品的开发、生产、销售；提供技术转让、技术服务、技术咨询；进出口贸易。</w:t>
      </w:r>
    </w:p>
    <w:p>
      <w:pPr>
        <w:pStyle w:val="BodyText"/>
        <w:spacing w:line="355" w:lineRule="auto" w:before="77"/>
        <w:ind w:right="214" w:firstLine="425"/>
        <w:jc w:val="left"/>
      </w:pPr>
      <w:r>
        <w:rPr/>
        <w:t>经中磊会计师事务所审计，截止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日，炜盛电子总资产</w:t>
      </w:r>
      <w:r>
        <w:rPr>
          <w:rFonts w:ascii="新宋体" w:hAnsi="新宋体" w:cs="新宋体" w:eastAsia="新宋体" w:hint="default"/>
        </w:rPr>
        <w:t>6,516.15</w:t>
      </w:r>
      <w:r>
        <w:rPr/>
        <w:t>万元，净</w:t>
      </w:r>
      <w:r>
        <w:rPr>
          <w:spacing w:val="2"/>
        </w:rPr>
        <w:t> </w:t>
      </w:r>
      <w:r>
        <w:rPr/>
        <w:t>资产为</w:t>
      </w:r>
      <w:r>
        <w:rPr>
          <w:rFonts w:ascii="新宋体" w:hAnsi="新宋体" w:cs="新宋体" w:eastAsia="新宋体" w:hint="default"/>
        </w:rPr>
        <w:t>5,908.90</w:t>
      </w:r>
      <w:r>
        <w:rPr/>
        <w:t>万元，</w:t>
      </w:r>
      <w:r>
        <w:rPr>
          <w:rFonts w:ascii="新宋体" w:hAnsi="新宋体" w:cs="新宋体" w:eastAsia="新宋体" w:hint="default"/>
        </w:rPr>
        <w:t>2012</w:t>
      </w:r>
      <w:r>
        <w:rPr/>
        <w:t>年度实现营业收入</w:t>
      </w:r>
      <w:r>
        <w:rPr>
          <w:rFonts w:ascii="新宋体" w:hAnsi="新宋体" w:cs="新宋体" w:eastAsia="新宋体" w:hint="default"/>
        </w:rPr>
        <w:t>4,116.54</w:t>
      </w:r>
      <w:r>
        <w:rPr/>
        <w:t>万元，实现净利润</w:t>
      </w:r>
      <w:r>
        <w:rPr>
          <w:rFonts w:ascii="新宋体" w:hAnsi="新宋体" w:cs="新宋体" w:eastAsia="新宋体" w:hint="default"/>
        </w:rPr>
        <w:t>990.98</w:t>
      </w:r>
      <w:r>
        <w:rPr/>
        <w:t>万元。</w:t>
      </w:r>
    </w:p>
    <w:p>
      <w:pPr>
        <w:pStyle w:val="BodyText"/>
        <w:spacing w:line="357" w:lineRule="auto" w:before="79"/>
        <w:ind w:right="214" w:firstLine="425"/>
        <w:jc w:val="left"/>
      </w:pPr>
      <w:r>
        <w:rPr/>
        <w:t>炜盛电子营业收入与净利润分别较上年度下降</w:t>
      </w:r>
      <w:r>
        <w:rPr>
          <w:rFonts w:ascii="新宋体" w:hAnsi="新宋体" w:cs="新宋体" w:eastAsia="新宋体" w:hint="default"/>
        </w:rPr>
        <w:t>-16.36%</w:t>
      </w:r>
      <w:r>
        <w:rPr/>
        <w:t>、</w:t>
      </w:r>
      <w:r>
        <w:rPr>
          <w:rFonts w:ascii="新宋体" w:hAnsi="新宋体" w:cs="新宋体" w:eastAsia="新宋体" w:hint="default"/>
        </w:rPr>
        <w:t>-36.64%</w:t>
      </w:r>
      <w:r>
        <w:rPr/>
        <w:t>。报告期内，业绩下</w:t>
      </w:r>
      <w:r>
        <w:rPr>
          <w:spacing w:val="2"/>
        </w:rPr>
        <w:t> </w:t>
      </w:r>
      <w:r>
        <w:rPr/>
        <w:t>滑的主要原因是：</w:t>
      </w:r>
    </w:p>
    <w:p>
      <w:pPr>
        <w:pStyle w:val="BodyText"/>
        <w:spacing w:line="240" w:lineRule="auto" w:before="77"/>
        <w:ind w:left="578" w:right="268"/>
        <w:jc w:val="left"/>
      </w:pPr>
      <w:r>
        <w:rPr/>
        <w:t>①</w:t>
      </w:r>
      <w:r>
        <w:rPr>
          <w:spacing w:val="-1"/>
        </w:rPr>
        <w:t> </w:t>
      </w:r>
      <w:r>
        <w:rPr/>
        <w:t>沿海外销客户受欧美国家认证标准提高的影响，致使其需求减弱；</w:t>
      </w:r>
    </w:p>
    <w:p>
      <w:pPr>
        <w:pStyle w:val="BodyText"/>
        <w:spacing w:line="240" w:lineRule="auto" w:before="192"/>
        <w:ind w:left="578" w:right="268"/>
        <w:jc w:val="left"/>
      </w:pPr>
      <w:r>
        <w:rPr/>
        <w:t>②</w:t>
      </w:r>
      <w:r>
        <w:rPr>
          <w:spacing w:val="-1"/>
        </w:rPr>
        <w:t> </w:t>
      </w:r>
      <w:r>
        <w:rPr/>
        <w:t>受宏观经济因素滞后效应的影响，气体元器件行业采购需求减弱。</w:t>
      </w:r>
    </w:p>
    <w:p>
      <w:pPr>
        <w:pStyle w:val="BodyText"/>
        <w:spacing w:line="357" w:lineRule="auto" w:before="194"/>
        <w:ind w:left="578" w:right="228"/>
        <w:jc w:val="left"/>
      </w:pPr>
      <w:r>
        <w:rPr/>
        <w:t>（</w:t>
      </w:r>
      <w:r>
        <w:rPr>
          <w:rFonts w:ascii="新宋体" w:hAnsi="新宋体" w:cs="新宋体" w:eastAsia="新宋体" w:hint="default"/>
        </w:rPr>
        <w:t>2</w:t>
      </w:r>
      <w:r>
        <w:rPr/>
        <w:t>）郑州创威煤安科技有限公司 </w:t>
      </w:r>
      <w:r>
        <w:rPr>
          <w:spacing w:val="-2"/>
        </w:rPr>
        <w:t>创威煤安是公司全资子公司，注册资本</w:t>
      </w:r>
      <w:r>
        <w:rPr>
          <w:rFonts w:ascii="新宋体" w:hAnsi="新宋体" w:cs="新宋体" w:eastAsia="新宋体" w:hint="default"/>
          <w:spacing w:val="-2"/>
        </w:rPr>
        <w:t>4,200</w:t>
      </w:r>
      <w:r>
        <w:rPr>
          <w:spacing w:val="-2"/>
        </w:rPr>
        <w:t>万元，法定代表人赵金领；住所：郑州高</w:t>
      </w:r>
    </w:p>
    <w:p>
      <w:pPr>
        <w:pStyle w:val="BodyText"/>
        <w:spacing w:line="357" w:lineRule="auto"/>
        <w:ind w:right="94"/>
        <w:jc w:val="left"/>
      </w:pPr>
      <w:r>
        <w:rPr/>
        <w:t>新开发区雪松路</w:t>
      </w:r>
      <w:r>
        <w:rPr>
          <w:rFonts w:ascii="新宋体" w:hAnsi="新宋体" w:cs="新宋体" w:eastAsia="新宋体" w:hint="default"/>
        </w:rPr>
        <w:t>169</w:t>
      </w:r>
      <w:r>
        <w:rPr/>
        <w:t>号。公司主要经营范围：煤矿监控设备、检测仪器仪表的研发、生产、 销售及售后服务，技术转让、技术咨询、技术服务；计算机软件的开发与销售，信息系统 集成、设计与施工；矿用机电设备、电缆、金属材料的销售。</w:t>
      </w:r>
    </w:p>
    <w:p>
      <w:pPr>
        <w:pStyle w:val="BodyText"/>
        <w:spacing w:line="355" w:lineRule="auto" w:before="77"/>
        <w:ind w:right="214" w:firstLine="425"/>
        <w:jc w:val="left"/>
      </w:pPr>
      <w:r>
        <w:rPr/>
        <w:t>经中磊会计师事务所审计，截止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日，创威煤安总资产</w:t>
      </w:r>
      <w:r>
        <w:rPr>
          <w:rFonts w:ascii="新宋体" w:hAnsi="新宋体" w:cs="新宋体" w:eastAsia="新宋体" w:hint="default"/>
        </w:rPr>
        <w:t>6,290.71</w:t>
      </w:r>
      <w:r>
        <w:rPr/>
        <w:t>万元，净</w:t>
      </w:r>
      <w:r>
        <w:rPr>
          <w:spacing w:val="2"/>
        </w:rPr>
        <w:t> </w:t>
      </w:r>
      <w:r>
        <w:rPr/>
        <w:t>资产</w:t>
      </w:r>
      <w:r>
        <w:rPr>
          <w:rFonts w:ascii="新宋体" w:hAnsi="新宋体" w:cs="新宋体" w:eastAsia="新宋体" w:hint="default"/>
        </w:rPr>
        <w:t>6,046.35</w:t>
      </w:r>
      <w:r>
        <w:rPr/>
        <w:t>万元，</w:t>
      </w:r>
      <w:r>
        <w:rPr>
          <w:rFonts w:ascii="新宋体" w:hAnsi="新宋体" w:cs="新宋体" w:eastAsia="新宋体" w:hint="default"/>
        </w:rPr>
        <w:t>2012</w:t>
      </w:r>
      <w:r>
        <w:rPr/>
        <w:t>年度实现营业收入</w:t>
      </w:r>
      <w:r>
        <w:rPr>
          <w:rFonts w:ascii="新宋体" w:hAnsi="新宋体" w:cs="新宋体" w:eastAsia="新宋体" w:hint="default"/>
        </w:rPr>
        <w:t>2,889.88</w:t>
      </w:r>
      <w:r>
        <w:rPr/>
        <w:t>万元，实现净利润</w:t>
      </w:r>
      <w:r>
        <w:rPr>
          <w:rFonts w:ascii="新宋体" w:hAnsi="新宋体" w:cs="新宋体" w:eastAsia="新宋体" w:hint="default"/>
        </w:rPr>
        <w:t>1,596.78</w:t>
      </w:r>
      <w:r>
        <w:rPr/>
        <w:t>万元。</w:t>
      </w:r>
    </w:p>
    <w:p>
      <w:pPr>
        <w:pStyle w:val="BodyText"/>
        <w:spacing w:line="240" w:lineRule="auto" w:before="79"/>
        <w:ind w:left="578" w:right="99"/>
        <w:jc w:val="left"/>
      </w:pPr>
      <w:r>
        <w:rPr/>
        <w:t>创威煤安营业收入较上年度增长</w:t>
      </w:r>
      <w:r>
        <w:rPr>
          <w:rFonts w:ascii="新宋体" w:hAnsi="新宋体" w:cs="新宋体" w:eastAsia="新宋体" w:hint="default"/>
        </w:rPr>
        <w:t>73.31%</w:t>
      </w:r>
      <w:r>
        <w:rPr/>
        <w:t>，净利润较上年度增加</w:t>
      </w:r>
      <w:r>
        <w:rPr>
          <w:rFonts w:ascii="新宋体" w:hAnsi="新宋体" w:cs="新宋体" w:eastAsia="新宋体" w:hint="default"/>
        </w:rPr>
        <w:t>559.99%</w:t>
      </w:r>
      <w:r>
        <w:rPr/>
        <w:t>，主要原因是：</w:t>
      </w:r>
    </w:p>
    <w:p>
      <w:pPr>
        <w:pStyle w:val="BodyText"/>
        <w:spacing w:line="357" w:lineRule="auto" w:before="194"/>
        <w:ind w:right="213" w:firstLine="425"/>
        <w:jc w:val="left"/>
      </w:pPr>
      <w:r>
        <w:rPr/>
        <w:t>①</w:t>
      </w:r>
      <w:r>
        <w:rPr>
          <w:spacing w:val="-64"/>
        </w:rPr>
        <w:t> </w:t>
      </w:r>
      <w:r>
        <w:rPr/>
        <w:t>报告期内，公司整合优势资源，精耕市场，加大安全监控系统领域业务拓展，取得</w:t>
      </w:r>
      <w:r>
        <w:rPr/>
        <w:t> 了较好的成绩；</w:t>
      </w:r>
    </w:p>
    <w:p>
      <w:pPr>
        <w:pStyle w:val="BodyText"/>
        <w:spacing w:line="357" w:lineRule="auto" w:before="74"/>
        <w:ind w:right="213" w:firstLine="425"/>
        <w:jc w:val="left"/>
      </w:pPr>
      <w:r>
        <w:rPr/>
        <w:t>②</w:t>
      </w:r>
      <w:r>
        <w:rPr>
          <w:spacing w:val="-64"/>
        </w:rPr>
        <w:t> </w:t>
      </w:r>
      <w:r>
        <w:rPr/>
        <w:t>创威煤安属于双软企业，享受国家对软件产业的税收优惠政策，税收优惠对公司的</w:t>
      </w:r>
      <w:r>
        <w:rPr/>
        <w:t> 经营发展产生了积极影响。</w:t>
      </w:r>
    </w:p>
    <w:p>
      <w:pPr>
        <w:pStyle w:val="BodyText"/>
        <w:spacing w:line="357" w:lineRule="auto" w:before="77"/>
        <w:ind w:left="578" w:right="234" w:firstLine="2"/>
        <w:jc w:val="left"/>
      </w:pPr>
      <w:r>
        <w:rPr/>
        <w:t>（</w:t>
      </w:r>
      <w:r>
        <w:rPr>
          <w:rFonts w:ascii="新宋体" w:hAnsi="新宋体" w:cs="新宋体" w:eastAsia="新宋体" w:hint="default"/>
        </w:rPr>
        <w:t>3</w:t>
      </w:r>
      <w:r>
        <w:rPr/>
        <w:t>）郑州春泉暖通节能设备有限公司 </w:t>
      </w:r>
      <w:r>
        <w:rPr>
          <w:spacing w:val="-2"/>
        </w:rPr>
        <w:t>郑州春泉是公司的控股子公司，注册资本</w:t>
      </w:r>
      <w:r>
        <w:rPr>
          <w:rFonts w:ascii="新宋体" w:hAnsi="新宋体" w:cs="新宋体" w:eastAsia="新宋体" w:hint="default"/>
          <w:spacing w:val="-2"/>
        </w:rPr>
        <w:t>1,100</w:t>
      </w:r>
      <w:r>
        <w:rPr>
          <w:spacing w:val="-2"/>
        </w:rPr>
        <w:t>万元，公司持股比例为</w:t>
      </w:r>
      <w:r>
        <w:rPr>
          <w:rFonts w:ascii="新宋体" w:hAnsi="新宋体" w:cs="新宋体" w:eastAsia="新宋体" w:hint="default"/>
          <w:spacing w:val="-2"/>
        </w:rPr>
        <w:t>57.14%</w:t>
      </w:r>
      <w:r>
        <w:rPr>
          <w:spacing w:val="-2"/>
        </w:rPr>
        <w:t>，法定代</w:t>
      </w:r>
    </w:p>
    <w:p>
      <w:pPr>
        <w:pStyle w:val="BodyText"/>
        <w:spacing w:line="357" w:lineRule="auto"/>
        <w:ind w:right="230"/>
        <w:jc w:val="both"/>
      </w:pPr>
      <w:r>
        <w:rPr/>
        <w:t>表人尚中锋。公司住所：郑州高新开发区翠竹街</w:t>
      </w:r>
      <w:r>
        <w:rPr>
          <w:rFonts w:ascii="新宋体" w:hAnsi="新宋体" w:cs="新宋体" w:eastAsia="新宋体" w:hint="default"/>
        </w:rPr>
        <w:t>6</w:t>
      </w:r>
      <w:r>
        <w:rPr/>
        <w:t>号</w:t>
      </w:r>
      <w:r>
        <w:rPr>
          <w:rFonts w:ascii="新宋体" w:hAnsi="新宋体" w:cs="新宋体" w:eastAsia="新宋体" w:hint="default"/>
        </w:rPr>
        <w:t>1</w:t>
      </w:r>
      <w:r>
        <w:rPr/>
        <w:t>幢东</w:t>
      </w:r>
      <w:r>
        <w:rPr>
          <w:rFonts w:ascii="新宋体" w:hAnsi="新宋体" w:cs="新宋体" w:eastAsia="新宋体" w:hint="default"/>
        </w:rPr>
        <w:t>1</w:t>
      </w:r>
      <w:r>
        <w:rPr/>
        <w:t>单元</w:t>
      </w:r>
      <w:r>
        <w:rPr>
          <w:rFonts w:ascii="新宋体" w:hAnsi="新宋体" w:cs="新宋体" w:eastAsia="新宋体" w:hint="default"/>
        </w:rPr>
        <w:t>8</w:t>
      </w:r>
      <w:r>
        <w:rPr/>
        <w:t>层</w:t>
      </w:r>
      <w:r>
        <w:rPr>
          <w:rFonts w:ascii="新宋体" w:hAnsi="新宋体" w:cs="新宋体" w:eastAsia="新宋体" w:hint="default"/>
        </w:rPr>
        <w:t>13</w:t>
      </w:r>
      <w:r>
        <w:rPr/>
        <w:t>号；主要经营范围： 中央空调计费系统、节能自控管理系统、建筑能耗监测系统及楼宇智能管理系统的研发、 生产、销售及技术服务；能源管理系统及暖通节能产品的开发、销售及技术服务。</w:t>
      </w:r>
    </w:p>
    <w:p>
      <w:pPr>
        <w:spacing w:after="0" w:line="357" w:lineRule="auto"/>
        <w:jc w:val="both"/>
        <w:sectPr>
          <w:pgSz w:w="11910" w:h="16840"/>
          <w:pgMar w:header="555" w:footer="980" w:top="1100" w:bottom="1160" w:left="980" w:right="1180"/>
        </w:sectPr>
      </w:pPr>
    </w:p>
    <w:p>
      <w:pPr>
        <w:spacing w:line="240" w:lineRule="auto" w:before="7"/>
        <w:rPr>
          <w:rFonts w:ascii="新宋体" w:hAnsi="新宋体" w:cs="新宋体" w:eastAsia="新宋体" w:hint="default"/>
          <w:sz w:val="25"/>
          <w:szCs w:val="25"/>
        </w:rPr>
      </w:pPr>
    </w:p>
    <w:p>
      <w:pPr>
        <w:pStyle w:val="BodyText"/>
        <w:spacing w:line="357" w:lineRule="auto" w:before="26"/>
        <w:ind w:right="214" w:firstLine="425"/>
        <w:jc w:val="left"/>
      </w:pPr>
      <w:r>
        <w:rPr/>
        <w:t>经中磊会计师事务所审计，截止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日，郑州春泉总资产</w:t>
      </w:r>
      <w:r>
        <w:rPr>
          <w:rFonts w:ascii="新宋体" w:hAnsi="新宋体" w:cs="新宋体" w:eastAsia="新宋体" w:hint="default"/>
        </w:rPr>
        <w:t>2,998.31</w:t>
      </w:r>
      <w:r>
        <w:rPr/>
        <w:t>万元，净</w:t>
      </w:r>
      <w:r>
        <w:rPr>
          <w:spacing w:val="2"/>
        </w:rPr>
        <w:t> </w:t>
      </w:r>
      <w:r>
        <w:rPr/>
        <w:t>资产</w:t>
      </w:r>
      <w:r>
        <w:rPr>
          <w:rFonts w:ascii="新宋体" w:hAnsi="新宋体" w:cs="新宋体" w:eastAsia="新宋体" w:hint="default"/>
        </w:rPr>
        <w:t>2,021.71</w:t>
      </w:r>
      <w:r>
        <w:rPr/>
        <w:t>万元。</w:t>
      </w:r>
      <w:r>
        <w:rPr>
          <w:rFonts w:ascii="新宋体" w:hAnsi="新宋体" w:cs="新宋体" w:eastAsia="新宋体" w:hint="default"/>
        </w:rPr>
        <w:t>2012</w:t>
      </w:r>
      <w:r>
        <w:rPr/>
        <w:t>年度实现营业收入</w:t>
      </w:r>
      <w:r>
        <w:rPr>
          <w:rFonts w:ascii="新宋体" w:hAnsi="新宋体" w:cs="新宋体" w:eastAsia="新宋体" w:hint="default"/>
        </w:rPr>
        <w:t>1466.23</w:t>
      </w:r>
      <w:r>
        <w:rPr/>
        <w:t>万元，实现净利润</w:t>
      </w:r>
      <w:r>
        <w:rPr>
          <w:rFonts w:ascii="新宋体" w:hAnsi="新宋体" w:cs="新宋体" w:eastAsia="新宋体" w:hint="default"/>
        </w:rPr>
        <w:t>265.42</w:t>
      </w:r>
      <w:r>
        <w:rPr/>
        <w:t>万元。</w:t>
      </w:r>
    </w:p>
    <w:p>
      <w:pPr>
        <w:pStyle w:val="BodyText"/>
        <w:spacing w:line="357" w:lineRule="auto" w:before="77"/>
        <w:ind w:left="578" w:right="214"/>
        <w:jc w:val="left"/>
      </w:pPr>
      <w:r>
        <w:rPr/>
        <w:t>（</w:t>
      </w:r>
      <w:r>
        <w:rPr>
          <w:rFonts w:ascii="新宋体" w:hAnsi="新宋体" w:cs="新宋体" w:eastAsia="新宋体" w:hint="default"/>
        </w:rPr>
        <w:t>4</w:t>
      </w:r>
      <w:r>
        <w:rPr/>
        <w:t>）北京智威宇讯科技有限公司 </w:t>
      </w:r>
      <w:r>
        <w:rPr>
          <w:spacing w:val="6"/>
        </w:rPr>
        <w:t>北京智威宇讯科技有限公司是公司的全资子公司，成立于</w:t>
      </w:r>
      <w:r>
        <w:rPr>
          <w:rFonts w:ascii="新宋体" w:hAnsi="新宋体" w:cs="新宋体" w:eastAsia="新宋体" w:hint="default"/>
          <w:spacing w:val="6"/>
        </w:rPr>
        <w:t>2010</w:t>
      </w:r>
      <w:r>
        <w:rPr>
          <w:spacing w:val="6"/>
        </w:rPr>
        <w:t>年</w:t>
      </w:r>
      <w:r>
        <w:rPr>
          <w:rFonts w:ascii="新宋体" w:hAnsi="新宋体" w:cs="新宋体" w:eastAsia="新宋体" w:hint="default"/>
          <w:spacing w:val="6"/>
        </w:rPr>
        <w:t>6</w:t>
      </w:r>
      <w:r>
        <w:rPr>
          <w:spacing w:val="6"/>
        </w:rPr>
        <w:t>月</w:t>
      </w:r>
      <w:r>
        <w:rPr>
          <w:rFonts w:ascii="新宋体" w:hAnsi="新宋体" w:cs="新宋体" w:eastAsia="新宋体" w:hint="default"/>
          <w:spacing w:val="6"/>
        </w:rPr>
        <w:t>2</w:t>
      </w:r>
      <w:r>
        <w:rPr>
          <w:spacing w:val="6"/>
        </w:rPr>
        <w:t>日，注册资本</w:t>
      </w:r>
    </w:p>
    <w:p>
      <w:pPr>
        <w:pStyle w:val="BodyText"/>
        <w:spacing w:line="357" w:lineRule="auto"/>
        <w:ind w:right="214"/>
        <w:jc w:val="left"/>
      </w:pPr>
      <w:r>
        <w:rPr>
          <w:rFonts w:ascii="新宋体" w:hAnsi="新宋体" w:cs="新宋体" w:eastAsia="新宋体" w:hint="default"/>
          <w:spacing w:val="2"/>
        </w:rPr>
        <w:t>4,900</w:t>
      </w:r>
      <w:r>
        <w:rPr>
          <w:spacing w:val="2"/>
        </w:rPr>
        <w:t>万元；法定代表人金贵新；公司住所：北京市通州区中关村科技园区通州园光机电</w:t>
      </w:r>
      <w:r>
        <w:rPr>
          <w:spacing w:val="-107"/>
        </w:rPr>
        <w:t> </w:t>
      </w:r>
      <w:r>
        <w:rPr>
          <w:spacing w:val="-107"/>
        </w:rPr>
      </w:r>
      <w:r>
        <w:rPr/>
        <w:t>一体化产业基地政府路</w:t>
      </w:r>
      <w:r>
        <w:rPr>
          <w:rFonts w:ascii="新宋体" w:hAnsi="新宋体" w:cs="新宋体" w:eastAsia="新宋体" w:hint="default"/>
        </w:rPr>
        <w:t>2</w:t>
      </w:r>
      <w:r>
        <w:rPr/>
        <w:t>号办公楼三楼；主要经营范围：技术推广。</w:t>
      </w:r>
    </w:p>
    <w:p>
      <w:pPr>
        <w:pStyle w:val="BodyText"/>
        <w:spacing w:line="355" w:lineRule="auto" w:before="77"/>
        <w:ind w:right="214" w:firstLine="425"/>
        <w:jc w:val="left"/>
      </w:pPr>
      <w:r>
        <w:rPr/>
        <w:t>经中磊会计师事务所审计，截止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日，智威宇讯总资产</w:t>
      </w:r>
      <w:r>
        <w:rPr>
          <w:rFonts w:ascii="新宋体" w:hAnsi="新宋体" w:cs="新宋体" w:eastAsia="新宋体" w:hint="default"/>
        </w:rPr>
        <w:t>5,083.04</w:t>
      </w:r>
      <w:r>
        <w:rPr/>
        <w:t>万元，净</w:t>
      </w:r>
      <w:r>
        <w:rPr>
          <w:spacing w:val="2"/>
        </w:rPr>
        <w:t> </w:t>
      </w:r>
      <w:r>
        <w:rPr/>
        <w:t>资产</w:t>
      </w:r>
      <w:r>
        <w:rPr>
          <w:rFonts w:ascii="新宋体" w:hAnsi="新宋体" w:cs="新宋体" w:eastAsia="新宋体" w:hint="default"/>
        </w:rPr>
        <w:t>4,888.46</w:t>
      </w:r>
      <w:r>
        <w:rPr/>
        <w:t>万元，</w:t>
      </w:r>
      <w:r>
        <w:rPr>
          <w:rFonts w:ascii="新宋体" w:hAnsi="新宋体" w:cs="新宋体" w:eastAsia="新宋体" w:hint="default"/>
        </w:rPr>
        <w:t>2012</w:t>
      </w:r>
      <w:r>
        <w:rPr/>
        <w:t>年度实现净利润为</w:t>
      </w:r>
      <w:r>
        <w:rPr>
          <w:rFonts w:ascii="新宋体" w:hAnsi="新宋体" w:cs="新宋体" w:eastAsia="新宋体" w:hint="default"/>
        </w:rPr>
        <w:t>41.54</w:t>
      </w:r>
      <w:r>
        <w:rPr/>
        <w:t>万元。</w:t>
      </w:r>
    </w:p>
    <w:p>
      <w:pPr>
        <w:pStyle w:val="BodyText"/>
        <w:spacing w:line="357" w:lineRule="auto" w:before="80"/>
        <w:ind w:left="578" w:right="99" w:hanging="3"/>
        <w:jc w:val="left"/>
      </w:pPr>
      <w:r>
        <w:rPr/>
        <w:t>（</w:t>
      </w:r>
      <w:r>
        <w:rPr>
          <w:rFonts w:ascii="新宋体" w:hAnsi="新宋体" w:cs="新宋体" w:eastAsia="新宋体" w:hint="default"/>
        </w:rPr>
        <w:t>5</w:t>
      </w:r>
      <w:r>
        <w:rPr/>
        <w:t>）沈阳汉威科技有限公司 </w:t>
      </w:r>
      <w:r>
        <w:rPr>
          <w:spacing w:val="-5"/>
        </w:rPr>
        <w:t>沈阳汉威科技有限公司是公司的控股子公司，成立于</w:t>
      </w:r>
      <w:r>
        <w:rPr>
          <w:rFonts w:ascii="新宋体" w:hAnsi="新宋体" w:cs="新宋体" w:eastAsia="新宋体" w:hint="default"/>
          <w:spacing w:val="-5"/>
        </w:rPr>
        <w:t>2010</w:t>
      </w:r>
      <w:r>
        <w:rPr>
          <w:spacing w:val="-5"/>
        </w:rPr>
        <w:t>年</w:t>
      </w:r>
      <w:r>
        <w:rPr>
          <w:rFonts w:ascii="新宋体" w:hAnsi="新宋体" w:cs="新宋体" w:eastAsia="新宋体" w:hint="default"/>
          <w:spacing w:val="-5"/>
        </w:rPr>
        <w:t>6</w:t>
      </w:r>
      <w:r>
        <w:rPr>
          <w:spacing w:val="-5"/>
        </w:rPr>
        <w:t>月</w:t>
      </w:r>
      <w:r>
        <w:rPr>
          <w:rFonts w:ascii="新宋体" w:hAnsi="新宋体" w:cs="新宋体" w:eastAsia="新宋体" w:hint="default"/>
          <w:spacing w:val="-5"/>
        </w:rPr>
        <w:t>7</w:t>
      </w:r>
      <w:r>
        <w:rPr>
          <w:spacing w:val="-5"/>
        </w:rPr>
        <w:t>日，注册资本</w:t>
      </w:r>
      <w:r>
        <w:rPr>
          <w:rFonts w:ascii="新宋体" w:hAnsi="新宋体" w:cs="新宋体" w:eastAsia="新宋体" w:hint="default"/>
          <w:spacing w:val="-5"/>
        </w:rPr>
        <w:t>200</w:t>
      </w:r>
      <w:r>
        <w:rPr>
          <w:spacing w:val="-5"/>
        </w:rPr>
        <w:t>万元，</w:t>
      </w:r>
    </w:p>
    <w:p>
      <w:pPr>
        <w:pStyle w:val="BodyText"/>
        <w:spacing w:line="357" w:lineRule="auto"/>
        <w:ind w:right="99"/>
        <w:jc w:val="left"/>
      </w:pPr>
      <w:r>
        <w:rPr>
          <w:spacing w:val="2"/>
        </w:rPr>
        <w:t>公司持股比例为</w:t>
      </w:r>
      <w:r>
        <w:rPr>
          <w:rFonts w:ascii="新宋体" w:hAnsi="新宋体" w:cs="新宋体" w:eastAsia="新宋体" w:hint="default"/>
          <w:spacing w:val="2"/>
        </w:rPr>
        <w:t>51%</w:t>
      </w:r>
      <w:r>
        <w:rPr>
          <w:spacing w:val="2"/>
        </w:rPr>
        <w:t>；法定代表人：王海东；住所：沈阳市和平区三好街</w:t>
      </w:r>
      <w:r>
        <w:rPr>
          <w:rFonts w:ascii="新宋体" w:hAnsi="新宋体" w:cs="新宋体" w:eastAsia="新宋体" w:hint="default"/>
          <w:spacing w:val="2"/>
        </w:rPr>
        <w:t>35</w:t>
      </w:r>
      <w:r>
        <w:rPr>
          <w:spacing w:val="2"/>
        </w:rPr>
        <w:t>号</w:t>
      </w:r>
      <w:r>
        <w:rPr>
          <w:rFonts w:ascii="新宋体" w:hAnsi="新宋体" w:cs="新宋体" w:eastAsia="新宋体" w:hint="default"/>
          <w:spacing w:val="2"/>
        </w:rPr>
        <w:t>1905</w:t>
      </w:r>
      <w:r>
        <w:rPr>
          <w:spacing w:val="2"/>
        </w:rPr>
        <w:t>室；主</w:t>
      </w:r>
      <w:r>
        <w:rPr>
          <w:spacing w:val="-100"/>
        </w:rPr>
        <w:t> </w:t>
      </w:r>
      <w:r>
        <w:rPr>
          <w:spacing w:val="-4"/>
        </w:rPr>
        <w:t>要经营范围：报警器材、红外测温仪的研发与销售；节能监测系统、红外测温系统的销售、</w:t>
      </w:r>
      <w:r>
        <w:rPr>
          <w:spacing w:val="-88"/>
        </w:rPr>
        <w:t> </w:t>
      </w:r>
      <w:r>
        <w:rPr>
          <w:spacing w:val="-88"/>
        </w:rPr>
      </w:r>
      <w:r>
        <w:rPr/>
        <w:t>安装、调试、技术咨询、技术服务；仪器仪表、计算机及软硬件、办公用品、电子产品、 环保设备、机械电子设备、安防产品、通信器材批发、零售。</w:t>
      </w:r>
    </w:p>
    <w:p>
      <w:pPr>
        <w:pStyle w:val="BodyText"/>
        <w:spacing w:line="357" w:lineRule="auto" w:before="77"/>
        <w:ind w:right="214" w:firstLine="425"/>
        <w:jc w:val="left"/>
      </w:pPr>
      <w:r>
        <w:rPr/>
        <w:t>经中磊会计师事务所审计，截止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日，沈阳汉威总资产</w:t>
      </w:r>
      <w:r>
        <w:rPr>
          <w:rFonts w:ascii="新宋体" w:hAnsi="新宋体" w:cs="新宋体" w:eastAsia="新宋体" w:hint="default"/>
        </w:rPr>
        <w:t>549.27</w:t>
      </w:r>
      <w:r>
        <w:rPr/>
        <w:t>万元，净资 产</w:t>
      </w:r>
      <w:r>
        <w:rPr>
          <w:rFonts w:ascii="新宋体" w:hAnsi="新宋体" w:cs="新宋体" w:eastAsia="新宋体" w:hint="default"/>
        </w:rPr>
        <w:t>486.44</w:t>
      </w:r>
      <w:r>
        <w:rPr/>
        <w:t>万元，</w:t>
      </w:r>
      <w:r>
        <w:rPr>
          <w:rFonts w:ascii="新宋体" w:hAnsi="新宋体" w:cs="新宋体" w:eastAsia="新宋体" w:hint="default"/>
        </w:rPr>
        <w:t>2012</w:t>
      </w:r>
      <w:r>
        <w:rPr/>
        <w:t>年度实现营业收入</w:t>
      </w:r>
      <w:r>
        <w:rPr>
          <w:rFonts w:ascii="新宋体" w:hAnsi="新宋体" w:cs="新宋体" w:eastAsia="新宋体" w:hint="default"/>
        </w:rPr>
        <w:t>764.19</w:t>
      </w:r>
      <w:r>
        <w:rPr/>
        <w:t>万元，实现净利润</w:t>
      </w:r>
      <w:r>
        <w:rPr>
          <w:rFonts w:ascii="新宋体" w:hAnsi="新宋体" w:cs="新宋体" w:eastAsia="新宋体" w:hint="default"/>
        </w:rPr>
        <w:t>48.86</w:t>
      </w:r>
      <w:r>
        <w:rPr/>
        <w:t>万元。</w:t>
      </w:r>
    </w:p>
    <w:p>
      <w:pPr>
        <w:pStyle w:val="BodyText"/>
        <w:spacing w:line="388" w:lineRule="auto" w:before="74"/>
        <w:ind w:left="578" w:right="214"/>
        <w:jc w:val="left"/>
      </w:pPr>
      <w:r>
        <w:rPr/>
        <w:t>（</w:t>
      </w:r>
      <w:r>
        <w:rPr>
          <w:rFonts w:ascii="新宋体" w:hAnsi="新宋体" w:cs="新宋体" w:eastAsia="新宋体" w:hint="default"/>
        </w:rPr>
        <w:t>6</w:t>
      </w:r>
      <w:r>
        <w:rPr/>
        <w:t>）上海中威天安公共安全科技有限公司 中威天安为公司的子公司，成立于</w:t>
      </w:r>
      <w:r>
        <w:rPr>
          <w:rFonts w:ascii="新宋体" w:hAnsi="新宋体" w:cs="新宋体" w:eastAsia="新宋体" w:hint="default"/>
        </w:rPr>
        <w:t>2011</w:t>
      </w:r>
      <w:r>
        <w:rPr/>
        <w:t>年</w:t>
      </w:r>
      <w:r>
        <w:rPr>
          <w:rFonts w:ascii="新宋体" w:hAnsi="新宋体" w:cs="新宋体" w:eastAsia="新宋体" w:hint="default"/>
        </w:rPr>
        <w:t>12</w:t>
      </w:r>
      <w:r>
        <w:rPr/>
        <w:t>月</w:t>
      </w:r>
      <w:r>
        <w:rPr>
          <w:rFonts w:ascii="新宋体" w:hAnsi="新宋体" w:cs="新宋体" w:eastAsia="新宋体" w:hint="default"/>
        </w:rPr>
        <w:t>8</w:t>
      </w:r>
      <w:r>
        <w:rPr/>
        <w:t>日，注册资本</w:t>
      </w:r>
      <w:r>
        <w:rPr>
          <w:rFonts w:ascii="新宋体" w:hAnsi="新宋体" w:cs="新宋体" w:eastAsia="新宋体" w:hint="default"/>
        </w:rPr>
        <w:t>2,500</w:t>
      </w:r>
      <w:r>
        <w:rPr/>
        <w:t>万元，汉威电子持</w:t>
      </w:r>
    </w:p>
    <w:p>
      <w:pPr>
        <w:pStyle w:val="BodyText"/>
        <w:spacing w:line="357" w:lineRule="auto" w:before="5"/>
        <w:ind w:right="99"/>
        <w:jc w:val="left"/>
      </w:pPr>
      <w:r>
        <w:rPr>
          <w:spacing w:val="-6"/>
        </w:rPr>
        <w:t>股比例</w:t>
      </w:r>
      <w:r>
        <w:rPr>
          <w:rFonts w:ascii="新宋体" w:hAnsi="新宋体" w:cs="新宋体" w:eastAsia="新宋体" w:hint="default"/>
          <w:spacing w:val="-6"/>
        </w:rPr>
        <w:t>43%</w:t>
      </w:r>
      <w:r>
        <w:rPr>
          <w:spacing w:val="-6"/>
        </w:rPr>
        <w:t>；法定代表人：杨昌再；住所：上海市张江高科技园区郭守敬路</w:t>
      </w:r>
      <w:r>
        <w:rPr>
          <w:rFonts w:ascii="新宋体" w:hAnsi="新宋体" w:cs="新宋体" w:eastAsia="新宋体" w:hint="default"/>
          <w:spacing w:val="-6"/>
        </w:rPr>
        <w:t>351</w:t>
      </w:r>
      <w:r>
        <w:rPr>
          <w:spacing w:val="-6"/>
        </w:rPr>
        <w:t>号</w:t>
      </w:r>
      <w:r>
        <w:rPr>
          <w:rFonts w:ascii="新宋体" w:hAnsi="新宋体" w:cs="新宋体" w:eastAsia="新宋体" w:hint="default"/>
          <w:spacing w:val="-6"/>
        </w:rPr>
        <w:t>1</w:t>
      </w:r>
      <w:r>
        <w:rPr>
          <w:spacing w:val="-6"/>
        </w:rPr>
        <w:t>号楼</w:t>
      </w:r>
      <w:r>
        <w:rPr>
          <w:rFonts w:ascii="新宋体" w:hAnsi="新宋体" w:cs="新宋体" w:eastAsia="新宋体" w:hint="default"/>
          <w:spacing w:val="-6"/>
        </w:rPr>
        <w:t>511-6</w:t>
      </w:r>
      <w:r>
        <w:rPr>
          <w:rFonts w:ascii="新宋体" w:hAnsi="新宋体" w:cs="新宋体" w:eastAsia="新宋体" w:hint="default"/>
          <w:spacing w:val="-87"/>
        </w:rPr>
        <w:t> </w:t>
      </w:r>
      <w:r>
        <w:rPr>
          <w:spacing w:val="-4"/>
        </w:rPr>
        <w:t>室；主要经营范围：公共安全设备及器材的研发、销售；计算机软件的开发、设计、制作、</w:t>
      </w:r>
      <w:r>
        <w:rPr>
          <w:spacing w:val="-88"/>
        </w:rPr>
        <w:t> </w:t>
      </w:r>
      <w:r>
        <w:rPr>
          <w:spacing w:val="-88"/>
        </w:rPr>
      </w:r>
      <w:r>
        <w:rPr/>
        <w:t>销售（除计算机信息系统安全专用产品）；计算机硬件的研发、销售，系统集成，并提供</w:t>
      </w:r>
      <w:r>
        <w:rPr/>
        <w:t> </w:t>
      </w:r>
      <w:r>
        <w:rPr>
          <w:spacing w:val="-4"/>
        </w:rPr>
        <w:t>相关的技术咨询、技术服务、技术转让；电子传感器、仪器仪表、电气机械的开发、销售。</w:t>
      </w:r>
    </w:p>
    <w:p>
      <w:pPr>
        <w:pStyle w:val="BodyText"/>
        <w:spacing w:line="357" w:lineRule="auto" w:before="77"/>
        <w:ind w:right="214" w:firstLine="425"/>
        <w:jc w:val="left"/>
      </w:pPr>
      <w:r>
        <w:rPr/>
        <w:t>经中磊会计师事务所审计，截止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日，中威天安总资产</w:t>
      </w:r>
      <w:r>
        <w:rPr>
          <w:rFonts w:ascii="新宋体" w:hAnsi="新宋体" w:cs="新宋体" w:eastAsia="新宋体" w:hint="default"/>
        </w:rPr>
        <w:t>3,155.23</w:t>
      </w:r>
      <w:r>
        <w:rPr/>
        <w:t>万元，净</w:t>
      </w:r>
      <w:r>
        <w:rPr>
          <w:spacing w:val="2"/>
        </w:rPr>
        <w:t> </w:t>
      </w:r>
      <w:r>
        <w:rPr/>
        <w:t>资产</w:t>
      </w:r>
      <w:r>
        <w:rPr>
          <w:rFonts w:ascii="新宋体" w:hAnsi="新宋体" w:cs="新宋体" w:eastAsia="新宋体" w:hint="default"/>
        </w:rPr>
        <w:t>2,929.19</w:t>
      </w:r>
      <w:r>
        <w:rPr/>
        <w:t>万元，</w:t>
      </w:r>
      <w:r>
        <w:rPr>
          <w:rFonts w:ascii="新宋体" w:hAnsi="新宋体" w:cs="新宋体" w:eastAsia="新宋体" w:hint="default"/>
        </w:rPr>
        <w:t>2012</w:t>
      </w:r>
      <w:r>
        <w:rPr/>
        <w:t>年度实现营业收入</w:t>
      </w:r>
      <w:r>
        <w:rPr>
          <w:rFonts w:ascii="新宋体" w:hAnsi="新宋体" w:cs="新宋体" w:eastAsia="新宋体" w:hint="default"/>
        </w:rPr>
        <w:t>1,546.13</w:t>
      </w:r>
      <w:r>
        <w:rPr/>
        <w:t>万元，实现净利润</w:t>
      </w:r>
      <w:r>
        <w:rPr>
          <w:rFonts w:ascii="新宋体" w:hAnsi="新宋体" w:cs="新宋体" w:eastAsia="新宋体" w:hint="default"/>
        </w:rPr>
        <w:t>429.19</w:t>
      </w:r>
      <w:r>
        <w:rPr/>
        <w:t>万元。</w:t>
      </w:r>
    </w:p>
    <w:p>
      <w:pPr>
        <w:pStyle w:val="BodyText"/>
        <w:spacing w:line="388" w:lineRule="auto" w:before="74"/>
        <w:ind w:left="700" w:right="214" w:hanging="123"/>
        <w:jc w:val="left"/>
      </w:pPr>
      <w:r>
        <w:rPr/>
        <w:t>（</w:t>
      </w:r>
      <w:r>
        <w:rPr>
          <w:rFonts w:ascii="新宋体" w:hAnsi="新宋体" w:cs="新宋体" w:eastAsia="新宋体" w:hint="default"/>
        </w:rPr>
        <w:t>7</w:t>
      </w:r>
      <w:r>
        <w:rPr/>
        <w:t>）哈尔滨盈江科技有限公司 盈江公司为公司的控股子公司，公司成立于</w:t>
      </w:r>
      <w:r>
        <w:rPr>
          <w:rFonts w:ascii="新宋体" w:hAnsi="新宋体" w:cs="新宋体" w:eastAsia="新宋体" w:hint="default"/>
        </w:rPr>
        <w:t>2011</w:t>
      </w:r>
      <w:r>
        <w:rPr/>
        <w:t>年</w:t>
      </w:r>
      <w:r>
        <w:rPr>
          <w:rFonts w:ascii="新宋体" w:hAnsi="新宋体" w:cs="新宋体" w:eastAsia="新宋体" w:hint="default"/>
        </w:rPr>
        <w:t>4</w:t>
      </w:r>
      <w:r>
        <w:rPr/>
        <w:t>月</w:t>
      </w:r>
      <w:r>
        <w:rPr>
          <w:rFonts w:ascii="新宋体" w:hAnsi="新宋体" w:cs="新宋体" w:eastAsia="新宋体" w:hint="default"/>
        </w:rPr>
        <w:t>15</w:t>
      </w:r>
      <w:r>
        <w:rPr/>
        <w:t>日，注册资本</w:t>
      </w:r>
      <w:r>
        <w:rPr>
          <w:rFonts w:ascii="新宋体" w:hAnsi="新宋体" w:cs="新宋体" w:eastAsia="新宋体" w:hint="default"/>
        </w:rPr>
        <w:t>412.24</w:t>
      </w:r>
      <w:r>
        <w:rPr/>
        <w:t>万元，</w:t>
      </w:r>
    </w:p>
    <w:p>
      <w:pPr>
        <w:pStyle w:val="BodyText"/>
        <w:spacing w:line="357" w:lineRule="auto" w:before="5"/>
        <w:ind w:right="235"/>
        <w:jc w:val="both"/>
      </w:pPr>
      <w:r>
        <w:rPr/>
        <w:t>法定代表人为王玉江，住所：哈尔滨高新技术产业开发区科技创新城创新创业广场</w:t>
      </w:r>
      <w:r>
        <w:rPr>
          <w:rFonts w:ascii="新宋体" w:hAnsi="新宋体" w:cs="新宋体" w:eastAsia="新宋体" w:hint="default"/>
        </w:rPr>
        <w:t>18</w:t>
      </w:r>
      <w:r>
        <w:rPr/>
        <w:t>号楼 </w:t>
      </w:r>
      <w:r>
        <w:rPr>
          <w:spacing w:val="2"/>
        </w:rPr>
        <w:t>科技一街</w:t>
      </w:r>
      <w:r>
        <w:rPr>
          <w:rFonts w:ascii="新宋体" w:hAnsi="新宋体" w:cs="新宋体" w:eastAsia="新宋体" w:hint="default"/>
          <w:spacing w:val="2"/>
        </w:rPr>
        <w:t>99</w:t>
      </w:r>
      <w:r>
        <w:rPr>
          <w:spacing w:val="2"/>
        </w:rPr>
        <w:t>号</w:t>
      </w:r>
      <w:r>
        <w:rPr>
          <w:rFonts w:ascii="新宋体" w:hAnsi="新宋体" w:cs="新宋体" w:eastAsia="新宋体" w:hint="default"/>
          <w:spacing w:val="2"/>
        </w:rPr>
        <w:t>E405</w:t>
      </w:r>
      <w:r>
        <w:rPr>
          <w:spacing w:val="2"/>
        </w:rPr>
        <w:t>室。公司持股比例为</w:t>
      </w:r>
      <w:r>
        <w:rPr>
          <w:rFonts w:ascii="新宋体" w:hAnsi="新宋体" w:cs="新宋体" w:eastAsia="新宋体" w:hint="default"/>
          <w:spacing w:val="2"/>
        </w:rPr>
        <w:t>51%</w:t>
      </w:r>
      <w:r>
        <w:rPr>
          <w:spacing w:val="2"/>
        </w:rPr>
        <w:t>。经营范围为：研发、生产、销售电子传感器</w:t>
      </w:r>
      <w:r>
        <w:rPr>
          <w:spacing w:val="-109"/>
        </w:rPr>
        <w:t> </w:t>
      </w:r>
      <w:r>
        <w:rPr>
          <w:spacing w:val="-109"/>
        </w:rPr>
      </w:r>
      <w:r>
        <w:rPr/>
        <w:t>及技术开发、技术服务、技术转让、技术咨询；销售：电子监控报警设备，防爆、防护设</w:t>
      </w:r>
    </w:p>
    <w:p>
      <w:pPr>
        <w:spacing w:after="0" w:line="357" w:lineRule="auto"/>
        <w:jc w:val="both"/>
        <w:sectPr>
          <w:pgSz w:w="11910" w:h="16840"/>
          <w:pgMar w:header="555" w:footer="980" w:top="1100" w:bottom="1160" w:left="980" w:right="1180"/>
        </w:sectPr>
      </w:pPr>
    </w:p>
    <w:p>
      <w:pPr>
        <w:spacing w:line="240" w:lineRule="auto" w:before="7"/>
        <w:rPr>
          <w:rFonts w:ascii="新宋体" w:hAnsi="新宋体" w:cs="新宋体" w:eastAsia="新宋体" w:hint="default"/>
          <w:sz w:val="25"/>
          <w:szCs w:val="25"/>
        </w:rPr>
      </w:pPr>
    </w:p>
    <w:p>
      <w:pPr>
        <w:pStyle w:val="BodyText"/>
        <w:spacing w:line="357" w:lineRule="auto" w:before="26"/>
        <w:ind w:right="132"/>
        <w:jc w:val="both"/>
      </w:pPr>
      <w:r>
        <w:rPr/>
        <w:t>备；智能交通和安防监控系统的研发、设计、安装；计算机软件开发与销售；计算机网络 </w:t>
      </w:r>
      <w:r>
        <w:rPr>
          <w:spacing w:val="2"/>
        </w:rPr>
        <w:t>工程施工；技术进出口、货物进出口。</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8</w:t>
      </w:r>
      <w:r>
        <w:rPr>
          <w:spacing w:val="2"/>
        </w:rPr>
        <w:t>月</w:t>
      </w:r>
      <w:r>
        <w:rPr>
          <w:rFonts w:ascii="新宋体" w:hAnsi="新宋体" w:cs="新宋体" w:eastAsia="新宋体" w:hint="default"/>
          <w:spacing w:val="2"/>
        </w:rPr>
        <w:t>10</w:t>
      </w:r>
      <w:r>
        <w:rPr>
          <w:spacing w:val="2"/>
        </w:rPr>
        <w:t>日，经盈江公司股东会审议通过，公</w:t>
      </w:r>
      <w:r>
        <w:rPr>
          <w:spacing w:val="-104"/>
        </w:rPr>
        <w:t> </w:t>
      </w:r>
      <w:r>
        <w:rPr>
          <w:spacing w:val="-104"/>
        </w:rPr>
      </w:r>
      <w:r>
        <w:rPr>
          <w:spacing w:val="5"/>
        </w:rPr>
        <w:t>司名称由“哈尔滨盈江传感器工程技术中心有限公司”变更为“哈尔滨盈江科技有限公</w:t>
      </w:r>
      <w:r>
        <w:rPr>
          <w:spacing w:val="-96"/>
        </w:rPr>
        <w:t> </w:t>
      </w:r>
      <w:r>
        <w:rPr>
          <w:spacing w:val="-96"/>
        </w:rPr>
      </w:r>
      <w:r>
        <w:rPr/>
        <w:t>司”。</w:t>
      </w:r>
    </w:p>
    <w:p>
      <w:pPr>
        <w:pStyle w:val="BodyText"/>
        <w:spacing w:line="357" w:lineRule="auto" w:before="77"/>
        <w:ind w:right="113" w:firstLine="425"/>
        <w:jc w:val="left"/>
      </w:pPr>
      <w:r>
        <w:rPr/>
        <w:t>经中磊会计师事务所审计，截止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日，盈江科技总资产</w:t>
      </w:r>
      <w:r>
        <w:rPr>
          <w:rFonts w:ascii="新宋体" w:hAnsi="新宋体" w:cs="新宋体" w:eastAsia="新宋体" w:hint="default"/>
        </w:rPr>
        <w:t>865.13</w:t>
      </w:r>
      <w:r>
        <w:rPr/>
        <w:t>万元，净资 产</w:t>
      </w:r>
      <w:r>
        <w:rPr>
          <w:rFonts w:ascii="新宋体" w:hAnsi="新宋体" w:cs="新宋体" w:eastAsia="新宋体" w:hint="default"/>
        </w:rPr>
        <w:t>762.26</w:t>
      </w:r>
      <w:r>
        <w:rPr/>
        <w:t>万元，</w:t>
      </w:r>
      <w:r>
        <w:rPr>
          <w:rFonts w:ascii="新宋体" w:hAnsi="新宋体" w:cs="新宋体" w:eastAsia="新宋体" w:hint="default"/>
        </w:rPr>
        <w:t>2012</w:t>
      </w:r>
      <w:r>
        <w:rPr/>
        <w:t>年度实现营业收入</w:t>
      </w:r>
      <w:r>
        <w:rPr>
          <w:rFonts w:ascii="新宋体" w:hAnsi="新宋体" w:cs="新宋体" w:eastAsia="新宋体" w:hint="default"/>
        </w:rPr>
        <w:t>275.06</w:t>
      </w:r>
      <w:r>
        <w:rPr/>
        <w:t>万元，实现净利润</w:t>
      </w:r>
      <w:r>
        <w:rPr>
          <w:rFonts w:ascii="新宋体" w:hAnsi="新宋体" w:cs="新宋体" w:eastAsia="新宋体" w:hint="default"/>
        </w:rPr>
        <w:t>170.02</w:t>
      </w:r>
      <w:r>
        <w:rPr/>
        <w:t>万元。</w:t>
      </w:r>
    </w:p>
    <w:p>
      <w:pPr>
        <w:spacing w:line="240" w:lineRule="auto" w:before="9"/>
        <w:rPr>
          <w:rFonts w:ascii="新宋体" w:hAnsi="新宋体" w:cs="新宋体" w:eastAsia="新宋体" w:hint="default"/>
          <w:sz w:val="19"/>
          <w:szCs w:val="19"/>
        </w:rPr>
      </w:pPr>
    </w:p>
    <w:p>
      <w:pPr>
        <w:spacing w:line="441" w:lineRule="auto" w:before="0"/>
        <w:ind w:left="578" w:right="4968" w:hanging="42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、公司控制的特殊目的主体情况</w:t>
      </w:r>
      <w:r>
        <w:rPr>
          <w:rFonts w:ascii="宋体" w:hAnsi="宋体" w:cs="宋体" w:eastAsia="宋体" w:hint="default"/>
          <w:b/>
          <w:bCs/>
          <w:w w:val="99"/>
          <w:sz w:val="24"/>
          <w:szCs w:val="24"/>
        </w:rPr>
        <w:t> </w:t>
      </w:r>
      <w:r>
        <w:rPr>
          <w:rFonts w:ascii="宋体" w:hAnsi="宋体" w:cs="宋体" w:eastAsia="宋体" w:hint="default"/>
          <w:sz w:val="24"/>
          <w:szCs w:val="24"/>
        </w:rPr>
        <w:t>公司不存在其控制下的特殊目的主体。</w:t>
      </w:r>
    </w:p>
    <w:p>
      <w:pPr>
        <w:pStyle w:val="Heading2"/>
        <w:spacing w:line="240" w:lineRule="auto" w:before="98"/>
        <w:ind w:right="0"/>
        <w:jc w:val="both"/>
        <w:rPr>
          <w:b w:val="0"/>
          <w:bCs w:val="0"/>
        </w:rPr>
      </w:pPr>
      <w:r>
        <w:rPr/>
        <w:t>三、公司未来发展的展望</w:t>
      </w:r>
      <w:r>
        <w:rPr>
          <w:b w:val="0"/>
          <w:bCs w:val="0"/>
        </w:rPr>
      </w:r>
    </w:p>
    <w:p>
      <w:pPr>
        <w:spacing w:line="240" w:lineRule="auto" w:before="11"/>
        <w:rPr>
          <w:rFonts w:ascii="宋体" w:hAnsi="宋体" w:cs="宋体" w:eastAsia="宋体" w:hint="default"/>
          <w:b/>
          <w:bCs/>
          <w:sz w:val="28"/>
          <w:szCs w:val="28"/>
        </w:rPr>
      </w:pPr>
    </w:p>
    <w:p>
      <w:pPr>
        <w:pStyle w:val="BodyText"/>
        <w:spacing w:line="386" w:lineRule="auto" w:before="0"/>
        <w:ind w:left="633" w:right="113" w:hanging="56"/>
        <w:jc w:val="left"/>
      </w:pPr>
      <w:r>
        <w:rPr/>
        <w:t>（一）公司所处行业发展状况 </w:t>
      </w:r>
      <w:r>
        <w:rPr>
          <w:rFonts w:ascii="新宋体" w:hAnsi="新宋体" w:cs="新宋体" w:eastAsia="新宋体" w:hint="default"/>
        </w:rPr>
        <w:t>2012</w:t>
      </w:r>
      <w:r>
        <w:rPr/>
        <w:t>年，尽管宏观经济增长放缓等不利因素对公司所处行业如化工、矿山、冶金等造</w:t>
      </w:r>
    </w:p>
    <w:p>
      <w:pPr>
        <w:pStyle w:val="BodyText"/>
        <w:spacing w:line="357" w:lineRule="auto" w:before="7"/>
        <w:ind w:right="132"/>
        <w:jc w:val="both"/>
      </w:pPr>
      <w:r>
        <w:rPr/>
        <w:t>成了影响，导致需求减弱，行业整体出现不景气，但随着国家建设创新型国家、大力发展 </w:t>
      </w:r>
      <w:r>
        <w:rPr>
          <w:spacing w:val="-7"/>
        </w:rPr>
        <w:t>战略新兴产业、推进两化融合，加强安全生产、环境保护政策的愈发明确，以及各行业“十</w:t>
      </w:r>
      <w:r>
        <w:rPr>
          <w:spacing w:val="-82"/>
        </w:rPr>
        <w:t> </w:t>
      </w:r>
      <w:r>
        <w:rPr>
          <w:spacing w:val="-82"/>
        </w:rPr>
      </w:r>
      <w:r>
        <w:rPr/>
        <w:t>二五规划”的陆续出台，表明国家继续“稳中求进”的发展基调已经确定；同时，“十八</w:t>
      </w:r>
      <w:r>
        <w:rPr/>
        <w:t> 大”提出全面建成小康社会的宏伟目标，绘制建设“美丽中国”的发展蓝图，确认了大力 发展“战略新兴产业”、“新型城镇化”、“智慧城市”，“改善民生、夯实农业”的发 展路线；中原经济区建设也进入实质性阶段。</w:t>
      </w:r>
    </w:p>
    <w:p>
      <w:pPr>
        <w:pStyle w:val="BodyText"/>
        <w:spacing w:line="357" w:lineRule="auto"/>
        <w:ind w:right="114" w:firstLine="480"/>
        <w:jc w:val="left"/>
      </w:pPr>
      <w:r>
        <w:rPr/>
        <w:t>此外，随着“物联网产业”发展逐步深化，国家传感器网络标准研究逐步形成成果， 国家持续推进物联网产业“十二五”规划及落实，出台了国家安全产业规划。</w:t>
      </w:r>
      <w:r>
        <w:rPr>
          <w:rFonts w:ascii="新宋体" w:hAnsi="新宋体" w:cs="新宋体" w:eastAsia="新宋体" w:hint="default"/>
        </w:rPr>
        <w:t>2013</w:t>
      </w:r>
      <w:r>
        <w:rPr/>
        <w:t>年</w:t>
      </w:r>
      <w:r>
        <w:rPr>
          <w:rFonts w:ascii="新宋体" w:hAnsi="新宋体" w:cs="新宋体" w:eastAsia="新宋体" w:hint="default"/>
        </w:rPr>
        <w:t>2</w:t>
      </w:r>
      <w:r>
        <w:rPr/>
        <w:t>月 </w:t>
      </w:r>
      <w:r>
        <w:rPr>
          <w:rFonts w:ascii="新宋体" w:hAnsi="新宋体" w:cs="新宋体" w:eastAsia="新宋体" w:hint="default"/>
        </w:rPr>
        <w:t>17</w:t>
      </w:r>
      <w:r>
        <w:rPr/>
        <w:t>日，国务院公布《国务院关于推进物联网有序健康发展的指导意见》，明确提出到</w:t>
      </w:r>
      <w:r>
        <w:rPr>
          <w:rFonts w:ascii="新宋体" w:hAnsi="新宋体" w:cs="新宋体" w:eastAsia="新宋体" w:hint="default"/>
        </w:rPr>
        <w:t>2015 </w:t>
      </w:r>
      <w:r>
        <w:rPr/>
        <w:t>年将培育一批具备核心技术的龙头企业，初步形成物联网产业体系。</w:t>
      </w:r>
      <w:r>
        <w:rPr>
          <w:rFonts w:ascii="新宋体" w:hAnsi="新宋体" w:cs="新宋体" w:eastAsia="新宋体" w:hint="default"/>
        </w:rPr>
        <w:t>2013</w:t>
      </w:r>
      <w:r>
        <w:rPr/>
        <w:t>年</w:t>
      </w:r>
      <w:r>
        <w:rPr>
          <w:rFonts w:ascii="新宋体" w:hAnsi="新宋体" w:cs="新宋体" w:eastAsia="新宋体" w:hint="default"/>
        </w:rPr>
        <w:t>2</w:t>
      </w:r>
      <w:r>
        <w:rPr/>
        <w:t>月</w:t>
      </w:r>
      <w:r>
        <w:rPr>
          <w:rFonts w:ascii="新宋体" w:hAnsi="新宋体" w:cs="新宋体" w:eastAsia="新宋体" w:hint="default"/>
        </w:rPr>
        <w:t>28</w:t>
      </w:r>
      <w:r>
        <w:rPr/>
        <w:t>日，四 部委发布《加快推进传感器及智能化仪器仪表产业发展行动计划》，明确指出</w:t>
      </w:r>
      <w:r>
        <w:rPr>
          <w:rFonts w:ascii="新宋体" w:hAnsi="新宋体" w:cs="新宋体" w:eastAsia="新宋体" w:hint="default"/>
        </w:rPr>
        <w:t>2025</w:t>
      </w:r>
      <w:r>
        <w:rPr/>
        <w:t>年我国 传感器及智能化仪器仪表产业整体水平要跨入世界先进行列，产业形态实现由“生产型制 造”向“服务型制造”的转变，涉及国防和重点产业安全、重大工程所需的传感器及智能 化仪器仪表实现自主制造和自主可控，高端产品和服务市场占有率提高到</w:t>
      </w:r>
      <w:r>
        <w:rPr>
          <w:rFonts w:ascii="新宋体" w:hAnsi="新宋体" w:cs="新宋体" w:eastAsia="新宋体" w:hint="default"/>
        </w:rPr>
        <w:t>50%</w:t>
      </w:r>
      <w:r>
        <w:rPr/>
        <w:t>以上。</w:t>
      </w:r>
    </w:p>
    <w:p>
      <w:pPr>
        <w:pStyle w:val="BodyText"/>
        <w:spacing w:line="240" w:lineRule="auto"/>
        <w:ind w:left="633" w:right="168"/>
        <w:jc w:val="left"/>
      </w:pPr>
      <w:r>
        <w:rPr/>
        <w:t>以上要素为公司发展创造了有利的外部宏观发展环境。</w:t>
      </w:r>
    </w:p>
    <w:p>
      <w:pPr>
        <w:spacing w:line="240" w:lineRule="auto" w:before="1"/>
        <w:rPr>
          <w:rFonts w:ascii="新宋体" w:hAnsi="新宋体" w:cs="新宋体" w:eastAsia="新宋体" w:hint="default"/>
          <w:sz w:val="30"/>
          <w:szCs w:val="30"/>
        </w:rPr>
      </w:pPr>
    </w:p>
    <w:p>
      <w:pPr>
        <w:pStyle w:val="BodyText"/>
        <w:spacing w:line="240" w:lineRule="auto" w:before="0"/>
        <w:ind w:left="578" w:right="168"/>
        <w:jc w:val="left"/>
      </w:pPr>
      <w:r>
        <w:rPr/>
        <w:t>（二）公司所处行业竞争格局及公司内部经营环境</w:t>
      </w:r>
    </w:p>
    <w:p>
      <w:pPr>
        <w:spacing w:after="0" w:line="240" w:lineRule="auto"/>
        <w:jc w:val="left"/>
        <w:sectPr>
          <w:pgSz w:w="11910" w:h="16840"/>
          <w:pgMar w:header="555" w:footer="980" w:top="1100" w:bottom="1160" w:left="980" w:right="1280"/>
        </w:sectPr>
      </w:pPr>
    </w:p>
    <w:p>
      <w:pPr>
        <w:spacing w:line="240" w:lineRule="auto" w:before="7"/>
        <w:rPr>
          <w:rFonts w:ascii="新宋体" w:hAnsi="新宋体" w:cs="新宋体" w:eastAsia="新宋体" w:hint="default"/>
          <w:sz w:val="25"/>
          <w:szCs w:val="25"/>
        </w:rPr>
      </w:pPr>
    </w:p>
    <w:p>
      <w:pPr>
        <w:pStyle w:val="BodyText"/>
        <w:spacing w:line="357" w:lineRule="auto" w:before="26"/>
        <w:ind w:right="232" w:firstLine="480"/>
        <w:jc w:val="both"/>
      </w:pPr>
      <w:r>
        <w:rPr/>
        <w:t>随着传感物联产业蓬勃发展、国家系列鼓励政策的陆续出台，以及市场自身需求的扩 展，公司所处行业正在吸引更多企业和资本进入，使行业格局变化加快。短期内受宏观经 济下滑的影响，国民经济整体投资减弱，新建项目减少，行业市场增长放缓，也导致市场 竞争加剧；但长期来看，公司所处“安全、环保、健康”的安全产业，符合社会经济发展 的产业方向，属于国家大力鼓励发展的战略新兴产业，未来发展空间巨大。</w:t>
      </w:r>
    </w:p>
    <w:p>
      <w:pPr>
        <w:pStyle w:val="BodyText"/>
        <w:spacing w:line="357" w:lineRule="auto" w:before="77"/>
        <w:ind w:right="112" w:firstLine="480"/>
        <w:jc w:val="both"/>
      </w:pPr>
      <w:r>
        <w:rPr/>
        <w:t>目前，公司所处行业的竞争态势没有发生重大变化。公司气体传感器市场占有率进一 步扩大，龙头地位依然巩固，气体检测仪器仪表国内领先的行业地位进一步加强；监控系 统方面，</w:t>
      </w:r>
      <w:r>
        <w:rPr>
          <w:rFonts w:ascii="新宋体" w:hAnsi="新宋体" w:cs="新宋体" w:eastAsia="新宋体" w:hint="default"/>
        </w:rPr>
        <w:t>2012</w:t>
      </w:r>
      <w:r>
        <w:rPr/>
        <w:t>年实现营业收入</w:t>
      </w:r>
      <w:r>
        <w:rPr>
          <w:rFonts w:ascii="新宋体" w:hAnsi="新宋体" w:cs="新宋体" w:eastAsia="新宋体" w:hint="default"/>
        </w:rPr>
        <w:t>5,915.07</w:t>
      </w:r>
      <w:r>
        <w:rPr/>
        <w:t>万元，较上年度增长</w:t>
      </w:r>
      <w:r>
        <w:rPr>
          <w:rFonts w:ascii="新宋体" w:hAnsi="新宋体" w:cs="新宋体" w:eastAsia="新宋体" w:hint="default"/>
        </w:rPr>
        <w:t>48%</w:t>
      </w:r>
      <w:r>
        <w:rPr/>
        <w:t>，在同行业处于领先水平。</w:t>
      </w:r>
    </w:p>
    <w:p>
      <w:pPr>
        <w:pStyle w:val="BodyText"/>
        <w:spacing w:line="357" w:lineRule="auto" w:before="75"/>
        <w:ind w:right="232" w:firstLine="480"/>
        <w:jc w:val="both"/>
      </w:pPr>
      <w:r>
        <w:rPr>
          <w:rFonts w:ascii="新宋体" w:hAnsi="新宋体" w:cs="新宋体" w:eastAsia="新宋体" w:hint="default"/>
        </w:rPr>
        <w:t>2012</w:t>
      </w:r>
      <w:r>
        <w:rPr/>
        <w:t>年，公司产业基础硬件设施得到进一步夯实，产业化能力得到进一步加强，产业 更具规模。从内部看，公司管理变革升级已取得初步成效，正在逐步形成集团负责宏观策 略和督导、服务，各业务板块集中精力拓展业务并创利的互动协作模式。公司将及时跟踪 产业政策变化，加大相关技术研发和市场拓展，继续加强产业纵向和横向发展，采用自主 发展和并购整合相结合的方式，围绕以传感器为核心、智能仪器仪表为支柱、行业物联网 应用为导向，打造三大产业集团，引领公司持续稳健发展。</w:t>
      </w:r>
    </w:p>
    <w:p>
      <w:pPr>
        <w:pStyle w:val="BodyText"/>
        <w:spacing w:line="388" w:lineRule="auto" w:before="77"/>
        <w:ind w:left="578" w:right="5068"/>
        <w:jc w:val="left"/>
      </w:pPr>
      <w:r>
        <w:rPr/>
        <w:t>（三）公司发展战略和</w:t>
      </w:r>
      <w:r>
        <w:rPr>
          <w:rFonts w:ascii="新宋体" w:hAnsi="新宋体" w:cs="新宋体" w:eastAsia="新宋体" w:hint="default"/>
        </w:rPr>
        <w:t>2013</w:t>
      </w:r>
      <w:r>
        <w:rPr/>
        <w:t>年经营计划 </w:t>
      </w:r>
      <w:r>
        <w:rPr>
          <w:rFonts w:ascii="新宋体" w:hAnsi="新宋体" w:cs="新宋体" w:eastAsia="新宋体" w:hint="default"/>
        </w:rPr>
        <w:t>1</w:t>
      </w:r>
      <w:r>
        <w:rPr/>
        <w:t>、中长期发展战略规划</w:t>
      </w:r>
    </w:p>
    <w:p>
      <w:pPr>
        <w:pStyle w:val="BodyText"/>
        <w:spacing w:line="357" w:lineRule="auto" w:before="43"/>
        <w:ind w:right="227" w:firstLine="425"/>
        <w:jc w:val="both"/>
      </w:pPr>
      <w:r>
        <w:rPr/>
        <w:t>未来五年，公司将继续坚持“以传感器为核心，做国内领先的物联网企业”的发展愿</w:t>
      </w:r>
      <w:r>
        <w:rPr>
          <w:spacing w:val="2"/>
        </w:rPr>
        <w:t> </w:t>
      </w:r>
      <w:r>
        <w:rPr/>
        <w:t>景，致力于打造“传感器、智能仪表、物联网行业应用”三大产业板块。以“创造安全、</w:t>
      </w:r>
      <w:r>
        <w:rPr/>
        <w:t> 环保、健康的工作、生活环境”为公司使命，努力将公司发展成为一个以多门类传感器为 核心，以其下游仪器仪表为支撑，以工业安全、民生安全、工业信息化领域物联网应用为 导向的物联网产业集团。</w:t>
      </w:r>
    </w:p>
    <w:p>
      <w:pPr>
        <w:pStyle w:val="BodyText"/>
        <w:spacing w:line="240" w:lineRule="auto"/>
        <w:ind w:left="578" w:right="268"/>
        <w:jc w:val="left"/>
      </w:pPr>
      <w:r>
        <w:rPr>
          <w:rFonts w:ascii="新宋体" w:hAnsi="新宋体" w:cs="新宋体" w:eastAsia="新宋体" w:hint="default"/>
        </w:rPr>
        <w:t>2</w:t>
      </w:r>
      <w:r>
        <w:rPr/>
        <w:t>、</w:t>
      </w:r>
      <w:r>
        <w:rPr>
          <w:rFonts w:ascii="新宋体" w:hAnsi="新宋体" w:cs="新宋体" w:eastAsia="新宋体" w:hint="default"/>
        </w:rPr>
        <w:t>2013</w:t>
      </w:r>
      <w:r>
        <w:rPr/>
        <w:t>年度经营计划</w:t>
      </w:r>
    </w:p>
    <w:p>
      <w:pPr>
        <w:pStyle w:val="BodyText"/>
        <w:spacing w:line="357" w:lineRule="auto" w:before="154"/>
        <w:ind w:right="99" w:firstLine="425"/>
        <w:jc w:val="left"/>
      </w:pPr>
      <w:r>
        <w:rPr/>
        <w:t>结合</w:t>
      </w:r>
      <w:r>
        <w:rPr>
          <w:rFonts w:ascii="新宋体" w:hAnsi="新宋体" w:cs="新宋体" w:eastAsia="新宋体" w:hint="default"/>
        </w:rPr>
        <w:t>2012</w:t>
      </w:r>
      <w:r>
        <w:rPr/>
        <w:t>年度实际发展情况，</w:t>
      </w:r>
      <w:r>
        <w:rPr>
          <w:rFonts w:ascii="新宋体" w:hAnsi="新宋体" w:cs="新宋体" w:eastAsia="新宋体" w:hint="default"/>
        </w:rPr>
        <w:t>2013</w:t>
      </w:r>
      <w:r>
        <w:rPr/>
        <w:t>年公司将聚焦于业务与技术，通过集团管控和事业 部独立运作相结合的方式，缩短决策流程，强化快速反应能力，完善目标与责任体系。通 过塑造品牌，客户导向，踏踏实实抓落实，深化产业链发展模式，紧密围绕公司“中长期 </w:t>
      </w:r>
      <w:r>
        <w:rPr>
          <w:spacing w:val="-4"/>
        </w:rPr>
        <w:t>发展战略”构建物联网产业集团，进一步巩固和扩大行业领先地位，保持公司持续、健康、</w:t>
      </w:r>
      <w:r>
        <w:rPr>
          <w:spacing w:val="-84"/>
        </w:rPr>
        <w:t> </w:t>
      </w:r>
      <w:r>
        <w:rPr>
          <w:spacing w:val="-84"/>
        </w:rPr>
      </w:r>
      <w:r>
        <w:rPr/>
        <w:t>快速的发展。</w:t>
      </w:r>
    </w:p>
    <w:p>
      <w:pPr>
        <w:pStyle w:val="BodyText"/>
        <w:spacing w:line="240" w:lineRule="auto"/>
        <w:ind w:left="578" w:right="268"/>
        <w:jc w:val="left"/>
      </w:pPr>
      <w:r>
        <w:rPr>
          <w:rFonts w:ascii="新宋体" w:hAnsi="新宋体" w:cs="新宋体" w:eastAsia="新宋体" w:hint="default"/>
        </w:rPr>
        <w:t>2013</w:t>
      </w:r>
      <w:r>
        <w:rPr/>
        <w:t>年公司将重点开展以下工作：</w:t>
      </w:r>
    </w:p>
    <w:p>
      <w:pPr>
        <w:pStyle w:val="BodyText"/>
        <w:spacing w:line="240" w:lineRule="auto" w:before="154"/>
        <w:ind w:left="578" w:right="268"/>
        <w:jc w:val="left"/>
      </w:pPr>
      <w:r>
        <w:rPr/>
        <w:t>（</w:t>
      </w:r>
      <w:r>
        <w:rPr>
          <w:rFonts w:ascii="新宋体" w:hAnsi="新宋体" w:cs="新宋体" w:eastAsia="新宋体" w:hint="default"/>
        </w:rPr>
        <w:t>1</w:t>
      </w:r>
      <w:r>
        <w:rPr/>
        <w:t>）汉威品牌建设</w:t>
      </w:r>
    </w:p>
    <w:p>
      <w:pPr>
        <w:spacing w:after="0" w:line="240" w:lineRule="auto"/>
        <w:jc w:val="left"/>
        <w:sectPr>
          <w:pgSz w:w="11910" w:h="16840"/>
          <w:pgMar w:header="555" w:footer="980" w:top="1100" w:bottom="1160" w:left="980" w:right="1180"/>
        </w:sectPr>
      </w:pPr>
    </w:p>
    <w:p>
      <w:pPr>
        <w:spacing w:line="240" w:lineRule="auto" w:before="7"/>
        <w:rPr>
          <w:rFonts w:ascii="新宋体" w:hAnsi="新宋体" w:cs="新宋体" w:eastAsia="新宋体" w:hint="default"/>
          <w:sz w:val="25"/>
          <w:szCs w:val="25"/>
        </w:rPr>
      </w:pPr>
    </w:p>
    <w:p>
      <w:pPr>
        <w:pStyle w:val="BodyText"/>
        <w:spacing w:line="357" w:lineRule="auto" w:before="26"/>
        <w:ind w:right="232" w:firstLine="425"/>
        <w:jc w:val="both"/>
      </w:pPr>
      <w:r>
        <w:rPr>
          <w:rFonts w:ascii="新宋体" w:hAnsi="新宋体" w:cs="新宋体" w:eastAsia="新宋体" w:hint="default"/>
        </w:rPr>
        <w:t>2013</w:t>
      </w:r>
      <w:r>
        <w:rPr/>
        <w:t>年，公司将继续以品牌来提升公司整体形象和竞争力，树立全员品牌意识，从不 同的角度共同塑造汉威品牌，让“安全、可靠、科技”成为汉威的标签。公司将严格把控 研发、生产、流通等环节，进一步提升公司品牌价值和客户满意度。</w:t>
      </w:r>
    </w:p>
    <w:p>
      <w:pPr>
        <w:pStyle w:val="BodyText"/>
        <w:spacing w:line="357" w:lineRule="auto" w:before="77"/>
        <w:ind w:left="633" w:right="213"/>
        <w:jc w:val="left"/>
      </w:pPr>
      <w:r>
        <w:rPr/>
        <w:t>（</w:t>
      </w:r>
      <w:r>
        <w:rPr>
          <w:rFonts w:ascii="新宋体" w:hAnsi="新宋体" w:cs="新宋体" w:eastAsia="新宋体" w:hint="default"/>
        </w:rPr>
        <w:t>2</w:t>
      </w:r>
      <w:r>
        <w:rPr/>
        <w:t>）营销策略建设 </w:t>
      </w:r>
      <w:r>
        <w:rPr>
          <w:rFonts w:ascii="新宋体" w:hAnsi="新宋体" w:cs="新宋体" w:eastAsia="新宋体" w:hint="default"/>
        </w:rPr>
        <w:t>2013</w:t>
      </w:r>
      <w:r>
        <w:rPr/>
        <w:t>年，公司营销策略将继续聚焦于业务与技术，以行业特点、相关方价值、竞争为</w:t>
      </w:r>
    </w:p>
    <w:p>
      <w:pPr>
        <w:pStyle w:val="BodyText"/>
        <w:spacing w:line="357" w:lineRule="auto"/>
        <w:ind w:right="99"/>
        <w:jc w:val="left"/>
      </w:pPr>
      <w:r>
        <w:rPr/>
        <w:t>主要着眼点，识别并满足客户需求，加强业务模式梳理、优化，加大市场推广力度。公司 </w:t>
      </w:r>
      <w:r>
        <w:rPr>
          <w:spacing w:val="-4"/>
        </w:rPr>
        <w:t>将在此前事业部试点的基础上，大力推进事业部建设，激活每个经营责任主体，聚焦行业，</w:t>
      </w:r>
      <w:r>
        <w:rPr>
          <w:spacing w:val="-82"/>
        </w:rPr>
        <w:t> </w:t>
      </w:r>
      <w:r>
        <w:rPr>
          <w:spacing w:val="-82"/>
        </w:rPr>
      </w:r>
      <w:r>
        <w:rPr/>
        <w:t>以顾客为导向，加大市场聚焦，提升汉威营销实力，强化公司竞争力，全力打造市场导向</w:t>
      </w:r>
      <w:r>
        <w:rPr/>
        <w:t> 型营销组织。</w:t>
      </w:r>
    </w:p>
    <w:p>
      <w:pPr>
        <w:pStyle w:val="BodyText"/>
        <w:spacing w:line="388" w:lineRule="auto"/>
        <w:ind w:left="710" w:right="234" w:hanging="77"/>
        <w:jc w:val="left"/>
      </w:pPr>
      <w:r>
        <w:rPr/>
        <w:t>（</w:t>
      </w:r>
      <w:r>
        <w:rPr>
          <w:rFonts w:ascii="新宋体" w:hAnsi="新宋体" w:cs="新宋体" w:eastAsia="新宋体" w:hint="default"/>
        </w:rPr>
        <w:t>3</w:t>
      </w:r>
      <w:r>
        <w:rPr/>
        <w:t>）信息化体系建设 信息化管理是公司管理的核心内容。</w:t>
      </w:r>
      <w:r>
        <w:rPr>
          <w:rFonts w:ascii="新宋体" w:hAnsi="新宋体" w:cs="新宋体" w:eastAsia="新宋体" w:hint="default"/>
        </w:rPr>
        <w:t>2013</w:t>
      </w:r>
      <w:r>
        <w:rPr/>
        <w:t>年，公司将积极推进“使命战略化</w:t>
      </w:r>
      <w:r>
        <w:rPr>
          <w:rFonts w:ascii="新宋体" w:hAnsi="新宋体" w:cs="新宋体" w:eastAsia="新宋体" w:hint="default"/>
        </w:rPr>
        <w:t>-</w:t>
      </w:r>
      <w:r>
        <w:rPr/>
        <w:t>战略组</w:t>
      </w:r>
    </w:p>
    <w:p>
      <w:pPr>
        <w:pStyle w:val="BodyText"/>
        <w:spacing w:line="357" w:lineRule="auto" w:before="2"/>
        <w:ind w:left="224" w:right="236"/>
        <w:jc w:val="both"/>
      </w:pPr>
      <w:r>
        <w:rPr>
          <w:spacing w:val="-2"/>
        </w:rPr>
        <w:t>织化</w:t>
      </w:r>
      <w:r>
        <w:rPr>
          <w:rFonts w:ascii="新宋体" w:hAnsi="新宋体" w:cs="新宋体" w:eastAsia="新宋体" w:hint="default"/>
          <w:spacing w:val="-2"/>
        </w:rPr>
        <w:t>-</w:t>
      </w:r>
      <w:r>
        <w:rPr>
          <w:spacing w:val="-2"/>
        </w:rPr>
        <w:t>组织制度化</w:t>
      </w:r>
      <w:r>
        <w:rPr>
          <w:rFonts w:ascii="新宋体" w:hAnsi="新宋体" w:cs="新宋体" w:eastAsia="新宋体" w:hint="default"/>
          <w:spacing w:val="-2"/>
        </w:rPr>
        <w:t>-</w:t>
      </w:r>
      <w:r>
        <w:rPr>
          <w:spacing w:val="-2"/>
        </w:rPr>
        <w:t>制度流程化</w:t>
      </w:r>
      <w:r>
        <w:rPr>
          <w:rFonts w:ascii="新宋体" w:hAnsi="新宋体" w:cs="新宋体" w:eastAsia="新宋体" w:hint="default"/>
          <w:spacing w:val="-2"/>
        </w:rPr>
        <w:t>-</w:t>
      </w:r>
      <w:r>
        <w:rPr>
          <w:spacing w:val="-2"/>
        </w:rPr>
        <w:t>流程表单化</w:t>
      </w:r>
      <w:r>
        <w:rPr>
          <w:rFonts w:ascii="新宋体" w:hAnsi="新宋体" w:cs="新宋体" w:eastAsia="新宋体" w:hint="default"/>
          <w:spacing w:val="-2"/>
        </w:rPr>
        <w:t>-</w:t>
      </w:r>
      <w:r>
        <w:rPr>
          <w:spacing w:val="-2"/>
        </w:rPr>
        <w:t>表单</w:t>
      </w:r>
      <w:r>
        <w:rPr>
          <w:rFonts w:ascii="新宋体" w:hAnsi="新宋体" w:cs="新宋体" w:eastAsia="新宋体" w:hint="default"/>
          <w:spacing w:val="-2"/>
        </w:rPr>
        <w:t>IT</w:t>
      </w:r>
      <w:r>
        <w:rPr>
          <w:spacing w:val="-2"/>
        </w:rPr>
        <w:t>化”管控理念，加强流程体系再造，加</w:t>
      </w:r>
      <w:r>
        <w:rPr>
          <w:spacing w:val="-115"/>
        </w:rPr>
        <w:t> </w:t>
      </w:r>
      <w:r>
        <w:rPr>
          <w:spacing w:val="-115"/>
        </w:rPr>
      </w:r>
      <w:r>
        <w:rPr>
          <w:spacing w:val="-2"/>
        </w:rPr>
        <w:t>大信息化建设力度，有序建设适应于集团整体战略的信息化管控系统，推进信息化手段在</w:t>
      </w:r>
      <w:r>
        <w:rPr/>
        <w:t> 公司日常经营管理各环节的具体应用，以促进业务发展和管理效率提高。</w:t>
      </w:r>
    </w:p>
    <w:p>
      <w:pPr>
        <w:pStyle w:val="BodyText"/>
        <w:spacing w:line="357" w:lineRule="auto" w:before="77"/>
        <w:ind w:left="633" w:right="213"/>
        <w:jc w:val="left"/>
      </w:pPr>
      <w:r>
        <w:rPr/>
        <w:t>（</w:t>
      </w:r>
      <w:r>
        <w:rPr>
          <w:rFonts w:ascii="新宋体" w:hAnsi="新宋体" w:cs="新宋体" w:eastAsia="新宋体" w:hint="default"/>
        </w:rPr>
        <w:t>4</w:t>
      </w:r>
      <w:r>
        <w:rPr/>
        <w:t>）继续完善集团化管控模式 </w:t>
      </w:r>
      <w:r>
        <w:rPr>
          <w:rFonts w:ascii="新宋体" w:hAnsi="新宋体" w:cs="新宋体" w:eastAsia="新宋体" w:hint="default"/>
        </w:rPr>
        <w:t>2013</w:t>
      </w:r>
      <w:r>
        <w:rPr/>
        <w:t>年，公司将继续推进集团化管理模式建设，改革创新体系，促进技术创新团队和</w:t>
      </w:r>
    </w:p>
    <w:p>
      <w:pPr>
        <w:pStyle w:val="BodyText"/>
        <w:spacing w:line="357" w:lineRule="auto"/>
        <w:ind w:right="231"/>
        <w:jc w:val="both"/>
      </w:pPr>
      <w:r>
        <w:rPr/>
        <w:t>市场、生产现场的有机结合，整合公司和各事业单元功能、目标体系、评价体系，明晰管 控职责体系，让集团化管控和事业部独立运作相结合，起到战略协同效应并创造价值，以 更好的让公司愿景落地。</w:t>
      </w:r>
    </w:p>
    <w:p>
      <w:pPr>
        <w:pStyle w:val="BodyText"/>
        <w:spacing w:line="388" w:lineRule="auto"/>
        <w:ind w:left="705" w:right="101" w:hanging="128"/>
        <w:jc w:val="left"/>
      </w:pPr>
      <w:r>
        <w:rPr/>
        <w:t>（</w:t>
      </w:r>
      <w:r>
        <w:rPr>
          <w:rFonts w:ascii="新宋体" w:hAnsi="新宋体" w:cs="新宋体" w:eastAsia="新宋体" w:hint="default"/>
        </w:rPr>
        <w:t>5</w:t>
      </w:r>
      <w:r>
        <w:rPr/>
        <w:t>）人力资源建设 </w:t>
      </w:r>
      <w:r>
        <w:rPr>
          <w:rFonts w:ascii="新宋体" w:hAnsi="新宋体" w:cs="新宋体" w:eastAsia="新宋体" w:hint="default"/>
          <w:spacing w:val="-5"/>
        </w:rPr>
        <w:t>2013</w:t>
      </w:r>
      <w:r>
        <w:rPr>
          <w:spacing w:val="-5"/>
        </w:rPr>
        <w:t>年，公司将完善集团化的人力资源管理体系，优化基于公司战略的绩效管理体系，</w:t>
      </w:r>
    </w:p>
    <w:p>
      <w:pPr>
        <w:pStyle w:val="BodyText"/>
        <w:spacing w:line="357" w:lineRule="auto" w:before="5"/>
        <w:ind w:left="224" w:right="158"/>
        <w:jc w:val="both"/>
      </w:pPr>
      <w:r>
        <w:rPr/>
        <w:t>激励员工提升组织和个人绩效；巩固“汉威步步高”课程培训体系，增强课程的针对性、 有效性，提高培训满意度。同时，公司持续打造 “高管引领、中层管理者和专业人员积</w:t>
      </w:r>
      <w:r>
        <w:rPr>
          <w:spacing w:val="-82"/>
        </w:rPr>
        <w:t> </w:t>
      </w:r>
      <w:r>
        <w:rPr>
          <w:spacing w:val="-82"/>
        </w:rPr>
      </w:r>
      <w:r>
        <w:rPr/>
        <w:t>极参与”的讲师团队，加强企业文化建设，提升员工凝聚力和满意度。</w:t>
      </w:r>
    </w:p>
    <w:p>
      <w:pPr>
        <w:pStyle w:val="BodyText"/>
        <w:spacing w:line="388" w:lineRule="auto" w:before="74"/>
        <w:ind w:left="585" w:right="214" w:hanging="8"/>
        <w:jc w:val="left"/>
      </w:pPr>
      <w:r>
        <w:rPr/>
        <w:t>（</w:t>
      </w:r>
      <w:r>
        <w:rPr>
          <w:rFonts w:ascii="新宋体" w:hAnsi="新宋体" w:cs="新宋体" w:eastAsia="新宋体" w:hint="default"/>
        </w:rPr>
        <w:t>6</w:t>
      </w:r>
      <w:r>
        <w:rPr/>
        <w:t>）科技创新平台建设 </w:t>
      </w:r>
      <w:r>
        <w:rPr>
          <w:rFonts w:ascii="新宋体" w:hAnsi="新宋体" w:cs="新宋体" w:eastAsia="新宋体" w:hint="default"/>
        </w:rPr>
        <w:t>2013</w:t>
      </w:r>
      <w:r>
        <w:rPr/>
        <w:t>年，公司将践行聚焦客户与市场的研发创新理念，实现公司和业务单元协同互动</w:t>
      </w:r>
    </w:p>
    <w:p>
      <w:pPr>
        <w:pStyle w:val="BodyText"/>
        <w:spacing w:line="357" w:lineRule="auto" w:before="5"/>
        <w:ind w:left="224" w:right="235"/>
        <w:jc w:val="both"/>
      </w:pPr>
      <w:r>
        <w:rPr>
          <w:spacing w:val="-2"/>
        </w:rPr>
        <w:t>的目标，打造技术、知识共享平台，整合全院技术，合理布局研发资源，建立并推进市场</w:t>
      </w:r>
      <w:r>
        <w:rPr/>
        <w:t> 导向机制，加强研究院对各业务单元研发创新的统筹管理工作。</w:t>
      </w:r>
    </w:p>
    <w:p>
      <w:pPr>
        <w:pStyle w:val="BodyText"/>
        <w:spacing w:line="240" w:lineRule="auto" w:before="77"/>
        <w:ind w:left="578" w:right="268"/>
        <w:jc w:val="left"/>
      </w:pPr>
      <w:r>
        <w:rPr/>
        <w:t>（</w:t>
      </w:r>
      <w:r>
        <w:rPr>
          <w:rFonts w:ascii="新宋体" w:hAnsi="新宋体" w:cs="新宋体" w:eastAsia="新宋体" w:hint="default"/>
        </w:rPr>
        <w:t>7</w:t>
      </w:r>
      <w:r>
        <w:rPr/>
        <w:t>）企业资本合作建设</w:t>
      </w:r>
    </w:p>
    <w:p>
      <w:pPr>
        <w:spacing w:after="0" w:line="240" w:lineRule="auto"/>
        <w:jc w:val="left"/>
        <w:sectPr>
          <w:pgSz w:w="11910" w:h="16840"/>
          <w:pgMar w:header="555" w:footer="980" w:top="1100" w:bottom="1160" w:left="980" w:right="1180"/>
        </w:sectPr>
      </w:pPr>
    </w:p>
    <w:p>
      <w:pPr>
        <w:spacing w:line="240" w:lineRule="auto" w:before="7"/>
        <w:rPr>
          <w:rFonts w:ascii="新宋体" w:hAnsi="新宋体" w:cs="新宋体" w:eastAsia="新宋体" w:hint="default"/>
          <w:sz w:val="25"/>
          <w:szCs w:val="25"/>
        </w:rPr>
      </w:pPr>
    </w:p>
    <w:p>
      <w:pPr>
        <w:pStyle w:val="BodyText"/>
        <w:spacing w:line="357" w:lineRule="auto" w:before="26"/>
        <w:ind w:right="113" w:firstLine="425"/>
        <w:jc w:val="left"/>
      </w:pPr>
      <w:r>
        <w:rPr>
          <w:rFonts w:ascii="新宋体" w:hAnsi="新宋体" w:cs="新宋体" w:eastAsia="新宋体" w:hint="default"/>
        </w:rPr>
        <w:t>2013</w:t>
      </w:r>
      <w:r>
        <w:rPr/>
        <w:t>年，公司将坚持“围绕战略、围绕价值和核心竞争力的提升”，审慎选择合作对 象，重点关注战略作用、文化融合、协同效用、中长期收益等要素，严控并购风险。</w:t>
      </w:r>
    </w:p>
    <w:p>
      <w:pPr>
        <w:pStyle w:val="BodyText"/>
        <w:spacing w:line="357" w:lineRule="auto"/>
        <w:ind w:left="578" w:right="113"/>
        <w:jc w:val="left"/>
      </w:pPr>
      <w:r>
        <w:rPr/>
        <w:t>（</w:t>
      </w:r>
      <w:r>
        <w:rPr>
          <w:rFonts w:ascii="新宋体" w:hAnsi="新宋体" w:cs="新宋体" w:eastAsia="新宋体" w:hint="default"/>
        </w:rPr>
        <w:t>8</w:t>
      </w:r>
      <w:r>
        <w:rPr/>
        <w:t>）募集资金项目建设 </w:t>
      </w:r>
      <w:r>
        <w:rPr>
          <w:rFonts w:ascii="新宋体" w:hAnsi="新宋体" w:cs="新宋体" w:eastAsia="新宋体" w:hint="default"/>
        </w:rPr>
        <w:t>2013</w:t>
      </w:r>
      <w:r>
        <w:rPr/>
        <w:t>年，公司将继续加强募投项目的建设管理，使其为公司提供更多的收入和利润增</w:t>
      </w:r>
    </w:p>
    <w:p>
      <w:pPr>
        <w:pStyle w:val="BodyText"/>
        <w:spacing w:line="357" w:lineRule="auto"/>
        <w:ind w:right="135"/>
        <w:jc w:val="both"/>
      </w:pPr>
      <w:r>
        <w:rPr/>
        <w:t>长点。超募资金部分，公司将继续严格按照中国证监会和深圳证券交易所的有关规定，围 绕主业、合理规划、谨慎实施，进一步提高公司的市场抗风险能力和综合竞争能力，巩固 和强化公司在行业的领先地位，形成良好的业绩回报。</w:t>
      </w:r>
    </w:p>
    <w:p>
      <w:pPr>
        <w:pStyle w:val="BodyText"/>
        <w:spacing w:line="357" w:lineRule="auto"/>
        <w:ind w:left="578" w:right="113"/>
        <w:jc w:val="left"/>
      </w:pPr>
      <w:r>
        <w:rPr/>
        <w:t>（</w:t>
      </w:r>
      <w:r>
        <w:rPr>
          <w:rFonts w:ascii="新宋体" w:hAnsi="新宋体" w:cs="新宋体" w:eastAsia="新宋体" w:hint="default"/>
        </w:rPr>
        <w:t>9</w:t>
      </w:r>
      <w:r>
        <w:rPr/>
        <w:t>）公司治理结构建设 </w:t>
      </w:r>
      <w:r>
        <w:rPr>
          <w:rFonts w:ascii="新宋体" w:hAnsi="新宋体" w:cs="新宋体" w:eastAsia="新宋体" w:hint="default"/>
        </w:rPr>
        <w:t>2013</w:t>
      </w:r>
      <w:r>
        <w:rPr/>
        <w:t>年，公司将进一步依照中国证监会、深圳证券交易所的规章制度要求，积极推进</w:t>
      </w:r>
    </w:p>
    <w:p>
      <w:pPr>
        <w:pStyle w:val="BodyText"/>
        <w:spacing w:line="357" w:lineRule="auto"/>
        <w:ind w:right="135"/>
        <w:jc w:val="both"/>
      </w:pPr>
      <w:r>
        <w:rPr/>
        <w:t>内控建设，重抓落实，加强集团规划与成员企业的规范运营；积极推进投资者沟通平台的 完善，规范投资者关系工作，促进公司与投资者之间长期、稳定的良好互动关系，实现公 司价值和股东利益最大化。</w:t>
      </w:r>
    </w:p>
    <w:p>
      <w:pPr>
        <w:spacing w:line="240" w:lineRule="auto" w:before="2"/>
        <w:rPr>
          <w:rFonts w:ascii="新宋体" w:hAnsi="新宋体" w:cs="新宋体" w:eastAsia="新宋体" w:hint="default"/>
          <w:sz w:val="19"/>
          <w:szCs w:val="19"/>
        </w:rPr>
      </w:pPr>
    </w:p>
    <w:p>
      <w:pPr>
        <w:pStyle w:val="BodyText"/>
        <w:spacing w:line="240" w:lineRule="auto" w:before="26"/>
        <w:ind w:left="578" w:right="113"/>
        <w:jc w:val="left"/>
      </w:pPr>
      <w:r>
        <w:rPr/>
        <w:t>（四）对公司未来发展战略和经营目标的实现产生不利影响的风险因素分析及解决方</w:t>
      </w:r>
    </w:p>
    <w:p>
      <w:pPr>
        <w:pStyle w:val="BodyText"/>
        <w:spacing w:line="240" w:lineRule="auto" w:before="154"/>
        <w:ind w:right="168"/>
        <w:jc w:val="left"/>
      </w:pPr>
      <w:r>
        <w:rPr/>
        <w:t>法</w:t>
      </w:r>
    </w:p>
    <w:p>
      <w:pPr>
        <w:pStyle w:val="BodyText"/>
        <w:spacing w:line="357" w:lineRule="auto" w:before="154"/>
        <w:ind w:left="580" w:right="166" w:firstLine="57"/>
        <w:jc w:val="left"/>
      </w:pPr>
      <w:r>
        <w:rPr>
          <w:rFonts w:ascii="新宋体" w:hAnsi="新宋体" w:cs="新宋体" w:eastAsia="新宋体" w:hint="default"/>
        </w:rPr>
        <w:t>1</w:t>
      </w:r>
      <w:r>
        <w:rPr/>
        <w:t>、宏观经济下行风险 面对宏观经济下行的局面，未来冶金、化工、矿山等传统行业的需求仍存在较多不确</w:t>
      </w:r>
    </w:p>
    <w:p>
      <w:pPr>
        <w:pStyle w:val="BodyText"/>
        <w:spacing w:line="357" w:lineRule="auto"/>
        <w:ind w:right="130"/>
        <w:jc w:val="both"/>
      </w:pPr>
      <w:r>
        <w:rPr/>
        <w:t>定因素，公司产业仍面临受宏观经济下行影响的风险。为应对风险，公司将努力“提高发 展质量、强化公司竞争力”，调整营销策略，合理分配资源，加大对燃气、石油、化工等 传统行业的营销力度，保持对安监、矿山、新兴物联网等行业的投入强度，以实现业绩的 持续增长。同时，继续围绕“以多门类传感器为核心，以其下游仪器仪表为支撑，以工业 安全、民生安全、工业信息化领域物联网应用为导向”适度布局，构建物联网产业集团。</w:t>
      </w:r>
    </w:p>
    <w:p>
      <w:pPr>
        <w:pStyle w:val="BodyText"/>
        <w:spacing w:line="357" w:lineRule="auto"/>
        <w:ind w:left="578" w:right="168"/>
        <w:jc w:val="left"/>
      </w:pPr>
      <w:r>
        <w:rPr>
          <w:rFonts w:ascii="新宋体" w:hAnsi="新宋体" w:cs="新宋体" w:eastAsia="新宋体" w:hint="default"/>
        </w:rPr>
        <w:t>2</w:t>
      </w:r>
      <w:r>
        <w:rPr/>
        <w:t>、竞争加剧带来的产品毛利率趋降风险 公司核心产品传感器、仪器仪表的行业市场优势明显，在行业中占据主导地位，拥有</w:t>
      </w:r>
    </w:p>
    <w:p>
      <w:pPr>
        <w:pStyle w:val="BodyText"/>
        <w:spacing w:line="357" w:lineRule="auto" w:before="37"/>
        <w:ind w:right="135"/>
        <w:jc w:val="both"/>
      </w:pPr>
      <w:r>
        <w:rPr/>
        <w:t>核心技术的气体传感器的国内市场占有率位居第一。</w:t>
      </w:r>
      <w:r>
        <w:rPr>
          <w:rFonts w:ascii="新宋体" w:hAnsi="新宋体" w:cs="新宋体" w:eastAsia="新宋体" w:hint="default"/>
        </w:rPr>
        <w:t>2012</w:t>
      </w:r>
      <w:r>
        <w:rPr/>
        <w:t>年，行业市场竞争日趋激烈，竞 争者有依靠降低产品销售价格来取得市场份额的趋势。未来如果公司在成本优化、技术创 新和新产品开发方面不能保持持续领先优势，公司面临产品毛利率下降的风险。</w:t>
      </w:r>
    </w:p>
    <w:p>
      <w:pPr>
        <w:pStyle w:val="BodyText"/>
        <w:spacing w:line="240" w:lineRule="auto"/>
        <w:ind w:left="578" w:right="168"/>
        <w:jc w:val="left"/>
      </w:pPr>
      <w:r>
        <w:rPr/>
        <w:t>公司将采取如下对策化解风险：</w:t>
      </w:r>
    </w:p>
    <w:p>
      <w:pPr>
        <w:pStyle w:val="BodyText"/>
        <w:spacing w:line="357" w:lineRule="auto" w:before="154"/>
        <w:ind w:right="125" w:firstLine="425"/>
        <w:jc w:val="left"/>
      </w:pPr>
      <w:r>
        <w:rPr>
          <w:spacing w:val="-2"/>
        </w:rPr>
        <w:t>（</w:t>
      </w:r>
      <w:r>
        <w:rPr>
          <w:rFonts w:ascii="新宋体" w:hAnsi="新宋体" w:cs="新宋体" w:eastAsia="新宋体" w:hint="default"/>
          <w:spacing w:val="-2"/>
        </w:rPr>
        <w:t>1</w:t>
      </w:r>
      <w:r>
        <w:rPr>
          <w:spacing w:val="-2"/>
        </w:rPr>
        <w:t>）进一步加强存货管理、优化生产流程，降低生产成本；控制期间费用投入，降低</w:t>
      </w:r>
      <w:r>
        <w:rPr/>
        <w:t> 公司的运营成本。</w:t>
      </w:r>
    </w:p>
    <w:p>
      <w:pPr>
        <w:spacing w:after="0" w:line="357" w:lineRule="auto"/>
        <w:jc w:val="left"/>
        <w:sectPr>
          <w:pgSz w:w="11910" w:h="16840"/>
          <w:pgMar w:header="555" w:footer="980" w:top="1100" w:bottom="1160" w:left="980" w:right="1280"/>
        </w:sectPr>
      </w:pPr>
    </w:p>
    <w:p>
      <w:pPr>
        <w:spacing w:line="240" w:lineRule="auto" w:before="7"/>
        <w:rPr>
          <w:rFonts w:ascii="新宋体" w:hAnsi="新宋体" w:cs="新宋体" w:eastAsia="新宋体" w:hint="default"/>
          <w:sz w:val="25"/>
          <w:szCs w:val="25"/>
        </w:rPr>
      </w:pPr>
    </w:p>
    <w:p>
      <w:pPr>
        <w:pStyle w:val="BodyText"/>
        <w:spacing w:line="240" w:lineRule="auto" w:before="26"/>
        <w:ind w:left="578" w:right="268"/>
        <w:jc w:val="left"/>
      </w:pPr>
      <w:r>
        <w:rPr/>
        <w:t>（</w:t>
      </w:r>
      <w:r>
        <w:rPr>
          <w:rFonts w:ascii="新宋体" w:hAnsi="新宋体" w:cs="新宋体" w:eastAsia="新宋体" w:hint="default"/>
        </w:rPr>
        <w:t>2</w:t>
      </w:r>
      <w:r>
        <w:rPr/>
        <w:t>）积极拓展新兴应用型业务，努力提高产品附加值，以维持产品的高毛利水平；</w:t>
      </w:r>
    </w:p>
    <w:p>
      <w:pPr>
        <w:pStyle w:val="BodyText"/>
        <w:spacing w:line="357" w:lineRule="auto" w:before="154"/>
        <w:ind w:right="235" w:firstLine="425"/>
        <w:jc w:val="both"/>
      </w:pPr>
      <w:r>
        <w:rPr>
          <w:spacing w:val="-2"/>
        </w:rPr>
        <w:t>（</w:t>
      </w:r>
      <w:r>
        <w:rPr>
          <w:rFonts w:ascii="新宋体" w:hAnsi="新宋体" w:cs="新宋体" w:eastAsia="新宋体" w:hint="default"/>
          <w:spacing w:val="-2"/>
        </w:rPr>
        <w:t>3</w:t>
      </w:r>
      <w:r>
        <w:rPr>
          <w:spacing w:val="-2"/>
        </w:rPr>
        <w:t>）公司自主研发产品、技术优化紧跟行业发展需求，保持着合理的技术投入与应用</w:t>
      </w:r>
      <w:r>
        <w:rPr/>
        <w:t> 创新，在产品结构设计、可靠性、稳定性等方面保持较突出的领先优势，在产品质量、技 术、服务等方面，保持处于行业领先水平。</w:t>
      </w:r>
    </w:p>
    <w:p>
      <w:pPr>
        <w:pStyle w:val="BodyText"/>
        <w:spacing w:line="357" w:lineRule="auto"/>
        <w:ind w:left="578" w:right="4588"/>
        <w:jc w:val="left"/>
      </w:pPr>
      <w:r>
        <w:rPr/>
        <w:t>（五）管理层所关注的公司发展机遇和挑战 </w:t>
      </w:r>
      <w:r>
        <w:rPr>
          <w:rFonts w:ascii="新宋体" w:hAnsi="新宋体" w:cs="新宋体" w:eastAsia="新宋体" w:hint="default"/>
        </w:rPr>
        <w:t>1</w:t>
      </w:r>
      <w:r>
        <w:rPr/>
        <w:t>、机遇</w:t>
      </w:r>
    </w:p>
    <w:p>
      <w:pPr>
        <w:pStyle w:val="BodyText"/>
        <w:spacing w:line="357" w:lineRule="auto"/>
        <w:ind w:right="232" w:firstLine="425"/>
        <w:jc w:val="both"/>
      </w:pPr>
      <w:r>
        <w:rPr>
          <w:spacing w:val="-2"/>
        </w:rPr>
        <w:t>（</w:t>
      </w:r>
      <w:r>
        <w:rPr>
          <w:rFonts w:ascii="新宋体" w:hAnsi="新宋体" w:cs="新宋体" w:eastAsia="新宋体" w:hint="default"/>
          <w:spacing w:val="-2"/>
        </w:rPr>
        <w:t>1</w:t>
      </w:r>
      <w:r>
        <w:rPr>
          <w:spacing w:val="-2"/>
        </w:rPr>
        <w:t>）随着人类社会对“安全、环保、健康”意识的增强，相关行业领域为公司提供了</w:t>
      </w:r>
      <w:r>
        <w:rPr/>
        <w:t> 无比广阔的空间。同时，在当前全球金融危机的形势下，国家继续大力加强基础产业设施 建设，提高经济增长质量，提倡产业升级转型，并回归实体经济。国家各层面“十二五规 划”的陆续启动，为高科技产业带来了发展机遇。</w:t>
      </w:r>
    </w:p>
    <w:p>
      <w:pPr>
        <w:pStyle w:val="BodyText"/>
        <w:spacing w:line="357" w:lineRule="auto"/>
        <w:ind w:right="232" w:firstLine="425"/>
        <w:jc w:val="both"/>
      </w:pPr>
      <w:r>
        <w:rPr>
          <w:spacing w:val="-2"/>
        </w:rPr>
        <w:t>（</w:t>
      </w:r>
      <w:r>
        <w:rPr>
          <w:rFonts w:ascii="新宋体" w:hAnsi="新宋体" w:cs="新宋体" w:eastAsia="新宋体" w:hint="default"/>
          <w:spacing w:val="-2"/>
        </w:rPr>
        <w:t>2</w:t>
      </w:r>
      <w:r>
        <w:rPr>
          <w:spacing w:val="-2"/>
        </w:rPr>
        <w:t>）党的“十八大”提出全面建成小康社会的宏伟目标，绘制了建设“美丽中国”的</w:t>
      </w:r>
      <w:r>
        <w:rPr/>
        <w:t> 发展蓝图，确认了大力发展“战略新兴产业”、“新型城镇化”、“智慧城市”，“改善 </w:t>
      </w:r>
      <w:r>
        <w:rPr>
          <w:spacing w:val="-3"/>
        </w:rPr>
        <w:t>民生、夯实农业”的发展路线；中原经济区建设也进入实质性阶段。所有这些给汉威</w:t>
      </w:r>
      <w:r>
        <w:rPr>
          <w:spacing w:val="-18"/>
        </w:rPr>
        <w:t> </w:t>
      </w:r>
      <w:r>
        <w:rPr/>
        <w:t>“安</w:t>
      </w:r>
      <w:r>
        <w:rPr/>
        <w:t> 全、环保、健康”的产业带来了更多的机遇。</w:t>
      </w:r>
    </w:p>
    <w:p>
      <w:pPr>
        <w:pStyle w:val="BodyText"/>
        <w:spacing w:line="357" w:lineRule="auto"/>
        <w:ind w:right="233" w:firstLine="425"/>
        <w:jc w:val="both"/>
      </w:pPr>
      <w:r>
        <w:rPr>
          <w:spacing w:val="-2"/>
        </w:rPr>
        <w:t>（</w:t>
      </w:r>
      <w:r>
        <w:rPr>
          <w:rFonts w:ascii="新宋体" w:hAnsi="新宋体" w:cs="新宋体" w:eastAsia="新宋体" w:hint="default"/>
          <w:spacing w:val="-2"/>
        </w:rPr>
        <w:t>3</w:t>
      </w:r>
      <w:r>
        <w:rPr>
          <w:spacing w:val="-2"/>
        </w:rPr>
        <w:t>）随着国家大力提倡产业升级和装备高端化、生产过程信息化以及民生和科学仪器</w:t>
      </w:r>
      <w:r>
        <w:rPr/>
        <w:t> 普及化，都将带动更多的传感器、仪器仪表以及监控系统的市场需求。</w:t>
      </w:r>
    </w:p>
    <w:p>
      <w:pPr>
        <w:pStyle w:val="BodyText"/>
        <w:spacing w:line="357" w:lineRule="auto"/>
        <w:ind w:right="230" w:firstLine="425"/>
        <w:jc w:val="both"/>
      </w:pPr>
      <w:r>
        <w:rPr>
          <w:spacing w:val="-2"/>
        </w:rPr>
        <w:t>（</w:t>
      </w:r>
      <w:r>
        <w:rPr>
          <w:rFonts w:ascii="新宋体" w:hAnsi="新宋体" w:cs="新宋体" w:eastAsia="新宋体" w:hint="default"/>
          <w:spacing w:val="-2"/>
        </w:rPr>
        <w:t>4</w:t>
      </w:r>
      <w:r>
        <w:rPr>
          <w:spacing w:val="-2"/>
        </w:rPr>
        <w:t>）随着“物联网产业”发展逐步深化，国家相关部委纷纷出台针对性意见。近期国</w:t>
      </w:r>
      <w:r>
        <w:rPr/>
        <w:t> 务院公布的《国务院关于推进物联网有序健康发展的指导意见》，明确提出到</w:t>
      </w:r>
      <w:r>
        <w:rPr>
          <w:rFonts w:ascii="新宋体" w:hAnsi="新宋体" w:cs="新宋体" w:eastAsia="新宋体" w:hint="default"/>
        </w:rPr>
        <w:t>2015</w:t>
      </w:r>
      <w:r>
        <w:rPr/>
        <w:t>年将突 破一批具备核心技术的企业，初步形成物联网产业体系。四部委发布《加快推进传感器及 智能化仪器仪表产业发展行动计划》，明确指出</w:t>
      </w:r>
      <w:r>
        <w:rPr>
          <w:rFonts w:ascii="新宋体" w:hAnsi="新宋体" w:cs="新宋体" w:eastAsia="新宋体" w:hint="default"/>
        </w:rPr>
        <w:t>2025</w:t>
      </w:r>
      <w:r>
        <w:rPr/>
        <w:t>年我国传感器及智能化仪器仪表产业 整体水平要跨入世界先进行列。受益于大背景的利好，传感器及仪器仪表行业将会加速发 展，公司将获得前所未有的行业发展机遇。公司在气体传感产业中为国内行业龙头，积累 了较好的技术、市场、管理、品牌优势，公司将充分利用这些优势，整合相关传感产业， 形成综合传感器产业群，保持并持续推进传感器与下游仪表、物联网产业的深度融合。</w:t>
      </w:r>
    </w:p>
    <w:p>
      <w:pPr>
        <w:pStyle w:val="BodyText"/>
        <w:spacing w:line="240" w:lineRule="auto"/>
        <w:ind w:left="578" w:right="268"/>
        <w:jc w:val="left"/>
      </w:pPr>
      <w:r>
        <w:rPr>
          <w:rFonts w:ascii="新宋体" w:hAnsi="新宋体" w:cs="新宋体" w:eastAsia="新宋体" w:hint="default"/>
        </w:rPr>
        <w:t>2</w:t>
      </w:r>
      <w:r>
        <w:rPr/>
        <w:t>、挑战</w:t>
      </w:r>
    </w:p>
    <w:p>
      <w:pPr>
        <w:pStyle w:val="BodyText"/>
        <w:spacing w:line="357" w:lineRule="auto" w:before="154"/>
        <w:ind w:right="99" w:firstLine="480"/>
        <w:jc w:val="left"/>
      </w:pPr>
      <w:r>
        <w:rPr/>
        <w:t>（</w:t>
      </w:r>
      <w:r>
        <w:rPr>
          <w:rFonts w:ascii="新宋体" w:hAnsi="新宋体" w:cs="新宋体" w:eastAsia="新宋体" w:hint="default"/>
        </w:rPr>
        <w:t>1</w:t>
      </w:r>
      <w:r>
        <w:rPr/>
        <w:t>）集团化管控成效。</w:t>
      </w:r>
      <w:r>
        <w:rPr>
          <w:rFonts w:ascii="新宋体" w:hAnsi="新宋体" w:cs="新宋体" w:eastAsia="新宋体" w:hint="default"/>
        </w:rPr>
        <w:t>2013</w:t>
      </w:r>
      <w:r>
        <w:rPr/>
        <w:t>年，如何整合公司和各事业单元功能、目标体系、职责 </w:t>
      </w:r>
      <w:r>
        <w:rPr>
          <w:spacing w:val="-4"/>
        </w:rPr>
        <w:t>体系、评价体系，让集团化管控起到战略协同效应并创造价值，以更好的让公司愿景落地，</w:t>
      </w:r>
      <w:r>
        <w:rPr>
          <w:spacing w:val="-83"/>
        </w:rPr>
        <w:t> </w:t>
      </w:r>
      <w:r>
        <w:rPr>
          <w:spacing w:val="-83"/>
        </w:rPr>
      </w:r>
      <w:r>
        <w:rPr/>
        <w:t>将对公司管理层带来挑战。</w:t>
      </w:r>
    </w:p>
    <w:p>
      <w:pPr>
        <w:pStyle w:val="BodyText"/>
        <w:spacing w:line="240" w:lineRule="auto"/>
        <w:ind w:left="578" w:right="99"/>
        <w:jc w:val="left"/>
      </w:pPr>
      <w:r>
        <w:rPr/>
        <w:t>（</w:t>
      </w:r>
      <w:r>
        <w:rPr>
          <w:rFonts w:ascii="新宋体" w:hAnsi="新宋体" w:cs="新宋体" w:eastAsia="新宋体" w:hint="default"/>
        </w:rPr>
        <w:t>2</w:t>
      </w:r>
      <w:r>
        <w:rPr/>
        <w:t>）行业竞争激烈。行业的快速发展吸引了更多的竞争者，目前公司所处行业市场集</w:t>
      </w:r>
    </w:p>
    <w:p>
      <w:pPr>
        <w:spacing w:after="0" w:line="240" w:lineRule="auto"/>
        <w:jc w:val="left"/>
        <w:sectPr>
          <w:pgSz w:w="11910" w:h="16840"/>
          <w:pgMar w:header="555" w:footer="980" w:top="1100" w:bottom="1160" w:left="980" w:right="1180"/>
        </w:sectPr>
      </w:pPr>
    </w:p>
    <w:p>
      <w:pPr>
        <w:spacing w:line="240" w:lineRule="auto" w:before="7"/>
        <w:rPr>
          <w:rFonts w:ascii="新宋体" w:hAnsi="新宋体" w:cs="新宋体" w:eastAsia="新宋体" w:hint="default"/>
          <w:sz w:val="25"/>
          <w:szCs w:val="25"/>
        </w:rPr>
      </w:pPr>
    </w:p>
    <w:p>
      <w:pPr>
        <w:pStyle w:val="BodyText"/>
        <w:spacing w:line="357" w:lineRule="auto" w:before="26"/>
        <w:ind w:right="214"/>
        <w:jc w:val="left"/>
      </w:pPr>
      <w:r>
        <w:rPr/>
        <w:t>中度不高，竞争激烈。行业竞争日趋激烈对公司的发展形成挑战，公司将继续加大研发投 入，提升产品品质，提升品牌竞争力，进一步加强综合竞争力。</w:t>
      </w:r>
    </w:p>
    <w:p>
      <w:pPr>
        <w:pStyle w:val="BodyText"/>
        <w:spacing w:line="357" w:lineRule="auto"/>
        <w:ind w:right="233" w:firstLine="425"/>
        <w:jc w:val="both"/>
      </w:pPr>
      <w:r>
        <w:rPr>
          <w:spacing w:val="-2"/>
        </w:rPr>
        <w:t>（</w:t>
      </w:r>
      <w:r>
        <w:rPr>
          <w:rFonts w:ascii="新宋体" w:hAnsi="新宋体" w:cs="新宋体" w:eastAsia="新宋体" w:hint="default"/>
          <w:spacing w:val="-2"/>
        </w:rPr>
        <w:t>3</w:t>
      </w:r>
      <w:r>
        <w:rPr>
          <w:spacing w:val="-2"/>
        </w:rPr>
        <w:t>）综合管理、技术人才获取。随着业务的拓展和市场竞争的加剧，公司迫切需要品</w:t>
      </w:r>
      <w:r>
        <w:rPr/>
        <w:t> 牌经营、技术和产品开发、市场开拓等各类优秀人才。就目前而言，如何优化现有技术队 伍，保持其活力和稳定，对公司的快速发展形成挑战。</w:t>
      </w:r>
    </w:p>
    <w:p>
      <w:pPr>
        <w:pStyle w:val="BodyText"/>
        <w:spacing w:line="357" w:lineRule="auto" w:before="77"/>
        <w:ind w:right="225" w:firstLine="425"/>
        <w:jc w:val="left"/>
      </w:pPr>
      <w:r>
        <w:rPr>
          <w:spacing w:val="-2"/>
        </w:rPr>
        <w:t>（</w:t>
      </w:r>
      <w:r>
        <w:rPr>
          <w:rFonts w:ascii="新宋体" w:hAnsi="新宋体" w:cs="新宋体" w:eastAsia="新宋体" w:hint="default"/>
          <w:spacing w:val="-2"/>
        </w:rPr>
        <w:t>4</w:t>
      </w:r>
      <w:r>
        <w:rPr>
          <w:spacing w:val="-2"/>
        </w:rPr>
        <w:t>）宏观经济影响带来的挑战。随着全球经济发展的不确定性，燃气、石油、化工产</w:t>
      </w:r>
      <w:r>
        <w:rPr/>
        <w:t> 业增速下降，需求减弱，对公司发展形成挑战。</w:t>
      </w:r>
    </w:p>
    <w:p>
      <w:pPr>
        <w:spacing w:line="240" w:lineRule="auto" w:before="9"/>
        <w:rPr>
          <w:rFonts w:ascii="新宋体" w:hAnsi="新宋体" w:cs="新宋体" w:eastAsia="新宋体" w:hint="default"/>
          <w:sz w:val="19"/>
          <w:szCs w:val="19"/>
        </w:rPr>
      </w:pPr>
    </w:p>
    <w:p>
      <w:pPr>
        <w:pStyle w:val="Heading2"/>
        <w:spacing w:line="240" w:lineRule="auto"/>
        <w:ind w:right="268"/>
        <w:jc w:val="left"/>
        <w:rPr>
          <w:b w:val="0"/>
          <w:bCs w:val="0"/>
        </w:rPr>
      </w:pPr>
      <w:r>
        <w:rPr/>
        <w:t>四、董事会关于报告期会计政策、会计估计变更或重要前期差错更正的说明</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578" w:right="268"/>
        <w:jc w:val="left"/>
        <w:rPr>
          <w:rFonts w:ascii="宋体" w:hAnsi="宋体" w:cs="宋体" w:eastAsia="宋体" w:hint="default"/>
        </w:rPr>
      </w:pPr>
      <w:r>
        <w:rPr>
          <w:rFonts w:ascii="宋体" w:hAnsi="宋体" w:cs="宋体" w:eastAsia="宋体" w:hint="default"/>
        </w:rPr>
        <w:t>（一）报告期内，公司无会计政策变更事项。</w:t>
      </w:r>
    </w:p>
    <w:p>
      <w:pPr>
        <w:pStyle w:val="BodyText"/>
        <w:spacing w:line="240" w:lineRule="auto" w:before="194"/>
        <w:ind w:left="578" w:right="268"/>
        <w:jc w:val="left"/>
        <w:rPr>
          <w:rFonts w:ascii="宋体" w:hAnsi="宋体" w:cs="宋体" w:eastAsia="宋体" w:hint="default"/>
        </w:rPr>
      </w:pPr>
      <w:r>
        <w:rPr>
          <w:rFonts w:ascii="宋体" w:hAnsi="宋体" w:cs="宋体" w:eastAsia="宋体" w:hint="default"/>
        </w:rPr>
        <w:t>（二）报告期内，公司无会计估计变更事项。</w:t>
      </w:r>
    </w:p>
    <w:p>
      <w:pPr>
        <w:spacing w:line="525" w:lineRule="auto" w:before="194"/>
        <w:ind w:left="152" w:right="3869" w:firstLine="425"/>
        <w:jc w:val="left"/>
        <w:rPr>
          <w:rFonts w:ascii="宋体" w:hAnsi="宋体" w:cs="宋体" w:eastAsia="宋体" w:hint="default"/>
          <w:sz w:val="24"/>
          <w:szCs w:val="24"/>
        </w:rPr>
      </w:pPr>
      <w:r>
        <w:rPr>
          <w:rFonts w:ascii="宋体" w:hAnsi="宋体" w:cs="宋体" w:eastAsia="宋体" w:hint="default"/>
          <w:sz w:val="24"/>
          <w:szCs w:val="24"/>
        </w:rPr>
        <w:t>（三）报告期内，公司无重要前期差错更正事项。 </w:t>
      </w:r>
      <w:r>
        <w:rPr>
          <w:rFonts w:ascii="宋体" w:hAnsi="宋体" w:cs="宋体" w:eastAsia="宋体" w:hint="default"/>
          <w:b/>
          <w:bCs/>
          <w:sz w:val="24"/>
          <w:szCs w:val="24"/>
        </w:rPr>
        <w:t>五、公司利润分配及分红派息情况</w:t>
      </w:r>
      <w:r>
        <w:rPr>
          <w:rFonts w:ascii="宋体" w:hAnsi="宋体" w:cs="宋体" w:eastAsia="宋体" w:hint="default"/>
          <w:sz w:val="24"/>
          <w:szCs w:val="24"/>
        </w:rPr>
      </w:r>
    </w:p>
    <w:p>
      <w:pPr>
        <w:pStyle w:val="BodyText"/>
        <w:spacing w:line="240" w:lineRule="auto" w:before="91"/>
        <w:ind w:left="578" w:right="268"/>
        <w:jc w:val="left"/>
      </w:pPr>
      <w:r>
        <w:rPr/>
        <w:t>报告期内利润分配政策特别是现金分红政策的制定、执行或调整情况</w:t>
      </w:r>
    </w:p>
    <w:p>
      <w:pPr>
        <w:pStyle w:val="BodyText"/>
        <w:spacing w:line="357" w:lineRule="auto" w:before="194"/>
        <w:ind w:left="573" w:right="109"/>
        <w:jc w:val="left"/>
      </w:pPr>
      <w:r>
        <w:rPr/>
        <w:t>（一）现金分红政策的制定情况 </w:t>
      </w:r>
      <w:r>
        <w:rPr>
          <w:spacing w:val="-2"/>
        </w:rPr>
        <w:t>根据《关于进一步落实上市公司现金分红有关事项的通知》要求，结合公司实际情况，</w:t>
      </w:r>
    </w:p>
    <w:p>
      <w:pPr>
        <w:pStyle w:val="BodyText"/>
        <w:spacing w:line="357" w:lineRule="auto"/>
        <w:ind w:right="214"/>
        <w:jc w:val="left"/>
      </w:pPr>
      <w:r>
        <w:rPr>
          <w:spacing w:val="2"/>
        </w:rPr>
        <w:t>公司于</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8</w:t>
      </w:r>
      <w:r>
        <w:rPr>
          <w:spacing w:val="2"/>
        </w:rPr>
        <w:t>月</w:t>
      </w:r>
      <w:r>
        <w:rPr>
          <w:rFonts w:ascii="新宋体" w:hAnsi="新宋体" w:cs="新宋体" w:eastAsia="新宋体" w:hint="default"/>
          <w:spacing w:val="2"/>
        </w:rPr>
        <w:t>17</w:t>
      </w:r>
      <w:r>
        <w:rPr>
          <w:spacing w:val="2"/>
        </w:rPr>
        <w:t>日召开第二届董事会第十七次会议，对原《公司章程》中有关利润分</w:t>
      </w:r>
      <w:r>
        <w:rPr>
          <w:spacing w:val="-109"/>
        </w:rPr>
        <w:t> </w:t>
      </w:r>
      <w:r>
        <w:rPr>
          <w:spacing w:val="-109"/>
        </w:rPr>
      </w:r>
      <w:r>
        <w:rPr/>
        <w:t>配政策的条款进行了修订，修订后的利润分配主要条款如下：</w:t>
      </w:r>
    </w:p>
    <w:p>
      <w:pPr>
        <w:pStyle w:val="BodyText"/>
        <w:spacing w:line="240" w:lineRule="auto"/>
        <w:ind w:left="573" w:right="268"/>
        <w:jc w:val="left"/>
      </w:pPr>
      <w:r>
        <w:rPr>
          <w:rFonts w:ascii="新宋体" w:hAnsi="新宋体" w:cs="新宋体" w:eastAsia="新宋体" w:hint="default"/>
        </w:rPr>
        <w:t>1</w:t>
      </w:r>
      <w:r>
        <w:rPr/>
        <w:t>、公司利润分配政策的基本原则</w:t>
      </w:r>
    </w:p>
    <w:p>
      <w:pPr>
        <w:pStyle w:val="BodyText"/>
        <w:spacing w:line="357" w:lineRule="auto" w:before="154"/>
        <w:ind w:right="230" w:firstLine="420"/>
        <w:jc w:val="left"/>
      </w:pPr>
      <w:r>
        <w:rPr>
          <w:spacing w:val="-2"/>
        </w:rPr>
        <w:t>（</w:t>
      </w:r>
      <w:r>
        <w:rPr>
          <w:rFonts w:ascii="新宋体" w:hAnsi="新宋体" w:cs="新宋体" w:eastAsia="新宋体" w:hint="default"/>
          <w:spacing w:val="-2"/>
        </w:rPr>
        <w:t>1</w:t>
      </w:r>
      <w:r>
        <w:rPr>
          <w:spacing w:val="-2"/>
        </w:rPr>
        <w:t>）公司充分考虑对投资者的回报，每年按当年实现的母公司可供分配利润的规定比</w:t>
      </w:r>
      <w:r>
        <w:rPr/>
        <w:t> 例向股东分配股利；</w:t>
      </w:r>
    </w:p>
    <w:p>
      <w:pPr>
        <w:pStyle w:val="BodyText"/>
        <w:spacing w:line="357" w:lineRule="auto"/>
        <w:ind w:right="230" w:firstLine="420"/>
        <w:jc w:val="left"/>
      </w:pPr>
      <w:r>
        <w:rPr>
          <w:spacing w:val="-2"/>
        </w:rPr>
        <w:t>（</w:t>
      </w:r>
      <w:r>
        <w:rPr>
          <w:rFonts w:ascii="新宋体" w:hAnsi="新宋体" w:cs="新宋体" w:eastAsia="新宋体" w:hint="default"/>
          <w:spacing w:val="-2"/>
        </w:rPr>
        <w:t>2</w:t>
      </w:r>
      <w:r>
        <w:rPr>
          <w:spacing w:val="-2"/>
        </w:rPr>
        <w:t>）公司的利润分配政策保持连续性和稳定性，同时兼顾公司的长远利益、全体股东</w:t>
      </w:r>
      <w:r>
        <w:rPr/>
        <w:t> 的整体利益及公司的可持续发展；</w:t>
      </w:r>
    </w:p>
    <w:p>
      <w:pPr>
        <w:pStyle w:val="BodyText"/>
        <w:spacing w:line="357" w:lineRule="auto"/>
        <w:ind w:right="230" w:firstLine="420"/>
        <w:jc w:val="left"/>
      </w:pPr>
      <w:r>
        <w:rPr>
          <w:spacing w:val="-2"/>
        </w:rPr>
        <w:t>（</w:t>
      </w:r>
      <w:r>
        <w:rPr>
          <w:rFonts w:ascii="新宋体" w:hAnsi="新宋体" w:cs="新宋体" w:eastAsia="新宋体" w:hint="default"/>
          <w:spacing w:val="-2"/>
        </w:rPr>
        <w:t>3</w:t>
      </w:r>
      <w:r>
        <w:rPr>
          <w:spacing w:val="-2"/>
        </w:rPr>
        <w:t>）在满足现金分红条件时，连续三个会计年度内，公司以现金方式累计分配的利润</w:t>
      </w:r>
      <w:r>
        <w:rPr/>
        <w:t> 不少于该三年实现的年均可分配利润的</w:t>
      </w:r>
      <w:r>
        <w:rPr>
          <w:rFonts w:ascii="新宋体" w:hAnsi="新宋体" w:cs="新宋体" w:eastAsia="新宋体" w:hint="default"/>
        </w:rPr>
        <w:t>30%</w:t>
      </w:r>
      <w:r>
        <w:rPr/>
        <w:t>；</w:t>
      </w:r>
    </w:p>
    <w:p>
      <w:pPr>
        <w:pStyle w:val="BodyText"/>
        <w:spacing w:line="357" w:lineRule="auto"/>
        <w:ind w:left="573" w:right="4233"/>
        <w:jc w:val="left"/>
      </w:pPr>
      <w:r>
        <w:rPr/>
        <w:t>（</w:t>
      </w:r>
      <w:r>
        <w:rPr>
          <w:rFonts w:ascii="新宋体" w:hAnsi="新宋体" w:cs="新宋体" w:eastAsia="新宋体" w:hint="default"/>
        </w:rPr>
        <w:t>4</w:t>
      </w:r>
      <w:r>
        <w:rPr/>
        <w:t>）公司优先采用现金分红的利润分配方式。 </w:t>
      </w:r>
      <w:r>
        <w:rPr>
          <w:rFonts w:ascii="新宋体" w:hAnsi="新宋体" w:cs="新宋体" w:eastAsia="新宋体" w:hint="default"/>
        </w:rPr>
        <w:t>2</w:t>
      </w:r>
      <w:r>
        <w:rPr/>
        <w:t>、公司利润分配具体政策</w:t>
      </w:r>
    </w:p>
    <w:p>
      <w:pPr>
        <w:pStyle w:val="BodyText"/>
        <w:spacing w:line="240" w:lineRule="auto"/>
        <w:ind w:left="573" w:right="99"/>
        <w:jc w:val="left"/>
      </w:pPr>
      <w:r>
        <w:rPr/>
        <w:t>（</w:t>
      </w:r>
      <w:r>
        <w:rPr>
          <w:rFonts w:ascii="新宋体" w:hAnsi="新宋体" w:cs="新宋体" w:eastAsia="新宋体" w:hint="default"/>
        </w:rPr>
        <w:t>1</w:t>
      </w:r>
      <w:r>
        <w:rPr/>
        <w:t>）利润分配的形式：公司采用现金、股票或者现金与股票相结合的方式分配股利。</w:t>
      </w:r>
    </w:p>
    <w:p>
      <w:pPr>
        <w:spacing w:after="0" w:line="240" w:lineRule="auto"/>
        <w:jc w:val="left"/>
        <w:sectPr>
          <w:pgSz w:w="11910" w:h="16840"/>
          <w:pgMar w:header="555" w:footer="980" w:top="1100" w:bottom="1160" w:left="980" w:right="1180"/>
        </w:sectPr>
      </w:pPr>
    </w:p>
    <w:p>
      <w:pPr>
        <w:spacing w:line="240" w:lineRule="auto" w:before="7"/>
        <w:rPr>
          <w:rFonts w:ascii="新宋体" w:hAnsi="新宋体" w:cs="新宋体" w:eastAsia="新宋体" w:hint="default"/>
          <w:sz w:val="25"/>
          <w:szCs w:val="25"/>
        </w:rPr>
      </w:pPr>
    </w:p>
    <w:p>
      <w:pPr>
        <w:pStyle w:val="BodyText"/>
        <w:spacing w:line="240" w:lineRule="auto" w:before="26"/>
        <w:ind w:right="268"/>
        <w:jc w:val="left"/>
      </w:pPr>
      <w:r>
        <w:rPr/>
        <w:t>在有条件的情况下，公司可以进行中期利润分配。</w:t>
      </w:r>
    </w:p>
    <w:p>
      <w:pPr>
        <w:pStyle w:val="BodyText"/>
        <w:spacing w:line="357" w:lineRule="auto" w:before="154"/>
        <w:ind w:right="94" w:firstLine="420"/>
        <w:jc w:val="left"/>
      </w:pPr>
      <w:r>
        <w:rPr/>
        <w:t>（</w:t>
      </w:r>
      <w:r>
        <w:rPr>
          <w:rFonts w:ascii="新宋体" w:hAnsi="新宋体" w:cs="新宋体" w:eastAsia="新宋体" w:hint="default"/>
        </w:rPr>
        <w:t>2</w:t>
      </w:r>
      <w:r>
        <w:rPr/>
        <w:t>）公司现金分红的具体条件和比例：除特殊情况外，公司在当年盈利且累计未分配 利润为正且现金流充裕的情况下，采取现金方式分配股利，每年以现金方式分配的利润不 </w:t>
      </w:r>
      <w:r>
        <w:rPr>
          <w:spacing w:val="2"/>
        </w:rPr>
        <w:t>少于当年实现的母公司可供分配利润的</w:t>
      </w:r>
      <w:r>
        <w:rPr>
          <w:rFonts w:ascii="新宋体" w:hAnsi="新宋体" w:cs="新宋体" w:eastAsia="新宋体" w:hint="default"/>
          <w:spacing w:val="2"/>
        </w:rPr>
        <w:t>10%</w:t>
      </w:r>
      <w:r>
        <w:rPr>
          <w:spacing w:val="2"/>
        </w:rPr>
        <w:t>。特殊情况是指：公司未来十二个月内拟对外</w:t>
      </w:r>
      <w:r>
        <w:rPr>
          <w:spacing w:val="-100"/>
        </w:rPr>
        <w:t> </w:t>
      </w:r>
      <w:r>
        <w:rPr>
          <w:spacing w:val="-100"/>
        </w:rPr>
      </w:r>
      <w:r>
        <w:rPr/>
        <w:t>投资、收购资产或者购买重大设备的累计支出超过公司最近一期经审计净资产的</w:t>
      </w:r>
      <w:r>
        <w:rPr>
          <w:rFonts w:ascii="新宋体" w:hAnsi="新宋体" w:cs="新宋体" w:eastAsia="新宋体" w:hint="default"/>
        </w:rPr>
        <w:t>30%</w:t>
      </w:r>
      <w:r>
        <w:rPr/>
        <w:t>以上， 且超过人民币</w:t>
      </w:r>
      <w:r>
        <w:rPr>
          <w:rFonts w:ascii="新宋体" w:hAnsi="新宋体" w:cs="新宋体" w:eastAsia="新宋体" w:hint="default"/>
        </w:rPr>
        <w:t>3000</w:t>
      </w:r>
      <w:r>
        <w:rPr/>
        <w:t>万元以上。</w:t>
      </w:r>
    </w:p>
    <w:p>
      <w:pPr>
        <w:pStyle w:val="BodyText"/>
        <w:spacing w:line="357" w:lineRule="auto"/>
        <w:ind w:right="235" w:firstLine="420"/>
        <w:jc w:val="both"/>
      </w:pPr>
      <w:r>
        <w:rPr>
          <w:spacing w:val="-2"/>
        </w:rPr>
        <w:t>（</w:t>
      </w:r>
      <w:r>
        <w:rPr>
          <w:rFonts w:ascii="新宋体" w:hAnsi="新宋体" w:cs="新宋体" w:eastAsia="新宋体" w:hint="default"/>
          <w:spacing w:val="-2"/>
        </w:rPr>
        <w:t>3</w:t>
      </w:r>
      <w:r>
        <w:rPr>
          <w:spacing w:val="-2"/>
        </w:rPr>
        <w:t>）公司发放股票股利的具体条件：公司在经营情况良好，并且董事会认为公司股票</w:t>
      </w:r>
      <w:r>
        <w:rPr/>
        <w:t> 价格与公司股本规模不匹配、发放股票股利有利于公司全体股东整体利益时，可以在满足 上述现金分红的条件下，提出股票股利分配预案。</w:t>
      </w:r>
    </w:p>
    <w:p>
      <w:pPr>
        <w:pStyle w:val="BodyText"/>
        <w:spacing w:line="240" w:lineRule="auto"/>
        <w:ind w:left="573" w:right="268"/>
        <w:jc w:val="left"/>
      </w:pPr>
      <w:r>
        <w:rPr>
          <w:rFonts w:ascii="新宋体" w:hAnsi="新宋体" w:cs="新宋体" w:eastAsia="新宋体" w:hint="default"/>
        </w:rPr>
        <w:t>3</w:t>
      </w:r>
      <w:r>
        <w:rPr/>
        <w:t>、公司利润分配方案的审议程序</w:t>
      </w:r>
    </w:p>
    <w:p>
      <w:pPr>
        <w:pStyle w:val="BodyText"/>
        <w:spacing w:line="357" w:lineRule="auto" w:before="154"/>
        <w:ind w:right="235" w:firstLine="420"/>
        <w:jc w:val="both"/>
      </w:pPr>
      <w:r>
        <w:rPr>
          <w:spacing w:val="-2"/>
        </w:rPr>
        <w:t>（</w:t>
      </w:r>
      <w:r>
        <w:rPr>
          <w:rFonts w:ascii="新宋体" w:hAnsi="新宋体" w:cs="新宋体" w:eastAsia="新宋体" w:hint="default"/>
          <w:spacing w:val="-2"/>
        </w:rPr>
        <w:t>1</w:t>
      </w:r>
      <w:r>
        <w:rPr>
          <w:spacing w:val="-2"/>
        </w:rPr>
        <w:t>）公司的利润分配方案由公司管理层拟定后提交公司董事会、监事会审议。董事会</w:t>
      </w:r>
      <w:r>
        <w:rPr/>
        <w:t> 就利润分配方案的合理性进行充分讨论，形成专项决议后提交股东大会审议。审议利润分 配方案时，公司为股东提供网络投票方式。</w:t>
      </w:r>
    </w:p>
    <w:p>
      <w:pPr>
        <w:pStyle w:val="BodyText"/>
        <w:spacing w:line="357" w:lineRule="auto"/>
        <w:ind w:right="233" w:firstLine="420"/>
        <w:jc w:val="both"/>
      </w:pPr>
      <w:r>
        <w:rPr>
          <w:spacing w:val="-2"/>
        </w:rPr>
        <w:t>（</w:t>
      </w:r>
      <w:r>
        <w:rPr>
          <w:rFonts w:ascii="新宋体" w:hAnsi="新宋体" w:cs="新宋体" w:eastAsia="新宋体" w:hint="default"/>
          <w:spacing w:val="-2"/>
        </w:rPr>
        <w:t>2</w:t>
      </w:r>
      <w:r>
        <w:rPr>
          <w:spacing w:val="-2"/>
        </w:rPr>
        <w:t>）公司因前述的特殊情况而不进行现金分红时，董事会就不进行现金分红的具体原</w:t>
      </w:r>
      <w:r>
        <w:rPr/>
        <w:t> 因、公司留存收益的确切用途及预计投资收益等事项进行专项说明，经独立董事发表意见 后提交股东大会审议，并在公司指定媒体上予以披露。</w:t>
      </w:r>
    </w:p>
    <w:p>
      <w:pPr>
        <w:pStyle w:val="BodyText"/>
        <w:spacing w:line="357" w:lineRule="auto"/>
        <w:ind w:left="573" w:right="229"/>
        <w:jc w:val="left"/>
      </w:pPr>
      <w:r>
        <w:rPr>
          <w:rFonts w:ascii="新宋体" w:hAnsi="新宋体" w:cs="新宋体" w:eastAsia="新宋体" w:hint="default"/>
        </w:rPr>
        <w:t>4</w:t>
      </w:r>
      <w:r>
        <w:rPr/>
        <w:t>、公司利润分配方案的实施 </w:t>
      </w:r>
      <w:r>
        <w:rPr>
          <w:spacing w:val="-2"/>
        </w:rPr>
        <w:t>公司股东大会对利润分配方案作出决议后，董事会须在股东大会召开后</w:t>
      </w:r>
      <w:r>
        <w:rPr>
          <w:rFonts w:ascii="新宋体" w:hAnsi="新宋体" w:cs="新宋体" w:eastAsia="新宋体" w:hint="default"/>
          <w:spacing w:val="-2"/>
        </w:rPr>
        <w:t>2</w:t>
      </w:r>
      <w:r>
        <w:rPr>
          <w:spacing w:val="-2"/>
        </w:rPr>
        <w:t>个月内完成股</w:t>
      </w:r>
    </w:p>
    <w:p>
      <w:pPr>
        <w:pStyle w:val="BodyText"/>
        <w:spacing w:line="357" w:lineRule="auto"/>
        <w:ind w:left="573" w:right="6153" w:hanging="421"/>
        <w:jc w:val="left"/>
      </w:pPr>
      <w:r>
        <w:rPr/>
        <w:t>利（或股份）的派发事项。 </w:t>
      </w:r>
      <w:r>
        <w:rPr>
          <w:rFonts w:ascii="新宋体" w:hAnsi="新宋体" w:cs="新宋体" w:eastAsia="新宋体" w:hint="default"/>
        </w:rPr>
        <w:t>5</w:t>
      </w:r>
      <w:r>
        <w:rPr/>
        <w:t>、公司利润分配政策的变更</w:t>
      </w:r>
    </w:p>
    <w:p>
      <w:pPr>
        <w:pStyle w:val="BodyText"/>
        <w:spacing w:line="357" w:lineRule="auto"/>
        <w:ind w:right="236" w:firstLine="420"/>
        <w:jc w:val="both"/>
      </w:pPr>
      <w:r>
        <w:rPr/>
        <w:t>如遇到战争、自然灾害等不可抗力、或者公司外部经营环境变化并对公司生产经营造 </w:t>
      </w:r>
      <w:r>
        <w:rPr>
          <w:spacing w:val="-1"/>
        </w:rPr>
        <w:t>成重大影响，或公司自身经营状况发生较大变化时，公司可对利润分配政策进行调整。公</w:t>
      </w:r>
      <w:r>
        <w:rPr>
          <w:spacing w:val="-88"/>
        </w:rPr>
        <w:t> </w:t>
      </w:r>
      <w:r>
        <w:rPr>
          <w:spacing w:val="-88"/>
        </w:rPr>
      </w:r>
      <w:r>
        <w:rPr>
          <w:spacing w:val="-1"/>
        </w:rPr>
        <w:t>司调整利润分配政策应由董事会做出专题论述，详细论证调整理由，形成书面论证报告并</w:t>
      </w:r>
      <w:r>
        <w:rPr>
          <w:spacing w:val="-87"/>
        </w:rPr>
        <w:t> </w:t>
      </w:r>
      <w:r>
        <w:rPr>
          <w:spacing w:val="-87"/>
        </w:rPr>
      </w:r>
      <w:r>
        <w:rPr>
          <w:spacing w:val="-1"/>
        </w:rPr>
        <w:t>经独立董事审议后提交股东大会特别决议通过。审议利润分配政策变更事项时，公司为股</w:t>
      </w:r>
      <w:r>
        <w:rPr>
          <w:spacing w:val="-87"/>
        </w:rPr>
        <w:t> </w:t>
      </w:r>
      <w:r>
        <w:rPr>
          <w:spacing w:val="-87"/>
        </w:rPr>
      </w:r>
      <w:r>
        <w:rPr/>
        <w:t>东提供网络投票方式。</w:t>
      </w:r>
    </w:p>
    <w:p>
      <w:pPr>
        <w:pStyle w:val="BodyText"/>
        <w:spacing w:line="240" w:lineRule="auto"/>
        <w:ind w:left="573" w:right="99"/>
        <w:jc w:val="left"/>
      </w:pPr>
      <w:r>
        <w:rPr/>
        <w:t>上述具体内容可见于</w:t>
      </w:r>
      <w:r>
        <w:rPr>
          <w:rFonts w:ascii="新宋体" w:hAnsi="新宋体" w:cs="新宋体" w:eastAsia="新宋体" w:hint="default"/>
        </w:rPr>
        <w:t>2012</w:t>
      </w:r>
      <w:r>
        <w:rPr>
          <w:rFonts w:ascii="新宋体" w:hAnsi="新宋体" w:cs="新宋体" w:eastAsia="新宋体" w:hint="default"/>
          <w:spacing w:val="49"/>
        </w:rPr>
        <w:t> </w:t>
      </w:r>
      <w:r>
        <w:rPr/>
        <w:t>年</w:t>
      </w:r>
      <w:r>
        <w:rPr>
          <w:rFonts w:ascii="新宋体" w:hAnsi="新宋体" w:cs="新宋体" w:eastAsia="新宋体" w:hint="default"/>
        </w:rPr>
        <w:t>8</w:t>
      </w:r>
      <w:r>
        <w:rPr/>
        <w:t>月</w:t>
      </w:r>
      <w:r>
        <w:rPr>
          <w:rFonts w:ascii="新宋体" w:hAnsi="新宋体" w:cs="新宋体" w:eastAsia="新宋体" w:hint="default"/>
        </w:rPr>
        <w:t>18</w:t>
      </w:r>
      <w:r>
        <w:rPr/>
        <w:t>日刊登在中国证监会指定创业板信息披露网站上的</w:t>
      </w:r>
    </w:p>
    <w:p>
      <w:pPr>
        <w:pStyle w:val="BodyText"/>
        <w:spacing w:line="240" w:lineRule="auto" w:before="154"/>
        <w:ind w:right="268"/>
        <w:jc w:val="left"/>
      </w:pPr>
      <w:r>
        <w:rPr/>
        <w:t>《公司章程修订对照表》。</w:t>
      </w:r>
    </w:p>
    <w:p>
      <w:pPr>
        <w:pStyle w:val="BodyText"/>
        <w:spacing w:line="357" w:lineRule="auto" w:before="154"/>
        <w:ind w:right="227" w:firstLine="420"/>
        <w:jc w:val="both"/>
      </w:pPr>
      <w:r>
        <w:rPr/>
        <w:t>公司于</w:t>
      </w:r>
      <w:r>
        <w:rPr>
          <w:rFonts w:ascii="新宋体" w:hAnsi="新宋体" w:cs="新宋体" w:eastAsia="新宋体" w:hint="default"/>
        </w:rPr>
        <w:t>2012</w:t>
      </w:r>
      <w:r>
        <w:rPr/>
        <w:t>年</w:t>
      </w:r>
      <w:r>
        <w:rPr>
          <w:rFonts w:ascii="新宋体" w:hAnsi="新宋体" w:cs="新宋体" w:eastAsia="新宋体" w:hint="default"/>
        </w:rPr>
        <w:t>9</w:t>
      </w:r>
      <w:r>
        <w:rPr/>
        <w:t>月</w:t>
      </w:r>
      <w:r>
        <w:rPr>
          <w:rFonts w:ascii="新宋体" w:hAnsi="新宋体" w:cs="新宋体" w:eastAsia="新宋体" w:hint="default"/>
        </w:rPr>
        <w:t>12</w:t>
      </w:r>
      <w:r>
        <w:rPr/>
        <w:t>日召开</w:t>
      </w:r>
      <w:r>
        <w:rPr>
          <w:rFonts w:ascii="新宋体" w:hAnsi="新宋体" w:cs="新宋体" w:eastAsia="新宋体" w:hint="default"/>
        </w:rPr>
        <w:t>2012</w:t>
      </w:r>
      <w:r>
        <w:rPr/>
        <w:t>年度第二次临时股东大会审议通过了《关于修订</w:t>
      </w:r>
      <w:r>
        <w:rPr>
          <w:rFonts w:ascii="新宋体" w:hAnsi="新宋体" w:cs="新宋体" w:eastAsia="新宋体" w:hint="default"/>
        </w:rPr>
        <w:t>&lt;</w:t>
      </w:r>
      <w:r>
        <w:rPr/>
        <w:t>公司</w:t>
      </w:r>
      <w:r>
        <w:rPr>
          <w:spacing w:val="2"/>
        </w:rPr>
        <w:t> </w:t>
      </w:r>
      <w:r>
        <w:rPr/>
        <w:t>章程</w:t>
      </w:r>
      <w:r>
        <w:rPr>
          <w:rFonts w:ascii="新宋体" w:hAnsi="新宋体" w:cs="新宋体" w:eastAsia="新宋体" w:hint="default"/>
        </w:rPr>
        <w:t>&gt;</w:t>
      </w:r>
      <w:r>
        <w:rPr/>
        <w:t>的议案》，具体公告可见于</w:t>
      </w:r>
      <w:r>
        <w:rPr>
          <w:rFonts w:ascii="新宋体" w:hAnsi="新宋体" w:cs="新宋体" w:eastAsia="新宋体" w:hint="default"/>
        </w:rPr>
        <w:t>2012</w:t>
      </w:r>
      <w:r>
        <w:rPr/>
        <w:t>年</w:t>
      </w:r>
      <w:r>
        <w:rPr>
          <w:rFonts w:ascii="新宋体" w:hAnsi="新宋体" w:cs="新宋体" w:eastAsia="新宋体" w:hint="default"/>
        </w:rPr>
        <w:t>9</w:t>
      </w:r>
      <w:r>
        <w:rPr/>
        <w:t>月</w:t>
      </w:r>
      <w:r>
        <w:rPr>
          <w:rFonts w:ascii="新宋体" w:hAnsi="新宋体" w:cs="新宋体" w:eastAsia="新宋体" w:hint="default"/>
        </w:rPr>
        <w:t>13</w:t>
      </w:r>
      <w:r>
        <w:rPr/>
        <w:t>日刊登在中国证监会指定创业板信息披露网</w:t>
      </w:r>
    </w:p>
    <w:p>
      <w:pPr>
        <w:spacing w:after="0" w:line="357" w:lineRule="auto"/>
        <w:jc w:val="both"/>
        <w:sectPr>
          <w:pgSz w:w="11910" w:h="16840"/>
          <w:pgMar w:header="555" w:footer="980" w:top="1100" w:bottom="1160" w:left="980" w:right="1180"/>
        </w:sectPr>
      </w:pPr>
    </w:p>
    <w:p>
      <w:pPr>
        <w:spacing w:line="240" w:lineRule="auto" w:before="7"/>
        <w:rPr>
          <w:rFonts w:ascii="新宋体" w:hAnsi="新宋体" w:cs="新宋体" w:eastAsia="新宋体" w:hint="default"/>
          <w:sz w:val="25"/>
          <w:szCs w:val="25"/>
        </w:rPr>
      </w:pPr>
    </w:p>
    <w:p>
      <w:pPr>
        <w:pStyle w:val="BodyText"/>
        <w:spacing w:line="240" w:lineRule="auto" w:before="26"/>
        <w:ind w:left="212" w:right="252"/>
        <w:jc w:val="left"/>
      </w:pPr>
      <w:r>
        <w:rPr/>
        <w:t>站上的公告。</w:t>
      </w:r>
    </w:p>
    <w:p>
      <w:pPr>
        <w:pStyle w:val="BodyText"/>
        <w:spacing w:line="357" w:lineRule="auto" w:before="154"/>
        <w:ind w:left="633" w:right="252"/>
        <w:jc w:val="left"/>
      </w:pPr>
      <w:r>
        <w:rPr/>
        <w:t>（二）</w:t>
      </w:r>
      <w:r>
        <w:rPr>
          <w:rFonts w:ascii="新宋体" w:hAnsi="新宋体" w:cs="新宋体" w:eastAsia="新宋体" w:hint="default"/>
        </w:rPr>
        <w:t>2011</w:t>
      </w:r>
      <w:r>
        <w:rPr/>
        <w:t>年度现金分红的执行情况 </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4</w:t>
      </w:r>
      <w:r>
        <w:rPr>
          <w:spacing w:val="-2"/>
        </w:rPr>
        <w:t>月</w:t>
      </w:r>
      <w:r>
        <w:rPr>
          <w:rFonts w:ascii="新宋体" w:hAnsi="新宋体" w:cs="新宋体" w:eastAsia="新宋体" w:hint="default"/>
          <w:spacing w:val="-2"/>
        </w:rPr>
        <w:t>19</w:t>
      </w:r>
      <w:r>
        <w:rPr>
          <w:spacing w:val="-2"/>
        </w:rPr>
        <w:t>日，公司召开</w:t>
      </w:r>
      <w:r>
        <w:rPr>
          <w:rFonts w:ascii="新宋体" w:hAnsi="新宋体" w:cs="新宋体" w:eastAsia="新宋体" w:hint="default"/>
          <w:spacing w:val="-2"/>
        </w:rPr>
        <w:t>2011</w:t>
      </w:r>
      <w:r>
        <w:rPr>
          <w:spacing w:val="-2"/>
        </w:rPr>
        <w:t>年度股东大会，审议通过了</w:t>
      </w:r>
      <w:r>
        <w:rPr>
          <w:rFonts w:ascii="新宋体" w:hAnsi="新宋体" w:cs="新宋体" w:eastAsia="新宋体" w:hint="default"/>
          <w:spacing w:val="-2"/>
        </w:rPr>
        <w:t>2011</w:t>
      </w:r>
      <w:r>
        <w:rPr>
          <w:spacing w:val="-2"/>
        </w:rPr>
        <w:t>年度分红派息方案，公</w:t>
      </w:r>
    </w:p>
    <w:p>
      <w:pPr>
        <w:pStyle w:val="BodyText"/>
        <w:spacing w:line="357" w:lineRule="auto"/>
        <w:ind w:left="212" w:right="252"/>
        <w:jc w:val="left"/>
      </w:pPr>
      <w:r>
        <w:rPr>
          <w:spacing w:val="2"/>
        </w:rPr>
        <w:t>司以现有总股本</w:t>
      </w:r>
      <w:r>
        <w:rPr>
          <w:rFonts w:ascii="新宋体" w:hAnsi="新宋体" w:cs="新宋体" w:eastAsia="新宋体" w:hint="default"/>
          <w:spacing w:val="2"/>
        </w:rPr>
        <w:t>11,800</w:t>
      </w:r>
      <w:r>
        <w:rPr>
          <w:spacing w:val="2"/>
        </w:rPr>
        <w:t>万股为基数，向全体股东每</w:t>
      </w:r>
      <w:r>
        <w:rPr>
          <w:rFonts w:ascii="新宋体" w:hAnsi="新宋体" w:cs="新宋体" w:eastAsia="新宋体" w:hint="default"/>
          <w:spacing w:val="2"/>
        </w:rPr>
        <w:t>10</w:t>
      </w:r>
      <w:r>
        <w:rPr>
          <w:rFonts w:ascii="新宋体" w:hAnsi="新宋体" w:cs="新宋体" w:eastAsia="新宋体" w:hint="default"/>
          <w:spacing w:val="14"/>
        </w:rPr>
        <w:t> </w:t>
      </w:r>
      <w:r>
        <w:rPr>
          <w:spacing w:val="2"/>
        </w:rPr>
        <w:t>股派发现金红利人民币</w:t>
      </w:r>
      <w:r>
        <w:rPr>
          <w:rFonts w:ascii="新宋体" w:hAnsi="新宋体" w:cs="新宋体" w:eastAsia="新宋体" w:hint="default"/>
          <w:spacing w:val="2"/>
        </w:rPr>
        <w:t>1.00</w:t>
      </w:r>
      <w:r>
        <w:rPr>
          <w:spacing w:val="2"/>
        </w:rPr>
        <w:t>元（含 </w:t>
      </w:r>
      <w:r>
        <w:rPr/>
        <w:t>税），合计分配现金红利</w:t>
      </w:r>
      <w:r>
        <w:rPr>
          <w:rFonts w:ascii="新宋体" w:hAnsi="新宋体" w:cs="新宋体" w:eastAsia="新宋体" w:hint="default"/>
        </w:rPr>
        <w:t>1,180</w:t>
      </w:r>
      <w:r>
        <w:rPr/>
        <w:t>万元。</w:t>
      </w:r>
    </w:p>
    <w:p>
      <w:pPr>
        <w:pStyle w:val="BodyText"/>
        <w:spacing w:line="357" w:lineRule="auto"/>
        <w:ind w:left="212" w:right="117" w:firstLine="420"/>
        <w:jc w:val="left"/>
      </w:pPr>
      <w:r>
        <w:rPr>
          <w:rFonts w:ascii="新宋体" w:hAnsi="新宋体" w:cs="新宋体" w:eastAsia="新宋体" w:hint="default"/>
        </w:rPr>
        <w:t>2012</w:t>
      </w:r>
      <w:r>
        <w:rPr/>
        <w:t>年</w:t>
      </w:r>
      <w:r>
        <w:rPr>
          <w:rFonts w:ascii="新宋体" w:hAnsi="新宋体" w:cs="新宋体" w:eastAsia="新宋体" w:hint="default"/>
        </w:rPr>
        <w:t>6</w:t>
      </w:r>
      <w:r>
        <w:rPr/>
        <w:t>月</w:t>
      </w:r>
      <w:r>
        <w:rPr>
          <w:rFonts w:ascii="新宋体" w:hAnsi="新宋体" w:cs="新宋体" w:eastAsia="新宋体" w:hint="default"/>
        </w:rPr>
        <w:t>13</w:t>
      </w:r>
      <w:r>
        <w:rPr/>
        <w:t>日，公司在中国证监会指定创业板信息披露网站刊登了《</w:t>
      </w:r>
      <w:r>
        <w:rPr>
          <w:rFonts w:ascii="新宋体" w:hAnsi="新宋体" w:cs="新宋体" w:eastAsia="新宋体" w:hint="default"/>
        </w:rPr>
        <w:t>2011</w:t>
      </w:r>
      <w:r>
        <w:rPr/>
        <w:t>年度权益分 派实施公告》。</w:t>
      </w:r>
      <w:r>
        <w:rPr>
          <w:spacing w:val="-3"/>
        </w:rPr>
        <w:t> </w:t>
      </w:r>
      <w:r>
        <w:rPr/>
        <w:t>股权登记日为</w:t>
      </w:r>
      <w:r>
        <w:rPr>
          <w:rFonts w:ascii="新宋体" w:hAnsi="新宋体" w:cs="新宋体" w:eastAsia="新宋体" w:hint="default"/>
        </w:rPr>
        <w:t>2012</w:t>
      </w:r>
      <w:r>
        <w:rPr/>
        <w:t>年</w:t>
      </w:r>
      <w:r>
        <w:rPr>
          <w:rFonts w:ascii="新宋体" w:hAnsi="新宋体" w:cs="新宋体" w:eastAsia="新宋体" w:hint="default"/>
        </w:rPr>
        <w:t>6</w:t>
      </w:r>
      <w:r>
        <w:rPr/>
        <w:t>月</w:t>
      </w:r>
      <w:r>
        <w:rPr>
          <w:rFonts w:ascii="新宋体" w:hAnsi="新宋体" w:cs="新宋体" w:eastAsia="新宋体" w:hint="default"/>
        </w:rPr>
        <w:t>19</w:t>
      </w:r>
      <w:r>
        <w:rPr/>
        <w:t>日，除息日为</w:t>
      </w:r>
      <w:r>
        <w:rPr>
          <w:rFonts w:ascii="新宋体" w:hAnsi="新宋体" w:cs="新宋体" w:eastAsia="新宋体" w:hint="default"/>
        </w:rPr>
        <w:t>2012</w:t>
      </w:r>
      <w:r>
        <w:rPr/>
        <w:t>年</w:t>
      </w:r>
      <w:r>
        <w:rPr>
          <w:rFonts w:ascii="新宋体" w:hAnsi="新宋体" w:cs="新宋体" w:eastAsia="新宋体" w:hint="default"/>
        </w:rPr>
        <w:t>6</w:t>
      </w:r>
      <w:r>
        <w:rPr/>
        <w:t>月</w:t>
      </w:r>
      <w:r>
        <w:rPr>
          <w:rFonts w:ascii="新宋体" w:hAnsi="新宋体" w:cs="新宋体" w:eastAsia="新宋体" w:hint="default"/>
        </w:rPr>
        <w:t>20</w:t>
      </w:r>
      <w:r>
        <w:rPr/>
        <w:t>日。截至报告期末， 公司全体股东的现金红利已全部发放完成。</w:t>
      </w:r>
    </w:p>
    <w:p>
      <w:pPr>
        <w:pStyle w:val="BodyText"/>
        <w:spacing w:line="357" w:lineRule="auto" w:before="77"/>
        <w:ind w:left="212" w:right="289" w:firstLine="425"/>
        <w:jc w:val="left"/>
      </w:pPr>
      <w:r>
        <w:rPr/>
        <w:t>公司报告期利润分配预案及资本公积金转增股本预案与公司章程和分红管理办法等的 相关规定一致</w:t>
      </w:r>
    </w:p>
    <w:p>
      <w:pPr>
        <w:pStyle w:val="BodyText"/>
        <w:spacing w:line="388" w:lineRule="auto" w:before="74"/>
        <w:ind w:left="638" w:right="528" w:hanging="426"/>
        <w:jc w:val="left"/>
      </w:pPr>
      <w:r>
        <w:rPr/>
        <w:t>√ 是 □ 否 □</w:t>
      </w:r>
      <w:r>
        <w:rPr>
          <w:spacing w:val="-1"/>
        </w:rPr>
        <w:t> </w:t>
      </w:r>
      <w:r>
        <w:rPr/>
        <w:t>不适用</w:t>
      </w:r>
      <w:r>
        <w:rPr/>
        <w:t> 公司报告期利润分配预案及资本公积金转增股本预案符合公司章程等的相关规定。 本年度利润分配及资本公积金转增股本预案</w:t>
      </w:r>
    </w:p>
    <w:tbl>
      <w:tblPr>
        <w:tblW w:w="0" w:type="auto"/>
        <w:jc w:val="left"/>
        <w:tblInd w:w="100" w:type="dxa"/>
        <w:tblLayout w:type="fixed"/>
        <w:tblCellMar>
          <w:top w:w="0" w:type="dxa"/>
          <w:left w:w="0" w:type="dxa"/>
          <w:bottom w:w="0" w:type="dxa"/>
          <w:right w:w="0" w:type="dxa"/>
        </w:tblCellMar>
        <w:tblLook w:val="01E0"/>
      </w:tblPr>
      <w:tblGrid>
        <w:gridCol w:w="3701"/>
        <w:gridCol w:w="5863"/>
      </w:tblGrid>
      <w:tr>
        <w:trPr>
          <w:trHeight w:val="414" w:hRule="exact"/>
        </w:trPr>
        <w:tc>
          <w:tcPr>
            <w:tcW w:w="370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每</w:t>
            </w:r>
            <w:r>
              <w:rPr>
                <w:rFonts w:ascii="新宋体" w:hAnsi="新宋体" w:cs="新宋体" w:eastAsia="新宋体" w:hint="default"/>
                <w:spacing w:val="-44"/>
                <w:sz w:val="18"/>
                <w:szCs w:val="18"/>
              </w:rPr>
              <w:t> </w:t>
            </w:r>
            <w:r>
              <w:rPr>
                <w:rFonts w:ascii="新宋体" w:hAnsi="新宋体" w:cs="新宋体" w:eastAsia="新宋体" w:hint="default"/>
                <w:sz w:val="18"/>
                <w:szCs w:val="18"/>
              </w:rPr>
              <w:t>10</w:t>
            </w:r>
            <w:r>
              <w:rPr>
                <w:rFonts w:ascii="新宋体" w:hAnsi="新宋体" w:cs="新宋体" w:eastAsia="新宋体" w:hint="default"/>
                <w:spacing w:val="-46"/>
                <w:sz w:val="18"/>
                <w:szCs w:val="18"/>
              </w:rPr>
              <w:t> </w:t>
            </w:r>
            <w:r>
              <w:rPr>
                <w:rFonts w:ascii="新宋体" w:hAnsi="新宋体" w:cs="新宋体" w:eastAsia="新宋体" w:hint="default"/>
                <w:sz w:val="18"/>
                <w:szCs w:val="18"/>
              </w:rPr>
              <w:t>股送红股数（股）</w:t>
            </w:r>
          </w:p>
        </w:tc>
        <w:tc>
          <w:tcPr>
            <w:tcW w:w="5863"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新宋体" w:hAnsi="新宋体" w:cs="新宋体" w:eastAsia="新宋体" w:hint="default"/>
                <w:sz w:val="18"/>
                <w:szCs w:val="18"/>
              </w:rPr>
            </w:pPr>
            <w:r>
              <w:rPr>
                <w:rFonts w:ascii="新宋体"/>
                <w:sz w:val="18"/>
              </w:rPr>
              <w:t>0</w:t>
            </w:r>
          </w:p>
        </w:tc>
      </w:tr>
      <w:tr>
        <w:trPr>
          <w:trHeight w:val="408"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每</w:t>
            </w:r>
            <w:r>
              <w:rPr>
                <w:rFonts w:ascii="新宋体" w:hAnsi="新宋体" w:cs="新宋体" w:eastAsia="新宋体" w:hint="default"/>
                <w:spacing w:val="-44"/>
                <w:sz w:val="18"/>
                <w:szCs w:val="18"/>
              </w:rPr>
              <w:t> </w:t>
            </w:r>
            <w:r>
              <w:rPr>
                <w:rFonts w:ascii="新宋体" w:hAnsi="新宋体" w:cs="新宋体" w:eastAsia="新宋体" w:hint="default"/>
                <w:spacing w:val="1"/>
                <w:sz w:val="18"/>
                <w:szCs w:val="18"/>
              </w:rPr>
              <w:t>1</w:t>
            </w:r>
            <w:r>
              <w:rPr>
                <w:rFonts w:ascii="新宋体" w:hAnsi="新宋体" w:cs="新宋体" w:eastAsia="新宋体" w:hint="default"/>
                <w:sz w:val="18"/>
                <w:szCs w:val="18"/>
              </w:rPr>
              <w:t>0</w:t>
            </w:r>
            <w:r>
              <w:rPr>
                <w:rFonts w:ascii="新宋体" w:hAnsi="新宋体" w:cs="新宋体" w:eastAsia="新宋体" w:hint="default"/>
                <w:spacing w:val="-46"/>
                <w:sz w:val="18"/>
                <w:szCs w:val="18"/>
              </w:rPr>
              <w:t> </w:t>
            </w:r>
            <w:r>
              <w:rPr>
                <w:rFonts w:ascii="新宋体" w:hAnsi="新宋体" w:cs="新宋体" w:eastAsia="新宋体" w:hint="default"/>
                <w:sz w:val="18"/>
                <w:szCs w:val="18"/>
              </w:rPr>
              <w:t>股派息数（元</w:t>
            </w:r>
            <w:r>
              <w:rPr>
                <w:rFonts w:ascii="新宋体" w:hAnsi="新宋体" w:cs="新宋体" w:eastAsia="新宋体" w:hint="default"/>
                <w:spacing w:val="-92"/>
                <w:sz w:val="18"/>
                <w:szCs w:val="18"/>
              </w:rPr>
              <w:t>）</w:t>
            </w:r>
            <w:r>
              <w:rPr>
                <w:rFonts w:ascii="新宋体" w:hAnsi="新宋体" w:cs="新宋体" w:eastAsia="新宋体" w:hint="default"/>
                <w:sz w:val="18"/>
                <w:szCs w:val="18"/>
              </w:rPr>
              <w:t>（含税）</w:t>
            </w:r>
          </w:p>
        </w:tc>
        <w:tc>
          <w:tcPr>
            <w:tcW w:w="586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8"/>
              <w:jc w:val="right"/>
              <w:rPr>
                <w:rFonts w:ascii="新宋体" w:hAnsi="新宋体" w:cs="新宋体" w:eastAsia="新宋体" w:hint="default"/>
                <w:sz w:val="18"/>
                <w:szCs w:val="18"/>
              </w:rPr>
            </w:pPr>
            <w:r>
              <w:rPr>
                <w:rFonts w:ascii="新宋体"/>
                <w:sz w:val="18"/>
              </w:rPr>
              <w:t>0.50</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每</w:t>
            </w:r>
            <w:r>
              <w:rPr>
                <w:rFonts w:ascii="新宋体" w:hAnsi="新宋体" w:cs="新宋体" w:eastAsia="新宋体" w:hint="default"/>
                <w:spacing w:val="-44"/>
                <w:sz w:val="18"/>
                <w:szCs w:val="18"/>
              </w:rPr>
              <w:t> </w:t>
            </w:r>
            <w:r>
              <w:rPr>
                <w:rFonts w:ascii="新宋体" w:hAnsi="新宋体" w:cs="新宋体" w:eastAsia="新宋体" w:hint="default"/>
                <w:sz w:val="18"/>
                <w:szCs w:val="18"/>
              </w:rPr>
              <w:t>10</w:t>
            </w:r>
            <w:r>
              <w:rPr>
                <w:rFonts w:ascii="新宋体" w:hAnsi="新宋体" w:cs="新宋体" w:eastAsia="新宋体" w:hint="default"/>
                <w:spacing w:val="-46"/>
                <w:sz w:val="18"/>
                <w:szCs w:val="18"/>
              </w:rPr>
              <w:t> </w:t>
            </w:r>
            <w:r>
              <w:rPr>
                <w:rFonts w:ascii="新宋体" w:hAnsi="新宋体" w:cs="新宋体" w:eastAsia="新宋体" w:hint="default"/>
                <w:sz w:val="18"/>
                <w:szCs w:val="18"/>
              </w:rPr>
              <w:t>股转增数（股）</w:t>
            </w:r>
          </w:p>
        </w:tc>
        <w:tc>
          <w:tcPr>
            <w:tcW w:w="586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11"/>
              <w:jc w:val="right"/>
              <w:rPr>
                <w:rFonts w:ascii="新宋体" w:hAnsi="新宋体" w:cs="新宋体" w:eastAsia="新宋体" w:hint="default"/>
                <w:sz w:val="18"/>
                <w:szCs w:val="18"/>
              </w:rPr>
            </w:pPr>
            <w:r>
              <w:rPr>
                <w:rFonts w:ascii="新宋体"/>
                <w:sz w:val="18"/>
              </w:rPr>
              <w:t>0</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分配预案的股本基数（股）</w:t>
            </w:r>
          </w:p>
        </w:tc>
        <w:tc>
          <w:tcPr>
            <w:tcW w:w="586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新宋体" w:hAnsi="新宋体" w:cs="新宋体" w:eastAsia="新宋体" w:hint="default"/>
                <w:sz w:val="18"/>
                <w:szCs w:val="18"/>
              </w:rPr>
            </w:pPr>
            <w:r>
              <w:rPr>
                <w:rFonts w:ascii="新宋体"/>
                <w:spacing w:val="-1"/>
                <w:sz w:val="18"/>
              </w:rPr>
              <w:t>118,000,000.00</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现金分红总额（</w:t>
            </w:r>
            <w:r>
              <w:rPr>
                <w:rFonts w:ascii="新宋体" w:hAnsi="新宋体" w:cs="新宋体" w:eastAsia="新宋体" w:hint="default"/>
                <w:spacing w:val="2"/>
                <w:sz w:val="18"/>
                <w:szCs w:val="18"/>
              </w:rPr>
              <w:t>元</w:t>
            </w:r>
            <w:r>
              <w:rPr>
                <w:rFonts w:ascii="新宋体" w:hAnsi="新宋体" w:cs="新宋体" w:eastAsia="新宋体" w:hint="default"/>
                <w:spacing w:val="-92"/>
                <w:sz w:val="18"/>
                <w:szCs w:val="18"/>
              </w:rPr>
              <w:t>）</w:t>
            </w:r>
            <w:r>
              <w:rPr>
                <w:rFonts w:ascii="新宋体" w:hAnsi="新宋体" w:cs="新宋体" w:eastAsia="新宋体" w:hint="default"/>
                <w:sz w:val="18"/>
                <w:szCs w:val="18"/>
              </w:rPr>
              <w:t>（含税）</w:t>
            </w:r>
          </w:p>
        </w:tc>
        <w:tc>
          <w:tcPr>
            <w:tcW w:w="586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9"/>
              <w:ind w:right="9"/>
              <w:jc w:val="right"/>
              <w:rPr>
                <w:rFonts w:ascii="新宋体" w:hAnsi="新宋体" w:cs="新宋体" w:eastAsia="新宋体" w:hint="default"/>
                <w:sz w:val="18"/>
                <w:szCs w:val="18"/>
              </w:rPr>
            </w:pPr>
            <w:r>
              <w:rPr>
                <w:rFonts w:ascii="新宋体"/>
                <w:spacing w:val="-1"/>
                <w:sz w:val="18"/>
              </w:rPr>
              <w:t>5,900,000.00</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可分配利润（元）</w:t>
            </w:r>
          </w:p>
        </w:tc>
        <w:tc>
          <w:tcPr>
            <w:tcW w:w="5863"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9"/>
              <w:jc w:val="right"/>
              <w:rPr>
                <w:rFonts w:ascii="新宋体" w:hAnsi="新宋体" w:cs="新宋体" w:eastAsia="新宋体" w:hint="default"/>
                <w:sz w:val="18"/>
                <w:szCs w:val="18"/>
              </w:rPr>
            </w:pPr>
            <w:r>
              <w:rPr>
                <w:rFonts w:ascii="新宋体"/>
                <w:spacing w:val="-1"/>
                <w:sz w:val="18"/>
              </w:rPr>
              <w:t>80,963,487.98</w:t>
            </w:r>
          </w:p>
        </w:tc>
      </w:tr>
      <w:tr>
        <w:trPr>
          <w:trHeight w:val="408" w:hRule="exact"/>
        </w:trPr>
        <w:tc>
          <w:tcPr>
            <w:tcW w:w="9564"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left="3053" w:right="0"/>
              <w:jc w:val="left"/>
              <w:rPr>
                <w:rFonts w:ascii="新宋体" w:hAnsi="新宋体" w:cs="新宋体" w:eastAsia="新宋体" w:hint="default"/>
                <w:sz w:val="18"/>
                <w:szCs w:val="18"/>
              </w:rPr>
            </w:pPr>
            <w:r>
              <w:rPr>
                <w:rFonts w:ascii="新宋体" w:hAnsi="新宋体" w:cs="新宋体" w:eastAsia="新宋体" w:hint="default"/>
                <w:sz w:val="18"/>
                <w:szCs w:val="18"/>
              </w:rPr>
              <w:t>利润分配或资本公积金转增预案的详细情况</w:t>
            </w:r>
          </w:p>
        </w:tc>
      </w:tr>
      <w:tr>
        <w:trPr>
          <w:trHeight w:val="2324" w:hRule="exact"/>
        </w:trPr>
        <w:tc>
          <w:tcPr>
            <w:tcW w:w="9564" w:type="dxa"/>
            <w:gridSpan w:val="2"/>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49"/>
              <w:ind w:left="370" w:right="0"/>
              <w:jc w:val="left"/>
              <w:rPr>
                <w:rFonts w:ascii="新宋体" w:hAnsi="新宋体" w:cs="新宋体" w:eastAsia="新宋体" w:hint="default"/>
                <w:sz w:val="18"/>
                <w:szCs w:val="18"/>
              </w:rPr>
            </w:pPr>
            <w:r>
              <w:rPr>
                <w:rFonts w:ascii="新宋体" w:hAnsi="新宋体" w:cs="新宋体" w:eastAsia="新宋体" w:hint="default"/>
                <w:sz w:val="18"/>
                <w:szCs w:val="18"/>
              </w:rPr>
              <w:t>根据中磊会计师事务所有限责任公司出具的《审计报告》</w:t>
            </w:r>
            <w:r>
              <w:rPr>
                <w:rFonts w:ascii="新宋体" w:hAnsi="新宋体" w:cs="新宋体" w:eastAsia="新宋体" w:hint="default"/>
                <w:sz w:val="18"/>
                <w:szCs w:val="18"/>
              </w:rPr>
              <w:t>[</w:t>
            </w:r>
            <w:r>
              <w:rPr>
                <w:rFonts w:ascii="新宋体" w:hAnsi="新宋体" w:cs="新宋体" w:eastAsia="新宋体" w:hint="default"/>
                <w:sz w:val="18"/>
                <w:szCs w:val="18"/>
              </w:rPr>
              <w:t>（</w:t>
            </w:r>
            <w:r>
              <w:rPr>
                <w:rFonts w:ascii="新宋体" w:hAnsi="新宋体" w:cs="新宋体" w:eastAsia="新宋体" w:hint="default"/>
                <w:sz w:val="18"/>
                <w:szCs w:val="18"/>
              </w:rPr>
              <w:t>2013</w:t>
            </w:r>
            <w:r>
              <w:rPr>
                <w:rFonts w:ascii="新宋体" w:hAnsi="新宋体" w:cs="新宋体" w:eastAsia="新宋体" w:hint="default"/>
                <w:sz w:val="18"/>
                <w:szCs w:val="18"/>
              </w:rPr>
              <w:t>）中磊（审</w:t>
            </w:r>
            <w:r>
              <w:rPr>
                <w:rFonts w:ascii="新宋体" w:hAnsi="新宋体" w:cs="新宋体" w:eastAsia="新宋体" w:hint="default"/>
                <w:spacing w:val="-47"/>
                <w:sz w:val="18"/>
                <w:szCs w:val="18"/>
              </w:rPr>
              <w:t> </w:t>
            </w:r>
            <w:r>
              <w:rPr>
                <w:rFonts w:ascii="新宋体" w:hAnsi="新宋体" w:cs="新宋体" w:eastAsia="新宋体" w:hint="default"/>
                <w:sz w:val="18"/>
                <w:szCs w:val="18"/>
              </w:rPr>
              <w:t>A</w:t>
            </w:r>
            <w:r>
              <w:rPr>
                <w:rFonts w:ascii="新宋体" w:hAnsi="新宋体" w:cs="新宋体" w:eastAsia="新宋体" w:hint="default"/>
                <w:sz w:val="18"/>
                <w:szCs w:val="18"/>
              </w:rPr>
              <w:t>）字第</w:t>
            </w:r>
            <w:r>
              <w:rPr>
                <w:rFonts w:ascii="新宋体" w:hAnsi="新宋体" w:cs="新宋体" w:eastAsia="新宋体" w:hint="default"/>
                <w:spacing w:val="-44"/>
                <w:sz w:val="18"/>
                <w:szCs w:val="18"/>
              </w:rPr>
              <w:t> </w:t>
            </w:r>
            <w:r>
              <w:rPr>
                <w:rFonts w:ascii="新宋体" w:hAnsi="新宋体" w:cs="新宋体" w:eastAsia="新宋体" w:hint="default"/>
                <w:sz w:val="18"/>
                <w:szCs w:val="18"/>
              </w:rPr>
              <w:t>0051</w:t>
            </w:r>
            <w:r>
              <w:rPr>
                <w:rFonts w:ascii="新宋体" w:hAnsi="新宋体" w:cs="新宋体" w:eastAsia="新宋体" w:hint="default"/>
                <w:spacing w:val="-48"/>
                <w:sz w:val="18"/>
                <w:szCs w:val="18"/>
              </w:rPr>
              <w:t> </w:t>
            </w:r>
            <w:r>
              <w:rPr>
                <w:rFonts w:ascii="新宋体" w:hAnsi="新宋体" w:cs="新宋体" w:eastAsia="新宋体" w:hint="default"/>
                <w:sz w:val="18"/>
                <w:szCs w:val="18"/>
              </w:rPr>
              <w:t>号</w:t>
            </w:r>
            <w:r>
              <w:rPr>
                <w:rFonts w:ascii="新宋体" w:hAnsi="新宋体" w:cs="新宋体" w:eastAsia="新宋体" w:hint="default"/>
                <w:sz w:val="18"/>
                <w:szCs w:val="18"/>
              </w:rPr>
              <w:t>]</w:t>
            </w:r>
            <w:r>
              <w:rPr>
                <w:rFonts w:ascii="新宋体" w:hAnsi="新宋体" w:cs="新宋体" w:eastAsia="新宋体" w:hint="default"/>
                <w:sz w:val="18"/>
                <w:szCs w:val="18"/>
              </w:rPr>
              <w:t>，公司</w:t>
            </w:r>
            <w:r>
              <w:rPr>
                <w:rFonts w:ascii="新宋体" w:hAnsi="新宋体" w:cs="新宋体" w:eastAsia="新宋体" w:hint="default"/>
                <w:spacing w:val="-47"/>
                <w:sz w:val="18"/>
                <w:szCs w:val="18"/>
              </w:rPr>
              <w:t> </w:t>
            </w:r>
            <w:r>
              <w:rPr>
                <w:rFonts w:ascii="新宋体" w:hAnsi="新宋体" w:cs="新宋体" w:eastAsia="新宋体" w:hint="default"/>
                <w:sz w:val="18"/>
                <w:szCs w:val="18"/>
              </w:rPr>
              <w:t>2012</w:t>
            </w:r>
            <w:r>
              <w:rPr>
                <w:rFonts w:ascii="新宋体" w:hAnsi="新宋体" w:cs="新宋体" w:eastAsia="新宋体" w:hint="default"/>
                <w:spacing w:val="-48"/>
                <w:sz w:val="18"/>
                <w:szCs w:val="18"/>
              </w:rPr>
              <w:t> </w:t>
            </w:r>
            <w:r>
              <w:rPr>
                <w:rFonts w:ascii="新宋体" w:hAnsi="新宋体" w:cs="新宋体" w:eastAsia="新宋体" w:hint="default"/>
                <w:sz w:val="18"/>
                <w:szCs w:val="18"/>
              </w:rPr>
              <w:t>年度实现</w:t>
            </w:r>
          </w:p>
          <w:p>
            <w:pPr>
              <w:pStyle w:val="TableParagraph"/>
              <w:spacing w:line="240" w:lineRule="auto" w:before="76"/>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归属于上市公司股东的净利润</w:t>
            </w:r>
            <w:r>
              <w:rPr>
                <w:rFonts w:ascii="新宋体" w:hAnsi="新宋体" w:cs="新宋体" w:eastAsia="新宋体" w:hint="default"/>
                <w:spacing w:val="-55"/>
                <w:sz w:val="18"/>
                <w:szCs w:val="18"/>
              </w:rPr>
              <w:t> </w:t>
            </w:r>
            <w:r>
              <w:rPr>
                <w:rFonts w:ascii="新宋体" w:hAnsi="新宋体" w:cs="新宋体" w:eastAsia="新宋体" w:hint="default"/>
                <w:sz w:val="18"/>
                <w:szCs w:val="18"/>
              </w:rPr>
              <w:t>47,339,574.86</w:t>
            </w:r>
            <w:r>
              <w:rPr>
                <w:rFonts w:ascii="新宋体" w:hAnsi="新宋体" w:cs="新宋体" w:eastAsia="新宋体" w:hint="default"/>
                <w:spacing w:val="-55"/>
                <w:sz w:val="18"/>
                <w:szCs w:val="18"/>
              </w:rPr>
              <w:t> </w:t>
            </w:r>
            <w:r>
              <w:rPr>
                <w:rFonts w:ascii="新宋体" w:hAnsi="新宋体" w:cs="新宋体" w:eastAsia="新宋体" w:hint="default"/>
                <w:sz w:val="18"/>
                <w:szCs w:val="18"/>
              </w:rPr>
              <w:t>元，其中，母公司实现净利润</w:t>
            </w:r>
            <w:r>
              <w:rPr>
                <w:rFonts w:ascii="新宋体" w:hAnsi="新宋体" w:cs="新宋体" w:eastAsia="新宋体" w:hint="default"/>
                <w:spacing w:val="-55"/>
                <w:sz w:val="18"/>
                <w:szCs w:val="18"/>
              </w:rPr>
              <w:t> </w:t>
            </w:r>
            <w:r>
              <w:rPr>
                <w:rFonts w:ascii="新宋体" w:hAnsi="新宋体" w:cs="新宋体" w:eastAsia="新宋体" w:hint="default"/>
                <w:sz w:val="18"/>
                <w:szCs w:val="18"/>
              </w:rPr>
              <w:t>16,805,257.05</w:t>
            </w:r>
            <w:r>
              <w:rPr>
                <w:rFonts w:ascii="新宋体" w:hAnsi="新宋体" w:cs="新宋体" w:eastAsia="新宋体" w:hint="default"/>
                <w:spacing w:val="-55"/>
                <w:sz w:val="18"/>
                <w:szCs w:val="18"/>
              </w:rPr>
              <w:t> </w:t>
            </w:r>
            <w:r>
              <w:rPr>
                <w:rFonts w:ascii="新宋体" w:hAnsi="新宋体" w:cs="新宋体" w:eastAsia="新宋体" w:hint="default"/>
                <w:sz w:val="18"/>
                <w:szCs w:val="18"/>
              </w:rPr>
              <w:t>元。根据《公司法》和《公司</w:t>
            </w:r>
          </w:p>
          <w:p>
            <w:pPr>
              <w:pStyle w:val="TableParagraph"/>
              <w:spacing w:line="240" w:lineRule="auto" w:before="76"/>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章程》的有关规定，按</w:t>
            </w:r>
            <w:r>
              <w:rPr>
                <w:rFonts w:ascii="新宋体" w:hAnsi="新宋体" w:cs="新宋体" w:eastAsia="新宋体" w:hint="default"/>
                <w:spacing w:val="-46"/>
                <w:sz w:val="18"/>
                <w:szCs w:val="18"/>
              </w:rPr>
              <w:t> </w:t>
            </w:r>
            <w:r>
              <w:rPr>
                <w:rFonts w:ascii="新宋体" w:hAnsi="新宋体" w:cs="新宋体" w:eastAsia="新宋体" w:hint="default"/>
                <w:sz w:val="18"/>
                <w:szCs w:val="18"/>
              </w:rPr>
              <w:t>2012</w:t>
            </w:r>
            <w:r>
              <w:rPr>
                <w:rFonts w:ascii="新宋体" w:hAnsi="新宋体" w:cs="新宋体" w:eastAsia="新宋体" w:hint="default"/>
                <w:spacing w:val="-48"/>
                <w:sz w:val="18"/>
                <w:szCs w:val="18"/>
              </w:rPr>
              <w:t> </w:t>
            </w:r>
            <w:r>
              <w:rPr>
                <w:rFonts w:ascii="新宋体" w:hAnsi="新宋体" w:cs="新宋体" w:eastAsia="新宋体" w:hint="default"/>
                <w:sz w:val="18"/>
                <w:szCs w:val="18"/>
              </w:rPr>
              <w:t>年度母公司实现净利润的</w:t>
            </w:r>
            <w:r>
              <w:rPr>
                <w:rFonts w:ascii="新宋体" w:hAnsi="新宋体" w:cs="新宋体" w:eastAsia="新宋体" w:hint="default"/>
                <w:spacing w:val="-46"/>
                <w:sz w:val="18"/>
                <w:szCs w:val="18"/>
              </w:rPr>
              <w:t> </w:t>
            </w:r>
            <w:r>
              <w:rPr>
                <w:rFonts w:ascii="新宋体" w:hAnsi="新宋体" w:cs="新宋体" w:eastAsia="新宋体" w:hint="default"/>
                <w:sz w:val="18"/>
                <w:szCs w:val="18"/>
              </w:rPr>
              <w:t>10%</w:t>
            </w:r>
            <w:r>
              <w:rPr>
                <w:rFonts w:ascii="新宋体" w:hAnsi="新宋体" w:cs="新宋体" w:eastAsia="新宋体" w:hint="default"/>
                <w:sz w:val="18"/>
                <w:szCs w:val="18"/>
              </w:rPr>
              <w:t>提取法定盈余公积金</w:t>
            </w:r>
            <w:r>
              <w:rPr>
                <w:rFonts w:ascii="新宋体" w:hAnsi="新宋体" w:cs="新宋体" w:eastAsia="新宋体" w:hint="default"/>
                <w:spacing w:val="-46"/>
                <w:sz w:val="18"/>
                <w:szCs w:val="18"/>
              </w:rPr>
              <w:t> </w:t>
            </w:r>
            <w:r>
              <w:rPr>
                <w:rFonts w:ascii="新宋体" w:hAnsi="新宋体" w:cs="新宋体" w:eastAsia="新宋体" w:hint="default"/>
                <w:sz w:val="18"/>
                <w:szCs w:val="18"/>
              </w:rPr>
              <w:t>1,680,525.70</w:t>
            </w:r>
            <w:r>
              <w:rPr>
                <w:rFonts w:ascii="新宋体" w:hAnsi="新宋体" w:cs="新宋体" w:eastAsia="新宋体" w:hint="default"/>
                <w:spacing w:val="-47"/>
                <w:sz w:val="18"/>
                <w:szCs w:val="18"/>
              </w:rPr>
              <w:t> </w:t>
            </w:r>
            <w:r>
              <w:rPr>
                <w:rFonts w:ascii="新宋体" w:hAnsi="新宋体" w:cs="新宋体" w:eastAsia="新宋体" w:hint="default"/>
                <w:sz w:val="18"/>
                <w:szCs w:val="18"/>
              </w:rPr>
              <w:t>元，加上年初未分配利润</w:t>
            </w:r>
          </w:p>
          <w:p>
            <w:pPr>
              <w:pStyle w:val="TableParagraph"/>
              <w:spacing w:line="240" w:lineRule="auto" w:before="76"/>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77,638,756.63</w:t>
            </w:r>
            <w:r>
              <w:rPr>
                <w:rFonts w:ascii="新宋体" w:hAnsi="新宋体" w:cs="新宋体" w:eastAsia="新宋体" w:hint="default"/>
                <w:spacing w:val="-48"/>
                <w:sz w:val="18"/>
                <w:szCs w:val="18"/>
              </w:rPr>
              <w:t> </w:t>
            </w:r>
            <w:r>
              <w:rPr>
                <w:rFonts w:ascii="新宋体" w:hAnsi="新宋体" w:cs="新宋体" w:eastAsia="新宋体" w:hint="default"/>
                <w:sz w:val="18"/>
                <w:szCs w:val="18"/>
              </w:rPr>
              <w:t>元</w:t>
            </w:r>
            <w:r>
              <w:rPr>
                <w:rFonts w:ascii="新宋体" w:hAnsi="新宋体" w:cs="新宋体" w:eastAsia="新宋体" w:hint="default"/>
                <w:sz w:val="18"/>
                <w:szCs w:val="18"/>
              </w:rPr>
              <w:t>,</w:t>
            </w:r>
            <w:r>
              <w:rPr>
                <w:rFonts w:ascii="新宋体" w:hAnsi="新宋体" w:cs="新宋体" w:eastAsia="新宋体" w:hint="default"/>
                <w:spacing w:val="-8"/>
                <w:sz w:val="18"/>
                <w:szCs w:val="18"/>
              </w:rPr>
              <w:t> </w:t>
            </w:r>
            <w:r>
              <w:rPr>
                <w:rFonts w:ascii="新宋体" w:hAnsi="新宋体" w:cs="新宋体" w:eastAsia="新宋体" w:hint="default"/>
                <w:sz w:val="18"/>
                <w:szCs w:val="18"/>
              </w:rPr>
              <w:t>减去派发</w:t>
            </w:r>
            <w:r>
              <w:rPr>
                <w:rFonts w:ascii="新宋体" w:hAnsi="新宋体" w:cs="新宋体" w:eastAsia="新宋体" w:hint="default"/>
                <w:spacing w:val="-45"/>
                <w:sz w:val="18"/>
                <w:szCs w:val="18"/>
              </w:rPr>
              <w:t> </w:t>
            </w:r>
            <w:r>
              <w:rPr>
                <w:rFonts w:ascii="新宋体" w:hAnsi="新宋体" w:cs="新宋体" w:eastAsia="新宋体" w:hint="default"/>
                <w:sz w:val="18"/>
                <w:szCs w:val="18"/>
              </w:rPr>
              <w:t>2011</w:t>
            </w:r>
            <w:r>
              <w:rPr>
                <w:rFonts w:ascii="新宋体" w:hAnsi="新宋体" w:cs="新宋体" w:eastAsia="新宋体" w:hint="default"/>
                <w:spacing w:val="-48"/>
                <w:sz w:val="18"/>
                <w:szCs w:val="18"/>
              </w:rPr>
              <w:t> </w:t>
            </w:r>
            <w:r>
              <w:rPr>
                <w:rFonts w:ascii="新宋体" w:hAnsi="新宋体" w:cs="新宋体" w:eastAsia="新宋体" w:hint="default"/>
                <w:sz w:val="18"/>
                <w:szCs w:val="18"/>
              </w:rPr>
              <w:t>年现金红利</w:t>
            </w:r>
            <w:r>
              <w:rPr>
                <w:rFonts w:ascii="新宋体" w:hAnsi="新宋体" w:cs="新宋体" w:eastAsia="新宋体" w:hint="default"/>
                <w:spacing w:val="-45"/>
                <w:sz w:val="18"/>
                <w:szCs w:val="18"/>
              </w:rPr>
              <w:t> </w:t>
            </w:r>
            <w:r>
              <w:rPr>
                <w:rFonts w:ascii="新宋体" w:hAnsi="新宋体" w:cs="新宋体" w:eastAsia="新宋体" w:hint="default"/>
                <w:sz w:val="18"/>
                <w:szCs w:val="18"/>
              </w:rPr>
              <w:t>11,800,000.00</w:t>
            </w:r>
            <w:r>
              <w:rPr>
                <w:rFonts w:ascii="新宋体" w:hAnsi="新宋体" w:cs="新宋体" w:eastAsia="新宋体" w:hint="default"/>
                <w:spacing w:val="-48"/>
                <w:sz w:val="18"/>
                <w:szCs w:val="18"/>
              </w:rPr>
              <w:t> </w:t>
            </w:r>
            <w:r>
              <w:rPr>
                <w:rFonts w:ascii="新宋体" w:hAnsi="新宋体" w:cs="新宋体" w:eastAsia="新宋体" w:hint="default"/>
                <w:sz w:val="18"/>
                <w:szCs w:val="18"/>
              </w:rPr>
              <w:t>元，本次可供股东分配的利润为</w:t>
            </w:r>
            <w:r>
              <w:rPr>
                <w:rFonts w:ascii="新宋体" w:hAnsi="新宋体" w:cs="新宋体" w:eastAsia="新宋体" w:hint="default"/>
                <w:spacing w:val="-47"/>
                <w:sz w:val="18"/>
                <w:szCs w:val="18"/>
              </w:rPr>
              <w:t> </w:t>
            </w:r>
            <w:r>
              <w:rPr>
                <w:rFonts w:ascii="新宋体" w:hAnsi="新宋体" w:cs="新宋体" w:eastAsia="新宋体" w:hint="default"/>
                <w:sz w:val="18"/>
                <w:szCs w:val="18"/>
              </w:rPr>
              <w:t>80,963,487.98</w:t>
            </w:r>
            <w:r>
              <w:rPr>
                <w:rFonts w:ascii="新宋体" w:hAnsi="新宋体" w:cs="新宋体" w:eastAsia="新宋体" w:hint="default"/>
                <w:spacing w:val="-4"/>
                <w:sz w:val="18"/>
                <w:szCs w:val="18"/>
              </w:rPr>
              <w:t> </w:t>
            </w:r>
            <w:r>
              <w:rPr>
                <w:rFonts w:ascii="新宋体" w:hAnsi="新宋体" w:cs="新宋体" w:eastAsia="新宋体" w:hint="default"/>
                <w:sz w:val="18"/>
                <w:szCs w:val="18"/>
              </w:rPr>
              <w:t>元。</w:t>
            </w:r>
          </w:p>
          <w:p>
            <w:pPr>
              <w:pStyle w:val="TableParagraph"/>
              <w:spacing w:line="240" w:lineRule="auto" w:before="115"/>
              <w:ind w:left="370" w:right="0"/>
              <w:jc w:val="left"/>
              <w:rPr>
                <w:rFonts w:ascii="新宋体" w:hAnsi="新宋体" w:cs="新宋体" w:eastAsia="新宋体" w:hint="default"/>
                <w:sz w:val="18"/>
                <w:szCs w:val="18"/>
              </w:rPr>
            </w:pPr>
            <w:r>
              <w:rPr>
                <w:rFonts w:ascii="新宋体" w:hAnsi="新宋体" w:cs="新宋体" w:eastAsia="新宋体" w:hint="default"/>
                <w:sz w:val="18"/>
                <w:szCs w:val="18"/>
              </w:rPr>
              <w:t>结合公司</w:t>
            </w:r>
            <w:r>
              <w:rPr>
                <w:rFonts w:ascii="新宋体" w:hAnsi="新宋体" w:cs="新宋体" w:eastAsia="新宋体" w:hint="default"/>
                <w:spacing w:val="-46"/>
                <w:sz w:val="18"/>
                <w:szCs w:val="18"/>
              </w:rPr>
              <w:t> </w:t>
            </w:r>
            <w:r>
              <w:rPr>
                <w:rFonts w:ascii="新宋体" w:hAnsi="新宋体" w:cs="新宋体" w:eastAsia="新宋体" w:hint="default"/>
                <w:sz w:val="18"/>
                <w:szCs w:val="18"/>
              </w:rPr>
              <w:t>2012</w:t>
            </w:r>
            <w:r>
              <w:rPr>
                <w:rFonts w:ascii="新宋体" w:hAnsi="新宋体" w:cs="新宋体" w:eastAsia="新宋体" w:hint="default"/>
                <w:spacing w:val="-47"/>
                <w:sz w:val="18"/>
                <w:szCs w:val="18"/>
              </w:rPr>
              <w:t> </w:t>
            </w:r>
            <w:r>
              <w:rPr>
                <w:rFonts w:ascii="新宋体" w:hAnsi="新宋体" w:cs="新宋体" w:eastAsia="新宋体" w:hint="default"/>
                <w:sz w:val="18"/>
                <w:szCs w:val="18"/>
              </w:rPr>
              <w:t>年度发展状况及现金流情况，</w:t>
            </w:r>
            <w:r>
              <w:rPr>
                <w:rFonts w:ascii="新宋体" w:hAnsi="新宋体" w:cs="新宋体" w:eastAsia="新宋体" w:hint="default"/>
                <w:sz w:val="18"/>
                <w:szCs w:val="18"/>
              </w:rPr>
              <w:t>2013</w:t>
            </w:r>
            <w:r>
              <w:rPr>
                <w:rFonts w:ascii="新宋体" w:hAnsi="新宋体" w:cs="新宋体" w:eastAsia="新宋体" w:hint="default"/>
                <w:spacing w:val="-47"/>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新宋体" w:hAnsi="新宋体" w:cs="新宋体" w:eastAsia="新宋体" w:hint="default"/>
                <w:sz w:val="18"/>
                <w:szCs w:val="18"/>
              </w:rPr>
              <w:t>3</w:t>
            </w:r>
            <w:r>
              <w:rPr>
                <w:rFonts w:ascii="新宋体" w:hAnsi="新宋体" w:cs="新宋体" w:eastAsia="新宋体" w:hint="default"/>
                <w:spacing w:val="-47"/>
                <w:sz w:val="18"/>
                <w:szCs w:val="18"/>
              </w:rPr>
              <w:t>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新宋体" w:hAnsi="新宋体" w:cs="新宋体" w:eastAsia="新宋体" w:hint="default"/>
                <w:sz w:val="18"/>
                <w:szCs w:val="18"/>
              </w:rPr>
              <w:t>28</w:t>
            </w:r>
            <w:r>
              <w:rPr>
                <w:rFonts w:ascii="新宋体" w:hAnsi="新宋体" w:cs="新宋体" w:eastAsia="新宋体" w:hint="default"/>
                <w:spacing w:val="-47"/>
                <w:sz w:val="18"/>
                <w:szCs w:val="18"/>
              </w:rPr>
              <w:t> </w:t>
            </w:r>
            <w:r>
              <w:rPr>
                <w:rFonts w:ascii="新宋体" w:hAnsi="新宋体" w:cs="新宋体" w:eastAsia="新宋体" w:hint="default"/>
                <w:sz w:val="18"/>
                <w:szCs w:val="18"/>
              </w:rPr>
              <w:t>日公司第二届董事会第二十一会议审议通过了</w:t>
            </w:r>
            <w:r>
              <w:rPr>
                <w:rFonts w:ascii="新宋体" w:hAnsi="新宋体" w:cs="新宋体" w:eastAsia="新宋体" w:hint="default"/>
                <w:spacing w:val="-45"/>
                <w:sz w:val="18"/>
                <w:szCs w:val="18"/>
              </w:rPr>
              <w:t> </w:t>
            </w:r>
            <w:r>
              <w:rPr>
                <w:rFonts w:ascii="新宋体" w:hAnsi="新宋体" w:cs="新宋体" w:eastAsia="新宋体" w:hint="default"/>
                <w:sz w:val="18"/>
                <w:szCs w:val="18"/>
              </w:rPr>
              <w:t>2012</w:t>
            </w:r>
            <w:r>
              <w:rPr>
                <w:rFonts w:ascii="新宋体" w:hAnsi="新宋体" w:cs="新宋体" w:eastAsia="新宋体" w:hint="default"/>
                <w:spacing w:val="-47"/>
                <w:sz w:val="18"/>
                <w:szCs w:val="18"/>
              </w:rPr>
              <w:t> </w:t>
            </w:r>
            <w:r>
              <w:rPr>
                <w:rFonts w:ascii="新宋体" w:hAnsi="新宋体" w:cs="新宋体" w:eastAsia="新宋体" w:hint="default"/>
                <w:sz w:val="18"/>
                <w:szCs w:val="18"/>
              </w:rPr>
              <w:t>年度</w:t>
            </w:r>
          </w:p>
          <w:p>
            <w:pPr>
              <w:pStyle w:val="TableParagraph"/>
              <w:spacing w:line="240" w:lineRule="auto" w:before="76"/>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权益分派的预案：以</w:t>
            </w:r>
            <w:r>
              <w:rPr>
                <w:rFonts w:ascii="新宋体" w:hAnsi="新宋体" w:cs="新宋体" w:eastAsia="新宋体" w:hint="default"/>
                <w:spacing w:val="-44"/>
                <w:sz w:val="18"/>
                <w:szCs w:val="18"/>
              </w:rPr>
              <w:t> </w:t>
            </w:r>
            <w:r>
              <w:rPr>
                <w:rFonts w:ascii="新宋体" w:hAnsi="新宋体" w:cs="新宋体" w:eastAsia="新宋体" w:hint="default"/>
                <w:spacing w:val="1"/>
                <w:sz w:val="18"/>
                <w:szCs w:val="18"/>
              </w:rPr>
              <w:t>2</w:t>
            </w:r>
            <w:r>
              <w:rPr>
                <w:rFonts w:ascii="新宋体" w:hAnsi="新宋体" w:cs="新宋体" w:eastAsia="新宋体" w:hint="default"/>
                <w:spacing w:val="-2"/>
                <w:sz w:val="18"/>
                <w:szCs w:val="18"/>
              </w:rPr>
              <w:t>0</w:t>
            </w:r>
            <w:r>
              <w:rPr>
                <w:rFonts w:ascii="新宋体" w:hAnsi="新宋体" w:cs="新宋体" w:eastAsia="新宋体" w:hint="default"/>
                <w:spacing w:val="1"/>
                <w:sz w:val="18"/>
                <w:szCs w:val="18"/>
              </w:rPr>
              <w:t>1</w:t>
            </w:r>
            <w:r>
              <w:rPr>
                <w:rFonts w:ascii="新宋体" w:hAnsi="新宋体" w:cs="新宋体" w:eastAsia="新宋体" w:hint="default"/>
                <w:sz w:val="18"/>
                <w:szCs w:val="18"/>
              </w:rPr>
              <w:t>2</w:t>
            </w:r>
            <w:r>
              <w:rPr>
                <w:rFonts w:ascii="新宋体" w:hAnsi="新宋体" w:cs="新宋体" w:eastAsia="新宋体" w:hint="default"/>
                <w:spacing w:val="-46"/>
                <w:sz w:val="18"/>
                <w:szCs w:val="18"/>
              </w:rPr>
              <w:t> </w:t>
            </w:r>
            <w:r>
              <w:rPr>
                <w:rFonts w:ascii="新宋体" w:hAnsi="新宋体" w:cs="新宋体" w:eastAsia="新宋体" w:hint="default"/>
                <w:sz w:val="18"/>
                <w:szCs w:val="18"/>
              </w:rPr>
              <w:t>年</w:t>
            </w:r>
            <w:r>
              <w:rPr>
                <w:rFonts w:ascii="新宋体" w:hAnsi="新宋体" w:cs="新宋体" w:eastAsia="新宋体" w:hint="default"/>
                <w:spacing w:val="-45"/>
                <w:sz w:val="18"/>
                <w:szCs w:val="18"/>
              </w:rPr>
              <w:t> </w:t>
            </w:r>
            <w:r>
              <w:rPr>
                <w:rFonts w:ascii="新宋体" w:hAnsi="新宋体" w:cs="新宋体" w:eastAsia="新宋体" w:hint="default"/>
                <w:spacing w:val="-2"/>
                <w:sz w:val="18"/>
                <w:szCs w:val="18"/>
              </w:rPr>
              <w:t>1</w:t>
            </w:r>
            <w:r>
              <w:rPr>
                <w:rFonts w:ascii="新宋体" w:hAnsi="新宋体" w:cs="新宋体" w:eastAsia="新宋体" w:hint="default"/>
                <w:sz w:val="18"/>
                <w:szCs w:val="18"/>
              </w:rPr>
              <w:t>2</w:t>
            </w:r>
            <w:r>
              <w:rPr>
                <w:rFonts w:ascii="新宋体" w:hAnsi="新宋体" w:cs="新宋体" w:eastAsia="新宋体" w:hint="default"/>
                <w:spacing w:val="-46"/>
                <w:sz w:val="18"/>
                <w:szCs w:val="18"/>
              </w:rPr>
              <w:t> </w:t>
            </w:r>
            <w:r>
              <w:rPr>
                <w:rFonts w:ascii="新宋体" w:hAnsi="新宋体" w:cs="新宋体" w:eastAsia="新宋体" w:hint="default"/>
                <w:sz w:val="18"/>
                <w:szCs w:val="18"/>
              </w:rPr>
              <w:t>月</w:t>
            </w:r>
            <w:r>
              <w:rPr>
                <w:rFonts w:ascii="新宋体" w:hAnsi="新宋体" w:cs="新宋体" w:eastAsia="新宋体" w:hint="default"/>
                <w:spacing w:val="-42"/>
                <w:sz w:val="18"/>
                <w:szCs w:val="18"/>
              </w:rPr>
              <w:t> </w:t>
            </w:r>
            <w:r>
              <w:rPr>
                <w:rFonts w:ascii="新宋体" w:hAnsi="新宋体" w:cs="新宋体" w:eastAsia="新宋体" w:hint="default"/>
                <w:spacing w:val="-2"/>
                <w:sz w:val="18"/>
                <w:szCs w:val="18"/>
              </w:rPr>
              <w:t>3</w:t>
            </w:r>
            <w:r>
              <w:rPr>
                <w:rFonts w:ascii="新宋体" w:hAnsi="新宋体" w:cs="新宋体" w:eastAsia="新宋体" w:hint="default"/>
                <w:sz w:val="18"/>
                <w:szCs w:val="18"/>
              </w:rPr>
              <w:t>1</w:t>
            </w:r>
            <w:r>
              <w:rPr>
                <w:rFonts w:ascii="新宋体" w:hAnsi="新宋体" w:cs="新宋体" w:eastAsia="新宋体" w:hint="default"/>
                <w:spacing w:val="-46"/>
                <w:sz w:val="18"/>
                <w:szCs w:val="18"/>
              </w:rPr>
              <w:t> </w:t>
            </w:r>
            <w:r>
              <w:rPr>
                <w:rFonts w:ascii="新宋体" w:hAnsi="新宋体" w:cs="新宋体" w:eastAsia="新宋体" w:hint="default"/>
                <w:sz w:val="18"/>
                <w:szCs w:val="18"/>
              </w:rPr>
              <w:t>日公司总股本</w:t>
            </w:r>
            <w:r>
              <w:rPr>
                <w:rFonts w:ascii="新宋体" w:hAnsi="新宋体" w:cs="新宋体" w:eastAsia="新宋体" w:hint="default"/>
                <w:spacing w:val="-45"/>
                <w:sz w:val="18"/>
                <w:szCs w:val="18"/>
              </w:rPr>
              <w:t> </w:t>
            </w:r>
            <w:r>
              <w:rPr>
                <w:rFonts w:ascii="新宋体" w:hAnsi="新宋体" w:cs="新宋体" w:eastAsia="新宋体" w:hint="default"/>
                <w:spacing w:val="1"/>
                <w:sz w:val="18"/>
                <w:szCs w:val="18"/>
              </w:rPr>
              <w:t>1</w:t>
            </w:r>
            <w:r>
              <w:rPr>
                <w:rFonts w:ascii="新宋体" w:hAnsi="新宋体" w:cs="新宋体" w:eastAsia="新宋体" w:hint="default"/>
                <w:spacing w:val="-2"/>
                <w:sz w:val="18"/>
                <w:szCs w:val="18"/>
              </w:rPr>
              <w:t>1</w:t>
            </w:r>
            <w:r>
              <w:rPr>
                <w:rFonts w:ascii="新宋体" w:hAnsi="新宋体" w:cs="新宋体" w:eastAsia="新宋体" w:hint="default"/>
                <w:spacing w:val="1"/>
                <w:sz w:val="18"/>
                <w:szCs w:val="18"/>
              </w:rPr>
              <w:t>8</w:t>
            </w:r>
            <w:r>
              <w:rPr>
                <w:rFonts w:ascii="新宋体" w:hAnsi="新宋体" w:cs="新宋体" w:eastAsia="新宋体" w:hint="default"/>
                <w:spacing w:val="-2"/>
                <w:sz w:val="18"/>
                <w:szCs w:val="18"/>
              </w:rPr>
              <w:t>,</w:t>
            </w:r>
            <w:r>
              <w:rPr>
                <w:rFonts w:ascii="新宋体" w:hAnsi="新宋体" w:cs="新宋体" w:eastAsia="新宋体" w:hint="default"/>
                <w:spacing w:val="1"/>
                <w:sz w:val="18"/>
                <w:szCs w:val="18"/>
              </w:rPr>
              <w:t>0</w:t>
            </w:r>
            <w:r>
              <w:rPr>
                <w:rFonts w:ascii="新宋体" w:hAnsi="新宋体" w:cs="新宋体" w:eastAsia="新宋体" w:hint="default"/>
                <w:spacing w:val="-2"/>
                <w:sz w:val="18"/>
                <w:szCs w:val="18"/>
              </w:rPr>
              <w:t>0</w:t>
            </w:r>
            <w:r>
              <w:rPr>
                <w:rFonts w:ascii="新宋体" w:hAnsi="新宋体" w:cs="新宋体" w:eastAsia="新宋体" w:hint="default"/>
                <w:spacing w:val="1"/>
                <w:sz w:val="18"/>
                <w:szCs w:val="18"/>
              </w:rPr>
              <w:t>0</w:t>
            </w:r>
            <w:r>
              <w:rPr>
                <w:rFonts w:ascii="新宋体" w:hAnsi="新宋体" w:cs="新宋体" w:eastAsia="新宋体" w:hint="default"/>
                <w:spacing w:val="-2"/>
                <w:sz w:val="18"/>
                <w:szCs w:val="18"/>
              </w:rPr>
              <w:t>,</w:t>
            </w:r>
            <w:r>
              <w:rPr>
                <w:rFonts w:ascii="新宋体" w:hAnsi="新宋体" w:cs="新宋体" w:eastAsia="新宋体" w:hint="default"/>
                <w:spacing w:val="1"/>
                <w:sz w:val="18"/>
                <w:szCs w:val="18"/>
              </w:rPr>
              <w:t>0</w:t>
            </w:r>
            <w:r>
              <w:rPr>
                <w:rFonts w:ascii="新宋体" w:hAnsi="新宋体" w:cs="新宋体" w:eastAsia="新宋体" w:hint="default"/>
                <w:spacing w:val="-2"/>
                <w:sz w:val="18"/>
                <w:szCs w:val="18"/>
              </w:rPr>
              <w:t>0</w:t>
            </w:r>
            <w:r>
              <w:rPr>
                <w:rFonts w:ascii="新宋体" w:hAnsi="新宋体" w:cs="新宋体" w:eastAsia="新宋体" w:hint="default"/>
                <w:sz w:val="18"/>
                <w:szCs w:val="18"/>
              </w:rPr>
              <w:t>0</w:t>
            </w:r>
            <w:r>
              <w:rPr>
                <w:rFonts w:ascii="新宋体" w:hAnsi="新宋体" w:cs="新宋体" w:eastAsia="新宋体" w:hint="default"/>
                <w:spacing w:val="-45"/>
                <w:sz w:val="18"/>
                <w:szCs w:val="18"/>
              </w:rPr>
              <w:t> </w:t>
            </w:r>
            <w:r>
              <w:rPr>
                <w:rFonts w:ascii="新宋体" w:hAnsi="新宋体" w:cs="新宋体" w:eastAsia="新宋体" w:hint="default"/>
                <w:sz w:val="18"/>
                <w:szCs w:val="18"/>
              </w:rPr>
              <w:t>股为基数，按每</w:t>
            </w:r>
            <w:r>
              <w:rPr>
                <w:rFonts w:ascii="新宋体" w:hAnsi="新宋体" w:cs="新宋体" w:eastAsia="新宋体" w:hint="default"/>
                <w:spacing w:val="-42"/>
                <w:sz w:val="18"/>
                <w:szCs w:val="18"/>
              </w:rPr>
              <w:t> </w:t>
            </w:r>
            <w:r>
              <w:rPr>
                <w:rFonts w:ascii="新宋体" w:hAnsi="新宋体" w:cs="新宋体" w:eastAsia="新宋体" w:hint="default"/>
                <w:spacing w:val="-2"/>
                <w:sz w:val="18"/>
                <w:szCs w:val="18"/>
              </w:rPr>
              <w:t>1</w:t>
            </w:r>
            <w:r>
              <w:rPr>
                <w:rFonts w:ascii="新宋体" w:hAnsi="新宋体" w:cs="新宋体" w:eastAsia="新宋体" w:hint="default"/>
                <w:sz w:val="18"/>
                <w:szCs w:val="18"/>
              </w:rPr>
              <w:t>0</w:t>
            </w:r>
            <w:r>
              <w:rPr>
                <w:rFonts w:ascii="新宋体" w:hAnsi="新宋体" w:cs="新宋体" w:eastAsia="新宋体" w:hint="default"/>
                <w:spacing w:val="-46"/>
                <w:sz w:val="18"/>
                <w:szCs w:val="18"/>
              </w:rPr>
              <w:t> </w:t>
            </w:r>
            <w:r>
              <w:rPr>
                <w:rFonts w:ascii="新宋体" w:hAnsi="新宋体" w:cs="新宋体" w:eastAsia="新宋体" w:hint="default"/>
                <w:sz w:val="18"/>
                <w:szCs w:val="18"/>
              </w:rPr>
              <w:t>股派发现金红利</w:t>
            </w:r>
            <w:r>
              <w:rPr>
                <w:rFonts w:ascii="新宋体" w:hAnsi="新宋体" w:cs="新宋体" w:eastAsia="新宋体" w:hint="default"/>
                <w:spacing w:val="-44"/>
                <w:sz w:val="18"/>
                <w:szCs w:val="18"/>
              </w:rPr>
              <w:t> </w:t>
            </w:r>
            <w:r>
              <w:rPr>
                <w:rFonts w:ascii="新宋体" w:hAnsi="新宋体" w:cs="新宋体" w:eastAsia="新宋体" w:hint="default"/>
                <w:spacing w:val="1"/>
                <w:sz w:val="18"/>
                <w:szCs w:val="18"/>
              </w:rPr>
              <w:t>0</w:t>
            </w:r>
            <w:r>
              <w:rPr>
                <w:rFonts w:ascii="新宋体" w:hAnsi="新宋体" w:cs="新宋体" w:eastAsia="新宋体" w:hint="default"/>
                <w:spacing w:val="-2"/>
                <w:sz w:val="18"/>
                <w:szCs w:val="18"/>
              </w:rPr>
              <w:t>.</w:t>
            </w:r>
            <w:r>
              <w:rPr>
                <w:rFonts w:ascii="新宋体" w:hAnsi="新宋体" w:cs="新宋体" w:eastAsia="新宋体" w:hint="default"/>
                <w:sz w:val="18"/>
                <w:szCs w:val="18"/>
              </w:rPr>
              <w:t>5</w:t>
            </w:r>
            <w:r>
              <w:rPr>
                <w:rFonts w:ascii="新宋体" w:hAnsi="新宋体" w:cs="新宋体" w:eastAsia="新宋体" w:hint="default"/>
                <w:spacing w:val="-46"/>
                <w:sz w:val="18"/>
                <w:szCs w:val="18"/>
              </w:rPr>
              <w:t> </w:t>
            </w:r>
            <w:r>
              <w:rPr>
                <w:rFonts w:ascii="新宋体" w:hAnsi="新宋体" w:cs="新宋体" w:eastAsia="新宋体" w:hint="default"/>
                <w:sz w:val="18"/>
                <w:szCs w:val="18"/>
              </w:rPr>
              <w:t>元（含</w:t>
            </w:r>
            <w:r>
              <w:rPr>
                <w:rFonts w:ascii="新宋体" w:hAnsi="新宋体" w:cs="新宋体" w:eastAsia="新宋体" w:hint="default"/>
                <w:spacing w:val="2"/>
                <w:sz w:val="18"/>
                <w:szCs w:val="18"/>
              </w:rPr>
              <w:t>税</w:t>
            </w:r>
            <w:r>
              <w:rPr>
                <w:rFonts w:ascii="新宋体" w:hAnsi="新宋体" w:cs="新宋体" w:eastAsia="新宋体" w:hint="default"/>
                <w:spacing w:val="-92"/>
                <w:sz w:val="18"/>
                <w:szCs w:val="18"/>
              </w:rPr>
              <w:t>）</w:t>
            </w:r>
            <w:r>
              <w:rPr>
                <w:rFonts w:ascii="新宋体" w:hAnsi="新宋体" w:cs="新宋体" w:eastAsia="新宋体" w:hint="default"/>
                <w:sz w:val="18"/>
                <w:szCs w:val="18"/>
              </w:rPr>
              <w:t>，共</w:t>
            </w:r>
          </w:p>
          <w:p>
            <w:pPr>
              <w:pStyle w:val="TableParagraph"/>
              <w:spacing w:line="240" w:lineRule="auto" w:before="77"/>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分配现金股利</w:t>
            </w:r>
            <w:r>
              <w:rPr>
                <w:rFonts w:ascii="新宋体" w:hAnsi="新宋体" w:cs="新宋体" w:eastAsia="新宋体" w:hint="default"/>
                <w:spacing w:val="-45"/>
                <w:sz w:val="18"/>
                <w:szCs w:val="18"/>
              </w:rPr>
              <w:t> </w:t>
            </w:r>
            <w:r>
              <w:rPr>
                <w:rFonts w:ascii="新宋体" w:hAnsi="新宋体" w:cs="新宋体" w:eastAsia="新宋体" w:hint="default"/>
                <w:sz w:val="18"/>
                <w:szCs w:val="18"/>
              </w:rPr>
              <w:t>5,900,000</w:t>
            </w:r>
            <w:r>
              <w:rPr>
                <w:rFonts w:ascii="新宋体" w:hAnsi="新宋体" w:cs="新宋体" w:eastAsia="新宋体" w:hint="default"/>
                <w:spacing w:val="-46"/>
                <w:sz w:val="18"/>
                <w:szCs w:val="18"/>
              </w:rPr>
              <w:t> </w:t>
            </w:r>
            <w:r>
              <w:rPr>
                <w:rFonts w:ascii="新宋体" w:hAnsi="新宋体" w:cs="新宋体" w:eastAsia="新宋体" w:hint="default"/>
                <w:sz w:val="18"/>
                <w:szCs w:val="18"/>
              </w:rPr>
              <w:t>元，剩余未分配利润结转以后年度。此预案需提交公司</w:t>
            </w:r>
            <w:r>
              <w:rPr>
                <w:rFonts w:ascii="新宋体" w:hAnsi="新宋体" w:cs="新宋体" w:eastAsia="新宋体" w:hint="default"/>
                <w:spacing w:val="-45"/>
                <w:sz w:val="18"/>
                <w:szCs w:val="18"/>
              </w:rPr>
              <w:t> </w:t>
            </w:r>
            <w:r>
              <w:rPr>
                <w:rFonts w:ascii="新宋体" w:hAnsi="新宋体" w:cs="新宋体" w:eastAsia="新宋体" w:hint="default"/>
                <w:sz w:val="18"/>
                <w:szCs w:val="18"/>
              </w:rPr>
              <w:t>2012</w:t>
            </w:r>
            <w:r>
              <w:rPr>
                <w:rFonts w:ascii="新宋体" w:hAnsi="新宋体" w:cs="新宋体" w:eastAsia="新宋体" w:hint="default"/>
                <w:spacing w:val="-47"/>
                <w:sz w:val="18"/>
                <w:szCs w:val="18"/>
              </w:rPr>
              <w:t> </w:t>
            </w:r>
            <w:r>
              <w:rPr>
                <w:rFonts w:ascii="新宋体" w:hAnsi="新宋体" w:cs="新宋体" w:eastAsia="新宋体" w:hint="default"/>
                <w:sz w:val="18"/>
                <w:szCs w:val="18"/>
              </w:rPr>
              <w:t>年度股东大会审议。</w:t>
            </w:r>
          </w:p>
        </w:tc>
      </w:tr>
    </w:tbl>
    <w:p>
      <w:pPr>
        <w:spacing w:line="240" w:lineRule="auto" w:before="10"/>
        <w:rPr>
          <w:rFonts w:ascii="新宋体" w:hAnsi="新宋体" w:cs="新宋体" w:eastAsia="新宋体" w:hint="default"/>
          <w:sz w:val="4"/>
          <w:szCs w:val="4"/>
        </w:rPr>
      </w:pPr>
    </w:p>
    <w:p>
      <w:pPr>
        <w:spacing w:line="374" w:lineRule="auto" w:before="26"/>
        <w:ind w:left="638" w:right="254" w:firstLine="2"/>
        <w:jc w:val="left"/>
        <w:rPr>
          <w:rFonts w:ascii="新宋体" w:hAnsi="新宋体" w:cs="新宋体" w:eastAsia="新宋体" w:hint="default"/>
          <w:sz w:val="24"/>
          <w:szCs w:val="24"/>
        </w:rPr>
      </w:pPr>
      <w:r>
        <w:rPr>
          <w:rFonts w:ascii="新宋体" w:hAnsi="新宋体" w:cs="新宋体" w:eastAsia="新宋体" w:hint="default"/>
          <w:b/>
          <w:bCs/>
          <w:sz w:val="24"/>
          <w:szCs w:val="24"/>
        </w:rPr>
        <w:t>公司近</w:t>
      </w:r>
      <w:r>
        <w:rPr>
          <w:rFonts w:ascii="新宋体" w:hAnsi="新宋体" w:cs="新宋体" w:eastAsia="新宋体" w:hint="default"/>
          <w:b/>
          <w:bCs/>
          <w:spacing w:val="-60"/>
          <w:sz w:val="24"/>
          <w:szCs w:val="24"/>
        </w:rPr>
        <w:t> </w:t>
      </w:r>
      <w:r>
        <w:rPr>
          <w:rFonts w:ascii="新宋体" w:hAnsi="新宋体" w:cs="新宋体" w:eastAsia="新宋体" w:hint="default"/>
          <w:b/>
          <w:bCs/>
          <w:sz w:val="24"/>
          <w:szCs w:val="24"/>
        </w:rPr>
        <w:t>3</w:t>
      </w:r>
      <w:r>
        <w:rPr>
          <w:rFonts w:ascii="新宋体" w:hAnsi="新宋体" w:cs="新宋体" w:eastAsia="新宋体" w:hint="default"/>
          <w:b/>
          <w:bCs/>
          <w:spacing w:val="-62"/>
          <w:sz w:val="24"/>
          <w:szCs w:val="24"/>
        </w:rPr>
        <w:t> </w:t>
      </w:r>
      <w:r>
        <w:rPr>
          <w:rFonts w:ascii="新宋体" w:hAnsi="新宋体" w:cs="新宋体" w:eastAsia="新宋体" w:hint="default"/>
          <w:b/>
          <w:bCs/>
          <w:sz w:val="24"/>
          <w:szCs w:val="24"/>
        </w:rPr>
        <w:t>年（含报告期）的利润分配方案及资本公积金转增股本方案情况：</w:t>
      </w:r>
      <w:r>
        <w:rPr>
          <w:rFonts w:ascii="新宋体" w:hAnsi="新宋体" w:cs="新宋体" w:eastAsia="新宋体" w:hint="default"/>
          <w:b/>
          <w:bCs/>
          <w:w w:val="99"/>
          <w:sz w:val="24"/>
          <w:szCs w:val="24"/>
        </w:rPr>
        <w:t> </w:t>
      </w:r>
      <w:r>
        <w:rPr>
          <w:rFonts w:ascii="新宋体" w:hAnsi="新宋体" w:cs="新宋体" w:eastAsia="新宋体" w:hint="default"/>
          <w:sz w:val="24"/>
          <w:szCs w:val="24"/>
        </w:rPr>
        <w:t>1</w:t>
      </w:r>
      <w:r>
        <w:rPr>
          <w:rFonts w:ascii="新宋体" w:hAnsi="新宋体" w:cs="新宋体" w:eastAsia="新宋体" w:hint="default"/>
          <w:sz w:val="24"/>
          <w:szCs w:val="24"/>
        </w:rPr>
        <w:t>、</w:t>
      </w:r>
      <w:r>
        <w:rPr>
          <w:rFonts w:ascii="新宋体" w:hAnsi="新宋体" w:cs="新宋体" w:eastAsia="新宋体" w:hint="default"/>
          <w:sz w:val="24"/>
          <w:szCs w:val="24"/>
        </w:rPr>
        <w:t>2012</w:t>
      </w:r>
      <w:r>
        <w:rPr>
          <w:rFonts w:ascii="新宋体" w:hAnsi="新宋体" w:cs="新宋体" w:eastAsia="新宋体" w:hint="default"/>
          <w:sz w:val="24"/>
          <w:szCs w:val="24"/>
        </w:rPr>
        <w:t>年度权益分派情况 </w:t>
      </w:r>
      <w:r>
        <w:rPr>
          <w:rFonts w:ascii="新宋体" w:hAnsi="新宋体" w:cs="新宋体" w:eastAsia="新宋体" w:hint="default"/>
          <w:spacing w:val="-2"/>
          <w:sz w:val="24"/>
          <w:szCs w:val="24"/>
        </w:rPr>
        <w:t>结合公司</w:t>
      </w:r>
      <w:r>
        <w:rPr>
          <w:rFonts w:ascii="新宋体" w:hAnsi="新宋体" w:cs="新宋体" w:eastAsia="新宋体" w:hint="default"/>
          <w:spacing w:val="-2"/>
          <w:sz w:val="24"/>
          <w:szCs w:val="24"/>
        </w:rPr>
        <w:t>2012</w:t>
      </w:r>
      <w:r>
        <w:rPr>
          <w:rFonts w:ascii="新宋体" w:hAnsi="新宋体" w:cs="新宋体" w:eastAsia="新宋体" w:hint="default"/>
          <w:spacing w:val="-2"/>
          <w:sz w:val="24"/>
          <w:szCs w:val="24"/>
        </w:rPr>
        <w:t>年度发展状况及现金流情况，</w:t>
      </w:r>
      <w:r>
        <w:rPr>
          <w:rFonts w:ascii="新宋体" w:hAnsi="新宋体" w:cs="新宋体" w:eastAsia="新宋体" w:hint="default"/>
          <w:spacing w:val="-2"/>
          <w:sz w:val="24"/>
          <w:szCs w:val="24"/>
        </w:rPr>
        <w:t>2013</w:t>
      </w:r>
      <w:r>
        <w:rPr>
          <w:rFonts w:ascii="新宋体" w:hAnsi="新宋体" w:cs="新宋体" w:eastAsia="新宋体" w:hint="default"/>
          <w:spacing w:val="-2"/>
          <w:sz w:val="24"/>
          <w:szCs w:val="24"/>
        </w:rPr>
        <w:t>年</w:t>
      </w:r>
      <w:r>
        <w:rPr>
          <w:rFonts w:ascii="新宋体" w:hAnsi="新宋体" w:cs="新宋体" w:eastAsia="新宋体" w:hint="default"/>
          <w:spacing w:val="-2"/>
          <w:sz w:val="24"/>
          <w:szCs w:val="24"/>
        </w:rPr>
        <w:t>3</w:t>
      </w:r>
      <w:r>
        <w:rPr>
          <w:rFonts w:ascii="新宋体" w:hAnsi="新宋体" w:cs="新宋体" w:eastAsia="新宋体" w:hint="default"/>
          <w:spacing w:val="-2"/>
          <w:sz w:val="24"/>
          <w:szCs w:val="24"/>
        </w:rPr>
        <w:t>月</w:t>
      </w:r>
      <w:r>
        <w:rPr>
          <w:rFonts w:ascii="新宋体" w:hAnsi="新宋体" w:cs="新宋体" w:eastAsia="新宋体" w:hint="default"/>
          <w:spacing w:val="-2"/>
          <w:sz w:val="24"/>
          <w:szCs w:val="24"/>
        </w:rPr>
        <w:t>28</w:t>
      </w:r>
      <w:r>
        <w:rPr>
          <w:rFonts w:ascii="新宋体" w:hAnsi="新宋体" w:cs="新宋体" w:eastAsia="新宋体" w:hint="default"/>
          <w:spacing w:val="-2"/>
          <w:sz w:val="24"/>
          <w:szCs w:val="24"/>
        </w:rPr>
        <w:t>日公司第二届董事会第二十一</w:t>
      </w:r>
    </w:p>
    <w:p>
      <w:pPr>
        <w:pStyle w:val="BodyText"/>
        <w:spacing w:line="357" w:lineRule="auto" w:before="19"/>
        <w:ind w:left="212" w:right="234"/>
        <w:jc w:val="left"/>
      </w:pPr>
      <w:r>
        <w:rPr>
          <w:spacing w:val="2"/>
        </w:rPr>
        <w:t>会议审议通过了</w:t>
      </w:r>
      <w:r>
        <w:rPr>
          <w:rFonts w:ascii="新宋体" w:hAnsi="新宋体" w:cs="新宋体" w:eastAsia="新宋体" w:hint="default"/>
          <w:spacing w:val="2"/>
        </w:rPr>
        <w:t>2012</w:t>
      </w:r>
      <w:r>
        <w:rPr>
          <w:spacing w:val="2"/>
        </w:rPr>
        <w:t>年度权益分派的预案：以</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12</w:t>
      </w:r>
      <w:r>
        <w:rPr>
          <w:spacing w:val="2"/>
        </w:rPr>
        <w:t>月</w:t>
      </w:r>
      <w:r>
        <w:rPr>
          <w:rFonts w:ascii="新宋体" w:hAnsi="新宋体" w:cs="新宋体" w:eastAsia="新宋体" w:hint="default"/>
          <w:spacing w:val="2"/>
        </w:rPr>
        <w:t>31</w:t>
      </w:r>
      <w:r>
        <w:rPr>
          <w:spacing w:val="2"/>
        </w:rPr>
        <w:t>日公司总股本</w:t>
      </w:r>
      <w:r>
        <w:rPr>
          <w:rFonts w:ascii="新宋体" w:hAnsi="新宋体" w:cs="新宋体" w:eastAsia="新宋体" w:hint="default"/>
          <w:spacing w:val="2"/>
        </w:rPr>
        <w:t>118,000,000</w:t>
      </w:r>
      <w:r>
        <w:rPr>
          <w:spacing w:val="2"/>
        </w:rPr>
        <w:t>股</w:t>
      </w:r>
      <w:r>
        <w:rPr>
          <w:spacing w:val="-113"/>
        </w:rPr>
        <w:t> </w:t>
      </w:r>
      <w:r>
        <w:rPr/>
        <w:t>为基数，按每</w:t>
      </w:r>
      <w:r>
        <w:rPr>
          <w:rFonts w:ascii="新宋体" w:hAnsi="新宋体" w:cs="新宋体" w:eastAsia="新宋体" w:hint="default"/>
        </w:rPr>
        <w:t>10</w:t>
      </w:r>
      <w:r>
        <w:rPr/>
        <w:t>股派发现金红利</w:t>
      </w:r>
      <w:r>
        <w:rPr>
          <w:rFonts w:ascii="新宋体" w:hAnsi="新宋体" w:cs="新宋体" w:eastAsia="新宋体" w:hint="default"/>
        </w:rPr>
        <w:t>0.5</w:t>
      </w:r>
      <w:r>
        <w:rPr/>
        <w:t>元（含税），共分配现金股利</w:t>
      </w:r>
      <w:r>
        <w:rPr>
          <w:rFonts w:ascii="新宋体" w:hAnsi="新宋体" w:cs="新宋体" w:eastAsia="新宋体" w:hint="default"/>
        </w:rPr>
        <w:t>5,900,000</w:t>
      </w:r>
      <w:r>
        <w:rPr/>
        <w:t>元，剩余未分</w:t>
      </w:r>
    </w:p>
    <w:p>
      <w:pPr>
        <w:spacing w:after="0" w:line="357" w:lineRule="auto"/>
        <w:jc w:val="left"/>
        <w:sectPr>
          <w:pgSz w:w="11910" w:h="16840"/>
          <w:pgMar w:header="555" w:footer="980" w:top="1100" w:bottom="1160" w:left="920" w:right="1160"/>
        </w:sectPr>
      </w:pPr>
    </w:p>
    <w:p>
      <w:pPr>
        <w:spacing w:line="240" w:lineRule="auto" w:before="7"/>
        <w:rPr>
          <w:rFonts w:ascii="新宋体" w:hAnsi="新宋体" w:cs="新宋体" w:eastAsia="新宋体" w:hint="default"/>
          <w:sz w:val="25"/>
          <w:szCs w:val="25"/>
        </w:rPr>
      </w:pPr>
    </w:p>
    <w:p>
      <w:pPr>
        <w:pStyle w:val="BodyText"/>
        <w:spacing w:line="357" w:lineRule="auto" w:before="26"/>
        <w:ind w:left="638" w:right="2634" w:hanging="426"/>
        <w:jc w:val="left"/>
      </w:pPr>
      <w:r>
        <w:rPr/>
        <w:t>配利润结转以后年度。此预案需提交公司</w:t>
      </w:r>
      <w:r>
        <w:rPr>
          <w:rFonts w:ascii="新宋体" w:hAnsi="新宋体" w:cs="新宋体" w:eastAsia="新宋体" w:hint="default"/>
        </w:rPr>
        <w:t>2012</w:t>
      </w:r>
      <w:r>
        <w:rPr/>
        <w:t>年度股东大会审议。 </w:t>
      </w:r>
      <w:r>
        <w:rPr>
          <w:rFonts w:ascii="新宋体" w:hAnsi="新宋体" w:cs="新宋体" w:eastAsia="新宋体" w:hint="default"/>
        </w:rPr>
        <w:t>2</w:t>
      </w:r>
      <w:r>
        <w:rPr/>
        <w:t>、</w:t>
      </w:r>
      <w:r>
        <w:rPr>
          <w:rFonts w:ascii="新宋体" w:hAnsi="新宋体" w:cs="新宋体" w:eastAsia="新宋体" w:hint="default"/>
        </w:rPr>
        <w:t>2011</w:t>
      </w:r>
      <w:r>
        <w:rPr/>
        <w:t>年度权益分派情况</w:t>
      </w:r>
    </w:p>
    <w:p>
      <w:pPr>
        <w:pStyle w:val="BodyText"/>
        <w:spacing w:line="357" w:lineRule="auto"/>
        <w:ind w:left="212" w:right="185" w:firstLine="425"/>
        <w:jc w:val="both"/>
      </w:pPr>
      <w:r>
        <w:rPr>
          <w:rFonts w:ascii="新宋体" w:hAnsi="新宋体" w:cs="新宋体" w:eastAsia="新宋体" w:hint="default"/>
        </w:rPr>
        <w:t>2012</w:t>
      </w:r>
      <w:r>
        <w:rPr/>
        <w:t>年</w:t>
      </w:r>
      <w:r>
        <w:rPr>
          <w:rFonts w:ascii="新宋体" w:hAnsi="新宋体" w:cs="新宋体" w:eastAsia="新宋体" w:hint="default"/>
        </w:rPr>
        <w:t>4</w:t>
      </w:r>
      <w:r>
        <w:rPr/>
        <w:t>月</w:t>
      </w:r>
      <w:r>
        <w:rPr>
          <w:rFonts w:ascii="新宋体" w:hAnsi="新宋体" w:cs="新宋体" w:eastAsia="新宋体" w:hint="default"/>
        </w:rPr>
        <w:t>19</w:t>
      </w:r>
      <w:r>
        <w:rPr/>
        <w:t>日，公司召开</w:t>
      </w:r>
      <w:r>
        <w:rPr>
          <w:rFonts w:ascii="新宋体" w:hAnsi="新宋体" w:cs="新宋体" w:eastAsia="新宋体" w:hint="default"/>
        </w:rPr>
        <w:t>2011</w:t>
      </w:r>
      <w:r>
        <w:rPr/>
        <w:t>年度股东大会，审议通过了</w:t>
      </w:r>
      <w:r>
        <w:rPr>
          <w:rFonts w:ascii="新宋体" w:hAnsi="新宋体" w:cs="新宋体" w:eastAsia="新宋体" w:hint="default"/>
        </w:rPr>
        <w:t>2011</w:t>
      </w:r>
      <w:r>
        <w:rPr/>
        <w:t>年度分权益分派方案， 公司以总股本</w:t>
      </w:r>
      <w:r>
        <w:rPr>
          <w:rFonts w:ascii="新宋体" w:hAnsi="新宋体" w:cs="新宋体" w:eastAsia="新宋体" w:hint="default"/>
        </w:rPr>
        <w:t>11,800</w:t>
      </w:r>
      <w:r>
        <w:rPr/>
        <w:t>万股为基数，向全体股东每</w:t>
      </w:r>
      <w:r>
        <w:rPr>
          <w:rFonts w:ascii="新宋体" w:hAnsi="新宋体" w:cs="新宋体" w:eastAsia="新宋体" w:hint="default"/>
        </w:rPr>
        <w:t>10</w:t>
      </w:r>
      <w:r>
        <w:rPr/>
        <w:t>股派发现金红利人民币</w:t>
      </w:r>
      <w:r>
        <w:rPr>
          <w:rFonts w:ascii="新宋体" w:hAnsi="新宋体" w:cs="新宋体" w:eastAsia="新宋体" w:hint="default"/>
        </w:rPr>
        <w:t>1.00</w:t>
      </w:r>
      <w:r>
        <w:rPr/>
        <w:t>（含税）， 合计派发现金红利</w:t>
      </w:r>
      <w:r>
        <w:rPr>
          <w:rFonts w:ascii="新宋体" w:hAnsi="新宋体" w:cs="新宋体" w:eastAsia="新宋体" w:hint="default"/>
        </w:rPr>
        <w:t>1,180</w:t>
      </w:r>
      <w:r>
        <w:rPr/>
        <w:t>万元，其余未分配利润结转下年。</w:t>
      </w:r>
    </w:p>
    <w:p>
      <w:pPr>
        <w:pStyle w:val="BodyText"/>
        <w:spacing w:line="240" w:lineRule="auto"/>
        <w:ind w:left="638" w:right="252"/>
        <w:jc w:val="left"/>
      </w:pPr>
      <w:r>
        <w:rPr>
          <w:rFonts w:ascii="新宋体" w:hAnsi="新宋体" w:cs="新宋体" w:eastAsia="新宋体" w:hint="default"/>
        </w:rPr>
        <w:t>3</w:t>
      </w:r>
      <w:r>
        <w:rPr/>
        <w:t>、</w:t>
      </w:r>
      <w:r>
        <w:rPr>
          <w:rFonts w:ascii="新宋体" w:hAnsi="新宋体" w:cs="新宋体" w:eastAsia="新宋体" w:hint="default"/>
        </w:rPr>
        <w:t>2010</w:t>
      </w:r>
      <w:r>
        <w:rPr/>
        <w:t>年度权益分派情况</w:t>
      </w:r>
    </w:p>
    <w:p>
      <w:pPr>
        <w:pStyle w:val="BodyText"/>
        <w:spacing w:line="357" w:lineRule="auto" w:before="154"/>
        <w:ind w:left="212" w:right="185" w:firstLine="425"/>
        <w:jc w:val="both"/>
      </w:pPr>
      <w:r>
        <w:rPr>
          <w:rFonts w:ascii="新宋体" w:hAnsi="新宋体" w:cs="新宋体" w:eastAsia="新宋体" w:hint="default"/>
        </w:rPr>
        <w:t>2011</w:t>
      </w:r>
      <w:r>
        <w:rPr/>
        <w:t>年</w:t>
      </w:r>
      <w:r>
        <w:rPr>
          <w:rFonts w:ascii="新宋体" w:hAnsi="新宋体" w:cs="新宋体" w:eastAsia="新宋体" w:hint="default"/>
        </w:rPr>
        <w:t>4</w:t>
      </w:r>
      <w:r>
        <w:rPr/>
        <w:t>月</w:t>
      </w:r>
      <w:r>
        <w:rPr>
          <w:rFonts w:ascii="新宋体" w:hAnsi="新宋体" w:cs="新宋体" w:eastAsia="新宋体" w:hint="default"/>
        </w:rPr>
        <w:t>28</w:t>
      </w:r>
      <w:r>
        <w:rPr/>
        <w:t>日，公司召开</w:t>
      </w:r>
      <w:r>
        <w:rPr>
          <w:rFonts w:ascii="新宋体" w:hAnsi="新宋体" w:cs="新宋体" w:eastAsia="新宋体" w:hint="default"/>
        </w:rPr>
        <w:t>2010</w:t>
      </w:r>
      <w:r>
        <w:rPr/>
        <w:t>年度股东大会，审议通过了</w:t>
      </w:r>
      <w:r>
        <w:rPr>
          <w:rFonts w:ascii="新宋体" w:hAnsi="新宋体" w:cs="新宋体" w:eastAsia="新宋体" w:hint="default"/>
        </w:rPr>
        <w:t>2010</w:t>
      </w:r>
      <w:r>
        <w:rPr/>
        <w:t>年度分权益分派方案， 公司以总股本</w:t>
      </w:r>
      <w:r>
        <w:rPr>
          <w:rFonts w:ascii="新宋体" w:hAnsi="新宋体" w:cs="新宋体" w:eastAsia="新宋体" w:hint="default"/>
        </w:rPr>
        <w:t>11,800</w:t>
      </w:r>
      <w:r>
        <w:rPr/>
        <w:t>万股为基数，向全体股东每</w:t>
      </w:r>
      <w:r>
        <w:rPr>
          <w:rFonts w:ascii="新宋体" w:hAnsi="新宋体" w:cs="新宋体" w:eastAsia="新宋体" w:hint="default"/>
        </w:rPr>
        <w:t>10</w:t>
      </w:r>
      <w:r>
        <w:rPr/>
        <w:t>股派发现金红利人民币</w:t>
      </w:r>
      <w:r>
        <w:rPr>
          <w:rFonts w:ascii="新宋体" w:hAnsi="新宋体" w:cs="新宋体" w:eastAsia="新宋体" w:hint="default"/>
        </w:rPr>
        <w:t>1.00</w:t>
      </w:r>
      <w:r>
        <w:rPr/>
        <w:t>（含税）， 合计派发现金红利</w:t>
      </w:r>
      <w:r>
        <w:rPr>
          <w:rFonts w:ascii="新宋体" w:hAnsi="新宋体" w:cs="新宋体" w:eastAsia="新宋体" w:hint="default"/>
        </w:rPr>
        <w:t>1,180</w:t>
      </w:r>
      <w:r>
        <w:rPr/>
        <w:t>万元，其余未分配利润结转下年。</w:t>
      </w:r>
    </w:p>
    <w:p>
      <w:pPr>
        <w:spacing w:after="0" w:line="357" w:lineRule="auto"/>
        <w:jc w:val="both"/>
        <w:sectPr>
          <w:footerReference w:type="default" r:id="rId30"/>
          <w:pgSz w:w="11910" w:h="16840"/>
          <w:pgMar w:footer="980" w:header="555" w:top="1100" w:bottom="1160" w:left="920" w:right="1160"/>
          <w:pgNumType w:start="55"/>
        </w:sectPr>
      </w:pPr>
    </w:p>
    <w:p>
      <w:pPr>
        <w:pStyle w:val="BodyText"/>
        <w:spacing w:line="240" w:lineRule="auto" w:before="77"/>
        <w:ind w:left="638" w:right="-20"/>
        <w:jc w:val="left"/>
      </w:pPr>
      <w:r>
        <w:rPr/>
        <w:t>公司近三年现金分红情况表</w:t>
      </w:r>
    </w:p>
    <w:p>
      <w:pPr>
        <w:spacing w:line="240" w:lineRule="auto" w:before="0"/>
        <w:rPr>
          <w:rFonts w:ascii="新宋体" w:hAnsi="新宋体" w:cs="新宋体" w:eastAsia="新宋体" w:hint="default"/>
          <w:sz w:val="20"/>
          <w:szCs w:val="20"/>
        </w:rPr>
      </w:pPr>
      <w:r>
        <w:rPr/>
        <w:br w:type="column"/>
      </w:r>
      <w:r>
        <w:rPr>
          <w:rFonts w:ascii="新宋体"/>
          <w:sz w:val="20"/>
        </w:rPr>
      </w:r>
    </w:p>
    <w:p>
      <w:pPr>
        <w:spacing w:line="240" w:lineRule="auto" w:before="9"/>
        <w:rPr>
          <w:rFonts w:ascii="新宋体" w:hAnsi="新宋体" w:cs="新宋体" w:eastAsia="新宋体" w:hint="default"/>
          <w:sz w:val="20"/>
          <w:szCs w:val="20"/>
        </w:rPr>
      </w:pPr>
    </w:p>
    <w:p>
      <w:pPr>
        <w:spacing w:before="0"/>
        <w:ind w:left="638"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单位：元</w:t>
      </w:r>
    </w:p>
    <w:p>
      <w:pPr>
        <w:spacing w:after="0"/>
        <w:jc w:val="left"/>
        <w:rPr>
          <w:rFonts w:ascii="新宋体" w:hAnsi="新宋体" w:cs="新宋体" w:eastAsia="新宋体" w:hint="default"/>
          <w:sz w:val="21"/>
          <w:szCs w:val="21"/>
        </w:rPr>
        <w:sectPr>
          <w:type w:val="continuous"/>
          <w:pgSz w:w="11910" w:h="16840"/>
          <w:pgMar w:top="1060" w:bottom="1160" w:left="920" w:right="1160"/>
          <w:cols w:num="2" w:equalWidth="0">
            <w:col w:w="3519" w:space="4573"/>
            <w:col w:w="1738"/>
          </w:cols>
        </w:sectPr>
      </w:pPr>
    </w:p>
    <w:p>
      <w:pPr>
        <w:spacing w:line="240" w:lineRule="auto" w:before="12"/>
        <w:rPr>
          <w:rFonts w:ascii="新宋体" w:hAnsi="新宋体" w:cs="新宋体" w:eastAsia="新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375"/>
        <w:gridCol w:w="2402"/>
        <w:gridCol w:w="2393"/>
        <w:gridCol w:w="2393"/>
      </w:tblGrid>
      <w:tr>
        <w:trPr>
          <w:trHeight w:val="170" w:hRule="exact"/>
        </w:trPr>
        <w:tc>
          <w:tcPr>
            <w:tcW w:w="237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402"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93"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49"/>
              <w:ind w:left="287" w:right="108" w:hanging="180"/>
              <w:jc w:val="left"/>
              <w:rPr>
                <w:rFonts w:ascii="新宋体" w:hAnsi="新宋体" w:cs="新宋体" w:eastAsia="新宋体" w:hint="default"/>
                <w:sz w:val="18"/>
                <w:szCs w:val="18"/>
              </w:rPr>
            </w:pPr>
            <w:r>
              <w:rPr>
                <w:rFonts w:ascii="新宋体" w:hAnsi="新宋体" w:cs="新宋体" w:eastAsia="新宋体" w:hint="default"/>
                <w:sz w:val="18"/>
                <w:szCs w:val="18"/>
              </w:rPr>
              <w:t>分红年度合并报表中归属于 上市公司股东的净利润</w:t>
            </w:r>
          </w:p>
        </w:tc>
        <w:tc>
          <w:tcPr>
            <w:tcW w:w="2393"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49"/>
              <w:ind w:left="62" w:right="55" w:firstLine="45"/>
              <w:jc w:val="left"/>
              <w:rPr>
                <w:rFonts w:ascii="新宋体" w:hAnsi="新宋体" w:cs="新宋体" w:eastAsia="新宋体" w:hint="default"/>
                <w:sz w:val="18"/>
                <w:szCs w:val="18"/>
              </w:rPr>
            </w:pPr>
            <w:r>
              <w:rPr>
                <w:rFonts w:ascii="新宋体" w:hAnsi="新宋体" w:cs="新宋体" w:eastAsia="新宋体" w:hint="default"/>
                <w:sz w:val="18"/>
                <w:szCs w:val="18"/>
              </w:rPr>
              <w:t>占合并报表中归属于上市公 司股东的净利润的比率（</w:t>
            </w:r>
            <w:r>
              <w:rPr>
                <w:rFonts w:ascii="新宋体" w:hAnsi="新宋体" w:cs="新宋体" w:eastAsia="新宋体" w:hint="default"/>
                <w:sz w:val="18"/>
                <w:szCs w:val="18"/>
              </w:rPr>
              <w:t>%</w:t>
            </w:r>
            <w:r>
              <w:rPr>
                <w:rFonts w:ascii="新宋体" w:hAnsi="新宋体" w:cs="新宋体" w:eastAsia="新宋体" w:hint="default"/>
                <w:sz w:val="18"/>
                <w:szCs w:val="18"/>
              </w:rPr>
              <w:t>）</w:t>
            </w:r>
          </w:p>
        </w:tc>
      </w:tr>
      <w:tr>
        <w:trPr>
          <w:trHeight w:val="394" w:hRule="exact"/>
        </w:trPr>
        <w:tc>
          <w:tcPr>
            <w:tcW w:w="2375"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49"/>
              <w:ind w:right="3"/>
              <w:jc w:val="center"/>
              <w:rPr>
                <w:rFonts w:ascii="新宋体" w:hAnsi="新宋体" w:cs="新宋体" w:eastAsia="新宋体" w:hint="default"/>
                <w:sz w:val="18"/>
                <w:szCs w:val="18"/>
              </w:rPr>
            </w:pPr>
            <w:r>
              <w:rPr>
                <w:rFonts w:ascii="新宋体" w:hAnsi="新宋体" w:cs="新宋体" w:eastAsia="新宋体" w:hint="default"/>
                <w:sz w:val="18"/>
                <w:szCs w:val="18"/>
              </w:rPr>
              <w:t>分红年度</w:t>
            </w:r>
          </w:p>
        </w:tc>
        <w:tc>
          <w:tcPr>
            <w:tcW w:w="24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9"/>
              <w:ind w:left="298" w:right="0"/>
              <w:jc w:val="left"/>
              <w:rPr>
                <w:rFonts w:ascii="新宋体" w:hAnsi="新宋体" w:cs="新宋体" w:eastAsia="新宋体" w:hint="default"/>
                <w:sz w:val="18"/>
                <w:szCs w:val="18"/>
              </w:rPr>
            </w:pPr>
            <w:r>
              <w:rPr>
                <w:rFonts w:ascii="新宋体" w:hAnsi="新宋体" w:cs="新宋体" w:eastAsia="新宋体" w:hint="default"/>
                <w:sz w:val="18"/>
                <w:szCs w:val="18"/>
              </w:rPr>
              <w:t>现金分红金额（含税）</w:t>
            </w:r>
          </w:p>
        </w:tc>
        <w:tc>
          <w:tcPr>
            <w:tcW w:w="2393" w:type="dxa"/>
            <w:vMerge/>
            <w:tcBorders>
              <w:left w:val="single" w:sz="6" w:space="0" w:color="000000"/>
              <w:right w:val="single" w:sz="6" w:space="0" w:color="000000"/>
            </w:tcBorders>
            <w:shd w:val="clear" w:color="auto" w:fill="D2D2D2"/>
          </w:tcPr>
          <w:p>
            <w:pPr/>
          </w:p>
        </w:tc>
        <w:tc>
          <w:tcPr>
            <w:tcW w:w="2393" w:type="dxa"/>
            <w:vMerge/>
            <w:tcBorders>
              <w:left w:val="single" w:sz="6" w:space="0" w:color="000000"/>
              <w:right w:val="single" w:sz="12" w:space="0" w:color="000000"/>
            </w:tcBorders>
            <w:shd w:val="clear" w:color="auto" w:fill="D2D2D2"/>
          </w:tcPr>
          <w:p>
            <w:pPr/>
          </w:p>
        </w:tc>
      </w:tr>
      <w:tr>
        <w:trPr>
          <w:trHeight w:val="163" w:hRule="exact"/>
        </w:trPr>
        <w:tc>
          <w:tcPr>
            <w:tcW w:w="2375" w:type="dxa"/>
            <w:tcBorders>
              <w:top w:val="nil" w:sz="6" w:space="0" w:color="auto"/>
              <w:left w:val="single" w:sz="12" w:space="0" w:color="000000"/>
              <w:bottom w:val="single" w:sz="6" w:space="0" w:color="000000"/>
              <w:right w:val="single" w:sz="6" w:space="0" w:color="000000"/>
            </w:tcBorders>
            <w:shd w:val="clear" w:color="auto" w:fill="D2D2D2"/>
          </w:tcPr>
          <w:p>
            <w:pPr/>
          </w:p>
        </w:tc>
        <w:tc>
          <w:tcPr>
            <w:tcW w:w="2402" w:type="dxa"/>
            <w:tcBorders>
              <w:top w:val="nil" w:sz="6" w:space="0" w:color="auto"/>
              <w:left w:val="single" w:sz="6" w:space="0" w:color="000000"/>
              <w:bottom w:val="single" w:sz="6" w:space="0" w:color="000000"/>
              <w:right w:val="single" w:sz="6" w:space="0" w:color="000000"/>
            </w:tcBorders>
            <w:shd w:val="clear" w:color="auto" w:fill="D2D2D2"/>
          </w:tcPr>
          <w:p>
            <w:pPr/>
          </w:p>
        </w:tc>
        <w:tc>
          <w:tcPr>
            <w:tcW w:w="2393" w:type="dxa"/>
            <w:vMerge/>
            <w:tcBorders>
              <w:left w:val="single" w:sz="6" w:space="0" w:color="000000"/>
              <w:bottom w:val="single" w:sz="6" w:space="0" w:color="000000"/>
              <w:right w:val="single" w:sz="6" w:space="0" w:color="000000"/>
            </w:tcBorders>
            <w:shd w:val="clear" w:color="auto" w:fill="D2D2D2"/>
          </w:tcPr>
          <w:p>
            <w:pPr/>
          </w:p>
        </w:tc>
        <w:tc>
          <w:tcPr>
            <w:tcW w:w="2393" w:type="dxa"/>
            <w:vMerge/>
            <w:tcBorders>
              <w:left w:val="single" w:sz="6" w:space="0" w:color="000000"/>
              <w:bottom w:val="single" w:sz="6" w:space="0" w:color="000000"/>
              <w:right w:val="single" w:sz="12" w:space="0" w:color="000000"/>
            </w:tcBorders>
            <w:shd w:val="clear" w:color="auto" w:fill="D2D2D2"/>
          </w:tcPr>
          <w:p>
            <w:pPr/>
          </w:p>
        </w:tc>
      </w:tr>
      <w:tr>
        <w:trPr>
          <w:trHeight w:val="406"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2012</w:t>
            </w:r>
            <w:r>
              <w:rPr>
                <w:rFonts w:ascii="新宋体" w:hAnsi="新宋体" w:cs="新宋体" w:eastAsia="新宋体" w:hint="default"/>
                <w:spacing w:val="-45"/>
                <w:sz w:val="18"/>
                <w:szCs w:val="18"/>
              </w:rPr>
              <w:t> </w:t>
            </w:r>
            <w:r>
              <w:rPr>
                <w:rFonts w:ascii="新宋体" w:hAnsi="新宋体" w:cs="新宋体" w:eastAsia="新宋体" w:hint="default"/>
                <w:sz w:val="18"/>
                <w:szCs w:val="18"/>
              </w:rPr>
              <w:t>年</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5,900,000.00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47,339,574.86</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新宋体" w:hAnsi="新宋体" w:cs="新宋体" w:eastAsia="新宋体" w:hint="default"/>
                <w:sz w:val="18"/>
                <w:szCs w:val="18"/>
              </w:rPr>
            </w:pPr>
            <w:r>
              <w:rPr>
                <w:rFonts w:ascii="新宋体"/>
                <w:spacing w:val="-1"/>
                <w:sz w:val="18"/>
              </w:rPr>
              <w:t>12.46%</w:t>
            </w:r>
          </w:p>
        </w:tc>
      </w:tr>
      <w:tr>
        <w:trPr>
          <w:trHeight w:val="408" w:hRule="exact"/>
        </w:trPr>
        <w:tc>
          <w:tcPr>
            <w:tcW w:w="237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2011</w:t>
            </w:r>
            <w:r>
              <w:rPr>
                <w:rFonts w:ascii="新宋体" w:hAnsi="新宋体" w:cs="新宋体" w:eastAsia="新宋体" w:hint="default"/>
                <w:spacing w:val="-45"/>
                <w:sz w:val="18"/>
                <w:szCs w:val="18"/>
              </w:rPr>
              <w:t> </w:t>
            </w:r>
            <w:r>
              <w:rPr>
                <w:rFonts w:ascii="新宋体" w:hAnsi="新宋体" w:cs="新宋体" w:eastAsia="新宋体" w:hint="default"/>
                <w:sz w:val="18"/>
                <w:szCs w:val="18"/>
              </w:rPr>
              <w:t>年</w:t>
            </w:r>
          </w:p>
        </w:tc>
        <w:tc>
          <w:tcPr>
            <w:tcW w:w="240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7"/>
              <w:jc w:val="right"/>
              <w:rPr>
                <w:rFonts w:ascii="新宋体" w:hAnsi="新宋体" w:cs="新宋体" w:eastAsia="新宋体" w:hint="default"/>
                <w:sz w:val="18"/>
                <w:szCs w:val="18"/>
              </w:rPr>
            </w:pPr>
            <w:r>
              <w:rPr>
                <w:rFonts w:ascii="新宋体"/>
                <w:spacing w:val="-1"/>
                <w:sz w:val="18"/>
              </w:rPr>
              <w:t>11,800,000.00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新宋体" w:hAnsi="新宋体" w:cs="新宋体" w:eastAsia="新宋体" w:hint="default"/>
                <w:sz w:val="18"/>
                <w:szCs w:val="18"/>
              </w:rPr>
            </w:pPr>
            <w:r>
              <w:rPr>
                <w:rFonts w:ascii="新宋体"/>
                <w:spacing w:val="-1"/>
                <w:sz w:val="18"/>
              </w:rPr>
              <w:t>64,641,439.37</w:t>
            </w:r>
          </w:p>
        </w:tc>
        <w:tc>
          <w:tcPr>
            <w:tcW w:w="23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新宋体" w:hAnsi="新宋体" w:cs="新宋体" w:eastAsia="新宋体" w:hint="default"/>
                <w:sz w:val="18"/>
                <w:szCs w:val="18"/>
              </w:rPr>
            </w:pPr>
            <w:r>
              <w:rPr>
                <w:rFonts w:ascii="新宋体"/>
                <w:spacing w:val="-1"/>
                <w:sz w:val="18"/>
              </w:rPr>
              <w:t>18.25%</w:t>
            </w:r>
          </w:p>
        </w:tc>
      </w:tr>
      <w:tr>
        <w:trPr>
          <w:trHeight w:val="413" w:hRule="exact"/>
        </w:trPr>
        <w:tc>
          <w:tcPr>
            <w:tcW w:w="237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7" w:right="0"/>
              <w:jc w:val="left"/>
              <w:rPr>
                <w:rFonts w:ascii="新宋体" w:hAnsi="新宋体" w:cs="新宋体" w:eastAsia="新宋体" w:hint="default"/>
                <w:sz w:val="18"/>
                <w:szCs w:val="18"/>
              </w:rPr>
            </w:pPr>
            <w:r>
              <w:rPr>
                <w:rFonts w:ascii="新宋体" w:hAnsi="新宋体" w:cs="新宋体" w:eastAsia="新宋体" w:hint="default"/>
                <w:sz w:val="18"/>
                <w:szCs w:val="18"/>
              </w:rPr>
              <w:t>2010</w:t>
            </w:r>
            <w:r>
              <w:rPr>
                <w:rFonts w:ascii="新宋体" w:hAnsi="新宋体" w:cs="新宋体" w:eastAsia="新宋体" w:hint="default"/>
                <w:spacing w:val="-45"/>
                <w:sz w:val="18"/>
                <w:szCs w:val="18"/>
              </w:rPr>
              <w:t> </w:t>
            </w:r>
            <w:r>
              <w:rPr>
                <w:rFonts w:ascii="新宋体" w:hAnsi="新宋体" w:cs="新宋体" w:eastAsia="新宋体" w:hint="default"/>
                <w:sz w:val="18"/>
                <w:szCs w:val="18"/>
              </w:rPr>
              <w:t>年</w:t>
            </w:r>
          </w:p>
        </w:tc>
        <w:tc>
          <w:tcPr>
            <w:tcW w:w="240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49"/>
              <w:ind w:right="17"/>
              <w:jc w:val="right"/>
              <w:rPr>
                <w:rFonts w:ascii="新宋体" w:hAnsi="新宋体" w:cs="新宋体" w:eastAsia="新宋体" w:hint="default"/>
                <w:sz w:val="18"/>
                <w:szCs w:val="18"/>
              </w:rPr>
            </w:pPr>
            <w:r>
              <w:rPr>
                <w:rFonts w:ascii="新宋体"/>
                <w:spacing w:val="-1"/>
                <w:sz w:val="18"/>
              </w:rPr>
              <w:t>11,800,000.00</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新宋体" w:hAnsi="新宋体" w:cs="新宋体" w:eastAsia="新宋体" w:hint="default"/>
                <w:sz w:val="18"/>
                <w:szCs w:val="18"/>
              </w:rPr>
            </w:pPr>
            <w:r>
              <w:rPr>
                <w:rFonts w:ascii="新宋体"/>
                <w:spacing w:val="-1"/>
                <w:sz w:val="18"/>
              </w:rPr>
              <w:t>42,324,462.28</w:t>
            </w:r>
          </w:p>
        </w:tc>
        <w:tc>
          <w:tcPr>
            <w:tcW w:w="23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1"/>
              <w:jc w:val="right"/>
              <w:rPr>
                <w:rFonts w:ascii="新宋体" w:hAnsi="新宋体" w:cs="新宋体" w:eastAsia="新宋体" w:hint="default"/>
                <w:sz w:val="18"/>
                <w:szCs w:val="18"/>
              </w:rPr>
            </w:pPr>
            <w:r>
              <w:rPr>
                <w:rFonts w:ascii="新宋体"/>
                <w:spacing w:val="-1"/>
                <w:sz w:val="18"/>
              </w:rPr>
              <w:t>27.88%</w:t>
            </w:r>
          </w:p>
        </w:tc>
      </w:tr>
    </w:tbl>
    <w:p>
      <w:pPr>
        <w:spacing w:line="240" w:lineRule="auto" w:before="7"/>
        <w:rPr>
          <w:rFonts w:ascii="新宋体" w:hAnsi="新宋体" w:cs="新宋体" w:eastAsia="新宋体" w:hint="default"/>
          <w:sz w:val="19"/>
          <w:szCs w:val="19"/>
        </w:rPr>
      </w:pPr>
    </w:p>
    <w:p>
      <w:pPr>
        <w:pStyle w:val="BodyText"/>
        <w:spacing w:line="240" w:lineRule="auto" w:before="26"/>
        <w:ind w:left="638" w:right="252"/>
        <w:jc w:val="left"/>
      </w:pPr>
      <w:r>
        <w:rPr/>
        <w:t>公司报告期内盈利且母公司未分配利润为正但未提出现金红利分配预案</w:t>
      </w:r>
    </w:p>
    <w:p>
      <w:pPr>
        <w:pStyle w:val="BodyText"/>
        <w:spacing w:line="240" w:lineRule="auto" w:before="194"/>
        <w:ind w:left="212" w:right="0"/>
        <w:jc w:val="both"/>
      </w:pPr>
      <w:r>
        <w:rPr/>
        <w:t>□ 适用 √</w:t>
      </w:r>
      <w:r>
        <w:rPr>
          <w:spacing w:val="-1"/>
        </w:rPr>
        <w:t> </w:t>
      </w:r>
      <w:r>
        <w:rPr/>
        <w:t>不适用</w:t>
      </w:r>
    </w:p>
    <w:p>
      <w:pPr>
        <w:spacing w:line="240" w:lineRule="auto" w:before="8"/>
        <w:rPr>
          <w:rFonts w:ascii="新宋体" w:hAnsi="新宋体" w:cs="新宋体" w:eastAsia="新宋体" w:hint="default"/>
          <w:sz w:val="28"/>
          <w:szCs w:val="28"/>
        </w:rPr>
      </w:pPr>
    </w:p>
    <w:p>
      <w:pPr>
        <w:pStyle w:val="Heading2"/>
        <w:spacing w:line="240" w:lineRule="auto"/>
        <w:ind w:left="212" w:right="0"/>
        <w:jc w:val="both"/>
        <w:rPr>
          <w:b w:val="0"/>
          <w:bCs w:val="0"/>
        </w:rPr>
      </w:pPr>
      <w:r>
        <w:rPr/>
        <w:t>六、内幕信息知情人管理制度的建立和执行情况</w:t>
      </w:r>
      <w:r>
        <w:rPr>
          <w:b w:val="0"/>
          <w:bCs w:val="0"/>
        </w:rPr>
      </w:r>
    </w:p>
    <w:p>
      <w:pPr>
        <w:spacing w:line="240" w:lineRule="auto" w:before="11"/>
        <w:rPr>
          <w:rFonts w:ascii="宋体" w:hAnsi="宋体" w:cs="宋体" w:eastAsia="宋体" w:hint="default"/>
          <w:b/>
          <w:bCs/>
          <w:sz w:val="28"/>
          <w:szCs w:val="28"/>
        </w:rPr>
      </w:pPr>
    </w:p>
    <w:p>
      <w:pPr>
        <w:pStyle w:val="BodyText"/>
        <w:spacing w:line="388" w:lineRule="auto" w:before="0"/>
        <w:ind w:left="585" w:right="341"/>
        <w:jc w:val="left"/>
      </w:pPr>
      <w:r>
        <w:rPr/>
        <w:t>（一）制度的建立及修订情况 为规范公司内幕信息管理行为，加强内幕信息保密工作，维护公司信息披露的公开、</w:t>
      </w:r>
    </w:p>
    <w:p>
      <w:pPr>
        <w:pStyle w:val="BodyText"/>
        <w:spacing w:line="357" w:lineRule="auto" w:before="5"/>
        <w:ind w:left="212" w:right="251"/>
        <w:jc w:val="both"/>
      </w:pPr>
      <w:r>
        <w:rPr/>
        <w:t>公平、公正原则，根据《公司法》、《证券法》、《上市公司信息披露管理办法》、《深 圳证券交易所创业板股票上市规则》、《深圳证券交易所创业板上市公司规范运作指引》 及其他相关法律、法规和规定，结合公司实际情况，公司第一届董事会第十一次会议审议 制定《内幕信息知情人登记制度》，对内幕信息及内幕信息知情人的定义及认定标准、内 幕信息的保密义务及违规处罚、内幕信息的传递、审核及披露以及内幕信息知情人的登记 备案工作程序等内容做出了明确规定。</w:t>
      </w:r>
    </w:p>
    <w:p>
      <w:pPr>
        <w:pStyle w:val="BodyText"/>
        <w:spacing w:line="357" w:lineRule="auto" w:before="77"/>
        <w:ind w:left="212" w:right="234" w:firstLine="372"/>
        <w:jc w:val="left"/>
      </w:pPr>
      <w:r>
        <w:rPr>
          <w:rFonts w:ascii="新宋体" w:hAnsi="新宋体" w:cs="新宋体" w:eastAsia="新宋体" w:hint="default"/>
        </w:rPr>
        <w:t>2011</w:t>
      </w:r>
      <w:r>
        <w:rPr/>
        <w:t>年</w:t>
      </w:r>
      <w:r>
        <w:rPr>
          <w:rFonts w:ascii="新宋体" w:hAnsi="新宋体" w:cs="新宋体" w:eastAsia="新宋体" w:hint="default"/>
        </w:rPr>
        <w:t>11</w:t>
      </w:r>
      <w:r>
        <w:rPr/>
        <w:t>月</w:t>
      </w:r>
      <w:r>
        <w:rPr>
          <w:rFonts w:ascii="新宋体" w:hAnsi="新宋体" w:cs="新宋体" w:eastAsia="新宋体" w:hint="default"/>
        </w:rPr>
        <w:t>23</w:t>
      </w:r>
      <w:r>
        <w:rPr/>
        <w:t>日，根据中国证监会《关于上市公司建立内幕信息知情人登记管理制度 的规定》（中国证监会公告〔</w:t>
      </w:r>
      <w:r>
        <w:rPr>
          <w:rFonts w:ascii="新宋体" w:hAnsi="新宋体" w:cs="新宋体" w:eastAsia="新宋体" w:hint="default"/>
        </w:rPr>
        <w:t>2011</w:t>
      </w:r>
      <w:r>
        <w:rPr/>
        <w:t>〕</w:t>
      </w:r>
      <w:r>
        <w:rPr>
          <w:rFonts w:ascii="新宋体" w:hAnsi="新宋体" w:cs="新宋体" w:eastAsia="新宋体" w:hint="default"/>
        </w:rPr>
        <w:t>30</w:t>
      </w:r>
      <w:r>
        <w:rPr/>
        <w:t>号），公司第二届董事会第十一次会议对《内幕信</w:t>
      </w:r>
    </w:p>
    <w:p>
      <w:pPr>
        <w:spacing w:after="0" w:line="357" w:lineRule="auto"/>
        <w:jc w:val="left"/>
        <w:sectPr>
          <w:type w:val="continuous"/>
          <w:pgSz w:w="11910" w:h="16840"/>
          <w:pgMar w:top="1060" w:bottom="1160" w:left="920" w:right="1160"/>
        </w:sectPr>
      </w:pPr>
    </w:p>
    <w:p>
      <w:pPr>
        <w:spacing w:line="240" w:lineRule="auto" w:before="7"/>
        <w:rPr>
          <w:rFonts w:ascii="新宋体" w:hAnsi="新宋体" w:cs="新宋体" w:eastAsia="新宋体" w:hint="default"/>
          <w:sz w:val="25"/>
          <w:szCs w:val="25"/>
        </w:rPr>
      </w:pPr>
    </w:p>
    <w:p>
      <w:pPr>
        <w:pStyle w:val="BodyText"/>
        <w:spacing w:line="240" w:lineRule="auto" w:before="26"/>
        <w:ind w:right="268"/>
        <w:jc w:val="left"/>
      </w:pPr>
      <w:r>
        <w:rPr/>
        <w:t>息知情人登记制度》进行了相关修订。</w:t>
      </w:r>
    </w:p>
    <w:p>
      <w:pPr>
        <w:pStyle w:val="BodyText"/>
        <w:spacing w:line="386" w:lineRule="auto" w:before="195"/>
        <w:ind w:left="525" w:right="5241"/>
        <w:jc w:val="left"/>
      </w:pPr>
      <w:r>
        <w:rPr/>
        <w:t>（二）制度的具体执行情况 </w:t>
      </w:r>
      <w:r>
        <w:rPr>
          <w:rFonts w:ascii="新宋体" w:hAnsi="新宋体" w:cs="新宋体" w:eastAsia="新宋体" w:hint="default"/>
        </w:rPr>
        <w:t>1</w:t>
      </w:r>
      <w:r>
        <w:rPr/>
        <w:t>、定期报告披露期间的信息保密工作</w:t>
      </w:r>
    </w:p>
    <w:p>
      <w:pPr>
        <w:pStyle w:val="BodyText"/>
        <w:spacing w:line="357" w:lineRule="auto" w:before="48"/>
        <w:ind w:right="214" w:firstLine="372"/>
        <w:jc w:val="left"/>
      </w:pPr>
      <w:r>
        <w:rPr/>
        <w:t>公司按照《内幕信息知情人登记制度》的有关规定，严格执行对外部单位报送信息以 及外部信息使用人的各项监管要求，在定期报告披露期间做好公司的内幕信息保密工作。 经过自查，公司董事、监事、高级管理人员及其他内幕信息知情人员未出现利用内幕信息 从事内幕交易的情况。</w:t>
      </w:r>
    </w:p>
    <w:p>
      <w:pPr>
        <w:pStyle w:val="BodyText"/>
        <w:spacing w:line="357" w:lineRule="auto" w:before="77"/>
        <w:ind w:right="214" w:firstLine="372"/>
        <w:jc w:val="left"/>
      </w:pPr>
      <w:r>
        <w:rPr/>
        <w:t>公司定期报告披露期间，公司组织董事、监事、高管、证券部、财务部人员及相关中 介服务机构工作人员签订了《内幕信息知情人登记备案表》及《保密协议书》，并保存于 公司董事会办公室，严格做好了内幕信息的保密工作，并依据各项法规制度控制内幕信息 传递和知情范围。</w:t>
      </w:r>
    </w:p>
    <w:p>
      <w:pPr>
        <w:pStyle w:val="BodyText"/>
        <w:spacing w:line="388" w:lineRule="auto" w:before="74"/>
        <w:ind w:left="525" w:right="321"/>
        <w:jc w:val="left"/>
      </w:pPr>
      <w:r>
        <w:rPr>
          <w:rFonts w:ascii="新宋体" w:hAnsi="新宋体" w:cs="新宋体" w:eastAsia="新宋体" w:hint="default"/>
        </w:rPr>
        <w:t>2</w:t>
      </w:r>
      <w:r>
        <w:rPr/>
        <w:t>、基金公司调研期间的信息保密工作 在定期报告及重大事项披露前的一段时间内，公司尽量避免基金公司的调研，努力做</w:t>
      </w:r>
    </w:p>
    <w:p>
      <w:pPr>
        <w:pStyle w:val="BodyText"/>
        <w:spacing w:line="388" w:lineRule="auto" w:before="5"/>
        <w:ind w:left="525" w:right="99" w:hanging="373"/>
        <w:jc w:val="left"/>
      </w:pPr>
      <w:r>
        <w:rPr/>
        <w:t>好定期报告及重大事项披露期间的信息保密工作。 </w:t>
      </w:r>
      <w:r>
        <w:rPr>
          <w:spacing w:val="-1"/>
        </w:rPr>
        <w:t>在日常的工作中接待基金公司调研，董事会办公室切实履行相关的信息保密工作程序。</w:t>
      </w:r>
    </w:p>
    <w:p>
      <w:pPr>
        <w:pStyle w:val="BodyText"/>
        <w:spacing w:line="357" w:lineRule="auto" w:before="5"/>
        <w:ind w:right="99"/>
        <w:jc w:val="left"/>
      </w:pPr>
      <w:r>
        <w:rPr>
          <w:spacing w:val="-4"/>
        </w:rPr>
        <w:t>在进行调研前，先对调研员的个人信息进行备案，同时签署《保密协议书》及《承诺书》，</w:t>
      </w:r>
      <w:r>
        <w:rPr>
          <w:spacing w:val="-88"/>
        </w:rPr>
        <w:t> </w:t>
      </w:r>
      <w:r>
        <w:rPr>
          <w:spacing w:val="-88"/>
        </w:rPr>
      </w:r>
      <w:r>
        <w:rPr/>
        <w:t>调研员对在调研过程中知悉的公司重大信息负有保密义务，并承诺在对外出具报告前需经</w:t>
      </w:r>
      <w:r>
        <w:rPr/>
        <w:t> 上市公司认可，否则将承担相应的责任。在调研过程中，董事会办公室人员认真做好相关 会议记录，记录调研员的所提的问题及公司高管的答复。</w:t>
      </w:r>
    </w:p>
    <w:p>
      <w:pPr>
        <w:pStyle w:val="BodyText"/>
        <w:spacing w:line="388" w:lineRule="auto" w:before="74"/>
        <w:ind w:left="525" w:right="214"/>
        <w:jc w:val="left"/>
      </w:pPr>
      <w:r>
        <w:rPr>
          <w:rFonts w:ascii="新宋体" w:hAnsi="新宋体" w:cs="新宋体" w:eastAsia="新宋体" w:hint="default"/>
        </w:rPr>
        <w:t>3</w:t>
      </w:r>
      <w:r>
        <w:rPr/>
        <w:t>、其他重大事件的信息保密工作 </w:t>
      </w:r>
      <w:r>
        <w:rPr>
          <w:spacing w:val="2"/>
        </w:rPr>
        <w:t>在其他重大事项（如对外投资等）未披露前，公司及相关信息披露义务人采取保密措</w:t>
      </w:r>
    </w:p>
    <w:p>
      <w:pPr>
        <w:pStyle w:val="BodyText"/>
        <w:spacing w:line="240" w:lineRule="auto" w:before="5"/>
        <w:ind w:right="268"/>
        <w:jc w:val="left"/>
      </w:pPr>
      <w:r>
        <w:rPr/>
        <w:t>施，签订相关的保密协议，以保证信息处于可控范围。</w:t>
      </w:r>
    </w:p>
    <w:p>
      <w:pPr>
        <w:pStyle w:val="BodyText"/>
        <w:spacing w:line="357" w:lineRule="auto" w:before="194"/>
        <w:ind w:right="214" w:firstLine="372"/>
        <w:jc w:val="left"/>
      </w:pPr>
      <w:r>
        <w:rPr>
          <w:spacing w:val="2"/>
        </w:rPr>
        <w:t>（三）报告期内公司内幕信息知情人涉嫌内幕交易自查情况，以及监管部门的查处和</w:t>
      </w:r>
      <w:r>
        <w:rPr/>
        <w:t> 整改情况</w:t>
      </w:r>
    </w:p>
    <w:p>
      <w:pPr>
        <w:pStyle w:val="BodyText"/>
        <w:spacing w:line="357" w:lineRule="auto" w:before="74"/>
        <w:ind w:right="214" w:firstLine="372"/>
        <w:jc w:val="left"/>
      </w:pPr>
      <w:r>
        <w:rPr/>
        <w:t>报告期内，公司董事、监事及高级管理人员和其他相关知情人严格遵守了内幕信息知 </w:t>
      </w:r>
      <w:r>
        <w:rPr>
          <w:spacing w:val="-1"/>
        </w:rPr>
        <w:t>情人管理制度，未发现有内幕信息知情人利用内幕信息买卖本公司股份的情况。报告期内</w:t>
      </w:r>
      <w:r>
        <w:rPr>
          <w:spacing w:val="-87"/>
        </w:rPr>
        <w:t> </w:t>
      </w:r>
      <w:r>
        <w:rPr>
          <w:spacing w:val="-87"/>
        </w:rPr>
      </w:r>
      <w:r>
        <w:rPr/>
        <w:t>公司也未发生因涉嫌内幕交易而受到监管部门查处和整改的情形。</w:t>
      </w:r>
    </w:p>
    <w:p>
      <w:pPr>
        <w:spacing w:after="0" w:line="357" w:lineRule="auto"/>
        <w:jc w:val="left"/>
        <w:sectPr>
          <w:pgSz w:w="11910" w:h="16840"/>
          <w:pgMar w:header="555" w:footer="980" w:top="1100" w:bottom="1160" w:left="980" w:right="1180"/>
        </w:sectPr>
      </w:pPr>
    </w:p>
    <w:p>
      <w:pPr>
        <w:spacing w:line="240" w:lineRule="auto" w:before="9"/>
        <w:rPr>
          <w:rFonts w:ascii="新宋体" w:hAnsi="新宋体" w:cs="新宋体" w:eastAsia="新宋体" w:hint="default"/>
          <w:sz w:val="19"/>
          <w:szCs w:val="19"/>
        </w:rPr>
      </w:pPr>
      <w:r>
        <w:rPr/>
        <w:pict>
          <v:shape style="position:absolute;margin-left:388.01001pt;margin-top:199.459976pt;width:144.8pt;height:22.05pt;mso-position-horizontal-relative:page;mso-position-vertical-relative:page;z-index:-947416" type="#_x0000_t202" filled="false" stroked="false">
            <v:textbox inset="0,0,0,0">
              <w:txbxContent>
                <w:p>
                  <w:pPr>
                    <w:spacing w:line="240" w:lineRule="auto" w:before="9"/>
                    <w:rPr>
                      <w:rFonts w:ascii="新宋体" w:hAnsi="新宋体" w:cs="新宋体" w:eastAsia="新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海通证券、</w:t>
                  </w:r>
                </w:p>
              </w:txbxContent>
            </v:textbox>
            <w10:wrap type="none"/>
          </v:shape>
        </w:pict>
      </w:r>
      <w:r>
        <w:rPr/>
        <w:pict>
          <v:group style="position:absolute;margin-left:431.230011pt;margin-top:199.459976pt;width:101.55pt;height:17.650pt;mso-position-horizontal-relative:page;mso-position-vertical-relative:page;z-index:-947392" coordorigin="8625,3989" coordsize="2031,353">
            <v:shape style="position:absolute;left:8625;top:3989;width:2031;height:353" coordorigin="8625,3989" coordsize="2031,353" path="m8625,4342l10655,4342,10655,3989,8625,3989,8625,4342xe" filled="true" fillcolor="#ffffff" stroked="false">
              <v:path arrowok="t"/>
              <v:fill type="solid"/>
            </v:shape>
            <w10:wrap type="none"/>
          </v:group>
        </w:pict>
      </w:r>
    </w:p>
    <w:p>
      <w:pPr>
        <w:pStyle w:val="Heading2"/>
        <w:spacing w:line="240" w:lineRule="auto" w:before="26"/>
        <w:ind w:left="312" w:right="0"/>
        <w:jc w:val="left"/>
        <w:rPr>
          <w:rFonts w:ascii="新宋体" w:hAnsi="新宋体" w:cs="新宋体" w:eastAsia="新宋体" w:hint="default"/>
          <w:b w:val="0"/>
          <w:bCs w:val="0"/>
        </w:rPr>
      </w:pPr>
      <w:r>
        <w:rPr>
          <w:rFonts w:ascii="新宋体" w:hAnsi="新宋体" w:cs="新宋体" w:eastAsia="新宋体" w:hint="default"/>
        </w:rPr>
        <w:t>七、报告期内接待调研、沟通、采访等活动登记表</w:t>
      </w:r>
      <w:r>
        <w:rPr>
          <w:rFonts w:ascii="新宋体" w:hAnsi="新宋体" w:cs="新宋体" w:eastAsia="新宋体" w:hint="default"/>
          <w:b w:val="0"/>
          <w:bCs w:val="0"/>
        </w:rPr>
      </w:r>
    </w:p>
    <w:p>
      <w:pPr>
        <w:spacing w:line="240" w:lineRule="auto" w:before="12"/>
        <w:rPr>
          <w:rFonts w:ascii="新宋体" w:hAnsi="新宋体" w:cs="新宋体" w:eastAsia="新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493"/>
        <w:gridCol w:w="1058"/>
        <w:gridCol w:w="850"/>
        <w:gridCol w:w="710"/>
        <w:gridCol w:w="3543"/>
        <w:gridCol w:w="2086"/>
      </w:tblGrid>
      <w:tr>
        <w:trPr>
          <w:trHeight w:val="725" w:hRule="exact"/>
        </w:trPr>
        <w:tc>
          <w:tcPr>
            <w:tcW w:w="14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0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b/>
                <w:bCs/>
                <w:w w:val="95"/>
                <w:sz w:val="18"/>
                <w:szCs w:val="18"/>
              </w:rPr>
              <w:t>接待地点</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b/>
                <w:bCs/>
                <w:sz w:val="18"/>
                <w:szCs w:val="18"/>
              </w:rPr>
              <w:t>接待对</w:t>
            </w:r>
            <w:r>
              <w:rPr>
                <w:rFonts w:ascii="宋体" w:hAnsi="宋体" w:cs="宋体" w:eastAsia="宋体" w:hint="default"/>
                <w:b/>
                <w:bCs/>
                <w:w w:val="99"/>
                <w:sz w:val="18"/>
                <w:szCs w:val="18"/>
              </w:rPr>
              <w:t> </w:t>
            </w:r>
            <w:r>
              <w:rPr>
                <w:rFonts w:ascii="宋体" w:hAnsi="宋体" w:cs="宋体" w:eastAsia="宋体" w:hint="default"/>
                <w:b/>
                <w:bCs/>
                <w:sz w:val="18"/>
                <w:szCs w:val="18"/>
              </w:rPr>
              <w:t>象类型</w:t>
            </w:r>
            <w:r>
              <w:rPr>
                <w:rFonts w:ascii="宋体" w:hAnsi="宋体" w:cs="宋体" w:eastAsia="宋体" w:hint="default"/>
                <w:sz w:val="18"/>
                <w:szCs w:val="18"/>
              </w:rPr>
            </w:r>
          </w:p>
        </w:tc>
        <w:tc>
          <w:tcPr>
            <w:tcW w:w="35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20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49"/>
              <w:ind w:left="854" w:right="32" w:hanging="812"/>
              <w:jc w:val="left"/>
              <w:rPr>
                <w:rFonts w:ascii="宋体" w:hAnsi="宋体" w:cs="宋体" w:eastAsia="宋体" w:hint="default"/>
                <w:sz w:val="18"/>
                <w:szCs w:val="18"/>
              </w:rPr>
            </w:pPr>
            <w:r>
              <w:rPr>
                <w:rFonts w:ascii="宋体" w:hAnsi="宋体" w:cs="宋体" w:eastAsia="宋体" w:hint="default"/>
                <w:b/>
                <w:bCs/>
                <w:sz w:val="18"/>
                <w:szCs w:val="18"/>
              </w:rPr>
              <w:t>谈论的主要内容及提供的</w:t>
            </w:r>
            <w:r>
              <w:rPr>
                <w:rFonts w:ascii="宋体" w:hAnsi="宋体" w:cs="宋体" w:eastAsia="宋体" w:hint="default"/>
                <w:b/>
                <w:bCs/>
                <w:w w:val="99"/>
                <w:sz w:val="18"/>
                <w:szCs w:val="18"/>
              </w:rPr>
              <w:t> </w:t>
            </w:r>
            <w:r>
              <w:rPr>
                <w:rFonts w:ascii="宋体" w:hAnsi="宋体" w:cs="宋体" w:eastAsia="宋体" w:hint="default"/>
                <w:b/>
                <w:bCs/>
                <w:sz w:val="18"/>
                <w:szCs w:val="18"/>
              </w:rPr>
              <w:t>资料</w:t>
            </w:r>
            <w:r>
              <w:rPr>
                <w:rFonts w:ascii="宋体" w:hAnsi="宋体" w:cs="宋体" w:eastAsia="宋体" w:hint="default"/>
                <w:sz w:val="18"/>
                <w:szCs w:val="18"/>
              </w:rPr>
            </w:r>
          </w:p>
        </w:tc>
      </w:tr>
      <w:tr>
        <w:trPr>
          <w:trHeight w:val="1032" w:hRule="exact"/>
        </w:trPr>
        <w:tc>
          <w:tcPr>
            <w:tcW w:w="14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b/>
                <w:bCs/>
                <w:sz w:val="18"/>
                <w:szCs w:val="18"/>
              </w:rPr>
            </w:pPr>
          </w:p>
          <w:p>
            <w:pPr>
              <w:pStyle w:val="TableParagraph"/>
              <w:spacing w:line="240" w:lineRule="auto" w:before="128"/>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84"/>
              <w:jc w:val="both"/>
              <w:rPr>
                <w:rFonts w:ascii="宋体" w:hAnsi="宋体" w:cs="宋体" w:eastAsia="宋体" w:hint="default"/>
                <w:sz w:val="18"/>
                <w:szCs w:val="18"/>
              </w:rPr>
            </w:pPr>
            <w:r>
              <w:rPr>
                <w:rFonts w:ascii="宋体" w:hAnsi="宋体" w:cs="宋体" w:eastAsia="宋体" w:hint="default"/>
                <w:sz w:val="18"/>
                <w:szCs w:val="18"/>
              </w:rPr>
              <w:t>东方基金、民生证券、信达澳银基金、生命 保险资产管理公司、生命人寿、民生加银基 金、上海尚雅投资</w:t>
            </w:r>
          </w:p>
        </w:tc>
        <w:tc>
          <w:tcPr>
            <w:tcW w:w="20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314" w:lineRule="auto"/>
              <w:ind w:left="21" w:right="62"/>
              <w:jc w:val="left"/>
              <w:rPr>
                <w:rFonts w:ascii="宋体" w:hAnsi="宋体" w:cs="宋体" w:eastAsia="宋体" w:hint="default"/>
                <w:sz w:val="18"/>
                <w:szCs w:val="18"/>
              </w:rPr>
            </w:pPr>
            <w:r>
              <w:rPr>
                <w:rFonts w:ascii="宋体" w:hAnsi="宋体" w:cs="宋体" w:eastAsia="宋体" w:hint="default"/>
                <w:sz w:val="18"/>
                <w:szCs w:val="18"/>
              </w:rPr>
              <w:t>公司经营发展情况及公司 产品情况说明</w:t>
            </w:r>
          </w:p>
        </w:tc>
      </w:tr>
      <w:tr>
        <w:trPr>
          <w:trHeight w:val="1032" w:hRule="exact"/>
        </w:trPr>
        <w:tc>
          <w:tcPr>
            <w:tcW w:w="14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b/>
                <w:bCs/>
                <w:sz w:val="18"/>
                <w:szCs w:val="18"/>
              </w:rPr>
            </w:pPr>
          </w:p>
          <w:p>
            <w:pPr>
              <w:pStyle w:val="TableParagraph"/>
              <w:spacing w:line="240" w:lineRule="auto" w:before="125"/>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43"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49"/>
              <w:ind w:left="21" w:right="81"/>
              <w:jc w:val="left"/>
              <w:rPr>
                <w:rFonts w:ascii="宋体" w:hAnsi="宋体" w:cs="宋体" w:eastAsia="宋体" w:hint="default"/>
                <w:sz w:val="18"/>
                <w:szCs w:val="18"/>
              </w:rPr>
            </w:pPr>
            <w:r>
              <w:rPr>
                <w:rFonts w:ascii="宋体" w:hAnsi="宋体" w:cs="宋体" w:eastAsia="宋体" w:hint="default"/>
                <w:sz w:val="18"/>
                <w:szCs w:val="18"/>
              </w:rPr>
              <w:t>广州金域投资、北京鑫元览众投资、光大证 券、国联安基金、上海尚雅投资、 信达澳银基金、第一创业证券、新时代信托</w:t>
            </w:r>
          </w:p>
        </w:tc>
        <w:tc>
          <w:tcPr>
            <w:tcW w:w="2086" w:type="dxa"/>
            <w:tcBorders>
              <w:top w:val="single" w:sz="6" w:space="0" w:color="000000"/>
              <w:left w:val="single" w:sz="9" w:space="0" w:color="FFFFFF"/>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316" w:lineRule="auto"/>
              <w:ind w:left="17" w:right="62"/>
              <w:jc w:val="left"/>
              <w:rPr>
                <w:rFonts w:ascii="宋体" w:hAnsi="宋体" w:cs="宋体" w:eastAsia="宋体" w:hint="default"/>
                <w:sz w:val="18"/>
                <w:szCs w:val="18"/>
              </w:rPr>
            </w:pPr>
            <w:r>
              <w:rPr>
                <w:rFonts w:ascii="宋体" w:hAnsi="宋体" w:cs="宋体" w:eastAsia="宋体" w:hint="default"/>
                <w:sz w:val="18"/>
                <w:szCs w:val="18"/>
              </w:rPr>
              <w:t>公司经营发展情况及公司 产品情况说明</w:t>
            </w:r>
          </w:p>
        </w:tc>
      </w:tr>
      <w:tr>
        <w:trPr>
          <w:trHeight w:val="718" w:hRule="exact"/>
        </w:trPr>
        <w:tc>
          <w:tcPr>
            <w:tcW w:w="14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广发基金、万家基金、宏源证券</w:t>
            </w:r>
          </w:p>
        </w:tc>
        <w:tc>
          <w:tcPr>
            <w:tcW w:w="2086"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62"/>
              <w:jc w:val="left"/>
              <w:rPr>
                <w:rFonts w:ascii="宋体" w:hAnsi="宋体" w:cs="宋体" w:eastAsia="宋体" w:hint="default"/>
                <w:sz w:val="18"/>
                <w:szCs w:val="18"/>
              </w:rPr>
            </w:pPr>
            <w:r>
              <w:rPr>
                <w:rFonts w:ascii="宋体" w:hAnsi="宋体" w:cs="宋体" w:eastAsia="宋体" w:hint="default"/>
                <w:sz w:val="18"/>
                <w:szCs w:val="18"/>
              </w:rPr>
              <w:t>公司经营发展情况及公司 产品情况说明</w:t>
            </w:r>
          </w:p>
        </w:tc>
      </w:tr>
      <w:tr>
        <w:trPr>
          <w:trHeight w:val="720" w:hRule="exact"/>
        </w:trPr>
        <w:tc>
          <w:tcPr>
            <w:tcW w:w="14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84"/>
              <w:jc w:val="left"/>
              <w:rPr>
                <w:rFonts w:ascii="宋体" w:hAnsi="宋体" w:cs="宋体" w:eastAsia="宋体" w:hint="default"/>
                <w:sz w:val="18"/>
                <w:szCs w:val="18"/>
              </w:rPr>
            </w:pPr>
            <w:r>
              <w:rPr>
                <w:rFonts w:ascii="宋体" w:hAnsi="宋体" w:cs="宋体" w:eastAsia="宋体" w:hint="default"/>
                <w:sz w:val="18"/>
                <w:szCs w:val="18"/>
              </w:rPr>
              <w:t>博时基金、安信证券、海通证券、民生加银 基金</w:t>
            </w:r>
          </w:p>
        </w:tc>
        <w:tc>
          <w:tcPr>
            <w:tcW w:w="2086"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62"/>
              <w:jc w:val="left"/>
              <w:rPr>
                <w:rFonts w:ascii="宋体" w:hAnsi="宋体" w:cs="宋体" w:eastAsia="宋体" w:hint="default"/>
                <w:sz w:val="18"/>
                <w:szCs w:val="18"/>
              </w:rPr>
            </w:pPr>
            <w:r>
              <w:rPr>
                <w:rFonts w:ascii="宋体" w:hAnsi="宋体" w:cs="宋体" w:eastAsia="宋体" w:hint="default"/>
                <w:sz w:val="18"/>
                <w:szCs w:val="18"/>
              </w:rPr>
              <w:t>公司经营发展情况及公司 产品情况说明</w:t>
            </w:r>
          </w:p>
        </w:tc>
      </w:tr>
      <w:tr>
        <w:trPr>
          <w:trHeight w:val="718" w:hRule="exact"/>
        </w:trPr>
        <w:tc>
          <w:tcPr>
            <w:tcW w:w="14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广发基金、广发证券、万家基金</w:t>
            </w:r>
          </w:p>
        </w:tc>
        <w:tc>
          <w:tcPr>
            <w:tcW w:w="2086"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60"/>
              <w:jc w:val="left"/>
              <w:rPr>
                <w:rFonts w:ascii="宋体" w:hAnsi="宋体" w:cs="宋体" w:eastAsia="宋体" w:hint="default"/>
                <w:sz w:val="18"/>
                <w:szCs w:val="18"/>
              </w:rPr>
            </w:pPr>
            <w:r>
              <w:rPr>
                <w:rFonts w:ascii="宋体" w:hAnsi="宋体" w:cs="宋体" w:eastAsia="宋体" w:hint="default"/>
                <w:sz w:val="18"/>
                <w:szCs w:val="18"/>
              </w:rPr>
              <w:t>公司经营发展情况及公司 产品情况说明</w:t>
            </w:r>
          </w:p>
        </w:tc>
      </w:tr>
      <w:tr>
        <w:trPr>
          <w:trHeight w:val="720" w:hRule="exact"/>
        </w:trPr>
        <w:tc>
          <w:tcPr>
            <w:tcW w:w="14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1"/>
              <w:ind w:left="21" w:right="19"/>
              <w:jc w:val="left"/>
              <w:rPr>
                <w:rFonts w:ascii="宋体" w:hAnsi="宋体" w:cs="宋体" w:eastAsia="宋体" w:hint="default"/>
                <w:sz w:val="18"/>
                <w:szCs w:val="18"/>
              </w:rPr>
            </w:pPr>
            <w:r>
              <w:rPr>
                <w:rFonts w:ascii="宋体" w:hAnsi="宋体" w:cs="宋体" w:eastAsia="宋体" w:hint="default"/>
                <w:sz w:val="18"/>
                <w:szCs w:val="18"/>
              </w:rPr>
              <w:t>海富通基金、新华基金、</w:t>
            </w: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中国基金、安 信证券</w:t>
            </w:r>
          </w:p>
        </w:tc>
        <w:tc>
          <w:tcPr>
            <w:tcW w:w="2086"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62"/>
              <w:jc w:val="left"/>
              <w:rPr>
                <w:rFonts w:ascii="宋体" w:hAnsi="宋体" w:cs="宋体" w:eastAsia="宋体" w:hint="default"/>
                <w:sz w:val="18"/>
                <w:szCs w:val="18"/>
              </w:rPr>
            </w:pPr>
            <w:r>
              <w:rPr>
                <w:rFonts w:ascii="宋体" w:hAnsi="宋体" w:cs="宋体" w:eastAsia="宋体" w:hint="default"/>
                <w:sz w:val="18"/>
                <w:szCs w:val="18"/>
              </w:rPr>
              <w:t>公司经营发展情况及公司 产品情况说明</w:t>
            </w:r>
          </w:p>
        </w:tc>
      </w:tr>
      <w:tr>
        <w:trPr>
          <w:trHeight w:val="718" w:hRule="exact"/>
        </w:trPr>
        <w:tc>
          <w:tcPr>
            <w:tcW w:w="14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摩根士丹利华鑫基金</w:t>
            </w:r>
          </w:p>
        </w:tc>
        <w:tc>
          <w:tcPr>
            <w:tcW w:w="2086"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62"/>
              <w:jc w:val="left"/>
              <w:rPr>
                <w:rFonts w:ascii="宋体" w:hAnsi="宋体" w:cs="宋体" w:eastAsia="宋体" w:hint="default"/>
                <w:sz w:val="18"/>
                <w:szCs w:val="18"/>
              </w:rPr>
            </w:pPr>
            <w:r>
              <w:rPr>
                <w:rFonts w:ascii="宋体" w:hAnsi="宋体" w:cs="宋体" w:eastAsia="宋体" w:hint="default"/>
                <w:sz w:val="18"/>
                <w:szCs w:val="18"/>
              </w:rPr>
              <w:t>公司经营发展情况及公司 产品情况说明</w:t>
            </w:r>
          </w:p>
        </w:tc>
      </w:tr>
      <w:tr>
        <w:trPr>
          <w:trHeight w:val="728" w:hRule="exact"/>
        </w:trPr>
        <w:tc>
          <w:tcPr>
            <w:tcW w:w="14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新宋体" w:hAnsi="新宋体" w:cs="新宋体" w:eastAsia="新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54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84"/>
              <w:jc w:val="left"/>
              <w:rPr>
                <w:rFonts w:ascii="宋体" w:hAnsi="宋体" w:cs="宋体" w:eastAsia="宋体" w:hint="default"/>
                <w:sz w:val="18"/>
                <w:szCs w:val="18"/>
              </w:rPr>
            </w:pPr>
            <w:r>
              <w:rPr>
                <w:rFonts w:ascii="宋体" w:hAnsi="宋体" w:cs="宋体" w:eastAsia="宋体" w:hint="default"/>
                <w:sz w:val="18"/>
                <w:szCs w:val="18"/>
              </w:rPr>
              <w:t>华夏基金、国海富兰克林基金、广发证券、 海通证券</w:t>
            </w:r>
          </w:p>
        </w:tc>
        <w:tc>
          <w:tcPr>
            <w:tcW w:w="2086"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1" w:right="62"/>
              <w:jc w:val="left"/>
              <w:rPr>
                <w:rFonts w:ascii="宋体" w:hAnsi="宋体" w:cs="宋体" w:eastAsia="宋体" w:hint="default"/>
                <w:sz w:val="18"/>
                <w:szCs w:val="18"/>
              </w:rPr>
            </w:pPr>
            <w:r>
              <w:rPr>
                <w:rFonts w:ascii="宋体" w:hAnsi="宋体" w:cs="宋体" w:eastAsia="宋体" w:hint="default"/>
                <w:sz w:val="18"/>
                <w:szCs w:val="18"/>
              </w:rPr>
              <w:t>公司经营发展情况及公司 产品情况说明</w:t>
            </w:r>
          </w:p>
        </w:tc>
      </w:tr>
    </w:tbl>
    <w:p>
      <w:pPr>
        <w:spacing w:after="0" w:line="316" w:lineRule="auto"/>
        <w:jc w:val="left"/>
        <w:rPr>
          <w:rFonts w:ascii="宋体" w:hAnsi="宋体" w:cs="宋体" w:eastAsia="宋体" w:hint="default"/>
          <w:sz w:val="18"/>
          <w:szCs w:val="18"/>
        </w:rPr>
        <w:sectPr>
          <w:pgSz w:w="11910" w:h="16840"/>
          <w:pgMar w:header="555" w:footer="980" w:top="1100" w:bottom="1160" w:left="820" w:right="1080"/>
        </w:sectPr>
      </w:pPr>
    </w:p>
    <w:p>
      <w:pPr>
        <w:spacing w:line="240" w:lineRule="auto" w:before="0"/>
        <w:rPr>
          <w:rFonts w:ascii="新宋体" w:hAnsi="新宋体" w:cs="新宋体" w:eastAsia="新宋体" w:hint="default"/>
          <w:b/>
          <w:bCs/>
          <w:sz w:val="20"/>
          <w:szCs w:val="20"/>
        </w:rPr>
      </w:pPr>
      <w:r>
        <w:rPr/>
        <w:pict>
          <v:group style="position:absolute;margin-left:54.84pt;margin-top:27.749985pt;width:485.65pt;height:28.2pt;mso-position-horizontal-relative:page;mso-position-vertical-relative:page;z-index:-947368" coordorigin="1097,555" coordsize="9713,564">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1194;top:555;width:521;height:543" type="#_x0000_t75" stroked="false">
                <v:imagedata r:id="rId8" o:title=""/>
              </v:shape>
            </v:group>
            <w10:wrap type="none"/>
          </v:group>
        </w:pict>
      </w:r>
    </w:p>
    <w:p>
      <w:pPr>
        <w:spacing w:line="240" w:lineRule="auto" w:before="0"/>
        <w:rPr>
          <w:rFonts w:ascii="新宋体" w:hAnsi="新宋体" w:cs="新宋体" w:eastAsia="新宋体" w:hint="default"/>
          <w:b/>
          <w:bCs/>
          <w:sz w:val="20"/>
          <w:szCs w:val="20"/>
        </w:rPr>
      </w:pPr>
    </w:p>
    <w:p>
      <w:pPr>
        <w:spacing w:line="240" w:lineRule="auto" w:before="1"/>
        <w:rPr>
          <w:rFonts w:ascii="新宋体" w:hAnsi="新宋体" w:cs="新宋体" w:eastAsia="新宋体" w:hint="default"/>
          <w:b/>
          <w:bCs/>
          <w:sz w:val="20"/>
          <w:szCs w:val="20"/>
        </w:rPr>
      </w:pPr>
    </w:p>
    <w:p>
      <w:pPr>
        <w:pStyle w:val="Heading1"/>
        <w:spacing w:line="240" w:lineRule="auto"/>
        <w:ind w:left="4331" w:right="4347"/>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732" w:right="737"/>
        <w:jc w:val="left"/>
        <w:rPr>
          <w:b w:val="0"/>
          <w:bCs w:val="0"/>
        </w:rPr>
      </w:pPr>
      <w:r>
        <w:rPr/>
        <w:t>一、资产交易事项</w:t>
      </w:r>
      <w:r>
        <w:rPr>
          <w:b w:val="0"/>
          <w:bCs w:val="0"/>
        </w:rPr>
      </w:r>
    </w:p>
    <w:p>
      <w:pPr>
        <w:spacing w:line="240" w:lineRule="auto" w:before="9"/>
        <w:rPr>
          <w:rFonts w:ascii="宋体" w:hAnsi="宋体" w:cs="宋体" w:eastAsia="宋体" w:hint="default"/>
          <w:b/>
          <w:bCs/>
          <w:sz w:val="24"/>
          <w:szCs w:val="24"/>
        </w:rPr>
      </w:pPr>
    </w:p>
    <w:p>
      <w:pPr>
        <w:spacing w:before="0"/>
        <w:ind w:left="732" w:right="73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733"/>
        <w:gridCol w:w="826"/>
        <w:gridCol w:w="737"/>
        <w:gridCol w:w="737"/>
        <w:gridCol w:w="1275"/>
        <w:gridCol w:w="1277"/>
        <w:gridCol w:w="850"/>
        <w:gridCol w:w="734"/>
        <w:gridCol w:w="737"/>
        <w:gridCol w:w="735"/>
        <w:gridCol w:w="737"/>
        <w:gridCol w:w="734"/>
        <w:gridCol w:w="737"/>
      </w:tblGrid>
      <w:tr>
        <w:trPr>
          <w:trHeight w:val="2597" w:hRule="exact"/>
        </w:trPr>
        <w:tc>
          <w:tcPr>
            <w:tcW w:w="73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82" w:right="8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8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45" w:right="43"/>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7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91" w:right="89"/>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45" w:right="-46" w:hanging="89"/>
              <w:jc w:val="center"/>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净利润（万元）</w:t>
            </w:r>
          </w:p>
          <w:p>
            <w:pPr>
              <w:pStyle w:val="TableParagraph"/>
              <w:spacing w:line="316" w:lineRule="auto" w:before="17"/>
              <w:ind w:left="91" w:right="87"/>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1" w:right="-20" w:hanging="41"/>
              <w:jc w:val="center"/>
              <w:rPr>
                <w:rFonts w:ascii="宋体" w:hAnsi="宋体" w:cs="宋体" w:eastAsia="宋体" w:hint="default"/>
                <w:sz w:val="18"/>
                <w:szCs w:val="18"/>
              </w:rPr>
            </w:pPr>
            <w:r>
              <w:rPr>
                <w:rFonts w:ascii="宋体" w:hAnsi="宋体" w:cs="宋体" w:eastAsia="宋体" w:hint="default"/>
                <w:sz w:val="18"/>
                <w:szCs w:val="18"/>
              </w:rPr>
              <w:t>自本期初至报 告期末为上市 公司贡献的净 </w:t>
            </w:r>
            <w:r>
              <w:rPr>
                <w:rFonts w:ascii="宋体" w:hAnsi="宋体" w:cs="宋体" w:eastAsia="宋体" w:hint="default"/>
                <w:spacing w:val="-28"/>
                <w:sz w:val="18"/>
                <w:szCs w:val="18"/>
              </w:rPr>
              <w:t>利润（万元）（适</w:t>
            </w:r>
            <w:r>
              <w:rPr>
                <w:rFonts w:ascii="宋体" w:hAnsi="宋体" w:cs="宋体" w:eastAsia="宋体" w:hint="default"/>
                <w:sz w:val="18"/>
                <w:szCs w:val="18"/>
              </w:rPr>
              <w:t> 用于同一控制 下的企业合并）</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9" w:lineRule="auto"/>
              <w:ind w:left="148" w:right="57"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7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91" w:right="86"/>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93" w:right="86"/>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91" w:right="87"/>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93"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1" w:right="-22"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91" w:right="82"/>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1351" w:hRule="exact"/>
        </w:trPr>
        <w:tc>
          <w:tcPr>
            <w:tcW w:w="733"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13" w:right="156"/>
              <w:jc w:val="both"/>
              <w:rPr>
                <w:rFonts w:ascii="宋体" w:hAnsi="宋体" w:cs="宋体" w:eastAsia="宋体" w:hint="default"/>
                <w:sz w:val="18"/>
                <w:szCs w:val="18"/>
              </w:rPr>
            </w:pPr>
            <w:r>
              <w:rPr>
                <w:rFonts w:ascii="宋体" w:hAnsi="宋体" w:cs="宋体" w:eastAsia="宋体" w:hint="default"/>
                <w:sz w:val="18"/>
                <w:szCs w:val="18"/>
              </w:rPr>
              <w:t>哈尔滨 盈江科 技有限 公司</w:t>
            </w:r>
          </w:p>
        </w:tc>
        <w:tc>
          <w:tcPr>
            <w:tcW w:w="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1"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的股</w:t>
            </w:r>
            <w:r>
              <w:rPr>
                <w:rFonts w:ascii="宋体" w:hAnsi="宋体" w:cs="宋体" w:eastAsia="宋体" w:hint="default"/>
                <w:w w:val="99"/>
                <w:sz w:val="18"/>
                <w:szCs w:val="18"/>
              </w:rPr>
              <w:t> </w:t>
            </w:r>
            <w:r>
              <w:rPr>
                <w:rFonts w:ascii="宋体" w:hAnsi="宋体" w:cs="宋体" w:eastAsia="宋体" w:hint="default"/>
                <w:sz w:val="18"/>
                <w:szCs w:val="18"/>
              </w:rPr>
              <w:t>权</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302</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746" w:right="0"/>
              <w:jc w:val="left"/>
              <w:rPr>
                <w:rFonts w:ascii="Times New Roman" w:hAnsi="Times New Roman" w:cs="Times New Roman" w:eastAsia="Times New Roman" w:hint="default"/>
                <w:sz w:val="18"/>
                <w:szCs w:val="18"/>
              </w:rPr>
            </w:pPr>
            <w:r>
              <w:rPr>
                <w:rFonts w:ascii="Times New Roman"/>
                <w:sz w:val="18"/>
              </w:rPr>
              <w:t>106.64</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156"/>
              <w:jc w:val="both"/>
              <w:rPr>
                <w:rFonts w:ascii="宋体" w:hAnsi="宋体" w:cs="宋体" w:eastAsia="宋体" w:hint="default"/>
                <w:sz w:val="18"/>
                <w:szCs w:val="18"/>
              </w:rPr>
            </w:pPr>
            <w:r>
              <w:rPr>
                <w:rFonts w:ascii="宋体" w:hAnsi="宋体" w:cs="宋体" w:eastAsia="宋体" w:hint="default"/>
                <w:sz w:val="18"/>
                <w:szCs w:val="18"/>
              </w:rPr>
              <w:t>以净资 产公允 价值为 依据</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386" w:lineRule="auto" w:before="82"/>
        <w:ind w:left="1213" w:right="737" w:hanging="481"/>
        <w:jc w:val="left"/>
      </w:pPr>
      <w:r>
        <w:rPr>
          <w:rFonts w:ascii="新宋体" w:hAnsi="新宋体" w:cs="新宋体" w:eastAsia="新宋体" w:hint="default"/>
          <w:b/>
          <w:bCs/>
        </w:rPr>
        <w:t>收购资产情况说明：</w:t>
      </w:r>
      <w:r>
        <w:rPr>
          <w:rFonts w:ascii="新宋体" w:hAnsi="新宋体" w:cs="新宋体" w:eastAsia="新宋体" w:hint="default"/>
          <w:b/>
          <w:bCs/>
          <w:w w:val="99"/>
        </w:rPr>
        <w:t> </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3</w:t>
      </w:r>
      <w:r>
        <w:rPr>
          <w:spacing w:val="-2"/>
        </w:rPr>
        <w:t>月</w:t>
      </w:r>
      <w:r>
        <w:rPr>
          <w:rFonts w:ascii="新宋体" w:hAnsi="新宋体" w:cs="新宋体" w:eastAsia="新宋体" w:hint="default"/>
          <w:spacing w:val="-2"/>
        </w:rPr>
        <w:t>31</w:t>
      </w:r>
      <w:r>
        <w:rPr>
          <w:spacing w:val="-2"/>
        </w:rPr>
        <w:t>日，公司第二届董事会第十四次会议审议通过《关于增资收购哈尔滨盈江传</w:t>
      </w:r>
    </w:p>
    <w:p>
      <w:pPr>
        <w:pStyle w:val="BodyText"/>
        <w:spacing w:line="357" w:lineRule="auto" w:before="8"/>
        <w:ind w:left="732" w:right="616"/>
        <w:jc w:val="left"/>
      </w:pPr>
      <w:r>
        <w:rPr/>
        <w:t>感器工程技术中心有限公司的议案》，公司与盈江公司、中国科学院长春应用化学科技总公 司、王玉江正式签订《关于哈尔滨盈江传感器工程技术中心有限公司的增资协议书》。公司 使用自有资金</w:t>
      </w:r>
      <w:r>
        <w:rPr>
          <w:rFonts w:ascii="新宋体" w:hAnsi="新宋体" w:cs="新宋体" w:eastAsia="新宋体" w:hint="default"/>
        </w:rPr>
        <w:t>302</w:t>
      </w:r>
      <w:r>
        <w:rPr/>
        <w:t>万元增资盈江公司，增资完成后，汉威电子持有盈江公司</w:t>
      </w:r>
      <w:r>
        <w:rPr>
          <w:rFonts w:ascii="新宋体" w:hAnsi="新宋体" w:cs="新宋体" w:eastAsia="新宋体" w:hint="default"/>
        </w:rPr>
        <w:t>51%</w:t>
      </w:r>
      <w:r>
        <w:rPr/>
        <w:t>的股权，盈江 </w:t>
      </w:r>
      <w:r>
        <w:rPr>
          <w:spacing w:val="-2"/>
        </w:rPr>
        <w:t>公司成为公司的控股子公司。本次增资入股盈江公司，借助长春应化所雄厚的技术支撑力量，</w:t>
      </w:r>
      <w:r>
        <w:rPr/>
        <w:t> 以及在传感器材料科学的研发优势、技术创新优势，有利于公司在特殊传感器领域补充公司 现有产品线，完善公司系统解决方案，提升和扩大市场份额。</w:t>
      </w:r>
    </w:p>
    <w:p>
      <w:pPr>
        <w:pStyle w:val="BodyText"/>
        <w:spacing w:line="240" w:lineRule="auto" w:before="77"/>
        <w:ind w:left="1213" w:right="616"/>
        <w:jc w:val="left"/>
      </w:pPr>
      <w:r>
        <w:rPr>
          <w:spacing w:val="47"/>
        </w:rPr>
        <w:t>具体内容详见</w:t>
      </w:r>
      <w:r>
        <w:rPr>
          <w:spacing w:val="-63"/>
        </w:rPr>
        <w:t> </w:t>
      </w:r>
      <w:r>
        <w:rPr>
          <w:rFonts w:ascii="新宋体" w:hAnsi="新宋体" w:cs="新宋体" w:eastAsia="新宋体" w:hint="default"/>
        </w:rPr>
        <w:t>2012</w:t>
      </w:r>
      <w:r>
        <w:rPr>
          <w:rFonts w:ascii="新宋体" w:hAnsi="新宋体" w:cs="新宋体" w:eastAsia="新宋体" w:hint="default"/>
          <w:spacing w:val="-62"/>
        </w:rPr>
        <w:t> </w:t>
      </w:r>
      <w:r>
        <w:rPr/>
        <w:t>年</w:t>
      </w:r>
      <w:r>
        <w:rPr>
          <w:spacing w:val="-63"/>
        </w:rPr>
        <w:t> </w:t>
      </w:r>
      <w:r>
        <w:rPr>
          <w:rFonts w:ascii="新宋体" w:hAnsi="新宋体" w:cs="新宋体" w:eastAsia="新宋体" w:hint="default"/>
        </w:rPr>
        <w:t>4</w:t>
      </w:r>
      <w:r>
        <w:rPr>
          <w:rFonts w:ascii="新宋体" w:hAnsi="新宋体" w:cs="新宋体" w:eastAsia="新宋体" w:hint="default"/>
          <w:spacing w:val="-63"/>
        </w:rPr>
        <w:t> </w:t>
      </w:r>
      <w:r>
        <w:rPr/>
        <w:t>月</w:t>
      </w:r>
      <w:r>
        <w:rPr>
          <w:spacing w:val="-63"/>
        </w:rPr>
        <w:t> </w:t>
      </w:r>
      <w:r>
        <w:rPr>
          <w:rFonts w:ascii="新宋体" w:hAnsi="新宋体" w:cs="新宋体" w:eastAsia="新宋体" w:hint="default"/>
        </w:rPr>
        <w:t>6</w:t>
      </w:r>
      <w:r>
        <w:rPr>
          <w:rFonts w:ascii="新宋体" w:hAnsi="新宋体" w:cs="新宋体" w:eastAsia="新宋体" w:hint="default"/>
          <w:spacing w:val="-63"/>
        </w:rPr>
        <w:t> </w:t>
      </w:r>
      <w:r>
        <w:rPr/>
        <w:t>日</w:t>
      </w:r>
      <w:r>
        <w:rPr>
          <w:spacing w:val="-63"/>
        </w:rPr>
        <w:t> </w:t>
      </w:r>
      <w:r>
        <w:rPr/>
        <w:t>刊</w:t>
      </w:r>
      <w:r>
        <w:rPr>
          <w:spacing w:val="-63"/>
        </w:rPr>
        <w:t> </w:t>
      </w:r>
      <w:r>
        <w:rPr/>
        <w:t>登</w:t>
      </w:r>
      <w:r>
        <w:rPr>
          <w:spacing w:val="-66"/>
        </w:rPr>
        <w:t> </w:t>
      </w:r>
      <w:r>
        <w:rPr/>
        <w:t>在</w:t>
      </w:r>
      <w:r>
        <w:rPr>
          <w:spacing w:val="-63"/>
        </w:rPr>
        <w:t> </w:t>
      </w:r>
      <w:r>
        <w:rPr/>
        <w:t>中</w:t>
      </w:r>
      <w:r>
        <w:rPr>
          <w:spacing w:val="-63"/>
        </w:rPr>
        <w:t> </w:t>
      </w:r>
      <w:r>
        <w:rPr/>
        <w:t>国</w:t>
      </w:r>
      <w:r>
        <w:rPr>
          <w:spacing w:val="-63"/>
        </w:rPr>
        <w:t> </w:t>
      </w:r>
      <w:r>
        <w:rPr/>
        <w:t>证</w:t>
      </w:r>
      <w:r>
        <w:rPr>
          <w:spacing w:val="-63"/>
        </w:rPr>
        <w:t> </w:t>
      </w:r>
      <w:r>
        <w:rPr/>
        <w:t>监</w:t>
      </w:r>
      <w:r>
        <w:rPr>
          <w:spacing w:val="-63"/>
        </w:rPr>
        <w:t> </w:t>
      </w:r>
      <w:r>
        <w:rPr/>
        <w:t>会</w:t>
      </w:r>
      <w:r>
        <w:rPr>
          <w:spacing w:val="-63"/>
        </w:rPr>
        <w:t> </w:t>
      </w:r>
      <w:r>
        <w:rPr/>
        <w:t>指</w:t>
      </w:r>
      <w:r>
        <w:rPr>
          <w:spacing w:val="-63"/>
        </w:rPr>
        <w:t> </w:t>
      </w:r>
      <w:r>
        <w:rPr/>
        <w:t>定</w:t>
      </w:r>
      <w:r>
        <w:rPr>
          <w:spacing w:val="-66"/>
        </w:rPr>
        <w:t> </w:t>
      </w:r>
      <w:r>
        <w:rPr/>
        <w:t>创</w:t>
      </w:r>
      <w:r>
        <w:rPr>
          <w:spacing w:val="-63"/>
        </w:rPr>
        <w:t> </w:t>
      </w:r>
      <w:r>
        <w:rPr/>
        <w:t>业</w:t>
      </w:r>
      <w:r>
        <w:rPr>
          <w:spacing w:val="-63"/>
        </w:rPr>
        <w:t> </w:t>
      </w:r>
      <w:r>
        <w:rPr/>
        <w:t>板</w:t>
      </w:r>
      <w:r>
        <w:rPr>
          <w:spacing w:val="-63"/>
        </w:rPr>
        <w:t> </w:t>
      </w:r>
      <w:r>
        <w:rPr/>
        <w:t>信</w:t>
      </w:r>
      <w:r>
        <w:rPr>
          <w:spacing w:val="-63"/>
        </w:rPr>
        <w:t> </w:t>
      </w:r>
      <w:r>
        <w:rPr/>
        <w:t>息</w:t>
      </w:r>
      <w:r>
        <w:rPr>
          <w:spacing w:val="-63"/>
        </w:rPr>
        <w:t> </w:t>
      </w:r>
      <w:r>
        <w:rPr/>
        <w:t>披</w:t>
      </w:r>
      <w:r>
        <w:rPr>
          <w:spacing w:val="-63"/>
        </w:rPr>
        <w:t> </w:t>
      </w:r>
      <w:r>
        <w:rPr/>
        <w:t>露</w:t>
      </w:r>
      <w:r>
        <w:rPr>
          <w:spacing w:val="-63"/>
        </w:rPr>
        <w:t> </w:t>
      </w:r>
      <w:r>
        <w:rPr/>
        <w:t>网</w:t>
      </w:r>
      <w:r>
        <w:rPr>
          <w:spacing w:val="-66"/>
        </w:rPr>
        <w:t> </w:t>
      </w:r>
      <w:r>
        <w:rPr/>
        <w:t>站</w:t>
      </w:r>
    </w:p>
    <w:p>
      <w:pPr>
        <w:pStyle w:val="BodyText"/>
        <w:spacing w:line="240" w:lineRule="auto" w:before="154"/>
        <w:ind w:left="732" w:right="737"/>
        <w:jc w:val="left"/>
      </w:pPr>
      <w:r>
        <w:rPr/>
        <w:t>（</w:t>
      </w:r>
      <w:hyperlink r:id="rId13">
        <w:r>
          <w:rPr>
            <w:rFonts w:ascii="新宋体" w:hAnsi="新宋体" w:cs="新宋体" w:eastAsia="新宋体" w:hint="default"/>
          </w:rPr>
          <w:t>http://www.cninfo.com.cn</w:t>
        </w:r>
      </w:hyperlink>
      <w:r>
        <w:rPr/>
        <w:t>）上的相关公告。</w:t>
      </w:r>
    </w:p>
    <w:p>
      <w:pPr>
        <w:spacing w:line="240" w:lineRule="auto" w:before="8"/>
        <w:rPr>
          <w:rFonts w:ascii="新宋体" w:hAnsi="新宋体" w:cs="新宋体" w:eastAsia="新宋体" w:hint="default"/>
          <w:sz w:val="28"/>
          <w:szCs w:val="28"/>
        </w:rPr>
      </w:pPr>
    </w:p>
    <w:p>
      <w:pPr>
        <w:pStyle w:val="Heading2"/>
        <w:spacing w:line="240" w:lineRule="auto"/>
        <w:ind w:left="732" w:right="737"/>
        <w:jc w:val="left"/>
        <w:rPr>
          <w:b w:val="0"/>
          <w:bCs w:val="0"/>
        </w:rPr>
      </w:pPr>
      <w:r>
        <w:rPr>
          <w:rFonts w:ascii="Times New Roman" w:hAnsi="Times New Roman" w:cs="Times New Roman" w:eastAsia="Times New Roman" w:hint="default"/>
        </w:rPr>
        <w:t>2</w:t>
      </w:r>
      <w:r>
        <w:rPr/>
        <w:t>、企业合并情况</w:t>
      </w:r>
      <w:r>
        <w:rPr>
          <w:b w:val="0"/>
          <w:bCs w:val="0"/>
        </w:rPr>
      </w:r>
    </w:p>
    <w:p>
      <w:pPr>
        <w:spacing w:line="240" w:lineRule="auto" w:before="6"/>
        <w:rPr>
          <w:rFonts w:ascii="宋体" w:hAnsi="宋体" w:cs="宋体" w:eastAsia="宋体" w:hint="default"/>
          <w:b/>
          <w:bCs/>
          <w:sz w:val="27"/>
          <w:szCs w:val="27"/>
        </w:rPr>
      </w:pPr>
    </w:p>
    <w:p>
      <w:pPr>
        <w:pStyle w:val="BodyText"/>
        <w:spacing w:line="348" w:lineRule="auto" w:before="0"/>
        <w:ind w:left="732" w:right="616" w:firstLine="480"/>
        <w:jc w:val="left"/>
        <w:rPr>
          <w:rFonts w:ascii="宋体" w:hAnsi="宋体" w:cs="宋体" w:eastAsia="宋体" w:hint="default"/>
        </w:rPr>
      </w:pPr>
      <w:r>
        <w:rPr>
          <w:rFonts w:ascii="Times New Roman" w:hAnsi="Times New Roman" w:cs="Times New Roman" w:eastAsia="Times New Roman" w:hint="default"/>
        </w:rPr>
        <w:t>2011</w:t>
      </w:r>
      <w:r>
        <w:rPr>
          <w:rFonts w:ascii="宋体" w:hAnsi="宋体" w:cs="宋体" w:eastAsia="宋体" w:hint="default"/>
        </w:rPr>
        <w:t>年</w:t>
      </w:r>
      <w:r>
        <w:rPr>
          <w:rFonts w:ascii="Times New Roman" w:hAnsi="Times New Roman" w:cs="Times New Roman" w:eastAsia="Times New Roman" w:hint="default"/>
        </w:rPr>
        <w:t>11</w:t>
      </w:r>
      <w:r>
        <w:rPr>
          <w:rFonts w:ascii="宋体" w:hAnsi="宋体" w:cs="宋体" w:eastAsia="宋体" w:hint="default"/>
        </w:rPr>
        <w:t>月</w:t>
      </w:r>
      <w:r>
        <w:rPr>
          <w:rFonts w:ascii="Times New Roman" w:hAnsi="Times New Roman" w:cs="Times New Roman" w:eastAsia="Times New Roman" w:hint="default"/>
        </w:rPr>
        <w:t>18</w:t>
      </w:r>
      <w:r>
        <w:rPr>
          <w:rFonts w:ascii="宋体" w:hAnsi="宋体" w:cs="宋体" w:eastAsia="宋体" w:hint="default"/>
        </w:rPr>
        <w:t>日，公司第二届董事会第十次会议审议通过《关于共同出资设立上海中威 </w:t>
      </w:r>
      <w:r>
        <w:rPr>
          <w:rFonts w:ascii="宋体" w:hAnsi="宋体" w:cs="宋体" w:eastAsia="宋体" w:hint="default"/>
          <w:spacing w:val="-3"/>
        </w:rPr>
        <w:t>天安公共安全科技有限公司的议案》，公司与上海中科高等研究院及自然人魏建明、张宏俊、</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詹自力共同出资设立上海中威，主要从事安全与应急领域相关技术的研发及产业化经营（内</w:t>
      </w:r>
    </w:p>
    <w:p>
      <w:pPr>
        <w:spacing w:after="0" w:line="348" w:lineRule="auto"/>
        <w:jc w:val="left"/>
        <w:rPr>
          <w:rFonts w:ascii="宋体" w:hAnsi="宋体" w:cs="宋体" w:eastAsia="宋体" w:hint="default"/>
        </w:rPr>
        <w:sectPr>
          <w:headerReference w:type="default" r:id="rId31"/>
          <w:footerReference w:type="default" r:id="rId32"/>
          <w:pgSz w:w="11910" w:h="16840"/>
          <w:pgMar w:header="867" w:footer="980" w:top="1060" w:bottom="1160" w:left="400" w:right="380"/>
          <w:pgNumType w:start="58"/>
        </w:sectPr>
      </w:pPr>
    </w:p>
    <w:p>
      <w:pPr>
        <w:spacing w:line="240" w:lineRule="auto" w:before="7"/>
        <w:rPr>
          <w:rFonts w:ascii="宋体" w:hAnsi="宋体" w:cs="宋体" w:eastAsia="宋体" w:hint="default"/>
          <w:sz w:val="25"/>
          <w:szCs w:val="25"/>
        </w:rPr>
      </w:pPr>
    </w:p>
    <w:p>
      <w:pPr>
        <w:pStyle w:val="BodyText"/>
        <w:spacing w:line="338" w:lineRule="auto" w:before="26"/>
        <w:ind w:left="633" w:right="253" w:hanging="481"/>
        <w:jc w:val="left"/>
        <w:rPr>
          <w:rFonts w:ascii="宋体" w:hAnsi="宋体" w:cs="宋体" w:eastAsia="宋体" w:hint="default"/>
        </w:rPr>
      </w:pPr>
      <w:r>
        <w:rPr>
          <w:rFonts w:ascii="宋体" w:hAnsi="宋体" w:cs="宋体" w:eastAsia="宋体" w:hint="default"/>
        </w:rPr>
        <w:t>容详见公司于</w:t>
      </w:r>
      <w:r>
        <w:rPr>
          <w:rFonts w:ascii="Times New Roman" w:hAnsi="Times New Roman" w:cs="Times New Roman" w:eastAsia="Times New Roman" w:hint="default"/>
        </w:rPr>
        <w:t>2011</w:t>
      </w:r>
      <w:r>
        <w:rPr>
          <w:rFonts w:ascii="宋体" w:hAnsi="宋体" w:cs="宋体" w:eastAsia="宋体" w:hint="default"/>
        </w:rPr>
        <w:t>年</w:t>
      </w:r>
      <w:r>
        <w:rPr>
          <w:rFonts w:ascii="Times New Roman" w:hAnsi="Times New Roman" w:cs="Times New Roman" w:eastAsia="Times New Roman" w:hint="default"/>
        </w:rPr>
        <w:t>11</w:t>
      </w:r>
      <w:r>
        <w:rPr>
          <w:rFonts w:ascii="宋体" w:hAnsi="宋体" w:cs="宋体" w:eastAsia="宋体" w:hint="default"/>
        </w:rPr>
        <w:t>月</w:t>
      </w:r>
      <w:r>
        <w:rPr>
          <w:rFonts w:ascii="Times New Roman" w:hAnsi="Times New Roman" w:cs="Times New Roman" w:eastAsia="Times New Roman" w:hint="default"/>
        </w:rPr>
        <w:t>19</w:t>
      </w:r>
      <w:r>
        <w:rPr>
          <w:rFonts w:ascii="宋体" w:hAnsi="宋体" w:cs="宋体" w:eastAsia="宋体" w:hint="default"/>
        </w:rPr>
        <w:t>日在中国证监会指定创业板信息披露网站上的公告）。 根据《关于共同出资设立上海中威天安公共安全科技有限公司的投资协议书》，上海中</w:t>
      </w:r>
    </w:p>
    <w:p>
      <w:pPr>
        <w:pStyle w:val="BodyText"/>
        <w:spacing w:line="338" w:lineRule="auto" w:before="55"/>
        <w:ind w:right="105"/>
        <w:jc w:val="left"/>
        <w:rPr>
          <w:rFonts w:ascii="宋体" w:hAnsi="宋体" w:cs="宋体" w:eastAsia="宋体" w:hint="default"/>
        </w:rPr>
      </w:pPr>
      <w:r>
        <w:rPr>
          <w:rFonts w:ascii="宋体" w:hAnsi="宋体" w:cs="宋体" w:eastAsia="宋体" w:hint="default"/>
          <w:spacing w:val="-1"/>
        </w:rPr>
        <w:t>威注册资本分两期出资到位，首期出资</w:t>
      </w:r>
      <w:r>
        <w:rPr>
          <w:rFonts w:ascii="Times New Roman" w:hAnsi="Times New Roman" w:cs="Times New Roman" w:eastAsia="Times New Roman" w:hint="default"/>
          <w:spacing w:val="-1"/>
        </w:rPr>
        <w:t>1,310</w:t>
      </w:r>
      <w:r>
        <w:rPr>
          <w:rFonts w:ascii="宋体" w:hAnsi="宋体" w:cs="宋体" w:eastAsia="宋体" w:hint="default"/>
          <w:spacing w:val="-1"/>
        </w:rPr>
        <w:t>万元，剩余出资自公司成立之日起</w:t>
      </w:r>
      <w:r>
        <w:rPr>
          <w:rFonts w:ascii="Times New Roman" w:hAnsi="Times New Roman" w:cs="Times New Roman" w:eastAsia="Times New Roman" w:hint="default"/>
          <w:spacing w:val="-1"/>
        </w:rPr>
        <w:t>6</w:t>
      </w:r>
      <w:r>
        <w:rPr>
          <w:rFonts w:ascii="宋体" w:hAnsi="宋体" w:cs="宋体" w:eastAsia="宋体" w:hint="default"/>
          <w:spacing w:val="-1"/>
        </w:rPr>
        <w:t>个月内缴足。</w:t>
      </w:r>
      <w:r>
        <w:rPr>
          <w:rFonts w:ascii="宋体" w:hAnsi="宋体" w:cs="宋体" w:eastAsia="宋体" w:hint="default"/>
          <w:spacing w:val="-98"/>
        </w:rPr>
        <w:t> </w:t>
      </w:r>
      <w:r>
        <w:rPr>
          <w:rFonts w:ascii="Times New Roman" w:hAnsi="Times New Roman" w:cs="Times New Roman" w:eastAsia="Times New Roman" w:hint="default"/>
        </w:rPr>
        <w:t>2012</w:t>
      </w:r>
      <w:r>
        <w:rPr>
          <w:rFonts w:ascii="宋体" w:hAnsi="宋体" w:cs="宋体" w:eastAsia="宋体" w:hint="default"/>
        </w:rPr>
        <w:t>年</w:t>
      </w:r>
      <w:r>
        <w:rPr>
          <w:rFonts w:ascii="Times New Roman" w:hAnsi="Times New Roman" w:cs="Times New Roman" w:eastAsia="Times New Roman" w:hint="default"/>
        </w:rPr>
        <w:t>6</w:t>
      </w:r>
      <w:r>
        <w:rPr>
          <w:rFonts w:ascii="宋体" w:hAnsi="宋体" w:cs="宋体" w:eastAsia="宋体" w:hint="default"/>
        </w:rPr>
        <w:t>月</w:t>
      </w:r>
      <w:r>
        <w:rPr>
          <w:rFonts w:ascii="Times New Roman" w:hAnsi="Times New Roman" w:cs="Times New Roman" w:eastAsia="Times New Roman" w:hint="default"/>
        </w:rPr>
        <w:t>29</w:t>
      </w:r>
      <w:r>
        <w:rPr>
          <w:rFonts w:ascii="宋体" w:hAnsi="宋体" w:cs="宋体" w:eastAsia="宋体" w:hint="default"/>
        </w:rPr>
        <w:t>日，上海中威办理完成第二期出资及工商变更登记手续，并取得了上海市工商行 政管理局浦东新区分局颁发的《企业法人营业执照》。</w:t>
      </w:r>
    </w:p>
    <w:p>
      <w:pPr>
        <w:pStyle w:val="BodyText"/>
        <w:spacing w:line="357" w:lineRule="auto" w:before="96"/>
        <w:ind w:right="232" w:firstLine="384"/>
        <w:jc w:val="both"/>
        <w:rPr>
          <w:rFonts w:ascii="宋体" w:hAnsi="宋体" w:cs="宋体" w:eastAsia="宋体" w:hint="default"/>
        </w:rPr>
      </w:pPr>
      <w:r>
        <w:rPr>
          <w:rFonts w:ascii="宋体" w:hAnsi="宋体" w:cs="宋体" w:eastAsia="宋体" w:hint="default"/>
          <w:spacing w:val="-3"/>
        </w:rPr>
        <w:t>公司投资设立中威天安，符合公司整体发展战略。项目的实施将充分发挥合作各方的优势</w:t>
      </w:r>
      <w:r>
        <w:rPr>
          <w:rFonts w:ascii="宋体" w:hAnsi="宋体" w:cs="宋体" w:eastAsia="宋体" w:hint="default"/>
        </w:rPr>
        <w:t> 及上海地缘优势，提高公司在国内危险化学品应急救援、安全管理领域的综合信息系统市场</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占有率，完善公司的市场布局，提升公司的核心竞争能力。</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二、公司股权激励的实施情况及其影响</w:t>
      </w:r>
      <w:r>
        <w:rPr>
          <w:b w:val="0"/>
          <w:bCs w:val="0"/>
        </w:rPr>
      </w:r>
    </w:p>
    <w:p>
      <w:pPr>
        <w:spacing w:line="240" w:lineRule="auto" w:before="11"/>
        <w:rPr>
          <w:rFonts w:ascii="宋体" w:hAnsi="宋体" w:cs="宋体" w:eastAsia="宋体" w:hint="default"/>
          <w:b/>
          <w:bCs/>
          <w:sz w:val="28"/>
          <w:szCs w:val="28"/>
        </w:rPr>
      </w:pPr>
    </w:p>
    <w:p>
      <w:pPr>
        <w:pStyle w:val="BodyText"/>
        <w:spacing w:line="388" w:lineRule="auto" w:before="0"/>
        <w:ind w:left="525" w:right="105"/>
        <w:jc w:val="left"/>
      </w:pPr>
      <w:r>
        <w:rPr/>
        <w:t>（一）实施股权激励计划履行的相关程序及总体情况 </w:t>
      </w:r>
      <w:r>
        <w:rPr>
          <w:spacing w:val="-3"/>
        </w:rPr>
        <w:t>为促进公司建立、健全激励约束机制，充分调动公司高层管理人员及核心骨干员工的积极</w:t>
      </w:r>
    </w:p>
    <w:p>
      <w:pPr>
        <w:pStyle w:val="BodyText"/>
        <w:spacing w:line="357" w:lineRule="auto" w:before="5"/>
        <w:ind w:right="110"/>
        <w:jc w:val="both"/>
      </w:pPr>
      <w:r>
        <w:rPr>
          <w:spacing w:val="-2"/>
        </w:rPr>
        <w:t>性，有效地将股东利益、公司利益和经营者个人利益结合在一起，共同关注公司的长远发展，</w:t>
      </w:r>
      <w:r>
        <w:rPr/>
        <w:t> </w:t>
      </w:r>
      <w:r>
        <w:rPr>
          <w:spacing w:val="-2"/>
        </w:rPr>
        <w:t>公司于</w:t>
      </w:r>
      <w:r>
        <w:rPr>
          <w:rFonts w:ascii="新宋体" w:hAnsi="新宋体" w:cs="新宋体" w:eastAsia="新宋体" w:hint="default"/>
          <w:spacing w:val="-2"/>
        </w:rPr>
        <w:t>2011</w:t>
      </w:r>
      <w:r>
        <w:rPr>
          <w:spacing w:val="-2"/>
        </w:rPr>
        <w:t>年</w:t>
      </w:r>
      <w:r>
        <w:rPr>
          <w:rFonts w:ascii="新宋体" w:hAnsi="新宋体" w:cs="新宋体" w:eastAsia="新宋体" w:hint="default"/>
          <w:spacing w:val="-2"/>
        </w:rPr>
        <w:t>5</w:t>
      </w:r>
      <w:r>
        <w:rPr>
          <w:spacing w:val="-2"/>
        </w:rPr>
        <w:t>月</w:t>
      </w:r>
      <w:r>
        <w:rPr>
          <w:rFonts w:ascii="新宋体" w:hAnsi="新宋体" w:cs="新宋体" w:eastAsia="新宋体" w:hint="default"/>
          <w:spacing w:val="-2"/>
        </w:rPr>
        <w:t>9</w:t>
      </w:r>
      <w:r>
        <w:rPr>
          <w:spacing w:val="-2"/>
        </w:rPr>
        <w:t>日召开第二届董事会四次会议审议通过了《股票期权激励计划（草案）》，</w:t>
      </w:r>
      <w:r>
        <w:rPr>
          <w:spacing w:val="-117"/>
        </w:rPr>
        <w:t> </w:t>
      </w:r>
      <w:r>
        <w:rPr>
          <w:spacing w:val="-117"/>
        </w:rPr>
      </w:r>
      <w:r>
        <w:rPr/>
        <w:t>并将相关材料报中国证监会备案。</w:t>
      </w:r>
    </w:p>
    <w:p>
      <w:pPr>
        <w:pStyle w:val="BodyText"/>
        <w:spacing w:line="357" w:lineRule="auto" w:before="77"/>
        <w:ind w:right="235" w:firstLine="372"/>
        <w:jc w:val="both"/>
      </w:pPr>
      <w:r>
        <w:rPr>
          <w:spacing w:val="-3"/>
        </w:rPr>
        <w:t>根据中国证监会的反馈意见，公司对《股票期权激励计划（草案）》进行相应的修订，形</w:t>
      </w:r>
      <w:r>
        <w:rPr/>
        <w:t> 成《股票期权激励计划（草案修订稿）》，并经证监会审核无异议，于</w:t>
      </w:r>
      <w:r>
        <w:rPr>
          <w:rFonts w:ascii="新宋体" w:hAnsi="新宋体" w:cs="新宋体" w:eastAsia="新宋体" w:hint="default"/>
        </w:rPr>
        <w:t>2011</w:t>
      </w:r>
      <w:r>
        <w:rPr/>
        <w:t>年</w:t>
      </w:r>
      <w:r>
        <w:rPr>
          <w:rFonts w:ascii="新宋体" w:hAnsi="新宋体" w:cs="新宋体" w:eastAsia="新宋体" w:hint="default"/>
        </w:rPr>
        <w:t>11</w:t>
      </w:r>
      <w:r>
        <w:rPr/>
        <w:t>月</w:t>
      </w:r>
      <w:r>
        <w:rPr>
          <w:rFonts w:ascii="新宋体" w:hAnsi="新宋体" w:cs="新宋体" w:eastAsia="新宋体" w:hint="default"/>
        </w:rPr>
        <w:t>23</w:t>
      </w:r>
      <w:r>
        <w:rPr/>
        <w:t>日召开</w:t>
      </w:r>
      <w:r>
        <w:rPr>
          <w:spacing w:val="-89"/>
        </w:rPr>
        <w:t> </w:t>
      </w:r>
      <w:r>
        <w:rPr/>
        <w:t>第二届董事会十一次会议审议通过《股票期权激励计划（草案修订稿）》。</w:t>
      </w:r>
    </w:p>
    <w:p>
      <w:pPr>
        <w:pStyle w:val="BodyText"/>
        <w:spacing w:line="240" w:lineRule="auto" w:before="77"/>
        <w:ind w:left="525" w:right="105"/>
        <w:jc w:val="left"/>
      </w:pPr>
      <w:r>
        <w:rPr>
          <w:rFonts w:ascii="新宋体" w:hAnsi="新宋体" w:cs="新宋体" w:eastAsia="新宋体" w:hint="default"/>
        </w:rPr>
        <w:t>2011</w:t>
      </w:r>
      <w:r>
        <w:rPr/>
        <w:t>年</w:t>
      </w:r>
      <w:r>
        <w:rPr>
          <w:rFonts w:ascii="新宋体" w:hAnsi="新宋体" w:cs="新宋体" w:eastAsia="新宋体" w:hint="default"/>
        </w:rPr>
        <w:t>12</w:t>
      </w:r>
      <w:r>
        <w:rPr/>
        <w:t>月</w:t>
      </w:r>
      <w:r>
        <w:rPr>
          <w:rFonts w:ascii="新宋体" w:hAnsi="新宋体" w:cs="新宋体" w:eastAsia="新宋体" w:hint="default"/>
        </w:rPr>
        <w:t>9</w:t>
      </w:r>
      <w:r>
        <w:rPr/>
        <w:t>日，公司召开</w:t>
      </w:r>
      <w:r>
        <w:rPr>
          <w:rFonts w:ascii="新宋体" w:hAnsi="新宋体" w:cs="新宋体" w:eastAsia="新宋体" w:hint="default"/>
        </w:rPr>
        <w:t>2011</w:t>
      </w:r>
      <w:r>
        <w:rPr/>
        <w:t>年第二次临时股东大会，审议通过了《股票期权激励计划</w:t>
      </w:r>
    </w:p>
    <w:p>
      <w:pPr>
        <w:pStyle w:val="BodyText"/>
        <w:spacing w:line="357" w:lineRule="auto" w:before="154"/>
        <w:ind w:right="233"/>
        <w:jc w:val="both"/>
      </w:pPr>
      <w:r>
        <w:rPr/>
        <w:t>（草案修订稿）》。根据《股票期权激励计划（草案修订稿）》的规定，公司拟向</w:t>
      </w:r>
      <w:r>
        <w:rPr>
          <w:rFonts w:ascii="新宋体" w:hAnsi="新宋体" w:cs="新宋体" w:eastAsia="新宋体" w:hint="default"/>
        </w:rPr>
        <w:t>77</w:t>
      </w:r>
      <w:r>
        <w:rPr/>
        <w:t>位激励</w:t>
      </w:r>
      <w:r>
        <w:rPr>
          <w:spacing w:val="-86"/>
        </w:rPr>
        <w:t> </w:t>
      </w:r>
      <w:r>
        <w:rPr>
          <w:spacing w:val="-86"/>
        </w:rPr>
      </w:r>
      <w:r>
        <w:rPr/>
        <w:t>对象授予</w:t>
      </w:r>
      <w:r>
        <w:rPr>
          <w:rFonts w:ascii="新宋体" w:hAnsi="新宋体" w:cs="新宋体" w:eastAsia="新宋体" w:hint="default"/>
        </w:rPr>
        <w:t>281</w:t>
      </w:r>
      <w:r>
        <w:rPr/>
        <w:t>万份股票期权，占公司总股本的</w:t>
      </w:r>
      <w:r>
        <w:rPr>
          <w:rFonts w:ascii="新宋体" w:hAnsi="新宋体" w:cs="新宋体" w:eastAsia="新宋体" w:hint="default"/>
        </w:rPr>
        <w:t>2.38%</w:t>
      </w:r>
      <w:r>
        <w:rPr/>
        <w:t>，每份股票期权拥有在激励计划有效期内</w:t>
      </w:r>
      <w:r>
        <w:rPr>
          <w:spacing w:val="-89"/>
        </w:rPr>
        <w:t> </w:t>
      </w:r>
      <w:r>
        <w:rPr>
          <w:spacing w:val="-89"/>
        </w:rPr>
      </w:r>
      <w:r>
        <w:rPr/>
        <w:t>的可行权日以行权价格和行权条件购买一股本公司股票的权利，授予的股票期权的行权价格</w:t>
      </w:r>
      <w:r>
        <w:rPr>
          <w:spacing w:val="-91"/>
        </w:rPr>
        <w:t> </w:t>
      </w:r>
      <w:r>
        <w:rPr>
          <w:spacing w:val="-91"/>
        </w:rPr>
      </w:r>
      <w:r>
        <w:rPr/>
        <w:t>为</w:t>
      </w:r>
      <w:r>
        <w:rPr>
          <w:rFonts w:ascii="新宋体" w:hAnsi="新宋体" w:cs="新宋体" w:eastAsia="新宋体" w:hint="default"/>
        </w:rPr>
        <w:t>20.25</w:t>
      </w:r>
      <w:r>
        <w:rPr/>
        <w:t>元。</w:t>
      </w:r>
    </w:p>
    <w:p>
      <w:pPr>
        <w:pStyle w:val="BodyText"/>
        <w:spacing w:line="357" w:lineRule="auto" w:before="77"/>
        <w:ind w:right="234" w:firstLine="372"/>
        <w:jc w:val="both"/>
      </w:pPr>
      <w:r>
        <w:rPr>
          <w:spacing w:val="-3"/>
        </w:rPr>
        <w:t>经公司股东大会授权，</w:t>
      </w:r>
      <w:r>
        <w:rPr>
          <w:rFonts w:ascii="新宋体" w:hAnsi="新宋体" w:cs="新宋体" w:eastAsia="新宋体" w:hint="default"/>
          <w:spacing w:val="-3"/>
        </w:rPr>
        <w:t>2011</w:t>
      </w:r>
      <w:r>
        <w:rPr>
          <w:spacing w:val="-3"/>
        </w:rPr>
        <w:t>年</w:t>
      </w:r>
      <w:r>
        <w:rPr>
          <w:rFonts w:ascii="新宋体" w:hAnsi="新宋体" w:cs="新宋体" w:eastAsia="新宋体" w:hint="default"/>
          <w:spacing w:val="-3"/>
        </w:rPr>
        <w:t>12</w:t>
      </w:r>
      <w:r>
        <w:rPr>
          <w:spacing w:val="-3"/>
        </w:rPr>
        <w:t>月</w:t>
      </w:r>
      <w:r>
        <w:rPr>
          <w:rFonts w:ascii="新宋体" w:hAnsi="新宋体" w:cs="新宋体" w:eastAsia="新宋体" w:hint="default"/>
          <w:spacing w:val="-3"/>
        </w:rPr>
        <w:t>14</w:t>
      </w:r>
      <w:r>
        <w:rPr>
          <w:spacing w:val="-3"/>
        </w:rPr>
        <w:t>日公司召开第二届董事会第十二次会议审议通过《关</w:t>
      </w:r>
      <w:r>
        <w:rPr/>
        <w:t> 于调整公司股权激励计划授予对象和期权数量的议案》、《关于调整公司股票期权激励计划</w:t>
      </w:r>
      <w:r>
        <w:rPr>
          <w:spacing w:val="-91"/>
        </w:rPr>
        <w:t> </w:t>
      </w:r>
      <w:r>
        <w:rPr>
          <w:spacing w:val="-91"/>
        </w:rPr>
      </w:r>
      <w:r>
        <w:rPr/>
        <w:t>行权价格的议案》及《关于确定公司股票期权授予日的议案》，确定本次股票期权的授予日</w:t>
      </w:r>
      <w:r>
        <w:rPr>
          <w:spacing w:val="-91"/>
        </w:rPr>
        <w:t> </w:t>
      </w:r>
      <w:r>
        <w:rPr>
          <w:spacing w:val="-91"/>
        </w:rPr>
      </w:r>
      <w:r>
        <w:rPr/>
        <w:t>为</w:t>
      </w:r>
      <w:r>
        <w:rPr>
          <w:rFonts w:ascii="新宋体" w:hAnsi="新宋体" w:cs="新宋体" w:eastAsia="新宋体" w:hint="default"/>
        </w:rPr>
        <w:t>2011</w:t>
      </w:r>
      <w:r>
        <w:rPr/>
        <w:t>年</w:t>
      </w:r>
      <w:r>
        <w:rPr>
          <w:rFonts w:ascii="新宋体" w:hAnsi="新宋体" w:cs="新宋体" w:eastAsia="新宋体" w:hint="default"/>
        </w:rPr>
        <w:t>12</w:t>
      </w:r>
      <w:r>
        <w:rPr/>
        <w:t>月</w:t>
      </w:r>
      <w:r>
        <w:rPr>
          <w:rFonts w:ascii="新宋体" w:hAnsi="新宋体" w:cs="新宋体" w:eastAsia="新宋体" w:hint="default"/>
        </w:rPr>
        <w:t>14</w:t>
      </w:r>
      <w:r>
        <w:rPr/>
        <w:t>日，行权价格为</w:t>
      </w:r>
      <w:r>
        <w:rPr>
          <w:rFonts w:ascii="新宋体" w:hAnsi="新宋体" w:cs="新宋体" w:eastAsia="新宋体" w:hint="default"/>
        </w:rPr>
        <w:t>20.15</w:t>
      </w:r>
      <w:r>
        <w:rPr/>
        <w:t>元。</w:t>
      </w:r>
    </w:p>
    <w:p>
      <w:pPr>
        <w:pStyle w:val="BodyText"/>
        <w:spacing w:line="388" w:lineRule="auto" w:before="74"/>
        <w:ind w:left="525" w:right="4201"/>
        <w:jc w:val="left"/>
      </w:pPr>
      <w:r>
        <w:rPr/>
        <w:t>（二）激励基金提取情况及股权激励股份购买情况 报告期内，不存在激励基金提取及股份购买情况。</w:t>
      </w:r>
    </w:p>
    <w:p>
      <w:pPr>
        <w:spacing w:after="0" w:line="388" w:lineRule="auto"/>
        <w:jc w:val="left"/>
        <w:sectPr>
          <w:headerReference w:type="default" r:id="rId33"/>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right="152" w:firstLine="372"/>
        <w:jc w:val="both"/>
      </w:pPr>
      <w:r>
        <w:rPr>
          <w:spacing w:val="-3"/>
        </w:rPr>
        <w:t>（三）对激励对象范围、期权行权价格及期权数量的调整情况，股票期权授予情况及履行</w:t>
      </w:r>
      <w:r>
        <w:rPr/>
        <w:t> 的相关程序</w:t>
      </w:r>
    </w:p>
    <w:p>
      <w:pPr>
        <w:pStyle w:val="BodyText"/>
        <w:spacing w:line="357" w:lineRule="auto" w:before="77"/>
        <w:ind w:right="152" w:firstLine="372"/>
        <w:jc w:val="both"/>
      </w:pPr>
      <w:r>
        <w:rPr>
          <w:rFonts w:ascii="新宋体" w:hAnsi="新宋体" w:cs="新宋体" w:eastAsia="新宋体" w:hint="default"/>
          <w:spacing w:val="-3"/>
        </w:rPr>
        <w:t>2011</w:t>
      </w:r>
      <w:r>
        <w:rPr>
          <w:spacing w:val="-3"/>
        </w:rPr>
        <w:t>年</w:t>
      </w:r>
      <w:r>
        <w:rPr>
          <w:rFonts w:ascii="新宋体" w:hAnsi="新宋体" w:cs="新宋体" w:eastAsia="新宋体" w:hint="default"/>
          <w:spacing w:val="-3"/>
        </w:rPr>
        <w:t>12</w:t>
      </w:r>
      <w:r>
        <w:rPr>
          <w:spacing w:val="-3"/>
        </w:rPr>
        <w:t>月</w:t>
      </w:r>
      <w:r>
        <w:rPr>
          <w:rFonts w:ascii="新宋体" w:hAnsi="新宋体" w:cs="新宋体" w:eastAsia="新宋体" w:hint="default"/>
          <w:spacing w:val="-3"/>
        </w:rPr>
        <w:t>14</w:t>
      </w:r>
      <w:r>
        <w:rPr>
          <w:spacing w:val="-3"/>
        </w:rPr>
        <w:t>日公司召开第二届董事会第十二次会议审议通过《关于调整公司股权激励计</w:t>
      </w:r>
      <w:r>
        <w:rPr/>
        <w:t> </w:t>
      </w:r>
      <w:r>
        <w:rPr>
          <w:spacing w:val="-5"/>
        </w:rPr>
        <w:t>划授予对象和期权数量的议案》、《关于调整公司股票期权激励计划行权价格的议案》及《关</w:t>
      </w:r>
      <w:r>
        <w:rPr>
          <w:spacing w:val="-118"/>
        </w:rPr>
        <w:t> </w:t>
      </w:r>
      <w:r>
        <w:rPr>
          <w:spacing w:val="-118"/>
        </w:rPr>
      </w:r>
      <w:r>
        <w:rPr/>
        <w:t>于确定公司股票期权授予日的议案》，公司部分激励对象因个人原因离职，已不再符合股票</w:t>
      </w:r>
      <w:r>
        <w:rPr>
          <w:spacing w:val="-91"/>
        </w:rPr>
        <w:t> </w:t>
      </w:r>
      <w:r>
        <w:rPr>
          <w:spacing w:val="-91"/>
        </w:rPr>
      </w:r>
      <w:r>
        <w:rPr/>
        <w:t>期权的授予条件，董事会同意取消其拟获授的股票期权，股票期权授予对象从</w:t>
      </w:r>
      <w:r>
        <w:rPr>
          <w:rFonts w:ascii="新宋体" w:hAnsi="新宋体" w:cs="新宋体" w:eastAsia="新宋体" w:hint="default"/>
        </w:rPr>
        <w:t>77</w:t>
      </w:r>
      <w:r>
        <w:rPr/>
        <w:t>人调整为</w:t>
      </w:r>
      <w:r>
        <w:rPr>
          <w:rFonts w:ascii="新宋体" w:hAnsi="新宋体" w:cs="新宋体" w:eastAsia="新宋体" w:hint="default"/>
        </w:rPr>
        <w:t>75</w:t>
      </w:r>
      <w:r>
        <w:rPr>
          <w:rFonts w:ascii="新宋体" w:hAnsi="新宋体" w:cs="新宋体" w:eastAsia="新宋体" w:hint="default"/>
          <w:spacing w:val="-86"/>
        </w:rPr>
        <w:t> </w:t>
      </w:r>
      <w:r>
        <w:rPr/>
        <w:t>人，首次授予期权数量从</w:t>
      </w:r>
      <w:r>
        <w:rPr>
          <w:rFonts w:ascii="新宋体" w:hAnsi="新宋体" w:cs="新宋体" w:eastAsia="新宋体" w:hint="default"/>
        </w:rPr>
        <w:t>281</w:t>
      </w:r>
      <w:r>
        <w:rPr/>
        <w:t>万份调整为</w:t>
      </w:r>
      <w:r>
        <w:rPr>
          <w:rFonts w:ascii="新宋体" w:hAnsi="新宋体" w:cs="新宋体" w:eastAsia="新宋体" w:hint="default"/>
        </w:rPr>
        <w:t>278</w:t>
      </w:r>
      <w:r>
        <w:rPr/>
        <w:t>万份，预留</w:t>
      </w:r>
      <w:r>
        <w:rPr>
          <w:rFonts w:ascii="新宋体" w:hAnsi="新宋体" w:cs="新宋体" w:eastAsia="新宋体" w:hint="default"/>
        </w:rPr>
        <w:t>29</w:t>
      </w:r>
      <w:r>
        <w:rPr/>
        <w:t>万份，授予日确定为</w:t>
      </w:r>
      <w:r>
        <w:rPr>
          <w:rFonts w:ascii="新宋体" w:hAnsi="新宋体" w:cs="新宋体" w:eastAsia="新宋体" w:hint="default"/>
        </w:rPr>
        <w:t>2011</w:t>
      </w:r>
      <w:r>
        <w:rPr/>
        <w:t>年</w:t>
      </w:r>
      <w:r>
        <w:rPr>
          <w:rFonts w:ascii="新宋体" w:hAnsi="新宋体" w:cs="新宋体" w:eastAsia="新宋体" w:hint="default"/>
        </w:rPr>
        <w:t>12</w:t>
      </w:r>
      <w:r>
        <w:rPr/>
        <w:t>月</w:t>
      </w:r>
      <w:r>
        <w:rPr>
          <w:rFonts w:ascii="新宋体" w:hAnsi="新宋体" w:cs="新宋体" w:eastAsia="新宋体" w:hint="default"/>
        </w:rPr>
        <w:t>14</w:t>
      </w:r>
      <w:r>
        <w:rPr>
          <w:rFonts w:ascii="新宋体" w:hAnsi="新宋体" w:cs="新宋体" w:eastAsia="新宋体" w:hint="default"/>
          <w:spacing w:val="-91"/>
        </w:rPr>
        <w:t> </w:t>
      </w:r>
      <w:r>
        <w:rPr/>
        <w:t>日。</w:t>
      </w:r>
    </w:p>
    <w:p>
      <w:pPr>
        <w:pStyle w:val="BodyText"/>
        <w:spacing w:line="357" w:lineRule="auto" w:before="75"/>
        <w:ind w:right="150" w:firstLine="372"/>
        <w:jc w:val="both"/>
      </w:pPr>
      <w:r>
        <w:rPr>
          <w:spacing w:val="-3"/>
        </w:rPr>
        <w:t>同时鉴于公司</w:t>
      </w:r>
      <w:r>
        <w:rPr>
          <w:rFonts w:ascii="新宋体" w:hAnsi="新宋体" w:cs="新宋体" w:eastAsia="新宋体" w:hint="default"/>
          <w:spacing w:val="-3"/>
        </w:rPr>
        <w:t>2010</w:t>
      </w:r>
      <w:r>
        <w:rPr>
          <w:spacing w:val="-3"/>
        </w:rPr>
        <w:t>年年度股东大会审议通过《</w:t>
      </w:r>
      <w:r>
        <w:rPr>
          <w:rFonts w:ascii="新宋体" w:hAnsi="新宋体" w:cs="新宋体" w:eastAsia="新宋体" w:hint="default"/>
          <w:spacing w:val="-3"/>
        </w:rPr>
        <w:t>2010</w:t>
      </w:r>
      <w:r>
        <w:rPr>
          <w:spacing w:val="-3"/>
        </w:rPr>
        <w:t>年度利润分配议案》，以公司</w:t>
      </w:r>
      <w:r>
        <w:rPr>
          <w:rFonts w:ascii="新宋体" w:hAnsi="新宋体" w:cs="新宋体" w:eastAsia="新宋体" w:hint="default"/>
          <w:spacing w:val="-3"/>
        </w:rPr>
        <w:t>2010</w:t>
      </w:r>
      <w:r>
        <w:rPr>
          <w:spacing w:val="-3"/>
        </w:rPr>
        <w:t>年末</w:t>
      </w:r>
      <w:r>
        <w:rPr/>
        <w:t> </w:t>
      </w:r>
      <w:r>
        <w:rPr>
          <w:spacing w:val="-2"/>
        </w:rPr>
        <w:t>总股本</w:t>
      </w:r>
      <w:r>
        <w:rPr>
          <w:rFonts w:ascii="新宋体" w:hAnsi="新宋体" w:cs="新宋体" w:eastAsia="新宋体" w:hint="default"/>
          <w:spacing w:val="-2"/>
        </w:rPr>
        <w:t>118,000,000</w:t>
      </w:r>
      <w:r>
        <w:rPr>
          <w:spacing w:val="-2"/>
        </w:rPr>
        <w:t>股为基数，向全体股东每</w:t>
      </w:r>
      <w:r>
        <w:rPr>
          <w:rFonts w:ascii="新宋体" w:hAnsi="新宋体" w:cs="新宋体" w:eastAsia="新宋体" w:hint="default"/>
          <w:spacing w:val="-2"/>
        </w:rPr>
        <w:t>10</w:t>
      </w:r>
      <w:r>
        <w:rPr>
          <w:spacing w:val="-2"/>
        </w:rPr>
        <w:t>股派</w:t>
      </w:r>
      <w:r>
        <w:rPr>
          <w:rFonts w:ascii="新宋体" w:hAnsi="新宋体" w:cs="新宋体" w:eastAsia="新宋体" w:hint="default"/>
          <w:spacing w:val="-2"/>
        </w:rPr>
        <w:t>1.00</w:t>
      </w:r>
      <w:r>
        <w:rPr>
          <w:spacing w:val="-2"/>
        </w:rPr>
        <w:t>元人民币现金（含税），合计分配现</w:t>
      </w:r>
      <w:r>
        <w:rPr>
          <w:spacing w:val="-106"/>
        </w:rPr>
        <w:t> </w:t>
      </w:r>
      <w:r>
        <w:rPr>
          <w:spacing w:val="-106"/>
        </w:rPr>
      </w:r>
      <w:r>
        <w:rPr>
          <w:spacing w:val="-2"/>
        </w:rPr>
        <w:t>金股利</w:t>
      </w:r>
      <w:r>
        <w:rPr>
          <w:rFonts w:ascii="新宋体" w:hAnsi="新宋体" w:cs="新宋体" w:eastAsia="新宋体" w:hint="default"/>
          <w:spacing w:val="-2"/>
        </w:rPr>
        <w:t>11,800,000.00</w:t>
      </w:r>
      <w:r>
        <w:rPr>
          <w:spacing w:val="-2"/>
        </w:rPr>
        <w:t>元。根据《股票期权激励计划（草案修订稿）》第九条的规定：若在行</w:t>
      </w:r>
      <w:r>
        <w:rPr>
          <w:spacing w:val="-109"/>
        </w:rPr>
        <w:t> </w:t>
      </w:r>
      <w:r>
        <w:rPr>
          <w:spacing w:val="-109"/>
        </w:rPr>
      </w:r>
      <w:r>
        <w:rPr/>
        <w:t>权前有派息、资本公积转增股本、派送股票红利、股票拆细、配股或缩股等事项，应对行权 </w:t>
      </w:r>
      <w:r>
        <w:rPr>
          <w:spacing w:val="-5"/>
        </w:rPr>
        <w:t>价格进行相应的调整。因此，</w:t>
      </w:r>
      <w:r>
        <w:rPr>
          <w:rFonts w:ascii="新宋体" w:hAnsi="新宋体" w:cs="新宋体" w:eastAsia="新宋体" w:hint="default"/>
          <w:spacing w:val="-5"/>
        </w:rPr>
        <w:t>2010</w:t>
      </w:r>
      <w:r>
        <w:rPr>
          <w:spacing w:val="-5"/>
        </w:rPr>
        <w:t>年度利润分配后，股票期权行权价格由</w:t>
      </w:r>
      <w:r>
        <w:rPr>
          <w:rFonts w:ascii="新宋体" w:hAnsi="新宋体" w:cs="新宋体" w:eastAsia="新宋体" w:hint="default"/>
          <w:spacing w:val="-5"/>
        </w:rPr>
        <w:t>20.25</w:t>
      </w:r>
      <w:r>
        <w:rPr>
          <w:spacing w:val="-5"/>
        </w:rPr>
        <w:t>元调整为</w:t>
      </w:r>
      <w:r>
        <w:rPr>
          <w:rFonts w:ascii="新宋体" w:hAnsi="新宋体" w:cs="新宋体" w:eastAsia="新宋体" w:hint="default"/>
          <w:spacing w:val="-5"/>
        </w:rPr>
        <w:t>20.15</w:t>
      </w:r>
      <w:r>
        <w:rPr>
          <w:rFonts w:ascii="新宋体" w:hAnsi="新宋体" w:cs="新宋体" w:eastAsia="新宋体" w:hint="default"/>
          <w:spacing w:val="-83"/>
        </w:rPr>
        <w:t> </w:t>
      </w:r>
      <w:r>
        <w:rPr/>
        <w:t>元，行权价格的调整已获股东大会授权并经公司第二届董事会十二次会议审议通过。</w:t>
      </w:r>
    </w:p>
    <w:p>
      <w:pPr>
        <w:pStyle w:val="BodyText"/>
        <w:spacing w:line="357" w:lineRule="auto" w:before="77"/>
        <w:ind w:right="155" w:firstLine="372"/>
        <w:jc w:val="both"/>
      </w:pPr>
      <w:r>
        <w:rPr>
          <w:spacing w:val="-3"/>
        </w:rPr>
        <w:t>对于本次激励对象范围、期权行权价格及期权数量的调整情况，公司独立董事对此发表了</w:t>
      </w:r>
      <w:r>
        <w:rPr/>
        <w:t> 独立意见，律师对此也发表了相关的法律意见。</w:t>
      </w:r>
    </w:p>
    <w:p>
      <w:pPr>
        <w:pStyle w:val="BodyText"/>
        <w:spacing w:line="386" w:lineRule="auto" w:before="77"/>
        <w:ind w:left="525" w:right="0"/>
        <w:jc w:val="left"/>
      </w:pPr>
      <w:r>
        <w:rPr/>
        <w:t>（四）股权激励股份解除锁定情况及行权情况 </w:t>
      </w:r>
      <w:r>
        <w:rPr>
          <w:spacing w:val="-3"/>
        </w:rPr>
        <w:t>公司股权激励对象本次股票期权锁定期为一年。</w:t>
      </w:r>
      <w:r>
        <w:rPr>
          <w:rFonts w:ascii="新宋体" w:hAnsi="新宋体" w:cs="新宋体" w:eastAsia="新宋体" w:hint="default"/>
          <w:spacing w:val="-3"/>
        </w:rPr>
        <w:t>2012</w:t>
      </w:r>
      <w:r>
        <w:rPr>
          <w:spacing w:val="-3"/>
        </w:rPr>
        <w:t>年</w:t>
      </w:r>
      <w:r>
        <w:rPr>
          <w:rFonts w:ascii="新宋体" w:hAnsi="新宋体" w:cs="新宋体" w:eastAsia="新宋体" w:hint="default"/>
          <w:spacing w:val="-3"/>
        </w:rPr>
        <w:t>12</w:t>
      </w:r>
      <w:r>
        <w:rPr>
          <w:spacing w:val="-3"/>
        </w:rPr>
        <w:t>月</w:t>
      </w:r>
      <w:r>
        <w:rPr>
          <w:rFonts w:ascii="新宋体" w:hAnsi="新宋体" w:cs="新宋体" w:eastAsia="新宋体" w:hint="default"/>
          <w:spacing w:val="-3"/>
        </w:rPr>
        <w:t>14</w:t>
      </w:r>
      <w:r>
        <w:rPr>
          <w:spacing w:val="-3"/>
        </w:rPr>
        <w:t>日，本次股权激励计划进入</w:t>
      </w:r>
    </w:p>
    <w:p>
      <w:pPr>
        <w:pStyle w:val="BodyText"/>
        <w:spacing w:line="357" w:lineRule="auto" w:before="7"/>
        <w:ind w:right="189"/>
        <w:jc w:val="both"/>
      </w:pPr>
      <w:r>
        <w:rPr/>
        <w:t>第一个行权期，按照《股票期权激励计划（草案修订稿）》的考核规定，第一个股票期权成 功行权的业绩条件已经实现。但由于公司二级市场股价远低于公司首期股权激励的行权价， 激励对象选择暂不行权。</w:t>
      </w:r>
    </w:p>
    <w:p>
      <w:pPr>
        <w:pStyle w:val="BodyText"/>
        <w:spacing w:line="388" w:lineRule="auto" w:before="77"/>
        <w:ind w:left="525" w:right="0"/>
        <w:jc w:val="left"/>
      </w:pPr>
      <w:r>
        <w:rPr/>
        <w:t>（五）实施股权激励计划对公司本报告期及以后各年度财务状况和经营成果的影响 </w:t>
      </w:r>
      <w:r>
        <w:rPr>
          <w:spacing w:val="-3"/>
        </w:rPr>
        <w:t>根据《企业会计准则第</w:t>
      </w:r>
      <w:r>
        <w:rPr>
          <w:rFonts w:ascii="新宋体" w:hAnsi="新宋体" w:cs="新宋体" w:eastAsia="新宋体" w:hint="default"/>
          <w:spacing w:val="-3"/>
        </w:rPr>
        <w:t>22</w:t>
      </w:r>
      <w:r>
        <w:rPr>
          <w:spacing w:val="-3"/>
        </w:rPr>
        <w:t>号—金融工具确认和计量》中关于公允价值确定的相关规定，公</w:t>
      </w:r>
    </w:p>
    <w:p>
      <w:pPr>
        <w:pStyle w:val="BodyText"/>
        <w:spacing w:line="357" w:lineRule="auto" w:before="5"/>
        <w:ind w:right="151"/>
        <w:jc w:val="both"/>
      </w:pPr>
      <w:r>
        <w:rPr/>
        <w:t>司选择布莱克－斯科尔期权定价模型对股票期权的公允价值进行测算。董事会确定股票期权</w:t>
      </w:r>
      <w:r>
        <w:rPr>
          <w:spacing w:val="-91"/>
        </w:rPr>
        <w:t> </w:t>
      </w:r>
      <w:r>
        <w:rPr>
          <w:spacing w:val="-91"/>
        </w:rPr>
      </w:r>
      <w:r>
        <w:rPr>
          <w:spacing w:val="-2"/>
        </w:rPr>
        <w:t>的授予日为</w:t>
      </w:r>
      <w:r>
        <w:rPr>
          <w:rFonts w:ascii="新宋体" w:hAnsi="新宋体" w:cs="新宋体" w:eastAsia="新宋体" w:hint="default"/>
          <w:spacing w:val="-2"/>
        </w:rPr>
        <w:t>2011</w:t>
      </w:r>
      <w:r>
        <w:rPr>
          <w:spacing w:val="-2"/>
        </w:rPr>
        <w:t>年</w:t>
      </w:r>
      <w:r>
        <w:rPr>
          <w:rFonts w:ascii="新宋体" w:hAnsi="新宋体" w:cs="新宋体" w:eastAsia="新宋体" w:hint="default"/>
          <w:spacing w:val="-2"/>
        </w:rPr>
        <w:t>12</w:t>
      </w:r>
      <w:r>
        <w:rPr>
          <w:spacing w:val="-2"/>
        </w:rPr>
        <w:t>月</w:t>
      </w:r>
      <w:r>
        <w:rPr>
          <w:rFonts w:ascii="新宋体" w:hAnsi="新宋体" w:cs="新宋体" w:eastAsia="新宋体" w:hint="default"/>
          <w:spacing w:val="-2"/>
        </w:rPr>
        <w:t>14</w:t>
      </w:r>
      <w:r>
        <w:rPr>
          <w:spacing w:val="-2"/>
        </w:rPr>
        <w:t>日，当日公司股票收盘价为</w:t>
      </w:r>
      <w:r>
        <w:rPr>
          <w:rFonts w:ascii="新宋体" w:hAnsi="新宋体" w:cs="新宋体" w:eastAsia="新宋体" w:hint="default"/>
          <w:spacing w:val="-2"/>
        </w:rPr>
        <w:t>13.01</w:t>
      </w:r>
      <w:r>
        <w:rPr>
          <w:spacing w:val="-2"/>
        </w:rPr>
        <w:t>元，根据布莱克－斯科尔期权定价</w:t>
      </w:r>
      <w:r>
        <w:rPr>
          <w:spacing w:val="-107"/>
        </w:rPr>
        <w:t> </w:t>
      </w:r>
      <w:r>
        <w:rPr>
          <w:spacing w:val="-107"/>
        </w:rPr>
      </w:r>
      <w:r>
        <w:rPr/>
        <w:t>模型计算出公司授予的</w:t>
      </w:r>
      <w:r>
        <w:rPr>
          <w:rFonts w:ascii="新宋体" w:hAnsi="新宋体" w:cs="新宋体" w:eastAsia="新宋体" w:hint="default"/>
        </w:rPr>
        <w:t>278</w:t>
      </w:r>
      <w:r>
        <w:rPr/>
        <w:t>万份股票期权总价值为</w:t>
      </w:r>
      <w:r>
        <w:rPr>
          <w:rFonts w:ascii="新宋体" w:hAnsi="新宋体" w:cs="新宋体" w:eastAsia="新宋体" w:hint="default"/>
        </w:rPr>
        <w:t>121.46</w:t>
      </w:r>
      <w:r>
        <w:rPr/>
        <w:t>万元。</w:t>
      </w:r>
    </w:p>
    <w:p>
      <w:pPr>
        <w:pStyle w:val="BodyText"/>
        <w:spacing w:line="357" w:lineRule="auto" w:before="74"/>
        <w:ind w:right="152" w:firstLine="372"/>
        <w:jc w:val="both"/>
      </w:pPr>
      <w:r>
        <w:rPr>
          <w:spacing w:val="-3"/>
        </w:rPr>
        <w:t>假设本次授予的全部激励对象均符合本计划规定的行权条件且在各行权期内全部行权，则</w:t>
      </w:r>
      <w:r>
        <w:rPr/>
        <w:t> 股票期权成本为</w:t>
      </w:r>
      <w:r>
        <w:rPr>
          <w:rFonts w:ascii="新宋体" w:hAnsi="新宋体" w:cs="新宋体" w:eastAsia="新宋体" w:hint="default"/>
        </w:rPr>
        <w:t>121.46</w:t>
      </w:r>
      <w:r>
        <w:rPr/>
        <w:t>万元。根据《企业会计准则第</w:t>
      </w:r>
      <w:r>
        <w:rPr>
          <w:rFonts w:ascii="新宋体" w:hAnsi="新宋体" w:cs="新宋体" w:eastAsia="新宋体" w:hint="default"/>
        </w:rPr>
        <w:t>11</w:t>
      </w:r>
      <w:r>
        <w:rPr/>
        <w:t>号—股份支付》，该笔费用将在股票</w:t>
      </w:r>
      <w:r>
        <w:rPr>
          <w:spacing w:val="-90"/>
        </w:rPr>
        <w:t> </w:t>
      </w:r>
      <w:r>
        <w:rPr>
          <w:spacing w:val="-90"/>
        </w:rPr>
      </w:r>
      <w:r>
        <w:rPr/>
        <w:t>期权激励计划的各个等待期内进行摊销，增加管理费用约</w:t>
      </w:r>
      <w:r>
        <w:rPr>
          <w:rFonts w:ascii="新宋体" w:hAnsi="新宋体" w:cs="新宋体" w:eastAsia="新宋体" w:hint="default"/>
        </w:rPr>
        <w:t>121.46</w:t>
      </w:r>
      <w:r>
        <w:rPr/>
        <w:t>万元，从而对公司当年每股</w:t>
      </w:r>
    </w:p>
    <w:p>
      <w:pPr>
        <w:spacing w:after="0" w:line="357" w:lineRule="auto"/>
        <w:jc w:val="both"/>
        <w:sectPr>
          <w:pgSz w:w="11910" w:h="16840"/>
          <w:pgMar w:header="555" w:footer="980" w:top="1100" w:bottom="1160" w:left="980" w:right="980"/>
        </w:sectPr>
      </w:pPr>
    </w:p>
    <w:p>
      <w:pPr>
        <w:spacing w:line="240" w:lineRule="auto" w:before="7"/>
        <w:rPr>
          <w:rFonts w:ascii="新宋体" w:hAnsi="新宋体" w:cs="新宋体" w:eastAsia="新宋体" w:hint="default"/>
          <w:sz w:val="25"/>
          <w:szCs w:val="25"/>
        </w:rPr>
      </w:pPr>
    </w:p>
    <w:p>
      <w:pPr>
        <w:pStyle w:val="BodyText"/>
        <w:spacing w:line="240" w:lineRule="auto" w:before="26"/>
        <w:ind w:right="0"/>
        <w:jc w:val="left"/>
      </w:pPr>
      <w:r>
        <w:rPr/>
        <w:t>收益及净资产收益率带来一定的影响，</w:t>
      </w:r>
      <w:r>
        <w:rPr>
          <w:rFonts w:ascii="新宋体" w:hAnsi="新宋体" w:cs="新宋体" w:eastAsia="新宋体" w:hint="default"/>
        </w:rPr>
        <w:t>2011</w:t>
      </w:r>
      <w:r>
        <w:rPr/>
        <w:t>年</w:t>
      </w:r>
      <w:r>
        <w:rPr>
          <w:rFonts w:ascii="新宋体" w:hAnsi="新宋体" w:cs="新宋体" w:eastAsia="新宋体" w:hint="default"/>
        </w:rPr>
        <w:t>-2014</w:t>
      </w:r>
      <w:r>
        <w:rPr/>
        <w:t>年期权成本摊销情况如下表：</w:t>
      </w:r>
    </w:p>
    <w:p>
      <w:pPr>
        <w:spacing w:line="240" w:lineRule="auto" w:before="4"/>
        <w:rPr>
          <w:rFonts w:ascii="新宋体" w:hAnsi="新宋体" w:cs="新宋体" w:eastAsia="新宋体" w:hint="default"/>
          <w:sz w:val="12"/>
          <w:szCs w:val="12"/>
        </w:rPr>
      </w:pPr>
    </w:p>
    <w:tbl>
      <w:tblPr>
        <w:tblW w:w="0" w:type="auto"/>
        <w:jc w:val="left"/>
        <w:tblInd w:w="617" w:type="dxa"/>
        <w:tblLayout w:type="fixed"/>
        <w:tblCellMar>
          <w:top w:w="0" w:type="dxa"/>
          <w:left w:w="0" w:type="dxa"/>
          <w:bottom w:w="0" w:type="dxa"/>
          <w:right w:w="0" w:type="dxa"/>
        </w:tblCellMar>
        <w:tblLook w:val="01E0"/>
      </w:tblPr>
      <w:tblGrid>
        <w:gridCol w:w="1261"/>
        <w:gridCol w:w="1095"/>
        <w:gridCol w:w="1183"/>
        <w:gridCol w:w="1402"/>
        <w:gridCol w:w="1327"/>
        <w:gridCol w:w="1124"/>
        <w:gridCol w:w="1291"/>
      </w:tblGrid>
      <w:tr>
        <w:trPr>
          <w:trHeight w:val="780" w:hRule="exact"/>
        </w:trPr>
        <w:tc>
          <w:tcPr>
            <w:tcW w:w="126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3"/>
              <w:ind w:left="200" w:right="0"/>
              <w:jc w:val="left"/>
              <w:rPr>
                <w:rFonts w:ascii="新宋体" w:hAnsi="新宋体" w:cs="新宋体" w:eastAsia="新宋体" w:hint="default"/>
                <w:sz w:val="21"/>
                <w:szCs w:val="21"/>
              </w:rPr>
            </w:pPr>
            <w:r>
              <w:rPr>
                <w:rFonts w:ascii="新宋体" w:hAnsi="新宋体" w:cs="新宋体" w:eastAsia="新宋体" w:hint="default"/>
                <w:sz w:val="21"/>
                <w:szCs w:val="21"/>
              </w:rPr>
              <w:t>期权份额</w:t>
            </w:r>
          </w:p>
          <w:p>
            <w:pPr>
              <w:pStyle w:val="TableParagraph"/>
              <w:spacing w:line="240" w:lineRule="auto" w:before="78"/>
              <w:ind w:left="200" w:right="0"/>
              <w:jc w:val="left"/>
              <w:rPr>
                <w:rFonts w:ascii="新宋体" w:hAnsi="新宋体" w:cs="新宋体" w:eastAsia="新宋体" w:hint="default"/>
                <w:sz w:val="21"/>
                <w:szCs w:val="21"/>
              </w:rPr>
            </w:pPr>
            <w:r>
              <w:rPr>
                <w:rFonts w:ascii="新宋体" w:hAnsi="新宋体" w:cs="新宋体" w:eastAsia="新宋体" w:hint="default"/>
                <w:sz w:val="21"/>
                <w:szCs w:val="21"/>
              </w:rPr>
              <w:t>（万份）</w:t>
            </w:r>
          </w:p>
        </w:tc>
        <w:tc>
          <w:tcPr>
            <w:tcW w:w="10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3"/>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期权价值</w:t>
            </w:r>
          </w:p>
          <w:p>
            <w:pPr>
              <w:pStyle w:val="TableParagraph"/>
              <w:spacing w:line="240" w:lineRule="auto" w:before="37"/>
              <w:ind w:right="0"/>
              <w:jc w:val="center"/>
              <w:rPr>
                <w:rFonts w:ascii="新宋体" w:hAnsi="新宋体" w:cs="新宋体" w:eastAsia="新宋体" w:hint="default"/>
                <w:sz w:val="21"/>
                <w:szCs w:val="21"/>
              </w:rPr>
            </w:pPr>
            <w:r>
              <w:rPr>
                <w:rFonts w:ascii="新宋体" w:hAnsi="新宋体" w:cs="新宋体" w:eastAsia="新宋体" w:hint="default"/>
                <w:sz w:val="21"/>
                <w:szCs w:val="21"/>
              </w:rPr>
              <w:t>（元）</w:t>
            </w:r>
          </w:p>
        </w:tc>
        <w:tc>
          <w:tcPr>
            <w:tcW w:w="11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3"/>
              <w:ind w:left="163" w:right="0"/>
              <w:jc w:val="left"/>
              <w:rPr>
                <w:rFonts w:ascii="新宋体" w:hAnsi="新宋体" w:cs="新宋体" w:eastAsia="新宋体" w:hint="default"/>
                <w:sz w:val="21"/>
                <w:szCs w:val="21"/>
              </w:rPr>
            </w:pPr>
            <w:r>
              <w:rPr>
                <w:rFonts w:ascii="新宋体" w:hAnsi="新宋体" w:cs="新宋体" w:eastAsia="新宋体" w:hint="default"/>
                <w:sz w:val="21"/>
                <w:szCs w:val="21"/>
              </w:rPr>
              <w:t>期权成本</w:t>
            </w:r>
          </w:p>
          <w:p>
            <w:pPr>
              <w:pStyle w:val="TableParagraph"/>
              <w:spacing w:line="240" w:lineRule="auto" w:before="78"/>
              <w:ind w:left="163" w:right="0"/>
              <w:jc w:val="left"/>
              <w:rPr>
                <w:rFonts w:ascii="新宋体" w:hAnsi="新宋体" w:cs="新宋体" w:eastAsia="新宋体" w:hint="default"/>
                <w:sz w:val="21"/>
                <w:szCs w:val="21"/>
              </w:rPr>
            </w:pPr>
            <w:r>
              <w:rPr>
                <w:rFonts w:ascii="新宋体" w:hAnsi="新宋体" w:cs="新宋体" w:eastAsia="新宋体" w:hint="default"/>
                <w:sz w:val="21"/>
                <w:szCs w:val="21"/>
              </w:rPr>
              <w:t>（万元）</w:t>
            </w:r>
          </w:p>
        </w:tc>
        <w:tc>
          <w:tcPr>
            <w:tcW w:w="14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3"/>
              <w:ind w:left="4" w:right="0"/>
              <w:jc w:val="center"/>
              <w:rPr>
                <w:rFonts w:ascii="新宋体" w:hAnsi="新宋体" w:cs="新宋体" w:eastAsia="新宋体" w:hint="default"/>
                <w:sz w:val="21"/>
                <w:szCs w:val="21"/>
              </w:rPr>
            </w:pPr>
            <w:r>
              <w:rPr>
                <w:rFonts w:ascii="新宋体" w:hAnsi="新宋体" w:cs="新宋体" w:eastAsia="新宋体" w:hint="default"/>
                <w:sz w:val="21"/>
                <w:szCs w:val="21"/>
              </w:rPr>
              <w:t>2011</w:t>
            </w:r>
            <w:r>
              <w:rPr>
                <w:rFonts w:ascii="新宋体" w:hAnsi="新宋体" w:cs="新宋体" w:eastAsia="新宋体" w:hint="default"/>
                <w:sz w:val="21"/>
                <w:szCs w:val="21"/>
              </w:rPr>
              <w:t>年</w:t>
            </w:r>
          </w:p>
          <w:p>
            <w:pPr>
              <w:pStyle w:val="TableParagraph"/>
              <w:spacing w:line="240" w:lineRule="auto" w:before="78"/>
              <w:ind w:left="6" w:right="0"/>
              <w:jc w:val="center"/>
              <w:rPr>
                <w:rFonts w:ascii="新宋体" w:hAnsi="新宋体" w:cs="新宋体" w:eastAsia="新宋体" w:hint="default"/>
                <w:sz w:val="21"/>
                <w:szCs w:val="21"/>
              </w:rPr>
            </w:pPr>
            <w:r>
              <w:rPr>
                <w:rFonts w:ascii="新宋体" w:hAnsi="新宋体" w:cs="新宋体" w:eastAsia="新宋体" w:hint="default"/>
                <w:sz w:val="21"/>
                <w:szCs w:val="21"/>
              </w:rPr>
              <w:t>（万元）</w:t>
            </w:r>
          </w:p>
        </w:tc>
        <w:tc>
          <w:tcPr>
            <w:tcW w:w="13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3"/>
              <w:ind w:left="7" w:right="0"/>
              <w:jc w:val="center"/>
              <w:rPr>
                <w:rFonts w:ascii="新宋体" w:hAnsi="新宋体" w:cs="新宋体" w:eastAsia="新宋体" w:hint="default"/>
                <w:sz w:val="21"/>
                <w:szCs w:val="21"/>
              </w:rPr>
            </w:pPr>
            <w:r>
              <w:rPr>
                <w:rFonts w:ascii="新宋体" w:hAnsi="新宋体" w:cs="新宋体" w:eastAsia="新宋体" w:hint="default"/>
                <w:sz w:val="21"/>
                <w:szCs w:val="21"/>
              </w:rPr>
              <w:t>2012</w:t>
            </w:r>
            <w:r>
              <w:rPr>
                <w:rFonts w:ascii="新宋体" w:hAnsi="新宋体" w:cs="新宋体" w:eastAsia="新宋体" w:hint="default"/>
                <w:sz w:val="21"/>
                <w:szCs w:val="21"/>
              </w:rPr>
              <w:t>年</w:t>
            </w:r>
          </w:p>
          <w:p>
            <w:pPr>
              <w:pStyle w:val="TableParagraph"/>
              <w:spacing w:line="240" w:lineRule="auto" w:before="78"/>
              <w:ind w:left="4" w:right="0"/>
              <w:jc w:val="center"/>
              <w:rPr>
                <w:rFonts w:ascii="新宋体" w:hAnsi="新宋体" w:cs="新宋体" w:eastAsia="新宋体" w:hint="default"/>
                <w:sz w:val="21"/>
                <w:szCs w:val="21"/>
              </w:rPr>
            </w:pPr>
            <w:r>
              <w:rPr>
                <w:rFonts w:ascii="新宋体" w:hAnsi="新宋体" w:cs="新宋体" w:eastAsia="新宋体" w:hint="default"/>
                <w:sz w:val="21"/>
                <w:szCs w:val="21"/>
              </w:rPr>
              <w:t>（万元）</w:t>
            </w:r>
          </w:p>
        </w:tc>
        <w:tc>
          <w:tcPr>
            <w:tcW w:w="11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3"/>
              <w:ind w:left="4" w:right="0"/>
              <w:jc w:val="center"/>
              <w:rPr>
                <w:rFonts w:ascii="新宋体" w:hAnsi="新宋体" w:cs="新宋体" w:eastAsia="新宋体" w:hint="default"/>
                <w:sz w:val="21"/>
                <w:szCs w:val="21"/>
              </w:rPr>
            </w:pPr>
            <w:r>
              <w:rPr>
                <w:rFonts w:ascii="新宋体" w:hAnsi="新宋体" w:cs="新宋体" w:eastAsia="新宋体" w:hint="default"/>
                <w:sz w:val="21"/>
                <w:szCs w:val="21"/>
              </w:rPr>
              <w:t>2013</w:t>
            </w:r>
            <w:r>
              <w:rPr>
                <w:rFonts w:ascii="新宋体" w:hAnsi="新宋体" w:cs="新宋体" w:eastAsia="新宋体" w:hint="default"/>
                <w:sz w:val="21"/>
                <w:szCs w:val="21"/>
              </w:rPr>
              <w:t>年</w:t>
            </w:r>
          </w:p>
          <w:p>
            <w:pPr>
              <w:pStyle w:val="TableParagraph"/>
              <w:spacing w:line="240" w:lineRule="auto" w:before="78"/>
              <w:ind w:left="6" w:right="0"/>
              <w:jc w:val="center"/>
              <w:rPr>
                <w:rFonts w:ascii="新宋体" w:hAnsi="新宋体" w:cs="新宋体" w:eastAsia="新宋体" w:hint="default"/>
                <w:sz w:val="21"/>
                <w:szCs w:val="21"/>
              </w:rPr>
            </w:pPr>
            <w:r>
              <w:rPr>
                <w:rFonts w:ascii="新宋体" w:hAnsi="新宋体" w:cs="新宋体" w:eastAsia="新宋体" w:hint="default"/>
                <w:sz w:val="21"/>
                <w:szCs w:val="21"/>
              </w:rPr>
              <w:t>（万元）</w:t>
            </w:r>
          </w:p>
        </w:tc>
        <w:tc>
          <w:tcPr>
            <w:tcW w:w="129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33"/>
              <w:ind w:left="7" w:right="0"/>
              <w:jc w:val="center"/>
              <w:rPr>
                <w:rFonts w:ascii="新宋体" w:hAnsi="新宋体" w:cs="新宋体" w:eastAsia="新宋体" w:hint="default"/>
                <w:sz w:val="21"/>
                <w:szCs w:val="21"/>
              </w:rPr>
            </w:pPr>
            <w:r>
              <w:rPr>
                <w:rFonts w:ascii="新宋体" w:hAnsi="新宋体" w:cs="新宋体" w:eastAsia="新宋体" w:hint="default"/>
                <w:sz w:val="21"/>
                <w:szCs w:val="21"/>
              </w:rPr>
              <w:t>2014</w:t>
            </w:r>
            <w:r>
              <w:rPr>
                <w:rFonts w:ascii="新宋体" w:hAnsi="新宋体" w:cs="新宋体" w:eastAsia="新宋体" w:hint="default"/>
                <w:sz w:val="21"/>
                <w:szCs w:val="21"/>
              </w:rPr>
              <w:t>年</w:t>
            </w:r>
          </w:p>
          <w:p>
            <w:pPr>
              <w:pStyle w:val="TableParagraph"/>
              <w:spacing w:line="240" w:lineRule="auto" w:before="78"/>
              <w:ind w:left="9" w:right="0"/>
              <w:jc w:val="center"/>
              <w:rPr>
                <w:rFonts w:ascii="新宋体" w:hAnsi="新宋体" w:cs="新宋体" w:eastAsia="新宋体" w:hint="default"/>
                <w:sz w:val="21"/>
                <w:szCs w:val="21"/>
              </w:rPr>
            </w:pPr>
            <w:r>
              <w:rPr>
                <w:rFonts w:ascii="新宋体" w:hAnsi="新宋体" w:cs="新宋体" w:eastAsia="新宋体" w:hint="default"/>
                <w:sz w:val="21"/>
                <w:szCs w:val="21"/>
              </w:rPr>
              <w:t>（万元）</w:t>
            </w:r>
          </w:p>
        </w:tc>
      </w:tr>
      <w:tr>
        <w:trPr>
          <w:trHeight w:val="437" w:hRule="exact"/>
        </w:trPr>
        <w:tc>
          <w:tcPr>
            <w:tcW w:w="12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0"/>
              <w:ind w:left="1" w:right="0"/>
              <w:jc w:val="center"/>
              <w:rPr>
                <w:rFonts w:ascii="新宋体" w:hAnsi="新宋体" w:cs="新宋体" w:eastAsia="新宋体" w:hint="default"/>
                <w:sz w:val="21"/>
                <w:szCs w:val="21"/>
              </w:rPr>
            </w:pPr>
            <w:r>
              <w:rPr>
                <w:rFonts w:ascii="新宋体"/>
                <w:sz w:val="21"/>
              </w:rPr>
              <w:t>278</w:t>
            </w:r>
          </w:p>
        </w:tc>
        <w:tc>
          <w:tcPr>
            <w:tcW w:w="10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328" w:right="0"/>
              <w:jc w:val="left"/>
              <w:rPr>
                <w:rFonts w:ascii="新宋体" w:hAnsi="新宋体" w:cs="新宋体" w:eastAsia="新宋体" w:hint="default"/>
                <w:sz w:val="21"/>
                <w:szCs w:val="21"/>
              </w:rPr>
            </w:pPr>
            <w:r>
              <w:rPr>
                <w:rFonts w:ascii="新宋体"/>
                <w:sz w:val="21"/>
              </w:rPr>
              <w:t>0.44</w:t>
            </w:r>
          </w:p>
        </w:tc>
        <w:tc>
          <w:tcPr>
            <w:tcW w:w="11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268" w:right="0"/>
              <w:jc w:val="left"/>
              <w:rPr>
                <w:rFonts w:ascii="新宋体" w:hAnsi="新宋体" w:cs="新宋体" w:eastAsia="新宋体" w:hint="default"/>
                <w:sz w:val="21"/>
                <w:szCs w:val="21"/>
              </w:rPr>
            </w:pPr>
            <w:r>
              <w:rPr>
                <w:rFonts w:ascii="新宋体"/>
                <w:sz w:val="21"/>
              </w:rPr>
              <w:t>121.46</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4" w:right="0"/>
              <w:jc w:val="center"/>
              <w:rPr>
                <w:rFonts w:ascii="新宋体" w:hAnsi="新宋体" w:cs="新宋体" w:eastAsia="新宋体" w:hint="default"/>
                <w:sz w:val="21"/>
                <w:szCs w:val="21"/>
              </w:rPr>
            </w:pPr>
            <w:r>
              <w:rPr>
                <w:rFonts w:ascii="新宋体"/>
                <w:sz w:val="21"/>
              </w:rPr>
              <w:t>1.52</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395" w:right="0"/>
              <w:jc w:val="left"/>
              <w:rPr>
                <w:rFonts w:ascii="新宋体" w:hAnsi="新宋体" w:cs="新宋体" w:eastAsia="新宋体" w:hint="default"/>
                <w:sz w:val="21"/>
                <w:szCs w:val="21"/>
              </w:rPr>
            </w:pPr>
            <w:r>
              <w:rPr>
                <w:rFonts w:ascii="新宋体"/>
                <w:sz w:val="21"/>
              </w:rPr>
              <w:t>36.44</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292" w:right="0"/>
              <w:jc w:val="left"/>
              <w:rPr>
                <w:rFonts w:ascii="新宋体" w:hAnsi="新宋体" w:cs="新宋体" w:eastAsia="新宋体" w:hint="default"/>
                <w:sz w:val="21"/>
                <w:szCs w:val="21"/>
              </w:rPr>
            </w:pPr>
            <w:r>
              <w:rPr>
                <w:rFonts w:ascii="新宋体"/>
                <w:sz w:val="21"/>
              </w:rPr>
              <w:t>36.94</w:t>
            </w:r>
          </w:p>
        </w:tc>
        <w:tc>
          <w:tcPr>
            <w:tcW w:w="12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0"/>
              <w:ind w:left="374" w:right="0"/>
              <w:jc w:val="left"/>
              <w:rPr>
                <w:rFonts w:ascii="新宋体" w:hAnsi="新宋体" w:cs="新宋体" w:eastAsia="新宋体" w:hint="default"/>
                <w:sz w:val="21"/>
                <w:szCs w:val="21"/>
              </w:rPr>
            </w:pPr>
            <w:r>
              <w:rPr>
                <w:rFonts w:ascii="新宋体"/>
                <w:sz w:val="21"/>
              </w:rPr>
              <w:t>46.56</w:t>
            </w:r>
          </w:p>
        </w:tc>
      </w:tr>
    </w:tbl>
    <w:p>
      <w:pPr>
        <w:spacing w:line="240" w:lineRule="auto" w:before="4"/>
        <w:rPr>
          <w:rFonts w:ascii="新宋体" w:hAnsi="新宋体" w:cs="新宋体" w:eastAsia="新宋体" w:hint="default"/>
          <w:sz w:val="19"/>
          <w:szCs w:val="19"/>
        </w:rPr>
      </w:pPr>
    </w:p>
    <w:p>
      <w:pPr>
        <w:pStyle w:val="BodyText"/>
        <w:spacing w:line="357" w:lineRule="auto" w:before="26"/>
        <w:ind w:right="152" w:firstLine="360"/>
        <w:jc w:val="both"/>
      </w:pPr>
      <w:r>
        <w:rPr>
          <w:spacing w:val="-3"/>
        </w:rPr>
        <w:t>（六）公司首期股权激励计划人员调整以及调整后激励计划所授出期权数量的变化及其影</w:t>
      </w:r>
      <w:r>
        <w:rPr/>
        <w:t> 响说明</w:t>
      </w:r>
    </w:p>
    <w:p>
      <w:pPr>
        <w:pStyle w:val="BodyText"/>
        <w:spacing w:line="357" w:lineRule="auto"/>
        <w:ind w:right="151" w:firstLine="425"/>
        <w:jc w:val="both"/>
      </w:pPr>
      <w:r>
        <w:rPr>
          <w:spacing w:val="-1"/>
        </w:rPr>
        <w:t>由于公司股权激励计划首次授予股票期权的激励对象刘德刚、梁伟、孙海晶等</w:t>
      </w:r>
      <w:r>
        <w:rPr>
          <w:rFonts w:ascii="新宋体" w:hAnsi="新宋体" w:cs="新宋体" w:eastAsia="新宋体" w:hint="default"/>
          <w:spacing w:val="-1"/>
        </w:rPr>
        <w:t>7</w:t>
      </w:r>
      <w:r>
        <w:rPr>
          <w:spacing w:val="-1"/>
        </w:rPr>
        <w:t>人从公司</w:t>
      </w:r>
      <w:r>
        <w:rPr/>
        <w:t> 离职，根据《股票期权激励计划》的规定，该</w:t>
      </w:r>
      <w:r>
        <w:rPr>
          <w:rFonts w:ascii="新宋体" w:hAnsi="新宋体" w:cs="新宋体" w:eastAsia="新宋体" w:hint="default"/>
        </w:rPr>
        <w:t>7</w:t>
      </w:r>
      <w:r>
        <w:rPr/>
        <w:t>人已不具备激励对象的资格。</w:t>
      </w:r>
    </w:p>
    <w:p>
      <w:pPr>
        <w:pStyle w:val="BodyText"/>
        <w:spacing w:line="357" w:lineRule="auto" w:before="37"/>
        <w:ind w:right="149" w:firstLine="425"/>
        <w:jc w:val="both"/>
      </w:pPr>
      <w:r>
        <w:rPr>
          <w:rFonts w:ascii="新宋体" w:hAnsi="新宋体" w:cs="新宋体" w:eastAsia="新宋体" w:hint="default"/>
          <w:spacing w:val="-1"/>
        </w:rPr>
        <w:t>2013</w:t>
      </w:r>
      <w:r>
        <w:rPr>
          <w:spacing w:val="-1"/>
        </w:rPr>
        <w:t>年</w:t>
      </w:r>
      <w:r>
        <w:rPr>
          <w:rFonts w:ascii="新宋体" w:hAnsi="新宋体" w:cs="新宋体" w:eastAsia="新宋体" w:hint="default"/>
          <w:spacing w:val="-1"/>
        </w:rPr>
        <w:t>3</w:t>
      </w:r>
      <w:r>
        <w:rPr>
          <w:spacing w:val="-1"/>
        </w:rPr>
        <w:t>月</w:t>
      </w:r>
      <w:r>
        <w:rPr>
          <w:rFonts w:ascii="新宋体" w:hAnsi="新宋体" w:cs="新宋体" w:eastAsia="新宋体" w:hint="default"/>
          <w:spacing w:val="-1"/>
        </w:rPr>
        <w:t>28</w:t>
      </w:r>
      <w:r>
        <w:rPr>
          <w:spacing w:val="-1"/>
        </w:rPr>
        <w:t>日公司召开第二届董事会第二十一次会议及第二届监事会第十六次会议，审</w:t>
      </w:r>
      <w:r>
        <w:rPr/>
        <w:t> </w:t>
      </w:r>
      <w:r>
        <w:rPr>
          <w:spacing w:val="-2"/>
        </w:rPr>
        <w:t>议通过了《关于公司首期股权激励计划人员调整的议案》，取消该</w:t>
      </w:r>
      <w:r>
        <w:rPr>
          <w:rFonts w:ascii="新宋体" w:hAnsi="新宋体" w:cs="新宋体" w:eastAsia="新宋体" w:hint="default"/>
          <w:spacing w:val="-2"/>
        </w:rPr>
        <w:t>7</w:t>
      </w:r>
      <w:r>
        <w:rPr>
          <w:spacing w:val="-2"/>
        </w:rPr>
        <w:t>人的激励对象资格，同时</w:t>
      </w:r>
      <w:r>
        <w:rPr/>
        <w:t> 取消已授予其的股票期权共计</w:t>
      </w:r>
      <w:r>
        <w:rPr>
          <w:rFonts w:ascii="新宋体" w:hAnsi="新宋体" w:cs="新宋体" w:eastAsia="新宋体" w:hint="default"/>
        </w:rPr>
        <w:t>14.6</w:t>
      </w:r>
      <w:r>
        <w:rPr/>
        <w:t>万份。根据《股票期权激励计划》及《创业板信息披露业 </w:t>
      </w:r>
      <w:r>
        <w:rPr>
          <w:spacing w:val="-2"/>
        </w:rPr>
        <w:t>务备忘录第</w:t>
      </w:r>
      <w:r>
        <w:rPr>
          <w:rFonts w:ascii="新宋体" w:hAnsi="新宋体" w:cs="新宋体" w:eastAsia="新宋体" w:hint="default"/>
          <w:spacing w:val="-2"/>
        </w:rPr>
        <w:t>8</w:t>
      </w:r>
      <w:r>
        <w:rPr>
          <w:spacing w:val="-2"/>
        </w:rPr>
        <w:t>号：股权激励（股票期权）实施、授予、行权与调整》的规定，该</w:t>
      </w:r>
      <w:r>
        <w:rPr>
          <w:rFonts w:ascii="新宋体" w:hAnsi="新宋体" w:cs="新宋体" w:eastAsia="新宋体" w:hint="default"/>
          <w:spacing w:val="-2"/>
        </w:rPr>
        <w:t>14.6</w:t>
      </w:r>
      <w:r>
        <w:rPr>
          <w:spacing w:val="-2"/>
        </w:rPr>
        <w:t>万份股票</w:t>
      </w:r>
      <w:r>
        <w:rPr>
          <w:spacing w:val="-117"/>
        </w:rPr>
        <w:t> </w:t>
      </w:r>
      <w:r>
        <w:rPr/>
        <w:t>期权将予以注销，公司计划在首次授出的股票期权实际行权时集中统一办理已取消股票期权 的注销手续。</w:t>
      </w:r>
    </w:p>
    <w:p>
      <w:pPr>
        <w:pStyle w:val="BodyText"/>
        <w:spacing w:line="357" w:lineRule="auto"/>
        <w:ind w:right="149" w:firstLine="425"/>
        <w:jc w:val="both"/>
      </w:pPr>
      <w:r>
        <w:rPr>
          <w:spacing w:val="-4"/>
        </w:rPr>
        <w:t>在本次调整前，公司《股票期权激励计划》首次授出的股票期权所涉激励对象为</w:t>
      </w:r>
      <w:r>
        <w:rPr>
          <w:rFonts w:ascii="新宋体" w:hAnsi="新宋体" w:cs="新宋体" w:eastAsia="新宋体" w:hint="default"/>
          <w:spacing w:val="-4"/>
        </w:rPr>
        <w:t>75</w:t>
      </w:r>
      <w:r>
        <w:rPr>
          <w:spacing w:val="-4"/>
        </w:rPr>
        <w:t>人（不</w:t>
      </w:r>
      <w:r>
        <w:rPr/>
        <w:t> </w:t>
      </w:r>
      <w:r>
        <w:rPr>
          <w:spacing w:val="-2"/>
        </w:rPr>
        <w:t>包括预留期权所授予的人员），期权数量为</w:t>
      </w:r>
      <w:r>
        <w:rPr>
          <w:rFonts w:ascii="新宋体" w:hAnsi="新宋体" w:cs="新宋体" w:eastAsia="新宋体" w:hint="default"/>
          <w:spacing w:val="-2"/>
        </w:rPr>
        <w:t>278</w:t>
      </w:r>
      <w:r>
        <w:rPr>
          <w:spacing w:val="-2"/>
        </w:rPr>
        <w:t>万份；本次调整后，《股票期权激励计划》首</w:t>
      </w:r>
      <w:r>
        <w:rPr>
          <w:spacing w:val="-117"/>
        </w:rPr>
        <w:t> </w:t>
      </w:r>
      <w:r>
        <w:rPr>
          <w:spacing w:val="-117"/>
        </w:rPr>
      </w:r>
      <w:r>
        <w:rPr/>
        <w:t>次授出的股票期权所涉激励对象减少至</w:t>
      </w:r>
      <w:r>
        <w:rPr>
          <w:rFonts w:ascii="新宋体" w:hAnsi="新宋体" w:cs="新宋体" w:eastAsia="新宋体" w:hint="default"/>
        </w:rPr>
        <w:t>68</w:t>
      </w:r>
      <w:r>
        <w:rPr/>
        <w:t>人（不包括预留期权所授予的人员），期权数量调 </w:t>
      </w:r>
      <w:r>
        <w:rPr>
          <w:spacing w:val="-2"/>
        </w:rPr>
        <w:t>整为</w:t>
      </w:r>
      <w:r>
        <w:rPr>
          <w:rFonts w:ascii="新宋体" w:hAnsi="新宋体" w:cs="新宋体" w:eastAsia="新宋体" w:hint="default"/>
          <w:spacing w:val="-2"/>
        </w:rPr>
        <w:t>263.4</w:t>
      </w:r>
      <w:r>
        <w:rPr>
          <w:spacing w:val="-2"/>
        </w:rPr>
        <w:t>万份；首次授予的股票期权总价值（未包括预留期权）由</w:t>
      </w:r>
      <w:r>
        <w:rPr>
          <w:rFonts w:ascii="新宋体" w:hAnsi="新宋体" w:cs="新宋体" w:eastAsia="新宋体" w:hint="default"/>
          <w:spacing w:val="-2"/>
        </w:rPr>
        <w:t>121.46</w:t>
      </w:r>
      <w:r>
        <w:rPr>
          <w:spacing w:val="-2"/>
        </w:rPr>
        <w:t>万元调整为</w:t>
      </w:r>
      <w:r>
        <w:rPr>
          <w:rFonts w:ascii="新宋体" w:hAnsi="新宋体" w:cs="新宋体" w:eastAsia="新宋体" w:hint="default"/>
          <w:spacing w:val="-2"/>
        </w:rPr>
        <w:t>115.08</w:t>
      </w:r>
      <w:r>
        <w:rPr>
          <w:rFonts w:ascii="新宋体" w:hAnsi="新宋体" w:cs="新宋体" w:eastAsia="新宋体" w:hint="default"/>
          <w:spacing w:val="-105"/>
        </w:rPr>
        <w:t> </w:t>
      </w:r>
      <w:r>
        <w:rPr/>
        <w:t>万元，期权成本摊销情况的预测算结果见下表：</w:t>
      </w:r>
    </w:p>
    <w:tbl>
      <w:tblPr>
        <w:tblW w:w="0" w:type="auto"/>
        <w:jc w:val="left"/>
        <w:tblInd w:w="363" w:type="dxa"/>
        <w:tblLayout w:type="fixed"/>
        <w:tblCellMar>
          <w:top w:w="0" w:type="dxa"/>
          <w:left w:w="0" w:type="dxa"/>
          <w:bottom w:w="0" w:type="dxa"/>
          <w:right w:w="0" w:type="dxa"/>
        </w:tblCellMar>
        <w:tblLook w:val="01E0"/>
      </w:tblPr>
      <w:tblGrid>
        <w:gridCol w:w="1655"/>
        <w:gridCol w:w="1340"/>
        <w:gridCol w:w="1241"/>
        <w:gridCol w:w="1241"/>
        <w:gridCol w:w="1303"/>
        <w:gridCol w:w="1241"/>
        <w:gridCol w:w="1171"/>
      </w:tblGrid>
      <w:tr>
        <w:trPr>
          <w:trHeight w:val="661" w:hRule="exact"/>
        </w:trPr>
        <w:tc>
          <w:tcPr>
            <w:tcW w:w="165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68" w:lineRule="exact"/>
              <w:ind w:left="397" w:right="0"/>
              <w:jc w:val="left"/>
              <w:rPr>
                <w:rFonts w:ascii="新宋体" w:hAnsi="新宋体" w:cs="新宋体" w:eastAsia="新宋体" w:hint="default"/>
                <w:sz w:val="21"/>
                <w:szCs w:val="21"/>
              </w:rPr>
            </w:pPr>
            <w:r>
              <w:rPr>
                <w:rFonts w:ascii="新宋体" w:hAnsi="新宋体" w:cs="新宋体" w:eastAsia="新宋体" w:hint="default"/>
                <w:sz w:val="21"/>
                <w:szCs w:val="21"/>
              </w:rPr>
              <w:t>期权份额</w:t>
            </w:r>
          </w:p>
          <w:p>
            <w:pPr>
              <w:pStyle w:val="TableParagraph"/>
              <w:spacing w:line="240" w:lineRule="auto" w:before="37"/>
              <w:ind w:left="397" w:right="0"/>
              <w:jc w:val="left"/>
              <w:rPr>
                <w:rFonts w:ascii="新宋体" w:hAnsi="新宋体" w:cs="新宋体" w:eastAsia="新宋体" w:hint="default"/>
                <w:sz w:val="21"/>
                <w:szCs w:val="21"/>
              </w:rPr>
            </w:pPr>
            <w:r>
              <w:rPr>
                <w:rFonts w:ascii="新宋体" w:hAnsi="新宋体" w:cs="新宋体" w:eastAsia="新宋体" w:hint="default"/>
                <w:sz w:val="21"/>
                <w:szCs w:val="21"/>
              </w:rPr>
              <w:t>（万份）</w:t>
            </w:r>
          </w:p>
        </w:tc>
        <w:tc>
          <w:tcPr>
            <w:tcW w:w="134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8" w:lineRule="exact"/>
              <w:ind w:left="6" w:right="0"/>
              <w:jc w:val="center"/>
              <w:rPr>
                <w:rFonts w:ascii="新宋体" w:hAnsi="新宋体" w:cs="新宋体" w:eastAsia="新宋体" w:hint="default"/>
                <w:sz w:val="21"/>
                <w:szCs w:val="21"/>
              </w:rPr>
            </w:pPr>
            <w:r>
              <w:rPr>
                <w:rFonts w:ascii="新宋体" w:hAnsi="新宋体" w:cs="新宋体" w:eastAsia="新宋体" w:hint="default"/>
                <w:sz w:val="21"/>
                <w:szCs w:val="21"/>
              </w:rPr>
              <w:t>期权价值</w:t>
            </w:r>
          </w:p>
          <w:p>
            <w:pPr>
              <w:pStyle w:val="TableParagraph"/>
              <w:spacing w:line="240" w:lineRule="auto" w:before="37"/>
              <w:ind w:left="4" w:right="0"/>
              <w:jc w:val="center"/>
              <w:rPr>
                <w:rFonts w:ascii="新宋体" w:hAnsi="新宋体" w:cs="新宋体" w:eastAsia="新宋体" w:hint="default"/>
                <w:sz w:val="21"/>
                <w:szCs w:val="21"/>
              </w:rPr>
            </w:pPr>
            <w:r>
              <w:rPr>
                <w:rFonts w:ascii="新宋体" w:hAnsi="新宋体" w:cs="新宋体" w:eastAsia="新宋体" w:hint="default"/>
                <w:sz w:val="21"/>
                <w:szCs w:val="21"/>
              </w:rPr>
              <w:t>（元）</w:t>
            </w:r>
          </w:p>
        </w:tc>
        <w:tc>
          <w:tcPr>
            <w:tcW w:w="12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8" w:lineRule="exact"/>
              <w:ind w:left="194" w:right="0"/>
              <w:jc w:val="left"/>
              <w:rPr>
                <w:rFonts w:ascii="新宋体" w:hAnsi="新宋体" w:cs="新宋体" w:eastAsia="新宋体" w:hint="default"/>
                <w:sz w:val="21"/>
                <w:szCs w:val="21"/>
              </w:rPr>
            </w:pPr>
            <w:r>
              <w:rPr>
                <w:rFonts w:ascii="新宋体" w:hAnsi="新宋体" w:cs="新宋体" w:eastAsia="新宋体" w:hint="default"/>
                <w:sz w:val="21"/>
                <w:szCs w:val="21"/>
              </w:rPr>
              <w:t>期权成本</w:t>
            </w:r>
          </w:p>
          <w:p>
            <w:pPr>
              <w:pStyle w:val="TableParagraph"/>
              <w:spacing w:line="240" w:lineRule="auto" w:before="37"/>
              <w:ind w:left="194" w:right="0"/>
              <w:jc w:val="left"/>
              <w:rPr>
                <w:rFonts w:ascii="新宋体" w:hAnsi="新宋体" w:cs="新宋体" w:eastAsia="新宋体" w:hint="default"/>
                <w:sz w:val="21"/>
                <w:szCs w:val="21"/>
              </w:rPr>
            </w:pPr>
            <w:r>
              <w:rPr>
                <w:rFonts w:ascii="新宋体" w:hAnsi="新宋体" w:cs="新宋体" w:eastAsia="新宋体" w:hint="default"/>
                <w:sz w:val="21"/>
                <w:szCs w:val="21"/>
              </w:rPr>
              <w:t>（万元）</w:t>
            </w:r>
          </w:p>
        </w:tc>
        <w:tc>
          <w:tcPr>
            <w:tcW w:w="12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8" w:lineRule="exact"/>
              <w:ind w:left="2" w:right="0"/>
              <w:jc w:val="center"/>
              <w:rPr>
                <w:rFonts w:ascii="新宋体" w:hAnsi="新宋体" w:cs="新宋体" w:eastAsia="新宋体" w:hint="default"/>
                <w:sz w:val="21"/>
                <w:szCs w:val="21"/>
              </w:rPr>
            </w:pPr>
            <w:r>
              <w:rPr>
                <w:rFonts w:ascii="新宋体" w:hAnsi="新宋体" w:cs="新宋体" w:eastAsia="新宋体" w:hint="default"/>
                <w:sz w:val="21"/>
                <w:szCs w:val="21"/>
              </w:rPr>
              <w:t>2011</w:t>
            </w:r>
            <w:r>
              <w:rPr>
                <w:rFonts w:ascii="新宋体" w:hAnsi="新宋体" w:cs="新宋体" w:eastAsia="新宋体" w:hint="default"/>
                <w:sz w:val="21"/>
                <w:szCs w:val="21"/>
              </w:rPr>
              <w:t>年</w:t>
            </w:r>
          </w:p>
          <w:p>
            <w:pPr>
              <w:pStyle w:val="TableParagraph"/>
              <w:spacing w:line="240" w:lineRule="auto" w:before="37"/>
              <w:ind w:left="4" w:right="0"/>
              <w:jc w:val="center"/>
              <w:rPr>
                <w:rFonts w:ascii="新宋体" w:hAnsi="新宋体" w:cs="新宋体" w:eastAsia="新宋体" w:hint="default"/>
                <w:sz w:val="21"/>
                <w:szCs w:val="21"/>
              </w:rPr>
            </w:pPr>
            <w:r>
              <w:rPr>
                <w:rFonts w:ascii="新宋体" w:hAnsi="新宋体" w:cs="新宋体" w:eastAsia="新宋体" w:hint="default"/>
                <w:sz w:val="21"/>
                <w:szCs w:val="21"/>
              </w:rPr>
              <w:t>（万元）</w:t>
            </w:r>
          </w:p>
        </w:tc>
        <w:tc>
          <w:tcPr>
            <w:tcW w:w="130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8" w:lineRule="exact"/>
              <w:ind w:left="2" w:right="0"/>
              <w:jc w:val="center"/>
              <w:rPr>
                <w:rFonts w:ascii="新宋体" w:hAnsi="新宋体" w:cs="新宋体" w:eastAsia="新宋体" w:hint="default"/>
                <w:sz w:val="21"/>
                <w:szCs w:val="21"/>
              </w:rPr>
            </w:pPr>
            <w:r>
              <w:rPr>
                <w:rFonts w:ascii="新宋体" w:hAnsi="新宋体" w:cs="新宋体" w:eastAsia="新宋体" w:hint="default"/>
                <w:sz w:val="21"/>
                <w:szCs w:val="21"/>
              </w:rPr>
              <w:t>2012</w:t>
            </w:r>
            <w:r>
              <w:rPr>
                <w:rFonts w:ascii="新宋体" w:hAnsi="新宋体" w:cs="新宋体" w:eastAsia="新宋体" w:hint="default"/>
                <w:sz w:val="21"/>
                <w:szCs w:val="21"/>
              </w:rPr>
              <w:t>年</w:t>
            </w:r>
          </w:p>
          <w:p>
            <w:pPr>
              <w:pStyle w:val="TableParagraph"/>
              <w:spacing w:line="240" w:lineRule="auto" w:before="37"/>
              <w:ind w:right="0"/>
              <w:jc w:val="center"/>
              <w:rPr>
                <w:rFonts w:ascii="新宋体" w:hAnsi="新宋体" w:cs="新宋体" w:eastAsia="新宋体" w:hint="default"/>
                <w:sz w:val="21"/>
                <w:szCs w:val="21"/>
              </w:rPr>
            </w:pPr>
            <w:r>
              <w:rPr>
                <w:rFonts w:ascii="新宋体" w:hAnsi="新宋体" w:cs="新宋体" w:eastAsia="新宋体" w:hint="default"/>
                <w:sz w:val="21"/>
                <w:szCs w:val="21"/>
              </w:rPr>
              <w:t>（万元）</w:t>
            </w:r>
          </w:p>
        </w:tc>
        <w:tc>
          <w:tcPr>
            <w:tcW w:w="12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8" w:lineRule="exact"/>
              <w:ind w:left="2" w:right="0"/>
              <w:jc w:val="center"/>
              <w:rPr>
                <w:rFonts w:ascii="新宋体" w:hAnsi="新宋体" w:cs="新宋体" w:eastAsia="新宋体" w:hint="default"/>
                <w:sz w:val="21"/>
                <w:szCs w:val="21"/>
              </w:rPr>
            </w:pPr>
            <w:r>
              <w:rPr>
                <w:rFonts w:ascii="新宋体" w:hAnsi="新宋体" w:cs="新宋体" w:eastAsia="新宋体" w:hint="default"/>
                <w:sz w:val="21"/>
                <w:szCs w:val="21"/>
              </w:rPr>
              <w:t>2013</w:t>
            </w:r>
            <w:r>
              <w:rPr>
                <w:rFonts w:ascii="新宋体" w:hAnsi="新宋体" w:cs="新宋体" w:eastAsia="新宋体" w:hint="default"/>
                <w:sz w:val="21"/>
                <w:szCs w:val="21"/>
              </w:rPr>
              <w:t>年</w:t>
            </w:r>
          </w:p>
          <w:p>
            <w:pPr>
              <w:pStyle w:val="TableParagraph"/>
              <w:spacing w:line="240" w:lineRule="auto" w:before="37"/>
              <w:ind w:left="4" w:right="0"/>
              <w:jc w:val="center"/>
              <w:rPr>
                <w:rFonts w:ascii="新宋体" w:hAnsi="新宋体" w:cs="新宋体" w:eastAsia="新宋体" w:hint="default"/>
                <w:sz w:val="21"/>
                <w:szCs w:val="21"/>
              </w:rPr>
            </w:pPr>
            <w:r>
              <w:rPr>
                <w:rFonts w:ascii="新宋体" w:hAnsi="新宋体" w:cs="新宋体" w:eastAsia="新宋体" w:hint="default"/>
                <w:sz w:val="21"/>
                <w:szCs w:val="21"/>
              </w:rPr>
              <w:t>（万元）</w:t>
            </w:r>
          </w:p>
        </w:tc>
        <w:tc>
          <w:tcPr>
            <w:tcW w:w="117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8" w:lineRule="exact"/>
              <w:ind w:left="12" w:right="0"/>
              <w:jc w:val="center"/>
              <w:rPr>
                <w:rFonts w:ascii="新宋体" w:hAnsi="新宋体" w:cs="新宋体" w:eastAsia="新宋体" w:hint="default"/>
                <w:sz w:val="21"/>
                <w:szCs w:val="21"/>
              </w:rPr>
            </w:pPr>
            <w:r>
              <w:rPr>
                <w:rFonts w:ascii="新宋体" w:hAnsi="新宋体" w:cs="新宋体" w:eastAsia="新宋体" w:hint="default"/>
                <w:sz w:val="21"/>
                <w:szCs w:val="21"/>
              </w:rPr>
              <w:t>2014</w:t>
            </w:r>
            <w:r>
              <w:rPr>
                <w:rFonts w:ascii="新宋体" w:hAnsi="新宋体" w:cs="新宋体" w:eastAsia="新宋体" w:hint="default"/>
                <w:sz w:val="21"/>
                <w:szCs w:val="21"/>
              </w:rPr>
              <w:t>年</w:t>
            </w:r>
          </w:p>
          <w:p>
            <w:pPr>
              <w:pStyle w:val="TableParagraph"/>
              <w:spacing w:line="240" w:lineRule="auto" w:before="37"/>
              <w:ind w:left="9" w:right="0"/>
              <w:jc w:val="center"/>
              <w:rPr>
                <w:rFonts w:ascii="新宋体" w:hAnsi="新宋体" w:cs="新宋体" w:eastAsia="新宋体" w:hint="default"/>
                <w:sz w:val="21"/>
                <w:szCs w:val="21"/>
              </w:rPr>
            </w:pPr>
            <w:r>
              <w:rPr>
                <w:rFonts w:ascii="新宋体" w:hAnsi="新宋体" w:cs="新宋体" w:eastAsia="新宋体" w:hint="default"/>
                <w:sz w:val="21"/>
                <w:szCs w:val="21"/>
              </w:rPr>
              <w:t>（万元）</w:t>
            </w:r>
          </w:p>
        </w:tc>
      </w:tr>
      <w:tr>
        <w:trPr>
          <w:trHeight w:val="355" w:hRule="exact"/>
        </w:trPr>
        <w:tc>
          <w:tcPr>
            <w:tcW w:w="1655" w:type="dxa"/>
            <w:tcBorders>
              <w:top w:val="single" w:sz="10" w:space="0" w:color="000000"/>
              <w:left w:val="single" w:sz="12" w:space="0" w:color="000000"/>
              <w:bottom w:val="single" w:sz="12" w:space="0" w:color="000000"/>
              <w:right w:val="single" w:sz="6" w:space="0" w:color="000000"/>
            </w:tcBorders>
          </w:tcPr>
          <w:p>
            <w:pPr>
              <w:pStyle w:val="TableParagraph"/>
              <w:spacing w:line="267" w:lineRule="exact"/>
              <w:ind w:left="6" w:right="0"/>
              <w:jc w:val="center"/>
              <w:rPr>
                <w:rFonts w:ascii="新宋体" w:hAnsi="新宋体" w:cs="新宋体" w:eastAsia="新宋体" w:hint="default"/>
                <w:sz w:val="21"/>
                <w:szCs w:val="21"/>
              </w:rPr>
            </w:pPr>
            <w:r>
              <w:rPr>
                <w:rFonts w:ascii="新宋体"/>
                <w:sz w:val="21"/>
              </w:rPr>
              <w:t>263.4</w:t>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新宋体" w:hAnsi="新宋体" w:cs="新宋体" w:eastAsia="新宋体" w:hint="default"/>
                <w:sz w:val="21"/>
                <w:szCs w:val="21"/>
              </w:rPr>
            </w:pPr>
            <w:r>
              <w:rPr>
                <w:rFonts w:ascii="新宋体"/>
                <w:sz w:val="21"/>
              </w:rPr>
              <w:t>0.44</w:t>
            </w: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97" w:right="0"/>
              <w:jc w:val="left"/>
              <w:rPr>
                <w:rFonts w:ascii="新宋体" w:hAnsi="新宋体" w:cs="新宋体" w:eastAsia="新宋体" w:hint="default"/>
                <w:sz w:val="21"/>
                <w:szCs w:val="21"/>
              </w:rPr>
            </w:pPr>
            <w:r>
              <w:rPr>
                <w:rFonts w:ascii="新宋体"/>
                <w:sz w:val="21"/>
              </w:rPr>
              <w:t>115.08</w:t>
            </w: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03" w:right="0"/>
              <w:jc w:val="left"/>
              <w:rPr>
                <w:rFonts w:ascii="新宋体" w:hAnsi="新宋体" w:cs="新宋体" w:eastAsia="新宋体" w:hint="default"/>
                <w:sz w:val="21"/>
                <w:szCs w:val="21"/>
              </w:rPr>
            </w:pPr>
            <w:r>
              <w:rPr>
                <w:rFonts w:ascii="新宋体"/>
                <w:sz w:val="21"/>
              </w:rPr>
              <w:t>1.27</w:t>
            </w:r>
          </w:p>
        </w:tc>
        <w:tc>
          <w:tcPr>
            <w:tcW w:w="130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81" w:right="0"/>
              <w:jc w:val="left"/>
              <w:rPr>
                <w:rFonts w:ascii="新宋体" w:hAnsi="新宋体" w:cs="新宋体" w:eastAsia="新宋体" w:hint="default"/>
                <w:sz w:val="21"/>
                <w:szCs w:val="21"/>
              </w:rPr>
            </w:pPr>
            <w:r>
              <w:rPr>
                <w:rFonts w:ascii="新宋体"/>
                <w:sz w:val="21"/>
              </w:rPr>
              <w:t>30.73</w:t>
            </w: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350" w:right="0"/>
              <w:jc w:val="left"/>
              <w:rPr>
                <w:rFonts w:ascii="新宋体" w:hAnsi="新宋体" w:cs="新宋体" w:eastAsia="新宋体" w:hint="default"/>
                <w:sz w:val="21"/>
                <w:szCs w:val="21"/>
              </w:rPr>
            </w:pPr>
            <w:r>
              <w:rPr>
                <w:rFonts w:ascii="新宋体"/>
                <w:sz w:val="21"/>
              </w:rPr>
              <w:t>36.53</w:t>
            </w:r>
          </w:p>
        </w:tc>
        <w:tc>
          <w:tcPr>
            <w:tcW w:w="1171"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left="316" w:right="0"/>
              <w:jc w:val="left"/>
              <w:rPr>
                <w:rFonts w:ascii="新宋体" w:hAnsi="新宋体" w:cs="新宋体" w:eastAsia="新宋体" w:hint="default"/>
                <w:sz w:val="21"/>
                <w:szCs w:val="21"/>
              </w:rPr>
            </w:pPr>
            <w:r>
              <w:rPr>
                <w:rFonts w:ascii="新宋体"/>
                <w:sz w:val="21"/>
              </w:rPr>
              <w:t>46.56</w:t>
            </w:r>
          </w:p>
        </w:tc>
      </w:tr>
    </w:tbl>
    <w:p>
      <w:pPr>
        <w:pStyle w:val="BodyText"/>
        <w:spacing w:line="357" w:lineRule="auto" w:before="83"/>
        <w:ind w:right="148" w:firstLine="425"/>
        <w:jc w:val="both"/>
      </w:pPr>
      <w:r>
        <w:rPr>
          <w:spacing w:val="2"/>
        </w:rPr>
        <w:t>本次调整后，《股票期权激励计划》所涉股票期权的总数（包括首次授出的期权和预留 </w:t>
      </w:r>
      <w:r>
        <w:rPr>
          <w:spacing w:val="-2"/>
        </w:rPr>
        <w:t>期权）由</w:t>
      </w:r>
      <w:r>
        <w:rPr>
          <w:rFonts w:ascii="新宋体" w:hAnsi="新宋体" w:cs="新宋体" w:eastAsia="新宋体" w:hint="default"/>
          <w:spacing w:val="-2"/>
        </w:rPr>
        <w:t>307</w:t>
      </w:r>
      <w:r>
        <w:rPr>
          <w:spacing w:val="-2"/>
        </w:rPr>
        <w:t>万份减少至</w:t>
      </w:r>
      <w:r>
        <w:rPr>
          <w:rFonts w:ascii="新宋体" w:hAnsi="新宋体" w:cs="新宋体" w:eastAsia="新宋体" w:hint="default"/>
          <w:spacing w:val="-2"/>
        </w:rPr>
        <w:t>292.4</w:t>
      </w:r>
      <w:r>
        <w:rPr>
          <w:spacing w:val="-2"/>
        </w:rPr>
        <w:t>万份（其中首次授出的期权减少至</w:t>
      </w:r>
      <w:r>
        <w:rPr>
          <w:rFonts w:ascii="新宋体" w:hAnsi="新宋体" w:cs="新宋体" w:eastAsia="新宋体" w:hint="default"/>
          <w:spacing w:val="-2"/>
        </w:rPr>
        <w:t>263.4</w:t>
      </w:r>
      <w:r>
        <w:rPr>
          <w:spacing w:val="-2"/>
        </w:rPr>
        <w:t>万份，预留期权</w:t>
      </w:r>
      <w:r>
        <w:rPr>
          <w:rFonts w:ascii="新宋体" w:hAnsi="新宋体" w:cs="新宋体" w:eastAsia="新宋体" w:hint="default"/>
          <w:spacing w:val="-2"/>
        </w:rPr>
        <w:t>29</w:t>
      </w:r>
      <w:r>
        <w:rPr>
          <w:spacing w:val="-2"/>
        </w:rPr>
        <w:t>万份</w:t>
      </w:r>
      <w:r>
        <w:rPr>
          <w:spacing w:val="-105"/>
        </w:rPr>
        <w:t> </w:t>
      </w:r>
      <w:r>
        <w:rPr/>
        <w:t>不变）。</w:t>
      </w:r>
    </w:p>
    <w:p>
      <w:pPr>
        <w:pStyle w:val="BodyText"/>
        <w:spacing w:line="240" w:lineRule="auto" w:before="77"/>
        <w:ind w:left="578" w:right="0"/>
        <w:jc w:val="left"/>
      </w:pPr>
      <w:r>
        <w:rPr/>
        <w:t>股权激励事项临时报告披露网站查询：</w:t>
      </w:r>
    </w:p>
    <w:p>
      <w:pPr>
        <w:spacing w:line="240" w:lineRule="auto" w:before="0"/>
        <w:rPr>
          <w:rFonts w:ascii="新宋体" w:hAnsi="新宋体" w:cs="新宋体" w:eastAsia="新宋体" w:hint="default"/>
          <w:sz w:val="13"/>
          <w:szCs w:val="13"/>
        </w:rPr>
      </w:pPr>
    </w:p>
    <w:tbl>
      <w:tblPr>
        <w:tblW w:w="0" w:type="auto"/>
        <w:jc w:val="left"/>
        <w:tblInd w:w="366" w:type="dxa"/>
        <w:tblLayout w:type="fixed"/>
        <w:tblCellMar>
          <w:top w:w="0" w:type="dxa"/>
          <w:left w:w="0" w:type="dxa"/>
          <w:bottom w:w="0" w:type="dxa"/>
          <w:right w:w="0" w:type="dxa"/>
        </w:tblCellMar>
        <w:tblLook w:val="01E0"/>
      </w:tblPr>
      <w:tblGrid>
        <w:gridCol w:w="4148"/>
        <w:gridCol w:w="1844"/>
        <w:gridCol w:w="3190"/>
      </w:tblGrid>
      <w:tr>
        <w:trPr>
          <w:trHeight w:val="401" w:hRule="exact"/>
        </w:trPr>
        <w:tc>
          <w:tcPr>
            <w:tcW w:w="414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19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868"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06"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股票期权激励计划（草案）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8"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股票期权激励计划（草案摘要）</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13" w:hRule="exact"/>
        </w:trPr>
        <w:tc>
          <w:tcPr>
            <w:tcW w:w="414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股票期权激励计划实施考核办法（</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新宋体" w:hAnsi="新宋体" w:cs="新宋体" w:eastAsia="新宋体" w:hint="default"/>
          <w:sz w:val="24"/>
          <w:szCs w:val="24"/>
        </w:rPr>
      </w:pPr>
    </w:p>
    <w:tbl>
      <w:tblPr>
        <w:tblW w:w="0" w:type="auto"/>
        <w:jc w:val="left"/>
        <w:tblInd w:w="366" w:type="dxa"/>
        <w:tblLayout w:type="fixed"/>
        <w:tblCellMar>
          <w:top w:w="0" w:type="dxa"/>
          <w:left w:w="0" w:type="dxa"/>
          <w:bottom w:w="0" w:type="dxa"/>
          <w:right w:w="0" w:type="dxa"/>
        </w:tblCellMar>
        <w:tblLook w:val="01E0"/>
      </w:tblPr>
      <w:tblGrid>
        <w:gridCol w:w="4148"/>
        <w:gridCol w:w="1844"/>
        <w:gridCol w:w="3190"/>
      </w:tblGrid>
      <w:tr>
        <w:trPr>
          <w:trHeight w:val="416" w:hRule="exact"/>
        </w:trPr>
        <w:tc>
          <w:tcPr>
            <w:tcW w:w="414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6"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股票期权激励计划实施考核办法（</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720" w:hRule="exact"/>
        </w:trPr>
        <w:tc>
          <w:tcPr>
            <w:tcW w:w="4148" w:type="dxa"/>
            <w:tcBorders>
              <w:top w:val="single" w:sz="6" w:space="0" w:color="000000"/>
              <w:left w:val="single" w:sz="12" w:space="0" w:color="000000"/>
              <w:bottom w:val="single" w:sz="6" w:space="0" w:color="000000"/>
              <w:right w:val="single" w:sz="15" w:space="0" w:color="FFFFFF"/>
            </w:tcBorders>
          </w:tcPr>
          <w:p>
            <w:pPr>
              <w:pStyle w:val="TableParagraph"/>
              <w:spacing w:line="314" w:lineRule="auto" w:before="51"/>
              <w:ind w:left="14" w:right="-41"/>
              <w:jc w:val="left"/>
              <w:rPr>
                <w:rFonts w:ascii="宋体" w:hAnsi="宋体" w:cs="宋体" w:eastAsia="宋体" w:hint="default"/>
                <w:sz w:val="18"/>
                <w:szCs w:val="18"/>
              </w:rPr>
            </w:pPr>
            <w:r>
              <w:rPr>
                <w:rFonts w:ascii="宋体" w:hAnsi="宋体" w:cs="宋体" w:eastAsia="宋体" w:hint="default"/>
                <w:sz w:val="18"/>
                <w:szCs w:val="18"/>
              </w:rPr>
              <w:t>独立董事关于公司股票期权激励计划（草案修订稿） 的独立意见</w:t>
            </w:r>
          </w:p>
        </w:tc>
        <w:tc>
          <w:tcPr>
            <w:tcW w:w="1844" w:type="dxa"/>
            <w:tcBorders>
              <w:top w:val="single" w:sz="6" w:space="0" w:color="000000"/>
              <w:left w:val="single" w:sz="15" w:space="0" w:color="FFFFFF"/>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8"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股票期权激励计划（草案修订稿）</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718"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9"/>
              <w:ind w:left="14" w:right="17"/>
              <w:jc w:val="left"/>
              <w:rPr>
                <w:rFonts w:ascii="宋体" w:hAnsi="宋体" w:cs="宋体" w:eastAsia="宋体" w:hint="default"/>
                <w:sz w:val="18"/>
                <w:szCs w:val="18"/>
              </w:rPr>
            </w:pPr>
            <w:r>
              <w:rPr>
                <w:rFonts w:ascii="宋体" w:hAnsi="宋体" w:cs="宋体" w:eastAsia="宋体" w:hint="default"/>
                <w:spacing w:val="-3"/>
                <w:sz w:val="18"/>
                <w:szCs w:val="18"/>
              </w:rPr>
              <w:t>关于公司股票期权激励计划（草案修订稿）的法律意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见书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720"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7"/>
              <w:jc w:val="left"/>
              <w:rPr>
                <w:rFonts w:ascii="宋体" w:hAnsi="宋体" w:cs="宋体" w:eastAsia="宋体" w:hint="default"/>
                <w:sz w:val="18"/>
                <w:szCs w:val="18"/>
              </w:rPr>
            </w:pPr>
            <w:r>
              <w:rPr>
                <w:rFonts w:ascii="宋体" w:hAnsi="宋体" w:cs="宋体" w:eastAsia="宋体" w:hint="default"/>
                <w:spacing w:val="-3"/>
                <w:sz w:val="18"/>
                <w:szCs w:val="18"/>
              </w:rPr>
              <w:t>关于股票期权激励计划（草案）获得中国证监会备案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无异议的公告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718"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49"/>
              <w:ind w:left="14" w:right="149"/>
              <w:jc w:val="left"/>
              <w:rPr>
                <w:rFonts w:ascii="宋体" w:hAnsi="宋体" w:cs="宋体" w:eastAsia="宋体" w:hint="default"/>
                <w:sz w:val="18"/>
                <w:szCs w:val="18"/>
              </w:rPr>
            </w:pPr>
            <w:r>
              <w:rPr>
                <w:rFonts w:ascii="宋体" w:hAnsi="宋体" w:cs="宋体" w:eastAsia="宋体" w:hint="default"/>
                <w:sz w:val="18"/>
                <w:szCs w:val="18"/>
              </w:rPr>
              <w:t>上海荣正投资咨询有限公司关于公司股票期权激励 计划（草案修订稿）之独立财务顾问报告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720"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149"/>
              <w:jc w:val="left"/>
              <w:rPr>
                <w:rFonts w:ascii="宋体" w:hAnsi="宋体" w:cs="宋体" w:eastAsia="宋体" w:hint="default"/>
                <w:sz w:val="18"/>
                <w:szCs w:val="18"/>
              </w:rPr>
            </w:pPr>
            <w:r>
              <w:rPr>
                <w:rFonts w:ascii="宋体" w:hAnsi="宋体" w:cs="宋体" w:eastAsia="宋体" w:hint="default"/>
                <w:sz w:val="18"/>
                <w:szCs w:val="18"/>
              </w:rPr>
              <w:t>独立董事关于股票期权激励计划授予相关事项的独 立意见</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718" w:hRule="exact"/>
        </w:trPr>
        <w:tc>
          <w:tcPr>
            <w:tcW w:w="414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49"/>
              <w:jc w:val="left"/>
              <w:rPr>
                <w:rFonts w:ascii="宋体" w:hAnsi="宋体" w:cs="宋体" w:eastAsia="宋体" w:hint="default"/>
                <w:sz w:val="18"/>
                <w:szCs w:val="18"/>
              </w:rPr>
            </w:pPr>
            <w:r>
              <w:rPr>
                <w:rFonts w:ascii="宋体" w:hAnsi="宋体" w:cs="宋体" w:eastAsia="宋体" w:hint="default"/>
                <w:sz w:val="18"/>
                <w:szCs w:val="18"/>
              </w:rPr>
              <w:t>关于公司股票期权激励计划授予股票期权的法律意 见书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727" w:hRule="exact"/>
        </w:trPr>
        <w:tc>
          <w:tcPr>
            <w:tcW w:w="4148" w:type="dxa"/>
            <w:tcBorders>
              <w:top w:val="single" w:sz="6" w:space="0" w:color="000000"/>
              <w:left w:val="single" w:sz="12" w:space="0" w:color="000000"/>
              <w:bottom w:val="single" w:sz="12" w:space="0" w:color="000000"/>
              <w:right w:val="single" w:sz="6" w:space="0" w:color="000000"/>
            </w:tcBorders>
          </w:tcPr>
          <w:p>
            <w:pPr>
              <w:pStyle w:val="TableParagraph"/>
              <w:spacing w:line="314" w:lineRule="auto" w:before="51"/>
              <w:ind w:left="14" w:right="149"/>
              <w:jc w:val="left"/>
              <w:rPr>
                <w:rFonts w:ascii="宋体" w:hAnsi="宋体" w:cs="宋体" w:eastAsia="宋体" w:hint="default"/>
                <w:sz w:val="18"/>
                <w:szCs w:val="18"/>
              </w:rPr>
            </w:pPr>
            <w:r>
              <w:rPr>
                <w:rFonts w:ascii="宋体" w:hAnsi="宋体" w:cs="宋体" w:eastAsia="宋体" w:hint="default"/>
                <w:sz w:val="18"/>
                <w:szCs w:val="18"/>
              </w:rPr>
              <w:t>关于股票期权激励计划首次授予的期权登记完成公 告</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31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bl>
    <w:p>
      <w:pPr>
        <w:spacing w:line="240" w:lineRule="auto" w:before="3"/>
        <w:rPr>
          <w:rFonts w:ascii="新宋体" w:hAnsi="新宋体" w:cs="新宋体" w:eastAsia="新宋体" w:hint="default"/>
          <w:sz w:val="18"/>
          <w:szCs w:val="18"/>
        </w:rPr>
      </w:pPr>
    </w:p>
    <w:p>
      <w:pPr>
        <w:pStyle w:val="Heading2"/>
        <w:spacing w:line="240" w:lineRule="auto" w:before="26"/>
        <w:ind w:right="0"/>
        <w:jc w:val="both"/>
        <w:rPr>
          <w:b w:val="0"/>
          <w:bCs w:val="0"/>
        </w:rPr>
      </w:pPr>
      <w:r>
        <w:rPr/>
        <w:t>三、重大合同及其履行情况</w:t>
      </w:r>
      <w:r>
        <w:rPr>
          <w:b w:val="0"/>
          <w:bCs w:val="0"/>
        </w:rPr>
      </w:r>
    </w:p>
    <w:p>
      <w:pPr>
        <w:spacing w:line="240" w:lineRule="auto" w:before="9"/>
        <w:rPr>
          <w:rFonts w:ascii="宋体" w:hAnsi="宋体" w:cs="宋体" w:eastAsia="宋体" w:hint="default"/>
          <w:b/>
          <w:bCs/>
          <w:sz w:val="28"/>
          <w:szCs w:val="28"/>
        </w:rPr>
      </w:pPr>
    </w:p>
    <w:p>
      <w:pPr>
        <w:pStyle w:val="Heading2"/>
        <w:spacing w:line="357" w:lineRule="auto"/>
        <w:ind w:right="148" w:firstLine="425"/>
        <w:jc w:val="both"/>
        <w:rPr>
          <w:rFonts w:ascii="新宋体" w:hAnsi="新宋体" w:cs="新宋体" w:eastAsia="新宋体" w:hint="default"/>
          <w:b w:val="0"/>
          <w:bCs w:val="0"/>
        </w:rPr>
      </w:pPr>
      <w:r>
        <w:rPr>
          <w:rFonts w:ascii="新宋体" w:hAnsi="新宋体" w:cs="新宋体" w:eastAsia="新宋体" w:hint="default"/>
          <w:spacing w:val="2"/>
          <w:w w:val="95"/>
        </w:rPr>
        <w:t>子公司智威宇讯解除与北京光谷科技园开发建设有限公司（以下简称“光谷科技园”）</w:t>
      </w:r>
      <w:r>
        <w:rPr>
          <w:rFonts w:ascii="新宋体" w:hAnsi="新宋体" w:cs="新宋体" w:eastAsia="新宋体" w:hint="default"/>
          <w:spacing w:val="-113"/>
          <w:w w:val="95"/>
        </w:rPr>
        <w:t> </w:t>
      </w:r>
      <w:r>
        <w:rPr>
          <w:rFonts w:ascii="新宋体" w:hAnsi="新宋体" w:cs="新宋体" w:eastAsia="新宋体" w:hint="default"/>
          <w:spacing w:val="-113"/>
          <w:w w:val="95"/>
        </w:rPr>
      </w:r>
      <w:r>
        <w:rPr>
          <w:rFonts w:ascii="新宋体" w:hAnsi="新宋体" w:cs="新宋体" w:eastAsia="新宋体" w:hint="default"/>
        </w:rPr>
        <w:t>签订的《协议书》</w:t>
      </w:r>
      <w:r>
        <w:rPr>
          <w:rFonts w:ascii="新宋体" w:hAnsi="新宋体" w:cs="新宋体" w:eastAsia="新宋体" w:hint="default"/>
          <w:b w:val="0"/>
          <w:bCs w:val="0"/>
        </w:rPr>
      </w:r>
    </w:p>
    <w:p>
      <w:pPr>
        <w:pStyle w:val="BodyText"/>
        <w:spacing w:line="357" w:lineRule="auto"/>
        <w:ind w:right="152" w:firstLine="427"/>
        <w:jc w:val="both"/>
      </w:pPr>
      <w:r>
        <w:rPr/>
        <w:t>经第一届董事会第十六次会议审议通过《关于审议北京智威宇讯科技有限公司参与竞拍</w:t>
      </w:r>
      <w:r>
        <w:rPr>
          <w:spacing w:val="2"/>
        </w:rPr>
        <w:t> </w:t>
      </w:r>
      <w:r>
        <w:rPr/>
        <w:t>土地使用权的议案》，智威宇讯拟以竞拍方式获得北京市通州区光机电一体化产业基地经海</w:t>
      </w:r>
      <w:r>
        <w:rPr>
          <w:spacing w:val="-91"/>
        </w:rPr>
        <w:t> </w:t>
      </w:r>
      <w:r>
        <w:rPr>
          <w:spacing w:val="-91"/>
        </w:rPr>
      </w:r>
      <w:r>
        <w:rPr/>
        <w:t>五路以东，科创东六街以南，经海六路以西，科创东七街以北的一宗国有建设用地的土地使</w:t>
      </w:r>
      <w:r>
        <w:rPr>
          <w:spacing w:val="-88"/>
        </w:rPr>
        <w:t> </w:t>
      </w:r>
      <w:r>
        <w:rPr>
          <w:spacing w:val="-88"/>
        </w:rPr>
      </w:r>
      <w:r>
        <w:rPr/>
        <w:t>用权，建设用地面积为</w:t>
      </w:r>
      <w:r>
        <w:rPr>
          <w:rFonts w:ascii="新宋体" w:hAnsi="新宋体" w:cs="新宋体" w:eastAsia="新宋体" w:hint="default"/>
        </w:rPr>
        <w:t>50</w:t>
      </w:r>
      <w:r>
        <w:rPr/>
        <w:t>亩。鉴于光谷科技园经北京市通州区人民政府授权对该地块拥有一</w:t>
      </w:r>
      <w:r>
        <w:rPr>
          <w:spacing w:val="-90"/>
        </w:rPr>
        <w:t> </w:t>
      </w:r>
      <w:r>
        <w:rPr>
          <w:spacing w:val="-90"/>
        </w:rPr>
      </w:r>
      <w:r>
        <w:rPr/>
        <w:t>级开发权，智威宇讯拟委托光谷科技园负责完成土地出让挂牌前期及正式挂牌出让时的各项</w:t>
      </w:r>
      <w:r>
        <w:rPr>
          <w:spacing w:val="-91"/>
        </w:rPr>
        <w:t> </w:t>
      </w:r>
      <w:r>
        <w:rPr>
          <w:spacing w:val="-91"/>
        </w:rPr>
      </w:r>
      <w:r>
        <w:rPr/>
        <w:t>手续，双方于</w:t>
      </w:r>
      <w:r>
        <w:rPr>
          <w:rFonts w:ascii="新宋体" w:hAnsi="新宋体" w:cs="新宋体" w:eastAsia="新宋体" w:hint="default"/>
        </w:rPr>
        <w:t>2010</w:t>
      </w:r>
      <w:r>
        <w:rPr/>
        <w:t>年</w:t>
      </w:r>
      <w:r>
        <w:rPr>
          <w:rFonts w:ascii="新宋体" w:hAnsi="新宋体" w:cs="新宋体" w:eastAsia="新宋体" w:hint="default"/>
        </w:rPr>
        <w:t>6</w:t>
      </w:r>
      <w:r>
        <w:rPr/>
        <w:t>月</w:t>
      </w:r>
      <w:r>
        <w:rPr>
          <w:rFonts w:ascii="新宋体" w:hAnsi="新宋体" w:cs="新宋体" w:eastAsia="新宋体" w:hint="default"/>
        </w:rPr>
        <w:t>23</w:t>
      </w:r>
      <w:r>
        <w:rPr/>
        <w:t>日签订《协议书》，协议的价款总额约为</w:t>
      </w:r>
      <w:r>
        <w:rPr>
          <w:rFonts w:ascii="新宋体" w:hAnsi="新宋体" w:cs="新宋体" w:eastAsia="新宋体" w:hint="default"/>
        </w:rPr>
        <w:t>2,900</w:t>
      </w:r>
      <w:r>
        <w:rPr/>
        <w:t>万元，智威宇讯预</w:t>
      </w:r>
      <w:r>
        <w:rPr>
          <w:spacing w:val="-89"/>
        </w:rPr>
        <w:t> </w:t>
      </w:r>
      <w:r>
        <w:rPr>
          <w:spacing w:val="-89"/>
        </w:rPr>
      </w:r>
      <w:r>
        <w:rPr/>
        <w:t>付</w:t>
      </w:r>
      <w:r>
        <w:rPr>
          <w:rFonts w:ascii="新宋体" w:hAnsi="新宋体" w:cs="新宋体" w:eastAsia="新宋体" w:hint="default"/>
        </w:rPr>
        <w:t>2,500</w:t>
      </w:r>
      <w:r>
        <w:rPr/>
        <w:t>万元给光谷科技作为土地开发预付款。</w:t>
      </w:r>
    </w:p>
    <w:p>
      <w:pPr>
        <w:pStyle w:val="BodyText"/>
        <w:spacing w:line="240" w:lineRule="auto"/>
        <w:ind w:left="580" w:right="0"/>
        <w:jc w:val="left"/>
      </w:pPr>
      <w:r>
        <w:rPr>
          <w:rFonts w:ascii="新宋体" w:hAnsi="新宋体" w:cs="新宋体" w:eastAsia="新宋体" w:hint="default"/>
          <w:spacing w:val="10"/>
        </w:rPr>
        <w:t>2012</w:t>
      </w:r>
      <w:r>
        <w:rPr>
          <w:spacing w:val="10"/>
        </w:rPr>
        <w:t>年</w:t>
      </w:r>
      <w:r>
        <w:rPr>
          <w:rFonts w:ascii="新宋体" w:hAnsi="新宋体" w:cs="新宋体" w:eastAsia="新宋体" w:hint="default"/>
          <w:spacing w:val="10"/>
        </w:rPr>
        <w:t>8</w:t>
      </w:r>
      <w:r>
        <w:rPr>
          <w:spacing w:val="10"/>
        </w:rPr>
        <w:t>月</w:t>
      </w:r>
      <w:r>
        <w:rPr>
          <w:rFonts w:ascii="新宋体" w:hAnsi="新宋体" w:cs="新宋体" w:eastAsia="新宋体" w:hint="default"/>
          <w:spacing w:val="10"/>
        </w:rPr>
        <w:t>17</w:t>
      </w:r>
      <w:r>
        <w:rPr>
          <w:spacing w:val="10"/>
        </w:rPr>
        <w:t>日，北京市土地整理储备中心公告挂牌出让上述地块，挂牌出让面积为</w:t>
      </w:r>
    </w:p>
    <w:p>
      <w:pPr>
        <w:pStyle w:val="BodyText"/>
        <w:spacing w:line="357" w:lineRule="auto" w:before="154"/>
        <w:ind w:right="146"/>
        <w:jc w:val="both"/>
      </w:pPr>
      <w:r>
        <w:rPr>
          <w:rFonts w:ascii="新宋体" w:hAnsi="新宋体" w:cs="新宋体" w:eastAsia="新宋体" w:hint="default"/>
        </w:rPr>
        <w:t>31,288</w:t>
      </w:r>
      <w:r>
        <w:rPr/>
        <w:t>平方米，挂牌起始价为人民币</w:t>
      </w:r>
      <w:r>
        <w:rPr>
          <w:rFonts w:ascii="新宋体" w:hAnsi="新宋体" w:cs="新宋体" w:eastAsia="新宋体" w:hint="default"/>
        </w:rPr>
        <w:t>14,870</w:t>
      </w:r>
      <w:r>
        <w:rPr/>
        <w:t>万元。本次挂牌价格超出公司预期，结合公司的</w:t>
      </w:r>
      <w:r>
        <w:rPr>
          <w:spacing w:val="-85"/>
        </w:rPr>
        <w:t> </w:t>
      </w:r>
      <w:r>
        <w:rPr>
          <w:spacing w:val="-85"/>
        </w:rPr>
      </w:r>
      <w:r>
        <w:rPr/>
        <w:t>实际情况，经研究决定，公司不参与本次北京市光机电一体化产业基地内约</w:t>
      </w:r>
      <w:r>
        <w:rPr>
          <w:rFonts w:ascii="新宋体" w:hAnsi="新宋体" w:cs="新宋体" w:eastAsia="新宋体" w:hint="default"/>
        </w:rPr>
        <w:t>46.932</w:t>
      </w:r>
      <w:r>
        <w:rPr/>
        <w:t>亩地块的</w:t>
      </w:r>
      <w:r>
        <w:rPr>
          <w:spacing w:val="-89"/>
        </w:rPr>
        <w:t> </w:t>
      </w:r>
      <w:r>
        <w:rPr>
          <w:spacing w:val="-89"/>
        </w:rPr>
      </w:r>
      <w:r>
        <w:rPr>
          <w:spacing w:val="3"/>
        </w:rPr>
        <w:t>挂牌竞拍，要求与光谷科技解除《协议书》，并要求光谷科技向智威宇讯返还人民币</w:t>
      </w:r>
      <w:r>
        <w:rPr>
          <w:rFonts w:ascii="新宋体" w:hAnsi="新宋体" w:cs="新宋体" w:eastAsia="新宋体" w:hint="default"/>
          <w:spacing w:val="3"/>
        </w:rPr>
        <w:t>2,500</w:t>
      </w:r>
      <w:r>
        <w:rPr>
          <w:rFonts w:ascii="新宋体" w:hAnsi="新宋体" w:cs="新宋体" w:eastAsia="新宋体" w:hint="default"/>
          <w:spacing w:val="-100"/>
        </w:rPr>
        <w:t> </w:t>
      </w:r>
      <w:r>
        <w:rPr/>
        <w:t>万元，同时按照合同约定支付占用期间的利息。</w:t>
      </w:r>
      <w:r>
        <w:rPr>
          <w:rFonts w:ascii="新宋体" w:hAnsi="新宋体" w:cs="新宋体" w:eastAsia="新宋体" w:hint="default"/>
        </w:rPr>
        <w:t>2012</w:t>
      </w:r>
      <w:r>
        <w:rPr/>
        <w:t>年</w:t>
      </w:r>
      <w:r>
        <w:rPr>
          <w:rFonts w:ascii="新宋体" w:hAnsi="新宋体" w:cs="新宋体" w:eastAsia="新宋体" w:hint="default"/>
        </w:rPr>
        <w:t>9</w:t>
      </w:r>
      <w:r>
        <w:rPr/>
        <w:t>月</w:t>
      </w:r>
      <w:r>
        <w:rPr>
          <w:rFonts w:ascii="新宋体" w:hAnsi="新宋体" w:cs="新宋体" w:eastAsia="新宋体" w:hint="default"/>
        </w:rPr>
        <w:t>7</w:t>
      </w:r>
      <w:r>
        <w:rPr/>
        <w:t>日，公司第二届董事会第十八次</w:t>
      </w:r>
    </w:p>
    <w:p>
      <w:pPr>
        <w:spacing w:after="0" w:line="357" w:lineRule="auto"/>
        <w:jc w:val="both"/>
        <w:sectPr>
          <w:pgSz w:w="11910" w:h="16840"/>
          <w:pgMar w:header="555" w:footer="980" w:top="1100" w:bottom="1160" w:left="980" w:right="980"/>
        </w:sectPr>
      </w:pPr>
    </w:p>
    <w:p>
      <w:pPr>
        <w:spacing w:line="240" w:lineRule="auto" w:before="7"/>
        <w:rPr>
          <w:rFonts w:ascii="新宋体" w:hAnsi="新宋体" w:cs="新宋体" w:eastAsia="新宋体" w:hint="default"/>
          <w:sz w:val="25"/>
          <w:szCs w:val="25"/>
        </w:rPr>
      </w:pPr>
      <w:r>
        <w:rPr/>
        <w:pict>
          <v:shape style="position:absolute;margin-left:297.653015pt;margin-top:364.369995pt;width:138.050pt;height:148.25pt;mso-position-horizontal-relative:page;mso-position-vertical-relative:page;z-index:-94732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未与公司发生关联交易。</w:t>
                  </w:r>
                </w:p>
              </w:txbxContent>
            </v:textbox>
            <w10:wrap type="none"/>
          </v:shape>
        </w:pict>
      </w:r>
    </w:p>
    <w:p>
      <w:pPr>
        <w:pStyle w:val="BodyText"/>
        <w:spacing w:line="357" w:lineRule="auto" w:before="26"/>
        <w:ind w:left="192" w:right="211"/>
        <w:jc w:val="both"/>
      </w:pPr>
      <w:r>
        <w:rPr/>
        <w:t>会议审议通过了《关于子公司智威宇讯不参与北京市光机电一体化产业基地地块挂牌竞拍的</w:t>
      </w:r>
      <w:r>
        <w:rPr>
          <w:spacing w:val="-91"/>
        </w:rPr>
        <w:t> </w:t>
      </w:r>
      <w:r>
        <w:rPr>
          <w:spacing w:val="-91"/>
        </w:rPr>
      </w:r>
      <w:r>
        <w:rPr>
          <w:spacing w:val="-2"/>
        </w:rPr>
        <w:t>议案》，同意本次子公司不参与土地挂牌竞拍事宜。详细信息请见公司于</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9</w:t>
      </w:r>
      <w:r>
        <w:rPr>
          <w:spacing w:val="-2"/>
        </w:rPr>
        <w:t>月</w:t>
      </w:r>
      <w:r>
        <w:rPr>
          <w:rFonts w:ascii="新宋体" w:hAnsi="新宋体" w:cs="新宋体" w:eastAsia="新宋体" w:hint="default"/>
          <w:spacing w:val="-2"/>
        </w:rPr>
        <w:t>10</w:t>
      </w:r>
      <w:r>
        <w:rPr>
          <w:spacing w:val="-2"/>
        </w:rPr>
        <w:t>日在中</w:t>
      </w:r>
      <w:r>
        <w:rPr>
          <w:spacing w:val="-115"/>
        </w:rPr>
        <w:t> </w:t>
      </w:r>
      <w:r>
        <w:rPr/>
        <w:t>国证监会指定创业板信息披露网站上的公告。</w:t>
      </w:r>
    </w:p>
    <w:p>
      <w:pPr>
        <w:pStyle w:val="BodyText"/>
        <w:spacing w:line="357" w:lineRule="auto"/>
        <w:ind w:left="192" w:right="208" w:firstLine="427"/>
        <w:jc w:val="left"/>
      </w:pPr>
      <w:r>
        <w:rPr>
          <w:spacing w:val="-1"/>
        </w:rPr>
        <w:t>截至报告期末，光谷科技已经向智威宇讯返还人民币</w:t>
      </w:r>
      <w:r>
        <w:rPr>
          <w:rFonts w:ascii="新宋体" w:hAnsi="新宋体" w:cs="新宋体" w:eastAsia="新宋体" w:hint="default"/>
          <w:spacing w:val="-1"/>
        </w:rPr>
        <w:t>2,500</w:t>
      </w:r>
      <w:r>
        <w:rPr>
          <w:spacing w:val="-1"/>
        </w:rPr>
        <w:t>万元，同时按照合同约定支付</w:t>
      </w:r>
      <w:r>
        <w:rPr/>
        <w:t> 了占用期间的全部利息。</w:t>
      </w:r>
    </w:p>
    <w:p>
      <w:pPr>
        <w:spacing w:line="240" w:lineRule="auto" w:before="11"/>
        <w:rPr>
          <w:rFonts w:ascii="新宋体" w:hAnsi="新宋体" w:cs="新宋体" w:eastAsia="新宋体" w:hint="default"/>
          <w:sz w:val="19"/>
          <w:szCs w:val="19"/>
        </w:rPr>
      </w:pPr>
    </w:p>
    <w:p>
      <w:pPr>
        <w:pStyle w:val="Heading2"/>
        <w:spacing w:line="240" w:lineRule="auto"/>
        <w:ind w:left="192" w:right="0"/>
        <w:jc w:val="both"/>
        <w:rPr>
          <w:b w:val="0"/>
          <w:bCs w:val="0"/>
        </w:rPr>
      </w:pPr>
      <w:r>
        <w:rPr/>
        <w:t>四、公司或持股</w:t>
      </w:r>
      <w:r>
        <w:rPr>
          <w:spacing w:val="-68"/>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419"/>
        <w:gridCol w:w="1700"/>
        <w:gridCol w:w="3687"/>
        <w:gridCol w:w="850"/>
        <w:gridCol w:w="850"/>
        <w:gridCol w:w="1270"/>
      </w:tblGrid>
      <w:tr>
        <w:trPr>
          <w:trHeight w:val="398" w:hRule="exact"/>
        </w:trPr>
        <w:tc>
          <w:tcPr>
            <w:tcW w:w="14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336"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569"/>
              <w:jc w:val="right"/>
              <w:rPr>
                <w:rFonts w:ascii="宋体" w:hAnsi="宋体" w:cs="宋体" w:eastAsia="宋体" w:hint="default"/>
                <w:sz w:val="18"/>
                <w:szCs w:val="18"/>
              </w:rPr>
            </w:pPr>
            <w:r>
              <w:rPr>
                <w:rFonts w:ascii="宋体" w:hAnsi="宋体" w:cs="宋体" w:eastAsia="宋体" w:hint="default"/>
                <w:sz w:val="18"/>
                <w:szCs w:val="18"/>
              </w:rPr>
              <w:t>承诺人</w:t>
            </w:r>
          </w:p>
        </w:tc>
        <w:tc>
          <w:tcPr>
            <w:tcW w:w="368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26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9"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00" w:type="dxa"/>
            <w:tcBorders>
              <w:top w:val="single" w:sz="6" w:space="0" w:color="000000"/>
              <w:left w:val="single" w:sz="6" w:space="0" w:color="000000"/>
              <w:bottom w:val="single" w:sz="6" w:space="0" w:color="000000"/>
              <w:right w:val="single" w:sz="6" w:space="0" w:color="000000"/>
            </w:tcBorders>
          </w:tcPr>
          <w:p>
            <w:pPr/>
          </w:p>
        </w:tc>
        <w:tc>
          <w:tcPr>
            <w:tcW w:w="368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12" w:space="0" w:color="000000"/>
            </w:tcBorders>
          </w:tcPr>
          <w:p>
            <w:pPr/>
          </w:p>
        </w:tc>
      </w:tr>
      <w:tr>
        <w:trPr>
          <w:trHeight w:val="1032"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20"/>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700" w:type="dxa"/>
            <w:tcBorders>
              <w:top w:val="single" w:sz="6" w:space="0" w:color="000000"/>
              <w:left w:val="single" w:sz="6" w:space="0" w:color="000000"/>
              <w:bottom w:val="single" w:sz="6" w:space="0" w:color="000000"/>
              <w:right w:val="single" w:sz="6" w:space="0" w:color="000000"/>
            </w:tcBorders>
          </w:tcPr>
          <w:p>
            <w:pPr/>
          </w:p>
        </w:tc>
        <w:tc>
          <w:tcPr>
            <w:tcW w:w="368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12" w:space="0" w:color="000000"/>
            </w:tcBorders>
          </w:tcPr>
          <w:p>
            <w:pPr/>
          </w:p>
        </w:tc>
      </w:tr>
      <w:tr>
        <w:trPr>
          <w:trHeight w:val="718"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9"/>
              <w:ind w:left="14" w:right="120"/>
              <w:jc w:val="left"/>
              <w:rPr>
                <w:rFonts w:ascii="宋体" w:hAnsi="宋体" w:cs="宋体" w:eastAsia="宋体" w:hint="default"/>
                <w:sz w:val="18"/>
                <w:szCs w:val="18"/>
              </w:rPr>
            </w:pPr>
            <w:r>
              <w:rPr>
                <w:rFonts w:ascii="宋体" w:hAnsi="宋体" w:cs="宋体" w:eastAsia="宋体" w:hint="default"/>
                <w:sz w:val="18"/>
                <w:szCs w:val="18"/>
              </w:rPr>
              <w:t>资产置换时所作 承诺</w:t>
            </w:r>
          </w:p>
        </w:tc>
        <w:tc>
          <w:tcPr>
            <w:tcW w:w="1700" w:type="dxa"/>
            <w:tcBorders>
              <w:top w:val="single" w:sz="6" w:space="0" w:color="000000"/>
              <w:left w:val="single" w:sz="6" w:space="0" w:color="000000"/>
              <w:bottom w:val="single" w:sz="6" w:space="0" w:color="000000"/>
              <w:right w:val="single" w:sz="6" w:space="0" w:color="000000"/>
            </w:tcBorders>
          </w:tcPr>
          <w:p>
            <w:pPr/>
          </w:p>
        </w:tc>
        <w:tc>
          <w:tcPr>
            <w:tcW w:w="368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12" w:space="0" w:color="000000"/>
            </w:tcBorders>
          </w:tcPr>
          <w:p>
            <w:pPr/>
          </w:p>
        </w:tc>
      </w:tr>
      <w:tr>
        <w:trPr>
          <w:trHeight w:val="6649"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公司实际控制人任红 军、钟超；控股股东 任红军；公司全体发 起人股东、董事、监 事、高级管理人员；</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48"/>
              <w:jc w:val="both"/>
              <w:rPr>
                <w:rFonts w:ascii="宋体" w:hAnsi="宋体" w:cs="宋体" w:eastAsia="宋体" w:hint="default"/>
                <w:sz w:val="18"/>
                <w:szCs w:val="18"/>
              </w:rPr>
            </w:pPr>
            <w:r>
              <w:rPr>
                <w:rFonts w:ascii="宋体" w:hAnsi="宋体" w:cs="宋体" w:eastAsia="宋体" w:hint="default"/>
                <w:sz w:val="18"/>
                <w:szCs w:val="18"/>
              </w:rPr>
              <w:t>（一）公司实际控制人任红军、钟超严格履行 公司上市前作出的关于避免同业竞争的承诺。</w:t>
            </w:r>
          </w:p>
          <w:p>
            <w:pPr>
              <w:pStyle w:val="TableParagraph"/>
              <w:spacing w:line="316" w:lineRule="auto" w:before="19"/>
              <w:ind w:left="21" w:right="21"/>
              <w:jc w:val="both"/>
              <w:rPr>
                <w:rFonts w:ascii="宋体" w:hAnsi="宋体" w:cs="宋体" w:eastAsia="宋体" w:hint="default"/>
                <w:sz w:val="18"/>
                <w:szCs w:val="18"/>
              </w:rPr>
            </w:pPr>
            <w:r>
              <w:rPr>
                <w:rFonts w:ascii="宋体" w:hAnsi="宋体" w:cs="宋体" w:eastAsia="宋体" w:hint="default"/>
                <w:sz w:val="18"/>
                <w:szCs w:val="18"/>
              </w:rPr>
              <w:t>（二）公司全体发起人股东、董事、监事、高 级管理人员、实际控制人严格履行公司上市前 作出的关于对所持股份的限售安排、股东对所 </w:t>
            </w:r>
            <w:r>
              <w:rPr>
                <w:rFonts w:ascii="宋体" w:hAnsi="宋体" w:cs="宋体" w:eastAsia="宋体" w:hint="default"/>
                <w:spacing w:val="-8"/>
                <w:sz w:val="18"/>
                <w:szCs w:val="18"/>
              </w:rPr>
              <w:t>持股份自愿锁定的承诺。（三）公司实际控制人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任红军、钟超严格履行公司上市前作出的关于 规范关联交易的承诺，</w:t>
            </w:r>
          </w:p>
          <w:p>
            <w:pPr>
              <w:pStyle w:val="TableParagraph"/>
              <w:spacing w:line="316" w:lineRule="auto" w:before="19"/>
              <w:ind w:left="21" w:right="20"/>
              <w:jc w:val="both"/>
              <w:rPr>
                <w:rFonts w:ascii="宋体" w:hAnsi="宋体" w:cs="宋体" w:eastAsia="宋体" w:hint="default"/>
                <w:sz w:val="18"/>
                <w:szCs w:val="18"/>
              </w:rPr>
            </w:pPr>
            <w:r>
              <w:rPr>
                <w:rFonts w:ascii="宋体" w:hAnsi="宋体" w:cs="宋体" w:eastAsia="宋体" w:hint="default"/>
                <w:sz w:val="18"/>
                <w:szCs w:val="18"/>
              </w:rPr>
              <w:t>（四）公司控股股东任红军严格履行关于劳务 派遣而可能承担连带赔偿责任的承诺。报告期 内，公司不存在由于劳务派遣所产生的法律纠 </w:t>
            </w:r>
            <w:r>
              <w:rPr>
                <w:rFonts w:ascii="宋体" w:hAnsi="宋体" w:cs="宋体" w:eastAsia="宋体" w:hint="default"/>
                <w:spacing w:val="-8"/>
                <w:sz w:val="18"/>
                <w:szCs w:val="18"/>
              </w:rPr>
              <w:t>纷及经济损失。（五）公司实际控制人任红军和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钟超严格履行关于创威煤安取得土地使用权相 关事项的承诺。报告期内，公司及创威煤安不 存在因创威煤安取得土地使用权而补交相关费 </w:t>
            </w:r>
            <w:r>
              <w:rPr>
                <w:rFonts w:ascii="宋体" w:hAnsi="宋体" w:cs="宋体" w:eastAsia="宋体" w:hint="default"/>
                <w:spacing w:val="-8"/>
                <w:sz w:val="18"/>
                <w:szCs w:val="18"/>
              </w:rPr>
              <w:t>用或承担相关损失的现象。（六）公司控股股东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任红军严格履行关于注销汉威安仪相关事项的 承诺。报告期内，汉威安仪不存在因注销、债 权债务、税务等任何有关事项遭致任何政府部 门、法人单位或个人的处罚、索赔、起诉或仲 裁的情况。</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964" w:lineRule="exact"/>
              <w:ind w:right="-51"/>
              <w:jc w:val="left"/>
              <w:rPr>
                <w:rFonts w:ascii="宋体" w:hAnsi="宋体" w:cs="宋体" w:eastAsia="宋体" w:hint="default"/>
                <w:sz w:val="20"/>
                <w:szCs w:val="20"/>
              </w:rPr>
            </w:pPr>
            <w:r>
              <w:rPr>
                <w:rFonts w:ascii="宋体" w:hAnsi="宋体" w:cs="宋体" w:eastAsia="宋体" w:hint="default"/>
                <w:position w:val="-58"/>
                <w:sz w:val="20"/>
                <w:szCs w:val="20"/>
              </w:rPr>
              <w:pict>
                <v:group style="width:41.8pt;height:148.25pt;mso-position-horizontal-relative:char;mso-position-vertical-relative:line" coordorigin="0,0" coordsize="836,2965">
                  <v:group style="position:absolute;left:0;top:0;width:836;height:2965" coordorigin="0,0" coordsize="836,2965">
                    <v:shape style="position:absolute;left:0;top:0;width:836;height:2965" coordorigin="0,0" coordsize="836,2965" path="m0,2964l835,2964,835,0,0,0,0,2964xe" filled="true" fillcolor="#ffffff" stroked="false">
                      <v:path arrowok="t"/>
                      <v:fill type="solid"/>
                    </v:shape>
                  </v:group>
                </v:group>
              </w:pict>
            </w:r>
            <w:r>
              <w:rPr>
                <w:rFonts w:ascii="宋体" w:hAnsi="宋体" w:cs="宋体" w:eastAsia="宋体" w:hint="default"/>
                <w:position w:val="-58"/>
                <w:sz w:val="20"/>
                <w:szCs w:val="20"/>
              </w:rPr>
            </w:r>
          </w:p>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7"/>
                <w:szCs w:val="27"/>
              </w:rPr>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21" w:right="0"/>
              <w:jc w:val="left"/>
              <w:rPr>
                <w:rFonts w:ascii="Times New Roman" w:hAnsi="Times New Roman" w:cs="Times New Roman" w:eastAsia="Times New Roman" w:hint="default"/>
                <w:sz w:val="18"/>
                <w:szCs w:val="18"/>
              </w:rPr>
            </w:pPr>
            <w:r>
              <w:rPr>
                <w:rFonts w:ascii="Times New Roman"/>
                <w:sz w:val="18"/>
              </w:rPr>
              <w:t>--</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316" w:lineRule="auto"/>
              <w:ind w:left="21" w:right="-34"/>
              <w:jc w:val="left"/>
              <w:rPr>
                <w:rFonts w:ascii="宋体" w:hAnsi="宋体" w:cs="宋体" w:eastAsia="宋体" w:hint="default"/>
                <w:sz w:val="18"/>
                <w:szCs w:val="18"/>
              </w:rPr>
            </w:pPr>
            <w:r>
              <w:rPr>
                <w:rFonts w:ascii="宋体" w:hAnsi="宋体" w:cs="宋体" w:eastAsia="宋体" w:hint="default"/>
                <w:spacing w:val="-7"/>
                <w:sz w:val="18"/>
                <w:szCs w:val="18"/>
              </w:rPr>
              <w:t>报告期内，上述</w:t>
            </w:r>
            <w:r>
              <w:rPr>
                <w:rFonts w:ascii="宋体" w:hAnsi="宋体" w:cs="宋体" w:eastAsia="宋体" w:hint="default"/>
                <w:sz w:val="18"/>
                <w:szCs w:val="18"/>
              </w:rPr>
              <w:t> 承诺人均遵守 了所做的承诺。</w:t>
            </w:r>
          </w:p>
        </w:tc>
      </w:tr>
      <w:tr>
        <w:trPr>
          <w:trHeight w:val="1349" w:hRule="exact"/>
        </w:trPr>
        <w:tc>
          <w:tcPr>
            <w:tcW w:w="14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 w:right="120"/>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81"/>
              <w:jc w:val="right"/>
              <w:rPr>
                <w:rFonts w:ascii="宋体" w:hAnsi="宋体" w:cs="宋体" w:eastAsia="宋体" w:hint="default"/>
                <w:sz w:val="18"/>
                <w:szCs w:val="18"/>
              </w:rPr>
            </w:pPr>
            <w:r>
              <w:rPr>
                <w:rFonts w:ascii="宋体" w:hAnsi="宋体" w:cs="宋体" w:eastAsia="宋体" w:hint="default"/>
                <w:sz w:val="18"/>
                <w:szCs w:val="18"/>
              </w:rPr>
              <w:t>任红军、钟超</w:t>
            </w:r>
          </w:p>
        </w:tc>
        <w:tc>
          <w:tcPr>
            <w:tcW w:w="3687" w:type="dxa"/>
            <w:tcBorders>
              <w:top w:val="single" w:sz="6" w:space="0" w:color="000000"/>
              <w:left w:val="single" w:sz="6" w:space="0" w:color="000000"/>
              <w:bottom w:val="single" w:sz="12" w:space="0" w:color="000000"/>
              <w:right w:val="single" w:sz="6" w:space="0" w:color="000000"/>
            </w:tcBorders>
          </w:tcPr>
          <w:p>
            <w:pPr>
              <w:pStyle w:val="TableParagraph"/>
              <w:spacing w:line="312" w:lineRule="auto" w:before="49"/>
              <w:ind w:left="21" w:right="44"/>
              <w:jc w:val="both"/>
              <w:rPr>
                <w:rFonts w:ascii="宋体" w:hAnsi="宋体" w:cs="宋体" w:eastAsia="宋体" w:hint="default"/>
                <w:sz w:val="18"/>
                <w:szCs w:val="18"/>
              </w:rPr>
            </w:pPr>
            <w:r>
              <w:rPr>
                <w:rFonts w:ascii="宋体" w:hAnsi="宋体" w:cs="宋体" w:eastAsia="宋体" w:hint="default"/>
                <w:sz w:val="18"/>
                <w:szCs w:val="18"/>
              </w:rPr>
              <w:t>对所持有的公司首发限售股追加锁定一年，期 限自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日在上述锁定期间内，不转让所持有的公司股 份，也不由公司回购所持有的股份。</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2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1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人均遵守了所 做的承诺。</w:t>
            </w:r>
          </w:p>
        </w:tc>
      </w:tr>
    </w:tbl>
    <w:p>
      <w:pPr>
        <w:spacing w:after="0" w:line="316" w:lineRule="auto"/>
        <w:jc w:val="left"/>
        <w:rPr>
          <w:rFonts w:ascii="宋体" w:hAnsi="宋体" w:cs="宋体" w:eastAsia="宋体" w:hint="default"/>
          <w:sz w:val="18"/>
          <w:szCs w:val="18"/>
        </w:rPr>
        <w:sectPr>
          <w:pgSz w:w="11910" w:h="16840"/>
          <w:pgMar w:header="555" w:footer="980" w:top="1100" w:bottom="1160" w:left="940" w:right="920"/>
        </w:sectPr>
      </w:pPr>
    </w:p>
    <w:p>
      <w:pPr>
        <w:spacing w:line="240" w:lineRule="auto" w:before="8"/>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1419"/>
        <w:gridCol w:w="8356"/>
      </w:tblGrid>
      <w:tr>
        <w:trPr>
          <w:trHeight w:val="728" w:hRule="exact"/>
        </w:trPr>
        <w:tc>
          <w:tcPr>
            <w:tcW w:w="14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4" w:right="120"/>
              <w:jc w:val="left"/>
              <w:rPr>
                <w:rFonts w:ascii="宋体" w:hAnsi="宋体" w:cs="宋体" w:eastAsia="宋体" w:hint="default"/>
                <w:sz w:val="18"/>
                <w:szCs w:val="18"/>
              </w:rPr>
            </w:pPr>
            <w:r>
              <w:rPr>
                <w:rFonts w:ascii="宋体" w:hAnsi="宋体" w:cs="宋体" w:eastAsia="宋体" w:hint="default"/>
                <w:sz w:val="18"/>
                <w:szCs w:val="18"/>
              </w:rPr>
              <w:t>承诺是否及时履 行</w:t>
            </w:r>
          </w:p>
        </w:tc>
        <w:tc>
          <w:tcPr>
            <w:tcW w:w="835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30" w:hRule="exact"/>
        </w:trPr>
        <w:tc>
          <w:tcPr>
            <w:tcW w:w="1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49"/>
              <w:ind w:left="14" w:right="120"/>
              <w:jc w:val="both"/>
              <w:rPr>
                <w:rFonts w:ascii="宋体" w:hAnsi="宋体" w:cs="宋体" w:eastAsia="宋体" w:hint="default"/>
                <w:sz w:val="18"/>
                <w:szCs w:val="18"/>
              </w:rPr>
            </w:pPr>
            <w:r>
              <w:rPr>
                <w:rFonts w:ascii="宋体" w:hAnsi="宋体" w:cs="宋体" w:eastAsia="宋体" w:hint="default"/>
                <w:sz w:val="18"/>
                <w:szCs w:val="18"/>
              </w:rPr>
              <w:t>未完成履行的具 体原因及下一步 计划</w:t>
            </w:r>
          </w:p>
        </w:tc>
        <w:tc>
          <w:tcPr>
            <w:tcW w:w="8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2" w:hRule="exact"/>
        </w:trPr>
        <w:tc>
          <w:tcPr>
            <w:tcW w:w="1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4" w:right="120"/>
              <w:jc w:val="both"/>
              <w:rPr>
                <w:rFonts w:ascii="宋体" w:hAnsi="宋体" w:cs="宋体" w:eastAsia="宋体" w:hint="default"/>
                <w:sz w:val="18"/>
                <w:szCs w:val="18"/>
              </w:rPr>
            </w:pPr>
            <w:r>
              <w:rPr>
                <w:rFonts w:ascii="宋体" w:hAnsi="宋体" w:cs="宋体" w:eastAsia="宋体" w:hint="default"/>
                <w:sz w:val="18"/>
                <w:szCs w:val="18"/>
              </w:rPr>
              <w:t>是否就导致的同 业竞争和关联交 易问题作出承诺</w:t>
            </w:r>
          </w:p>
        </w:tc>
        <w:tc>
          <w:tcPr>
            <w:tcW w:w="8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8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1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3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3" w:hRule="exact"/>
        </w:trPr>
        <w:tc>
          <w:tcPr>
            <w:tcW w:w="14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83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8"/>
          <w:szCs w:val="18"/>
        </w:rPr>
      </w:pPr>
    </w:p>
    <w:p>
      <w:pPr>
        <w:spacing w:line="528" w:lineRule="auto" w:before="26"/>
        <w:ind w:left="192" w:right="6220" w:firstLine="0"/>
        <w:jc w:val="left"/>
        <w:rPr>
          <w:rFonts w:ascii="宋体" w:hAnsi="宋体" w:cs="宋体" w:eastAsia="宋体" w:hint="default"/>
          <w:sz w:val="24"/>
          <w:szCs w:val="24"/>
        </w:rPr>
      </w:pPr>
      <w:r>
        <w:rPr/>
        <w:pict>
          <v:shape style="position:absolute;margin-left:56.82pt;margin-top:59.295616pt;width:482.35pt;height:83.6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33"/>
                    <w:gridCol w:w="4571"/>
                  </w:tblGrid>
                  <w:tr>
                    <w:trPr>
                      <w:trHeight w:val="415" w:hRule="exact"/>
                    </w:trPr>
                    <w:tc>
                      <w:tcPr>
                        <w:tcW w:w="503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571" w:type="dxa"/>
                        <w:tcBorders>
                          <w:top w:val="single" w:sz="12" w:space="0" w:color="000000"/>
                          <w:left w:val="single" w:sz="9" w:space="0" w:color="D2D2D2"/>
                          <w:bottom w:val="single" w:sz="6" w:space="0" w:color="000000"/>
                          <w:right w:val="single" w:sz="12" w:space="0" w:color="000000"/>
                        </w:tcBorders>
                      </w:tcPr>
                      <w:p>
                        <w:pPr>
                          <w:pStyle w:val="TableParagraph"/>
                          <w:spacing w:line="240" w:lineRule="auto" w:before="50"/>
                          <w:ind w:right="8"/>
                          <w:jc w:val="righ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r>
                    <w:trPr>
                      <w:trHeight w:val="407" w:hRule="exact"/>
                    </w:trPr>
                    <w:tc>
                      <w:tcPr>
                        <w:tcW w:w="503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571"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92"/>
                          <w:ind w:right="5"/>
                          <w:jc w:val="right"/>
                          <w:rPr>
                            <w:rFonts w:ascii="Times New Roman" w:hAnsi="Times New Roman" w:cs="Times New Roman" w:eastAsia="Times New Roman" w:hint="default"/>
                            <w:sz w:val="18"/>
                            <w:szCs w:val="18"/>
                          </w:rPr>
                        </w:pPr>
                        <w:r>
                          <w:rPr>
                            <w:rFonts w:ascii="Times New Roman"/>
                            <w:sz w:val="18"/>
                          </w:rPr>
                          <w:t>35</w:t>
                        </w:r>
                      </w:p>
                    </w:tc>
                  </w:tr>
                  <w:tr>
                    <w:trPr>
                      <w:trHeight w:val="407" w:hRule="exact"/>
                    </w:trPr>
                    <w:tc>
                      <w:tcPr>
                        <w:tcW w:w="503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571"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w:t>
                        </w:r>
                      </w:p>
                    </w:tc>
                  </w:tr>
                  <w:tr>
                    <w:trPr>
                      <w:trHeight w:val="414" w:hRule="exact"/>
                    </w:trPr>
                    <w:tc>
                      <w:tcPr>
                        <w:tcW w:w="503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571"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50"/>
                          <w:ind w:right="5"/>
                          <w:jc w:val="right"/>
                          <w:rPr>
                            <w:rFonts w:ascii="宋体" w:hAnsi="宋体" w:cs="宋体" w:eastAsia="宋体" w:hint="default"/>
                            <w:sz w:val="18"/>
                            <w:szCs w:val="18"/>
                          </w:rPr>
                        </w:pPr>
                        <w:r>
                          <w:rPr>
                            <w:rFonts w:ascii="宋体" w:hAnsi="宋体" w:cs="宋体" w:eastAsia="宋体" w:hint="default"/>
                            <w:sz w:val="18"/>
                            <w:szCs w:val="18"/>
                          </w:rPr>
                          <w:t>郝东升 </w:t>
                        </w:r>
                        <w:r>
                          <w:rPr>
                            <w:rFonts w:ascii="宋体" w:hAnsi="宋体" w:cs="宋体" w:eastAsia="宋体" w:hint="default"/>
                            <w:spacing w:val="2"/>
                            <w:sz w:val="18"/>
                            <w:szCs w:val="18"/>
                          </w:rPr>
                          <w:t> </w:t>
                        </w:r>
                        <w:r>
                          <w:rPr>
                            <w:rFonts w:ascii="宋体" w:hAnsi="宋体" w:cs="宋体" w:eastAsia="宋体" w:hint="default"/>
                            <w:sz w:val="18"/>
                            <w:szCs w:val="18"/>
                          </w:rPr>
                          <w:t>邓小强</w:t>
                        </w:r>
                      </w:p>
                    </w:tc>
                  </w:tr>
                </w:tbl>
                <w:p>
                  <w:pPr/>
                </w:p>
              </w:txbxContent>
            </v:textbox>
            <w10:wrap type="none"/>
          </v:shape>
        </w:pict>
      </w:r>
      <w:r>
        <w:rPr>
          <w:rFonts w:ascii="宋体" w:hAnsi="宋体" w:cs="宋体" w:eastAsia="宋体" w:hint="default"/>
          <w:b/>
          <w:bCs/>
          <w:sz w:val="24"/>
          <w:szCs w:val="24"/>
        </w:rPr>
        <w:t>五、聘任、解聘会计师事务所情况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26"/>
        <w:ind w:left="192" w:right="208"/>
        <w:jc w:val="left"/>
        <w:rPr>
          <w:rFonts w:ascii="宋体" w:hAnsi="宋体" w:cs="宋体" w:eastAsia="宋体" w:hint="default"/>
        </w:rPr>
      </w:pPr>
      <w:r>
        <w:rPr>
          <w:rFonts w:ascii="宋体" w:hAnsi="宋体" w:cs="宋体" w:eastAsia="宋体" w:hint="default"/>
        </w:rPr>
        <w:t>是否改聘会计师事务所</w:t>
      </w:r>
    </w:p>
    <w:p>
      <w:pPr>
        <w:pStyle w:val="BodyText"/>
        <w:spacing w:line="240" w:lineRule="auto" w:before="192"/>
        <w:ind w:left="192" w:right="208"/>
        <w:jc w:val="left"/>
        <w:rPr>
          <w:rFonts w:ascii="宋体" w:hAnsi="宋体" w:cs="宋体" w:eastAsia="宋体" w:hint="default"/>
        </w:rPr>
      </w:pPr>
      <w:r>
        <w:rPr>
          <w:rFonts w:ascii="Times New Roman" w:hAnsi="Times New Roman" w:cs="Times New Roman" w:eastAsia="Times New Roman" w:hint="default"/>
        </w:rPr>
        <w:t>□  </w:t>
      </w:r>
      <w:r>
        <w:rPr>
          <w:rFonts w:ascii="宋体" w:hAnsi="宋体" w:cs="宋体" w:eastAsia="宋体" w:hint="default"/>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rFonts w:ascii="宋体" w:hAnsi="宋体" w:cs="宋体" w:eastAsia="宋体" w:hint="default"/>
        </w:rPr>
        <w:t>否</w:t>
      </w:r>
    </w:p>
    <w:p>
      <w:pPr>
        <w:spacing w:line="240" w:lineRule="auto" w:before="10"/>
        <w:rPr>
          <w:rFonts w:ascii="宋体" w:hAnsi="宋体" w:cs="宋体" w:eastAsia="宋体" w:hint="default"/>
          <w:sz w:val="29"/>
          <w:szCs w:val="29"/>
        </w:rPr>
      </w:pPr>
    </w:p>
    <w:p>
      <w:pPr>
        <w:pStyle w:val="Heading2"/>
        <w:spacing w:line="312" w:lineRule="exact"/>
        <w:ind w:left="192" w:right="196"/>
        <w:jc w:val="left"/>
        <w:rPr>
          <w:b w:val="0"/>
          <w:bCs w:val="0"/>
        </w:rPr>
      </w:pPr>
      <w:r>
        <w:rPr/>
        <w:t>六、上市公司及其董事、监事、高级管理人员、公司股东、实际控制人和收购人处罚及整改</w:t>
      </w:r>
      <w:r>
        <w:rPr>
          <w:w w:val="99"/>
        </w:rPr>
        <w:t> </w:t>
      </w:r>
      <w:r>
        <w:rPr/>
        <w:t>情况</w:t>
      </w:r>
      <w:r>
        <w:rPr>
          <w:b w:val="0"/>
          <w:bCs w:val="0"/>
        </w:rPr>
      </w:r>
    </w:p>
    <w:p>
      <w:pPr>
        <w:spacing w:line="240" w:lineRule="auto" w:before="8"/>
        <w:rPr>
          <w:rFonts w:ascii="宋体" w:hAnsi="宋体" w:cs="宋体" w:eastAsia="宋体" w:hint="default"/>
          <w:b/>
          <w:bCs/>
          <w:sz w:val="26"/>
          <w:szCs w:val="26"/>
        </w:rPr>
      </w:pPr>
    </w:p>
    <w:p>
      <w:pPr>
        <w:pStyle w:val="BodyText"/>
        <w:spacing w:line="388" w:lineRule="auto" w:before="0"/>
        <w:ind w:left="192" w:right="2874"/>
        <w:jc w:val="left"/>
      </w:pPr>
      <w:r>
        <w:rPr/>
        <w:t>□ 适用 √</w:t>
      </w:r>
      <w:r>
        <w:rPr>
          <w:spacing w:val="-1"/>
        </w:rPr>
        <w:t> </w:t>
      </w:r>
      <w:r>
        <w:rPr/>
        <w:t>不适用</w:t>
      </w:r>
      <w:r>
        <w:rPr/>
        <w:t> 上市公司及其子公司是否被列入环保部门公布的污染严重企业名单</w:t>
      </w:r>
    </w:p>
    <w:p>
      <w:pPr>
        <w:pStyle w:val="BodyText"/>
        <w:spacing w:line="388" w:lineRule="auto" w:before="43"/>
        <w:ind w:left="192" w:right="4314"/>
        <w:jc w:val="left"/>
      </w:pPr>
      <w:r>
        <w:rPr/>
        <w:t>□ 是 √</w:t>
      </w:r>
      <w:r>
        <w:rPr>
          <w:spacing w:val="-1"/>
        </w:rPr>
        <w:t> </w:t>
      </w:r>
      <w:r>
        <w:rPr/>
        <w:t>否</w:t>
      </w:r>
      <w:r>
        <w:rPr/>
        <w:t> 上市公司及其子公司是否存在其他重大社会安全问题</w:t>
      </w:r>
    </w:p>
    <w:p>
      <w:pPr>
        <w:pStyle w:val="BodyText"/>
        <w:spacing w:line="386" w:lineRule="auto" w:before="46"/>
        <w:ind w:left="192" w:right="7194"/>
        <w:jc w:val="left"/>
      </w:pPr>
      <w:r>
        <w:rPr/>
        <w:t>□ 是 √</w:t>
      </w:r>
      <w:r>
        <w:rPr>
          <w:spacing w:val="-1"/>
        </w:rPr>
        <w:t> </w:t>
      </w:r>
      <w:r>
        <w:rPr/>
        <w:t>否</w:t>
      </w:r>
      <w:r>
        <w:rPr/>
        <w:t> 报告期内是否被行政处罚</w:t>
      </w:r>
    </w:p>
    <w:p>
      <w:pPr>
        <w:pStyle w:val="BodyText"/>
        <w:spacing w:line="240" w:lineRule="auto" w:before="48"/>
        <w:ind w:left="192" w:right="208"/>
        <w:jc w:val="left"/>
      </w:pPr>
      <w:r>
        <w:rPr/>
        <w:t>□ 是 √</w:t>
      </w:r>
      <w:r>
        <w:rPr>
          <w:spacing w:val="-1"/>
        </w:rPr>
        <w:t> </w:t>
      </w:r>
      <w:r>
        <w:rPr/>
        <w:t>否</w:t>
      </w:r>
    </w:p>
    <w:p>
      <w:pPr>
        <w:spacing w:after="0" w:line="240" w:lineRule="auto"/>
        <w:jc w:val="left"/>
        <w:sectPr>
          <w:pgSz w:w="11910" w:h="16840"/>
          <w:pgMar w:header="555" w:footer="980" w:top="1100" w:bottom="1160" w:left="940" w:right="920"/>
        </w:sectPr>
      </w:pPr>
    </w:p>
    <w:p>
      <w:pPr>
        <w:spacing w:line="240" w:lineRule="auto" w:before="9"/>
        <w:rPr>
          <w:rFonts w:ascii="新宋体" w:hAnsi="新宋体" w:cs="新宋体" w:eastAsia="新宋体" w:hint="default"/>
          <w:sz w:val="19"/>
          <w:szCs w:val="19"/>
        </w:rPr>
      </w:pPr>
    </w:p>
    <w:p>
      <w:pPr>
        <w:pStyle w:val="Heading2"/>
        <w:spacing w:line="240" w:lineRule="auto" w:before="26"/>
        <w:ind w:right="0"/>
        <w:jc w:val="left"/>
        <w:rPr>
          <w:b w:val="0"/>
          <w:bCs w:val="0"/>
        </w:rPr>
      </w:pPr>
      <w:r>
        <w:rPr/>
        <w:t>七、其他重大事项的说明</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51" w:firstLine="480"/>
        <w:jc w:val="both"/>
      </w:pPr>
      <w:r>
        <w:rPr>
          <w:spacing w:val="-5"/>
        </w:rPr>
        <w:t>为拓宽融资渠道，优化融资结构，降低融资成本，满足公司快速发展对资金的需求，</w:t>
      </w:r>
      <w:r>
        <w:rPr>
          <w:rFonts w:ascii="新宋体" w:hAnsi="新宋体" w:cs="新宋体" w:eastAsia="新宋体" w:hint="default"/>
          <w:spacing w:val="-5"/>
        </w:rPr>
        <w:t>2012</w:t>
      </w:r>
      <w:r>
        <w:rPr>
          <w:rFonts w:ascii="新宋体" w:hAnsi="新宋体" w:cs="新宋体" w:eastAsia="新宋体" w:hint="default"/>
        </w:rPr>
        <w:t> </w:t>
      </w:r>
      <w:r>
        <w:rPr/>
        <w:t>年</w:t>
      </w:r>
      <w:r>
        <w:rPr>
          <w:rFonts w:ascii="新宋体" w:hAnsi="新宋体" w:cs="新宋体" w:eastAsia="新宋体" w:hint="default"/>
        </w:rPr>
        <w:t>5</w:t>
      </w:r>
      <w:r>
        <w:rPr/>
        <w:t>月</w:t>
      </w:r>
      <w:r>
        <w:rPr>
          <w:rFonts w:ascii="新宋体" w:hAnsi="新宋体" w:cs="新宋体" w:eastAsia="新宋体" w:hint="default"/>
        </w:rPr>
        <w:t>30</w:t>
      </w:r>
      <w:r>
        <w:rPr/>
        <w:t>日公司第一次临时股东大会通过了《关于申请发行短期融资券的议案》</w:t>
      </w:r>
      <w:r>
        <w:rPr>
          <w:rFonts w:ascii="新宋体" w:hAnsi="新宋体" w:cs="新宋体" w:eastAsia="新宋体" w:hint="default"/>
        </w:rPr>
        <w:t>,</w:t>
      </w:r>
      <w:r>
        <w:rPr/>
        <w:t>拟向中国银 行间市场交易商协会申请注册发行不超过人民币</w:t>
      </w:r>
      <w:r>
        <w:rPr>
          <w:rFonts w:ascii="新宋体" w:hAnsi="新宋体" w:cs="新宋体" w:eastAsia="新宋体" w:hint="default"/>
        </w:rPr>
        <w:t>2</w:t>
      </w:r>
      <w:r>
        <w:rPr/>
        <w:t>亿元的短期融资券。具体内容详见</w:t>
      </w:r>
      <w:r>
        <w:rPr>
          <w:rFonts w:ascii="新宋体" w:hAnsi="新宋体" w:cs="新宋体" w:eastAsia="新宋体" w:hint="default"/>
        </w:rPr>
        <w:t>2012</w:t>
      </w:r>
      <w:r>
        <w:rPr/>
        <w:t>年</w:t>
      </w:r>
      <w:r>
        <w:rPr>
          <w:rFonts w:ascii="新宋体" w:hAnsi="新宋体" w:cs="新宋体" w:eastAsia="新宋体" w:hint="default"/>
        </w:rPr>
        <w:t>5 </w:t>
      </w:r>
      <w:r>
        <w:rPr/>
        <w:t>月</w:t>
      </w:r>
      <w:r>
        <w:rPr>
          <w:rFonts w:ascii="新宋体" w:hAnsi="新宋体" w:cs="新宋体" w:eastAsia="新宋体" w:hint="default"/>
        </w:rPr>
        <w:t>12</w:t>
      </w:r>
      <w:r>
        <w:rPr/>
        <w:t>日刊登在中国证监会指定创业板信息披露网站（</w:t>
      </w:r>
      <w:hyperlink r:id="rId13">
        <w:r>
          <w:rPr>
            <w:rFonts w:ascii="新宋体" w:hAnsi="新宋体" w:cs="新宋体" w:eastAsia="新宋体" w:hint="default"/>
          </w:rPr>
          <w:t>http://www.cninfo.com.cn</w:t>
        </w:r>
      </w:hyperlink>
      <w:r>
        <w:rPr/>
        <w:t>）上的相关 公告。目前，公司正在向中国银行间市场交易商协会申请注册批准。</w:t>
      </w:r>
    </w:p>
    <w:p>
      <w:pPr>
        <w:spacing w:after="0" w:line="357" w:lineRule="auto"/>
        <w:jc w:val="both"/>
        <w:sectPr>
          <w:pgSz w:w="11910" w:h="16840"/>
          <w:pgMar w:header="555" w:footer="980" w:top="1100" w:bottom="1160" w:left="980" w:right="980"/>
        </w:sect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4"/>
        <w:rPr>
          <w:rFonts w:ascii="新宋体" w:hAnsi="新宋体" w:cs="新宋体" w:eastAsia="新宋体" w:hint="default"/>
          <w:sz w:val="19"/>
          <w:szCs w:val="19"/>
        </w:rPr>
      </w:pPr>
    </w:p>
    <w:p>
      <w:pPr>
        <w:pStyle w:val="Heading1"/>
        <w:spacing w:line="240" w:lineRule="auto"/>
        <w:ind w:left="3184" w:right="468"/>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372" w:right="468"/>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372" w:right="468"/>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5"/>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2016"/>
        <w:gridCol w:w="989"/>
        <w:gridCol w:w="845"/>
        <w:gridCol w:w="845"/>
        <w:gridCol w:w="843"/>
        <w:gridCol w:w="842"/>
        <w:gridCol w:w="948"/>
        <w:gridCol w:w="1045"/>
        <w:gridCol w:w="958"/>
        <w:gridCol w:w="814"/>
      </w:tblGrid>
      <w:tr>
        <w:trPr>
          <w:trHeight w:val="414" w:hRule="exact"/>
        </w:trPr>
        <w:tc>
          <w:tcPr>
            <w:tcW w:w="201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83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23"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126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1"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016" w:type="dxa"/>
            <w:vMerge w:val="restart"/>
            <w:tcBorders>
              <w:top w:val="nil" w:sz="6" w:space="0" w:color="auto"/>
              <w:left w:val="single" w:sz="12" w:space="0" w:color="000000"/>
              <w:right w:val="single" w:sz="6" w:space="0" w:color="000000"/>
            </w:tcBorders>
            <w:shd w:val="clear" w:color="auto" w:fill="D2D2D2"/>
          </w:tcPr>
          <w:p>
            <w:pPr/>
          </w:p>
        </w:tc>
        <w:tc>
          <w:tcPr>
            <w:tcW w:w="989" w:type="dxa"/>
            <w:tcBorders>
              <w:top w:val="single" w:sz="6" w:space="0" w:color="000000"/>
              <w:left w:val="single" w:sz="6" w:space="0" w:color="000000"/>
              <w:bottom w:val="nil" w:sz="6" w:space="0" w:color="auto"/>
              <w:right w:val="single" w:sz="6" w:space="0" w:color="000000"/>
            </w:tcBorders>
            <w:shd w:val="clear" w:color="auto" w:fill="D2D2D2"/>
          </w:tcPr>
          <w:p>
            <w:pPr/>
          </w:p>
        </w:tc>
        <w:tc>
          <w:tcPr>
            <w:tcW w:w="845" w:type="dxa"/>
            <w:tcBorders>
              <w:top w:val="single" w:sz="6" w:space="0" w:color="000000"/>
              <w:left w:val="single" w:sz="6" w:space="0" w:color="000000"/>
              <w:bottom w:val="nil" w:sz="6" w:space="0" w:color="auto"/>
              <w:right w:val="single" w:sz="6" w:space="0" w:color="000000"/>
            </w:tcBorders>
            <w:shd w:val="clear" w:color="auto" w:fill="D2D2D2"/>
          </w:tcPr>
          <w:p>
            <w:pPr/>
          </w:p>
        </w:tc>
        <w:tc>
          <w:tcPr>
            <w:tcW w:w="845" w:type="dxa"/>
            <w:tcBorders>
              <w:top w:val="single" w:sz="6" w:space="0" w:color="000000"/>
              <w:left w:val="single" w:sz="6" w:space="0" w:color="000000"/>
              <w:bottom w:val="nil" w:sz="6" w:space="0" w:color="auto"/>
              <w:right w:val="single" w:sz="6" w:space="0" w:color="000000"/>
            </w:tcBorders>
            <w:shd w:val="clear" w:color="auto" w:fill="D2D2D2"/>
          </w:tcPr>
          <w:p>
            <w:pPr/>
          </w:p>
        </w:tc>
        <w:tc>
          <w:tcPr>
            <w:tcW w:w="843" w:type="dxa"/>
            <w:tcBorders>
              <w:top w:val="single" w:sz="6" w:space="0" w:color="000000"/>
              <w:left w:val="single" w:sz="6" w:space="0" w:color="000000"/>
              <w:bottom w:val="nil" w:sz="6" w:space="0" w:color="auto"/>
              <w:right w:val="single" w:sz="6" w:space="0" w:color="000000"/>
            </w:tcBorders>
            <w:shd w:val="clear" w:color="auto" w:fill="D2D2D2"/>
          </w:tcPr>
          <w:p>
            <w:pPr/>
          </w:p>
        </w:tc>
        <w:tc>
          <w:tcPr>
            <w:tcW w:w="842"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48"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5" w:type="dxa"/>
            <w:tcBorders>
              <w:top w:val="single" w:sz="6" w:space="0" w:color="000000"/>
              <w:left w:val="single" w:sz="6" w:space="0" w:color="000000"/>
              <w:bottom w:val="nil" w:sz="6" w:space="0" w:color="auto"/>
              <w:right w:val="single" w:sz="6" w:space="0" w:color="000000"/>
            </w:tcBorders>
            <w:shd w:val="clear" w:color="auto" w:fill="D2D2D2"/>
          </w:tcPr>
          <w:p>
            <w:pPr/>
          </w:p>
        </w:tc>
        <w:tc>
          <w:tcPr>
            <w:tcW w:w="958" w:type="dxa"/>
            <w:tcBorders>
              <w:top w:val="single" w:sz="6" w:space="0" w:color="000000"/>
              <w:left w:val="single" w:sz="6" w:space="0" w:color="000000"/>
              <w:bottom w:val="nil" w:sz="6" w:space="0" w:color="auto"/>
              <w:right w:val="single" w:sz="6" w:space="0" w:color="000000"/>
            </w:tcBorders>
            <w:shd w:val="clear" w:color="auto" w:fill="D2D2D2"/>
          </w:tcPr>
          <w:p>
            <w:pPr/>
          </w:p>
        </w:tc>
        <w:tc>
          <w:tcPr>
            <w:tcW w:w="814"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90" w:hRule="exact"/>
        </w:trPr>
        <w:tc>
          <w:tcPr>
            <w:tcW w:w="2016" w:type="dxa"/>
            <w:vMerge/>
            <w:tcBorders>
              <w:left w:val="single" w:sz="12" w:space="0" w:color="000000"/>
              <w:bottom w:val="nil" w:sz="6" w:space="0" w:color="auto"/>
              <w:right w:val="single" w:sz="6" w:space="0" w:color="000000"/>
            </w:tcBorders>
            <w:shd w:val="clear" w:color="auto" w:fill="D2D2D2"/>
          </w:tcPr>
          <w:p>
            <w:pPr/>
          </w:p>
        </w:tc>
        <w:tc>
          <w:tcPr>
            <w:tcW w:w="98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6" w:space="0" w:color="000000"/>
              <w:right w:val="single" w:sz="6" w:space="0" w:color="000000"/>
            </w:tcBorders>
            <w:shd w:val="clear" w:color="auto" w:fill="D2D2D2"/>
          </w:tcPr>
          <w:p>
            <w:pPr/>
          </w:p>
        </w:tc>
        <w:tc>
          <w:tcPr>
            <w:tcW w:w="94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4" w:hRule="exact"/>
        </w:trPr>
        <w:tc>
          <w:tcPr>
            <w:tcW w:w="2016" w:type="dxa"/>
            <w:vMerge w:val="restart"/>
            <w:tcBorders>
              <w:top w:val="nil" w:sz="6" w:space="0" w:color="auto"/>
              <w:left w:val="single" w:sz="12" w:space="0" w:color="000000"/>
              <w:right w:val="single" w:sz="6" w:space="0" w:color="000000"/>
            </w:tcBorders>
            <w:shd w:val="clear" w:color="auto" w:fill="D2D2D2"/>
          </w:tcPr>
          <w:p>
            <w:pPr/>
          </w:p>
        </w:tc>
        <w:tc>
          <w:tcPr>
            <w:tcW w:w="989" w:type="dxa"/>
            <w:vMerge/>
            <w:tcBorders>
              <w:left w:val="single" w:sz="6" w:space="0" w:color="000000"/>
              <w:bottom w:val="nil" w:sz="6" w:space="0" w:color="auto"/>
              <w:right w:val="single" w:sz="6" w:space="0" w:color="000000"/>
            </w:tcBorders>
            <w:shd w:val="clear" w:color="auto" w:fill="D2D2D2"/>
          </w:tcPr>
          <w:p>
            <w:pPr/>
          </w:p>
        </w:tc>
        <w:tc>
          <w:tcPr>
            <w:tcW w:w="845" w:type="dxa"/>
            <w:vMerge/>
            <w:tcBorders>
              <w:left w:val="single" w:sz="6" w:space="0" w:color="000000"/>
              <w:bottom w:val="nil" w:sz="6" w:space="0" w:color="auto"/>
              <w:right w:val="single" w:sz="6" w:space="0" w:color="000000"/>
            </w:tcBorders>
            <w:shd w:val="clear" w:color="auto" w:fill="D2D2D2"/>
          </w:tcPr>
          <w:p>
            <w:pPr/>
          </w:p>
        </w:tc>
        <w:tc>
          <w:tcPr>
            <w:tcW w:w="845" w:type="dxa"/>
            <w:vMerge/>
            <w:tcBorders>
              <w:left w:val="single" w:sz="6" w:space="0" w:color="000000"/>
              <w:bottom w:val="nil" w:sz="6" w:space="0" w:color="auto"/>
              <w:right w:val="single" w:sz="6" w:space="0" w:color="000000"/>
            </w:tcBorders>
            <w:shd w:val="clear" w:color="auto" w:fill="D2D2D2"/>
          </w:tcPr>
          <w:p>
            <w:pPr/>
          </w:p>
        </w:tc>
        <w:tc>
          <w:tcPr>
            <w:tcW w:w="843" w:type="dxa"/>
            <w:vMerge/>
            <w:tcBorders>
              <w:left w:val="single" w:sz="6" w:space="0" w:color="000000"/>
              <w:bottom w:val="nil" w:sz="6" w:space="0" w:color="auto"/>
              <w:right w:val="single" w:sz="6" w:space="0" w:color="000000"/>
            </w:tcBorders>
            <w:shd w:val="clear" w:color="auto" w:fill="D2D2D2"/>
          </w:tcPr>
          <w:p>
            <w:pPr/>
          </w:p>
        </w:tc>
        <w:tc>
          <w:tcPr>
            <w:tcW w:w="842" w:type="dxa"/>
            <w:vMerge/>
            <w:tcBorders>
              <w:left w:val="single" w:sz="6" w:space="0" w:color="000000"/>
              <w:right w:val="single" w:sz="6" w:space="0" w:color="000000"/>
            </w:tcBorders>
            <w:shd w:val="clear" w:color="auto" w:fill="D2D2D2"/>
          </w:tcPr>
          <w:p>
            <w:pPr/>
          </w:p>
        </w:tc>
        <w:tc>
          <w:tcPr>
            <w:tcW w:w="948" w:type="dxa"/>
            <w:vMerge/>
            <w:tcBorders>
              <w:left w:val="single" w:sz="6" w:space="0" w:color="000000"/>
              <w:bottom w:val="nil" w:sz="6" w:space="0" w:color="auto"/>
              <w:right w:val="single" w:sz="6" w:space="0" w:color="000000"/>
            </w:tcBorders>
            <w:shd w:val="clear" w:color="auto" w:fill="D2D2D2"/>
          </w:tcPr>
          <w:p>
            <w:pPr/>
          </w:p>
        </w:tc>
        <w:tc>
          <w:tcPr>
            <w:tcW w:w="1045" w:type="dxa"/>
            <w:vMerge/>
            <w:tcBorders>
              <w:left w:val="single" w:sz="6" w:space="0" w:color="000000"/>
              <w:bottom w:val="nil" w:sz="6" w:space="0" w:color="auto"/>
              <w:right w:val="single" w:sz="6" w:space="0" w:color="000000"/>
            </w:tcBorders>
            <w:shd w:val="clear" w:color="auto" w:fill="D2D2D2"/>
          </w:tcPr>
          <w:p>
            <w:pPr/>
          </w:p>
        </w:tc>
        <w:tc>
          <w:tcPr>
            <w:tcW w:w="958" w:type="dxa"/>
            <w:vMerge/>
            <w:tcBorders>
              <w:left w:val="single" w:sz="6" w:space="0" w:color="000000"/>
              <w:bottom w:val="nil" w:sz="6" w:space="0" w:color="auto"/>
              <w:right w:val="single" w:sz="6" w:space="0" w:color="000000"/>
            </w:tcBorders>
            <w:shd w:val="clear" w:color="auto" w:fill="D2D2D2"/>
          </w:tcPr>
          <w:p>
            <w:pPr/>
          </w:p>
        </w:tc>
        <w:tc>
          <w:tcPr>
            <w:tcW w:w="814"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2016" w:type="dxa"/>
            <w:vMerge/>
            <w:tcBorders>
              <w:left w:val="single" w:sz="12" w:space="0" w:color="000000"/>
              <w:bottom w:val="single" w:sz="6" w:space="0" w:color="000000"/>
              <w:right w:val="single" w:sz="6" w:space="0" w:color="000000"/>
            </w:tcBorders>
            <w:shd w:val="clear" w:color="auto" w:fill="D2D2D2"/>
          </w:tcPr>
          <w:p>
            <w:pPr/>
          </w:p>
        </w:tc>
        <w:tc>
          <w:tcPr>
            <w:tcW w:w="989" w:type="dxa"/>
            <w:tcBorders>
              <w:top w:val="nil" w:sz="6" w:space="0" w:color="auto"/>
              <w:left w:val="single" w:sz="6" w:space="0" w:color="000000"/>
              <w:bottom w:val="single" w:sz="6" w:space="0" w:color="000000"/>
              <w:right w:val="single" w:sz="6" w:space="0" w:color="000000"/>
            </w:tcBorders>
            <w:shd w:val="clear" w:color="auto" w:fill="D2D2D2"/>
          </w:tcPr>
          <w:p>
            <w:pPr/>
          </w:p>
        </w:tc>
        <w:tc>
          <w:tcPr>
            <w:tcW w:w="845" w:type="dxa"/>
            <w:tcBorders>
              <w:top w:val="nil" w:sz="6" w:space="0" w:color="auto"/>
              <w:left w:val="single" w:sz="6" w:space="0" w:color="000000"/>
              <w:bottom w:val="single" w:sz="6" w:space="0" w:color="000000"/>
              <w:right w:val="single" w:sz="6" w:space="0" w:color="000000"/>
            </w:tcBorders>
            <w:shd w:val="clear" w:color="auto" w:fill="D2D2D2"/>
          </w:tcPr>
          <w:p>
            <w:pPr/>
          </w:p>
        </w:tc>
        <w:tc>
          <w:tcPr>
            <w:tcW w:w="845" w:type="dxa"/>
            <w:tcBorders>
              <w:top w:val="nil" w:sz="6" w:space="0" w:color="auto"/>
              <w:left w:val="single" w:sz="6" w:space="0" w:color="000000"/>
              <w:bottom w:val="single" w:sz="6" w:space="0" w:color="000000"/>
              <w:right w:val="single" w:sz="6" w:space="0" w:color="000000"/>
            </w:tcBorders>
            <w:shd w:val="clear" w:color="auto" w:fill="D2D2D2"/>
          </w:tcPr>
          <w:p>
            <w:pPr/>
          </w:p>
        </w:tc>
        <w:tc>
          <w:tcPr>
            <w:tcW w:w="843" w:type="dxa"/>
            <w:tcBorders>
              <w:top w:val="nil" w:sz="6" w:space="0" w:color="auto"/>
              <w:left w:val="single" w:sz="6" w:space="0" w:color="000000"/>
              <w:bottom w:val="single" w:sz="6" w:space="0" w:color="000000"/>
              <w:right w:val="single" w:sz="6" w:space="0" w:color="000000"/>
            </w:tcBorders>
            <w:shd w:val="clear" w:color="auto" w:fill="D2D2D2"/>
          </w:tcPr>
          <w:p>
            <w:pPr/>
          </w:p>
        </w:tc>
        <w:tc>
          <w:tcPr>
            <w:tcW w:w="842" w:type="dxa"/>
            <w:vMerge/>
            <w:tcBorders>
              <w:left w:val="single" w:sz="6" w:space="0" w:color="000000"/>
              <w:bottom w:val="single" w:sz="6" w:space="0" w:color="000000"/>
              <w:right w:val="single" w:sz="6" w:space="0" w:color="000000"/>
            </w:tcBorders>
            <w:shd w:val="clear" w:color="auto" w:fill="D2D2D2"/>
          </w:tcPr>
          <w:p>
            <w:pPr/>
          </w:p>
        </w:tc>
        <w:tc>
          <w:tcPr>
            <w:tcW w:w="948"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5" w:type="dxa"/>
            <w:tcBorders>
              <w:top w:val="nil" w:sz="6" w:space="0" w:color="auto"/>
              <w:left w:val="single" w:sz="6" w:space="0" w:color="000000"/>
              <w:bottom w:val="single" w:sz="6" w:space="0" w:color="000000"/>
              <w:right w:val="single" w:sz="6" w:space="0" w:color="000000"/>
            </w:tcBorders>
            <w:shd w:val="clear" w:color="auto" w:fill="D2D2D2"/>
          </w:tcPr>
          <w:p>
            <w:pPr/>
          </w:p>
        </w:tc>
        <w:tc>
          <w:tcPr>
            <w:tcW w:w="958" w:type="dxa"/>
            <w:tcBorders>
              <w:top w:val="nil" w:sz="6" w:space="0" w:color="auto"/>
              <w:left w:val="single" w:sz="6" w:space="0" w:color="000000"/>
              <w:bottom w:val="single" w:sz="6" w:space="0" w:color="000000"/>
              <w:right w:val="single" w:sz="6" w:space="0" w:color="000000"/>
            </w:tcBorders>
            <w:shd w:val="clear" w:color="auto" w:fill="D2D2D2"/>
          </w:tcPr>
          <w:p>
            <w:pPr/>
          </w:p>
        </w:tc>
        <w:tc>
          <w:tcPr>
            <w:tcW w:w="814"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6"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56,847,320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48.18%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-5,473,090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-5,473,090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51,374,230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43.54%</w:t>
            </w:r>
          </w:p>
        </w:tc>
      </w:tr>
      <w:tr>
        <w:trPr>
          <w:trHeight w:val="408"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56,847,320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-56,847,320</w:t>
            </w:r>
            <w:r>
              <w:rPr>
                <w:rFonts w:ascii="Times New Roman"/>
                <w:sz w:val="18"/>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-56,847,320</w:t>
            </w:r>
            <w:r>
              <w:rPr>
                <w:rFonts w:ascii="Times New Roman"/>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56,847,320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-56,847,320</w:t>
            </w:r>
            <w:r>
              <w:rPr>
                <w:rFonts w:ascii="Times New Roman"/>
                <w:sz w:val="18"/>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-56,847,320</w:t>
            </w:r>
            <w:r>
              <w:rPr>
                <w:rFonts w:ascii="Times New Roman"/>
                <w:sz w:val="18"/>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51,374,230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51,374,230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51,374,230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43.54%</w:t>
            </w:r>
          </w:p>
        </w:tc>
      </w:tr>
      <w:tr>
        <w:trPr>
          <w:trHeight w:val="406"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61,152,680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51.82%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5,473,090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5,473,090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66,625,770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56.46%</w:t>
            </w:r>
          </w:p>
        </w:tc>
      </w:tr>
      <w:tr>
        <w:trPr>
          <w:trHeight w:val="408"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61,152,680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51.82%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5,473,090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5,473,090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66,625,770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56.46%</w:t>
            </w:r>
          </w:p>
        </w:tc>
      </w:tr>
      <w:tr>
        <w:trPr>
          <w:trHeight w:val="406"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0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8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01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89"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118,000,000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118,000,000</w:t>
            </w:r>
          </w:p>
        </w:tc>
        <w:tc>
          <w:tcPr>
            <w:tcW w:w="8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7"/>
        <w:rPr>
          <w:rFonts w:ascii="宋体" w:hAnsi="宋体" w:cs="宋体" w:eastAsia="宋体" w:hint="default"/>
          <w:b/>
          <w:bCs/>
          <w:sz w:val="19"/>
          <w:szCs w:val="19"/>
        </w:rPr>
      </w:pPr>
    </w:p>
    <w:p>
      <w:pPr>
        <w:pStyle w:val="BodyText"/>
        <w:spacing w:line="386" w:lineRule="auto" w:before="26"/>
        <w:ind w:left="798" w:right="468" w:hanging="426"/>
        <w:jc w:val="left"/>
      </w:pPr>
      <w:r>
        <w:rPr>
          <w:rFonts w:ascii="新宋体" w:hAnsi="新宋体" w:cs="新宋体" w:eastAsia="新宋体" w:hint="default"/>
          <w:b/>
          <w:bCs/>
        </w:rPr>
        <w:t>股份变动的原因：</w:t>
      </w:r>
      <w:r>
        <w:rPr>
          <w:rFonts w:ascii="新宋体" w:hAnsi="新宋体" w:cs="新宋体" w:eastAsia="新宋体" w:hint="default"/>
          <w:b/>
          <w:bCs/>
          <w:w w:val="99"/>
        </w:rPr>
        <w:t> </w:t>
      </w:r>
      <w:r>
        <w:rPr/>
        <w:t>根据《深圳证券交易所创业板股票上市规则》对首次公开发行前股东所持股份的限售规</w:t>
      </w:r>
    </w:p>
    <w:p>
      <w:pPr>
        <w:pStyle w:val="BodyText"/>
        <w:spacing w:line="357" w:lineRule="auto" w:before="7"/>
        <w:ind w:left="372" w:right="414"/>
        <w:jc w:val="left"/>
      </w:pPr>
      <w:r>
        <w:rPr/>
        <w:t>定及股东自愿锁定的承诺，首次公开发行前已发行股份已于</w:t>
      </w:r>
      <w:r>
        <w:rPr>
          <w:rFonts w:ascii="新宋体" w:hAnsi="新宋体" w:cs="新宋体" w:eastAsia="新宋体" w:hint="default"/>
        </w:rPr>
        <w:t>2012</w:t>
      </w:r>
      <w:r>
        <w:rPr/>
        <w:t>年</w:t>
      </w:r>
      <w:r>
        <w:rPr>
          <w:rFonts w:ascii="新宋体" w:hAnsi="新宋体" w:cs="新宋体" w:eastAsia="新宋体" w:hint="default"/>
        </w:rPr>
        <w:t>10</w:t>
      </w:r>
      <w:r>
        <w:rPr/>
        <w:t>月</w:t>
      </w:r>
      <w:r>
        <w:rPr>
          <w:rFonts w:ascii="新宋体" w:hAnsi="新宋体" w:cs="新宋体" w:eastAsia="新宋体" w:hint="default"/>
        </w:rPr>
        <w:t>30</w:t>
      </w:r>
      <w:r>
        <w:rPr/>
        <w:t>日全部解除限售。 其中，公司实际控制人任红军先生和钟超女士于</w:t>
      </w:r>
      <w:r>
        <w:rPr>
          <w:rFonts w:ascii="新宋体" w:hAnsi="新宋体" w:cs="新宋体" w:eastAsia="新宋体" w:hint="default"/>
        </w:rPr>
        <w:t>2012</w:t>
      </w:r>
      <w:r>
        <w:rPr/>
        <w:t>年</w:t>
      </w:r>
      <w:r>
        <w:rPr>
          <w:rFonts w:ascii="新宋体" w:hAnsi="新宋体" w:cs="新宋体" w:eastAsia="新宋体" w:hint="default"/>
        </w:rPr>
        <w:t>9</w:t>
      </w:r>
      <w:r>
        <w:rPr/>
        <w:t>月</w:t>
      </w:r>
      <w:r>
        <w:rPr>
          <w:rFonts w:ascii="新宋体" w:hAnsi="新宋体" w:cs="新宋体" w:eastAsia="新宋体" w:hint="default"/>
        </w:rPr>
        <w:t>20</w:t>
      </w:r>
      <w:r>
        <w:rPr/>
        <w:t>日承诺，对其二人合计持有的 </w:t>
      </w:r>
      <w:r>
        <w:rPr>
          <w:rFonts w:ascii="新宋体" w:hAnsi="新宋体" w:cs="新宋体" w:eastAsia="新宋体" w:hint="default"/>
        </w:rPr>
        <w:t>46,285,720</w:t>
      </w:r>
      <w:r>
        <w:rPr/>
        <w:t>股首发限售股份追加锁定一年，占公司总股本的</w:t>
      </w:r>
      <w:r>
        <w:rPr>
          <w:rFonts w:ascii="新宋体" w:hAnsi="新宋体" w:cs="新宋体" w:eastAsia="新宋体" w:hint="default"/>
        </w:rPr>
        <w:t>39.22%</w:t>
      </w:r>
      <w:r>
        <w:rPr/>
        <w:t>。其他董事、监事和高级 管理人员每年按照所持股份总数的</w:t>
      </w:r>
      <w:r>
        <w:rPr>
          <w:rFonts w:ascii="新宋体" w:hAnsi="新宋体" w:cs="新宋体" w:eastAsia="新宋体" w:hint="default"/>
        </w:rPr>
        <w:t>25%</w:t>
      </w:r>
      <w:r>
        <w:rPr/>
        <w:t>自动解除锁定。</w:t>
      </w:r>
    </w:p>
    <w:p>
      <w:pPr>
        <w:spacing w:after="0" w:line="357" w:lineRule="auto"/>
        <w:jc w:val="left"/>
        <w:sectPr>
          <w:pgSz w:w="11910" w:h="16840"/>
          <w:pgMar w:header="555" w:footer="980" w:top="1100" w:bottom="1160" w:left="760" w:right="740"/>
        </w:sectPr>
      </w:pPr>
    </w:p>
    <w:p>
      <w:pPr>
        <w:spacing w:line="240" w:lineRule="auto" w:before="7"/>
        <w:rPr>
          <w:rFonts w:ascii="新宋体" w:hAnsi="新宋体" w:cs="新宋体" w:eastAsia="新宋体" w:hint="default"/>
          <w:sz w:val="25"/>
          <w:szCs w:val="25"/>
        </w:rPr>
      </w:pPr>
    </w:p>
    <w:p>
      <w:pPr>
        <w:pStyle w:val="BodyText"/>
        <w:spacing w:line="240" w:lineRule="auto" w:before="26"/>
        <w:ind w:right="0"/>
        <w:jc w:val="left"/>
      </w:pPr>
      <w:r>
        <w:rPr/>
        <w:t>股份变动的批准情况</w:t>
      </w:r>
    </w:p>
    <w:p>
      <w:pPr>
        <w:pStyle w:val="BodyText"/>
        <w:spacing w:line="386" w:lineRule="auto" w:before="195"/>
        <w:ind w:right="7614"/>
        <w:jc w:val="left"/>
      </w:pPr>
      <w:r>
        <w:rPr/>
        <w:t>□ 适用 √</w:t>
      </w:r>
      <w:r>
        <w:rPr>
          <w:spacing w:val="-1"/>
        </w:rPr>
        <w:t> </w:t>
      </w:r>
      <w:r>
        <w:rPr/>
        <w:t>不适用</w:t>
      </w:r>
      <w:r>
        <w:rPr/>
        <w:t> 股份变动的过户情况</w:t>
      </w:r>
    </w:p>
    <w:p>
      <w:pPr>
        <w:pStyle w:val="BodyText"/>
        <w:spacing w:line="374" w:lineRule="auto" w:before="48"/>
        <w:ind w:right="174"/>
        <w:jc w:val="left"/>
      </w:pPr>
      <w:r>
        <w:rPr/>
        <w:t>□ 适用 √</w:t>
      </w:r>
      <w:r>
        <w:rPr>
          <w:spacing w:val="-1"/>
        </w:rPr>
        <w:t> </w:t>
      </w:r>
      <w:r>
        <w:rPr/>
        <w:t>不适用</w:t>
      </w:r>
      <w:r>
        <w:rPr/>
        <w:t> 股份变动对最近一年和最近一期基本每股收益和稀释每股收益、归属于公司普通股股东的每 股净资产等财务指标的影响</w:t>
      </w:r>
    </w:p>
    <w:p>
      <w:pPr>
        <w:pStyle w:val="BodyText"/>
        <w:spacing w:line="388" w:lineRule="auto" w:before="58"/>
        <w:ind w:right="4494"/>
        <w:jc w:val="left"/>
      </w:pPr>
      <w:r>
        <w:rPr/>
        <w:t>□ 适用 √</w:t>
      </w:r>
      <w:r>
        <w:rPr>
          <w:spacing w:val="-1"/>
        </w:rPr>
        <w:t> </w:t>
      </w:r>
      <w:r>
        <w:rPr/>
        <w:t>不适用</w:t>
      </w:r>
      <w:r>
        <w:rPr/>
        <w:t> 公司认为必要或证券监管机构要求披露的其他内容</w:t>
      </w:r>
    </w:p>
    <w:p>
      <w:pPr>
        <w:pStyle w:val="BodyText"/>
        <w:spacing w:line="240" w:lineRule="auto" w:before="46"/>
        <w:ind w:right="0"/>
        <w:jc w:val="left"/>
      </w:pPr>
      <w:r>
        <w:rPr/>
        <w:t>□ 适用 √</w:t>
      </w:r>
      <w:r>
        <w:rPr>
          <w:spacing w:val="-1"/>
        </w:rPr>
        <w:t> </w:t>
      </w:r>
      <w:r>
        <w:rPr/>
        <w:t>不适用</w:t>
      </w:r>
    </w:p>
    <w:p>
      <w:pPr>
        <w:spacing w:line="240" w:lineRule="auto" w:before="11"/>
        <w:rPr>
          <w:rFonts w:ascii="新宋体" w:hAnsi="新宋体" w:cs="新宋体" w:eastAsia="新宋体" w:hint="default"/>
          <w:sz w:val="28"/>
          <w:szCs w:val="28"/>
        </w:rPr>
      </w:pPr>
    </w:p>
    <w:p>
      <w:pPr>
        <w:pStyle w:val="Heading2"/>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5"/>
          <w:szCs w:val="25"/>
        </w:rPr>
      </w:pPr>
    </w:p>
    <w:tbl>
      <w:tblPr>
        <w:tblW w:w="0" w:type="auto"/>
        <w:jc w:val="left"/>
        <w:tblInd w:w="210" w:type="dxa"/>
        <w:tblLayout w:type="fixed"/>
        <w:tblCellMar>
          <w:top w:w="0" w:type="dxa"/>
          <w:left w:w="0" w:type="dxa"/>
          <w:bottom w:w="0" w:type="dxa"/>
          <w:right w:w="0" w:type="dxa"/>
        </w:tblCellMar>
        <w:tblLook w:val="01E0"/>
      </w:tblPr>
      <w:tblGrid>
        <w:gridCol w:w="1368"/>
        <w:gridCol w:w="1369"/>
        <w:gridCol w:w="1092"/>
        <w:gridCol w:w="1001"/>
        <w:gridCol w:w="1366"/>
        <w:gridCol w:w="1933"/>
        <w:gridCol w:w="1368"/>
      </w:tblGrid>
      <w:tr>
        <w:trPr>
          <w:trHeight w:val="713"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0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7"/>
              <w:ind w:left="268" w:right="86"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7"/>
              <w:ind w:left="223"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93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31,708,580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31,708,580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首发承诺及追加承诺</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2013-10-31</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钟</w:t>
            </w:r>
            <w:r>
              <w:rPr>
                <w:rFonts w:ascii="宋体" w:hAnsi="宋体" w:cs="宋体" w:eastAsia="宋体" w:hint="default"/>
                <w:spacing w:val="1"/>
                <w:sz w:val="18"/>
                <w:szCs w:val="18"/>
              </w:rPr>
              <w:t> </w:t>
            </w:r>
            <w:r>
              <w:rPr>
                <w:rFonts w:ascii="宋体" w:hAnsi="宋体" w:cs="宋体" w:eastAsia="宋体" w:hint="default"/>
                <w:sz w:val="18"/>
                <w:szCs w:val="18"/>
              </w:rPr>
              <w:t>超</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14,577,140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14,577,140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首发承诺及追加承诺</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2013-10-31</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3,048,760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3,048,760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2012-10-30</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2,765,040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691,260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2,073,780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首发承诺、高管锁定</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2012-10-30</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2,032,780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508,195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1,524,585</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首发承诺、高管锁定</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2012-10-30</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1,640,000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1,230,000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首发承诺、高管锁定</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2012-10-30</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任红霞</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728,160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728,160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2012-10-30</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232,060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58,015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174,045</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首发承诺、高管锁定</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2012-10-30</w:t>
            </w:r>
          </w:p>
        </w:tc>
      </w:tr>
      <w:tr>
        <w:trPr>
          <w:trHeight w:val="406"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91,840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22,960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68,880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首发承诺、高管锁定</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2012-10-30</w:t>
            </w:r>
          </w:p>
        </w:tc>
      </w:tr>
      <w:tr>
        <w:trPr>
          <w:trHeight w:val="408"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张志广</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22,960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5,740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17,220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首发承诺、高管锁定</w:t>
            </w:r>
          </w:p>
        </w:tc>
        <w:tc>
          <w:tcPr>
            <w:tcW w:w="13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2012-10-30</w:t>
            </w:r>
          </w:p>
        </w:tc>
      </w:tr>
      <w:tr>
        <w:trPr>
          <w:trHeight w:val="413" w:hRule="exact"/>
        </w:trPr>
        <w:tc>
          <w:tcPr>
            <w:tcW w:w="13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56,847,320</w:t>
            </w:r>
          </w:p>
        </w:tc>
        <w:tc>
          <w:tcPr>
            <w:tcW w:w="10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5,473,090</w:t>
            </w: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51,374,230</w:t>
            </w:r>
          </w:p>
        </w:tc>
        <w:tc>
          <w:tcPr>
            <w:tcW w:w="193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b/>
          <w:bCs/>
          <w:sz w:val="18"/>
          <w:szCs w:val="18"/>
        </w:rPr>
      </w:pPr>
    </w:p>
    <w:p>
      <w:pPr>
        <w:pStyle w:val="Heading2"/>
        <w:spacing w:line="240" w:lineRule="auto" w:before="26"/>
        <w:ind w:right="0"/>
        <w:jc w:val="left"/>
        <w:rPr>
          <w:b w:val="0"/>
          <w:bCs w:val="0"/>
        </w:rPr>
      </w:pPr>
      <w:r>
        <w:rPr/>
        <w:t>二、股东和实际控制人情况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pict>
          <v:shape style="position:absolute;margin-left:290.929993pt;margin-top:84.931625pt;width:73.150pt;height:19.7pt;mso-position-horizontal-relative:page;mso-position-vertical-relative:paragraph;z-index:-9472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4"/>
          <w:szCs w:val="24"/>
        </w:rPr>
      </w:pPr>
    </w:p>
    <w:tbl>
      <w:tblPr>
        <w:tblW w:w="0" w:type="auto"/>
        <w:jc w:val="left"/>
        <w:tblInd w:w="205" w:type="dxa"/>
        <w:tblLayout w:type="fixed"/>
        <w:tblCellMar>
          <w:top w:w="0" w:type="dxa"/>
          <w:left w:w="0" w:type="dxa"/>
          <w:bottom w:w="0" w:type="dxa"/>
          <w:right w:w="0" w:type="dxa"/>
        </w:tblCellMar>
        <w:tblLook w:val="01E0"/>
      </w:tblPr>
      <w:tblGrid>
        <w:gridCol w:w="2148"/>
        <w:gridCol w:w="1467"/>
        <w:gridCol w:w="1129"/>
        <w:gridCol w:w="1364"/>
        <w:gridCol w:w="1121"/>
        <w:gridCol w:w="1363"/>
        <w:gridCol w:w="915"/>
      </w:tblGrid>
      <w:tr>
        <w:trPr>
          <w:trHeight w:val="421" w:hRule="exact"/>
        </w:trPr>
        <w:tc>
          <w:tcPr>
            <w:tcW w:w="3615" w:type="dxa"/>
            <w:gridSpan w:val="2"/>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7"/>
              <w:ind w:left="7"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129" w:type="dxa"/>
            <w:tcBorders>
              <w:top w:val="single" w:sz="12" w:space="0" w:color="000000"/>
              <w:left w:val="single" w:sz="9" w:space="0" w:color="D2D2D2"/>
              <w:bottom w:val="single" w:sz="6" w:space="0" w:color="000000"/>
              <w:right w:val="single" w:sz="14" w:space="0" w:color="D2D2D2"/>
            </w:tcBorders>
          </w:tcPr>
          <w:p>
            <w:pPr>
              <w:pStyle w:val="TableParagraph"/>
              <w:spacing w:line="240" w:lineRule="auto" w:before="90"/>
              <w:ind w:left="677" w:right="0"/>
              <w:jc w:val="left"/>
              <w:rPr>
                <w:rFonts w:ascii="Times New Roman" w:hAnsi="Times New Roman" w:cs="Times New Roman" w:eastAsia="Times New Roman" w:hint="default"/>
                <w:sz w:val="18"/>
                <w:szCs w:val="18"/>
              </w:rPr>
            </w:pPr>
            <w:r>
              <w:rPr>
                <w:rFonts w:ascii="Times New Roman"/>
                <w:sz w:val="18"/>
              </w:rPr>
              <w:t>9,682</w:t>
            </w:r>
          </w:p>
        </w:tc>
        <w:tc>
          <w:tcPr>
            <w:tcW w:w="3848" w:type="dxa"/>
            <w:gridSpan w:val="3"/>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6"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915" w:type="dxa"/>
            <w:tcBorders>
              <w:top w:val="single" w:sz="12" w:space="0" w:color="000000"/>
              <w:left w:val="single" w:sz="8" w:space="0" w:color="D2D2D2"/>
              <w:bottom w:val="single" w:sz="6" w:space="0" w:color="000000"/>
              <w:right w:val="single" w:sz="12" w:space="0" w:color="000000"/>
            </w:tcBorders>
          </w:tcPr>
          <w:p>
            <w:pPr>
              <w:pStyle w:val="TableParagraph"/>
              <w:spacing w:line="240" w:lineRule="auto" w:before="90"/>
              <w:ind w:left="397" w:right="0"/>
              <w:jc w:val="left"/>
              <w:rPr>
                <w:rFonts w:ascii="Times New Roman" w:hAnsi="Times New Roman" w:cs="Times New Roman" w:eastAsia="Times New Roman" w:hint="default"/>
                <w:sz w:val="18"/>
                <w:szCs w:val="18"/>
              </w:rPr>
            </w:pPr>
            <w:r>
              <w:rPr>
                <w:rFonts w:ascii="Times New Roman"/>
                <w:sz w:val="18"/>
              </w:rPr>
              <w:t>11,305</w:t>
            </w:r>
          </w:p>
        </w:tc>
      </w:tr>
      <w:tr>
        <w:trPr>
          <w:trHeight w:val="437" w:hRule="exact"/>
        </w:trPr>
        <w:tc>
          <w:tcPr>
            <w:tcW w:w="9507" w:type="dxa"/>
            <w:gridSpan w:val="7"/>
            <w:tcBorders>
              <w:top w:val="single" w:sz="6" w:space="0" w:color="000000"/>
              <w:left w:val="single" w:sz="12" w:space="0" w:color="000000"/>
              <w:bottom w:val="single" w:sz="7" w:space="0" w:color="FFFFFF"/>
              <w:right w:val="single" w:sz="12" w:space="0" w:color="000000"/>
            </w:tcBorders>
            <w:shd w:val="clear" w:color="auto" w:fill="D2D2D2"/>
          </w:tcPr>
          <w:p>
            <w:pPr>
              <w:pStyle w:val="TableParagraph"/>
              <w:spacing w:line="240" w:lineRule="auto" w:before="41"/>
              <w:ind w:left="3"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72" w:hRule="exact"/>
        </w:trPr>
        <w:tc>
          <w:tcPr>
            <w:tcW w:w="2148" w:type="dxa"/>
            <w:tcBorders>
              <w:top w:val="single" w:sz="7" w:space="0" w:color="FFFFFF"/>
              <w:left w:val="single" w:sz="12" w:space="0" w:color="000000"/>
              <w:bottom w:val="nil" w:sz="6" w:space="0" w:color="auto"/>
              <w:right w:val="single" w:sz="6" w:space="0" w:color="000000"/>
            </w:tcBorders>
            <w:shd w:val="clear" w:color="auto" w:fill="D2D2D2"/>
          </w:tcPr>
          <w:p>
            <w:pPr/>
          </w:p>
        </w:tc>
        <w:tc>
          <w:tcPr>
            <w:tcW w:w="1467" w:type="dxa"/>
            <w:tcBorders>
              <w:top w:val="single" w:sz="7" w:space="0" w:color="FFFFFF"/>
              <w:left w:val="single" w:sz="6" w:space="0" w:color="000000"/>
              <w:bottom w:val="nil" w:sz="6" w:space="0" w:color="auto"/>
              <w:right w:val="single" w:sz="6" w:space="0" w:color="000000"/>
            </w:tcBorders>
            <w:shd w:val="clear" w:color="auto" w:fill="D2D2D2"/>
          </w:tcPr>
          <w:p>
            <w:pPr/>
          </w:p>
        </w:tc>
        <w:tc>
          <w:tcPr>
            <w:tcW w:w="1129" w:type="dxa"/>
            <w:tcBorders>
              <w:top w:val="single" w:sz="7" w:space="0" w:color="FFFFFF"/>
              <w:left w:val="single" w:sz="6" w:space="0" w:color="000000"/>
              <w:bottom w:val="nil" w:sz="6" w:space="0" w:color="auto"/>
              <w:right w:val="single" w:sz="6" w:space="0" w:color="000000"/>
            </w:tcBorders>
            <w:shd w:val="clear" w:color="auto" w:fill="D2D2D2"/>
          </w:tcPr>
          <w:p>
            <w:pPr/>
          </w:p>
        </w:tc>
        <w:tc>
          <w:tcPr>
            <w:tcW w:w="1364" w:type="dxa"/>
            <w:tcBorders>
              <w:top w:val="single" w:sz="7" w:space="0" w:color="FFFFFF"/>
              <w:left w:val="single" w:sz="6" w:space="0" w:color="000000"/>
              <w:bottom w:val="nil" w:sz="6" w:space="0" w:color="auto"/>
              <w:right w:val="single" w:sz="6" w:space="0" w:color="000000"/>
            </w:tcBorders>
            <w:shd w:val="clear" w:color="auto" w:fill="D2D2D2"/>
          </w:tcPr>
          <w:p>
            <w:pPr/>
          </w:p>
        </w:tc>
        <w:tc>
          <w:tcPr>
            <w:tcW w:w="1121" w:type="dxa"/>
            <w:vMerge w:val="restart"/>
            <w:tcBorders>
              <w:top w:val="single" w:sz="7" w:space="0" w:color="FFFFFF"/>
              <w:left w:val="single" w:sz="6" w:space="0" w:color="000000"/>
              <w:right w:val="single" w:sz="6" w:space="0" w:color="000000"/>
            </w:tcBorders>
            <w:shd w:val="clear" w:color="auto" w:fill="D2D2D2"/>
          </w:tcPr>
          <w:p>
            <w:pPr>
              <w:pStyle w:val="TableParagraph"/>
              <w:spacing w:line="314" w:lineRule="auto" w:before="78"/>
              <w:ind w:left="102" w:right="102"/>
              <w:jc w:val="left"/>
              <w:rPr>
                <w:rFonts w:ascii="宋体" w:hAnsi="宋体" w:cs="宋体" w:eastAsia="宋体" w:hint="default"/>
                <w:sz w:val="18"/>
                <w:szCs w:val="18"/>
              </w:rPr>
            </w:pPr>
            <w:r>
              <w:rPr>
                <w:rFonts w:ascii="宋体" w:hAnsi="宋体" w:cs="宋体" w:eastAsia="宋体" w:hint="default"/>
                <w:sz w:val="18"/>
                <w:szCs w:val="18"/>
              </w:rPr>
              <w:t>持有有限售 条件的股份</w:t>
            </w:r>
          </w:p>
        </w:tc>
        <w:tc>
          <w:tcPr>
            <w:tcW w:w="2278" w:type="dxa"/>
            <w:gridSpan w:val="2"/>
            <w:vMerge w:val="restart"/>
            <w:tcBorders>
              <w:top w:val="single" w:sz="7" w:space="0" w:color="FFFFFF"/>
              <w:left w:val="single" w:sz="6" w:space="0" w:color="000000"/>
              <w:right w:val="single" w:sz="12" w:space="0" w:color="000000"/>
            </w:tcBorders>
            <w:shd w:val="clear" w:color="auto" w:fill="D2D2D2"/>
          </w:tcPr>
          <w:p>
            <w:pPr>
              <w:pStyle w:val="TableParagraph"/>
              <w:spacing w:line="240" w:lineRule="auto" w:before="11"/>
              <w:ind w:left="50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7" w:hRule="exact"/>
        </w:trPr>
        <w:tc>
          <w:tcPr>
            <w:tcW w:w="2148"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2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spacing w:val="-80"/>
                <w:sz w:val="18"/>
                <w:szCs w:val="18"/>
              </w:rPr>
              <w:t>例</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36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121" w:type="dxa"/>
            <w:vMerge/>
            <w:tcBorders>
              <w:left w:val="single" w:sz="6" w:space="0" w:color="000000"/>
              <w:right w:val="single" w:sz="6" w:space="0" w:color="000000"/>
            </w:tcBorders>
            <w:shd w:val="clear" w:color="auto" w:fill="D2D2D2"/>
          </w:tcPr>
          <w:p>
            <w:pPr/>
          </w:p>
        </w:tc>
        <w:tc>
          <w:tcPr>
            <w:tcW w:w="2278" w:type="dxa"/>
            <w:gridSpan w:val="2"/>
            <w:vMerge/>
            <w:tcBorders>
              <w:left w:val="single" w:sz="6" w:space="0" w:color="000000"/>
              <w:bottom w:val="single" w:sz="6" w:space="0" w:color="000000"/>
              <w:right w:val="single" w:sz="12" w:space="0" w:color="000000"/>
            </w:tcBorders>
            <w:shd w:val="clear" w:color="auto" w:fill="D2D2D2"/>
          </w:tcPr>
          <w:p>
            <w:pPr/>
          </w:p>
        </w:tc>
      </w:tr>
      <w:tr>
        <w:trPr>
          <w:trHeight w:val="197" w:hRule="exact"/>
        </w:trPr>
        <w:tc>
          <w:tcPr>
            <w:tcW w:w="2148" w:type="dxa"/>
            <w:vMerge/>
            <w:tcBorders>
              <w:left w:val="single" w:sz="12" w:space="0" w:color="000000"/>
              <w:bottom w:val="nil" w:sz="6" w:space="0" w:color="auto"/>
              <w:right w:val="single" w:sz="6" w:space="0" w:color="000000"/>
            </w:tcBorders>
            <w:shd w:val="clear" w:color="auto" w:fill="D2D2D2"/>
          </w:tcPr>
          <w:p>
            <w:pPr/>
          </w:p>
        </w:tc>
        <w:tc>
          <w:tcPr>
            <w:tcW w:w="1467" w:type="dxa"/>
            <w:vMerge/>
            <w:tcBorders>
              <w:left w:val="single" w:sz="6" w:space="0" w:color="000000"/>
              <w:bottom w:val="nil" w:sz="6" w:space="0" w:color="auto"/>
              <w:right w:val="single" w:sz="6" w:space="0" w:color="000000"/>
            </w:tcBorders>
            <w:shd w:val="clear" w:color="auto" w:fill="D2D2D2"/>
          </w:tcPr>
          <w:p>
            <w:pPr/>
          </w:p>
        </w:tc>
        <w:tc>
          <w:tcPr>
            <w:tcW w:w="1129" w:type="dxa"/>
            <w:vMerge/>
            <w:tcBorders>
              <w:left w:val="single" w:sz="6" w:space="0" w:color="000000"/>
              <w:bottom w:val="nil" w:sz="6" w:space="0" w:color="auto"/>
              <w:right w:val="single" w:sz="6" w:space="0" w:color="000000"/>
            </w:tcBorders>
            <w:shd w:val="clear" w:color="auto" w:fill="D2D2D2"/>
          </w:tcPr>
          <w:p>
            <w:pPr/>
          </w:p>
        </w:tc>
        <w:tc>
          <w:tcPr>
            <w:tcW w:w="1364" w:type="dxa"/>
            <w:vMerge/>
            <w:tcBorders>
              <w:left w:val="single" w:sz="6" w:space="0" w:color="000000"/>
              <w:bottom w:val="nil" w:sz="6" w:space="0" w:color="auto"/>
              <w:right w:val="single" w:sz="6" w:space="0" w:color="000000"/>
            </w:tcBorders>
            <w:shd w:val="clear" w:color="auto" w:fill="D2D2D2"/>
          </w:tcPr>
          <w:p>
            <w:pPr/>
          </w:p>
        </w:tc>
        <w:tc>
          <w:tcPr>
            <w:tcW w:w="1121" w:type="dxa"/>
            <w:vMerge/>
            <w:tcBorders>
              <w:left w:val="single" w:sz="6" w:space="0" w:color="000000"/>
              <w:right w:val="single" w:sz="6" w:space="0" w:color="000000"/>
            </w:tcBorders>
            <w:shd w:val="clear" w:color="auto" w:fill="D2D2D2"/>
          </w:tcPr>
          <w:p>
            <w:pPr/>
          </w:p>
        </w:tc>
        <w:tc>
          <w:tcPr>
            <w:tcW w:w="136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15"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18" w:hRule="exact"/>
        </w:trPr>
        <w:tc>
          <w:tcPr>
            <w:tcW w:w="2148"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467" w:type="dxa"/>
            <w:tcBorders>
              <w:top w:val="nil" w:sz="6" w:space="0" w:color="auto"/>
              <w:left w:val="single" w:sz="6" w:space="0" w:color="000000"/>
              <w:bottom w:val="single" w:sz="12" w:space="0" w:color="000000"/>
              <w:right w:val="single" w:sz="6" w:space="0" w:color="000000"/>
            </w:tcBorders>
            <w:shd w:val="clear" w:color="auto" w:fill="D2D2D2"/>
          </w:tcPr>
          <w:p>
            <w:pPr/>
          </w:p>
        </w:tc>
        <w:tc>
          <w:tcPr>
            <w:tcW w:w="1129" w:type="dxa"/>
            <w:tcBorders>
              <w:top w:val="nil" w:sz="6" w:space="0" w:color="auto"/>
              <w:left w:val="single" w:sz="6" w:space="0" w:color="000000"/>
              <w:bottom w:val="single" w:sz="12" w:space="0" w:color="000000"/>
              <w:right w:val="single" w:sz="6" w:space="0" w:color="000000"/>
            </w:tcBorders>
            <w:shd w:val="clear" w:color="auto" w:fill="D2D2D2"/>
          </w:tcPr>
          <w:p>
            <w:pPr/>
          </w:p>
        </w:tc>
        <w:tc>
          <w:tcPr>
            <w:tcW w:w="1364" w:type="dxa"/>
            <w:tcBorders>
              <w:top w:val="nil" w:sz="6" w:space="0" w:color="auto"/>
              <w:left w:val="single" w:sz="6" w:space="0" w:color="000000"/>
              <w:bottom w:val="single" w:sz="12" w:space="0" w:color="000000"/>
              <w:right w:val="single" w:sz="6" w:space="0" w:color="000000"/>
            </w:tcBorders>
            <w:shd w:val="clear" w:color="auto" w:fill="D2D2D2"/>
          </w:tcPr>
          <w:p>
            <w:pPr/>
          </w:p>
        </w:tc>
        <w:tc>
          <w:tcPr>
            <w:tcW w:w="1121" w:type="dxa"/>
            <w:vMerge/>
            <w:tcBorders>
              <w:left w:val="single" w:sz="6" w:space="0" w:color="000000"/>
              <w:bottom w:val="single" w:sz="12" w:space="0" w:color="000000"/>
              <w:right w:val="single" w:sz="6" w:space="0" w:color="000000"/>
            </w:tcBorders>
            <w:shd w:val="clear" w:color="auto" w:fill="D2D2D2"/>
          </w:tcPr>
          <w:p>
            <w:pPr/>
          </w:p>
        </w:tc>
        <w:tc>
          <w:tcPr>
            <w:tcW w:w="1363" w:type="dxa"/>
            <w:vMerge/>
            <w:tcBorders>
              <w:left w:val="single" w:sz="6" w:space="0" w:color="000000"/>
              <w:bottom w:val="single" w:sz="12" w:space="0" w:color="000000"/>
              <w:right w:val="single" w:sz="6" w:space="0" w:color="000000"/>
            </w:tcBorders>
            <w:shd w:val="clear" w:color="auto" w:fill="D2D2D2"/>
          </w:tcPr>
          <w:p>
            <w:pPr/>
          </w:p>
        </w:tc>
        <w:tc>
          <w:tcPr>
            <w:tcW w:w="915" w:type="dxa"/>
            <w:vMerge/>
            <w:tcBorders>
              <w:left w:val="single" w:sz="6" w:space="0" w:color="000000"/>
              <w:bottom w:val="single" w:sz="12" w:space="0" w:color="000000"/>
              <w:right w:val="single" w:sz="12" w:space="0" w:color="000000"/>
            </w:tcBorders>
            <w:shd w:val="clear" w:color="auto" w:fill="D2D2D2"/>
          </w:tcPr>
          <w:p>
            <w:pPr/>
          </w:p>
        </w:tc>
      </w:tr>
    </w:tbl>
    <w:p>
      <w:pPr>
        <w:spacing w:after="0"/>
        <w:sectPr>
          <w:pgSz w:w="11910" w:h="16840"/>
          <w:pgMar w:header="555" w:footer="980" w:top="1100" w:bottom="1160" w:left="980" w:right="980"/>
        </w:sectPr>
      </w:pPr>
    </w:p>
    <w:p>
      <w:pPr>
        <w:spacing w:line="240" w:lineRule="auto" w:before="9"/>
        <w:rPr>
          <w:rFonts w:ascii="宋体" w:hAnsi="宋体" w:cs="宋体" w:eastAsia="宋体" w:hint="default"/>
          <w:b/>
          <w:bCs/>
          <w:sz w:val="24"/>
          <w:szCs w:val="24"/>
        </w:rPr>
      </w:pPr>
    </w:p>
    <w:tbl>
      <w:tblPr>
        <w:tblW w:w="0" w:type="auto"/>
        <w:jc w:val="left"/>
        <w:tblInd w:w="198" w:type="dxa"/>
        <w:tblLayout w:type="fixed"/>
        <w:tblCellMar>
          <w:top w:w="0" w:type="dxa"/>
          <w:left w:w="0" w:type="dxa"/>
          <w:bottom w:w="0" w:type="dxa"/>
          <w:right w:w="0" w:type="dxa"/>
        </w:tblCellMar>
        <w:tblLook w:val="01E0"/>
      </w:tblPr>
      <w:tblGrid>
        <w:gridCol w:w="2156"/>
        <w:gridCol w:w="1472"/>
        <w:gridCol w:w="1118"/>
        <w:gridCol w:w="1368"/>
        <w:gridCol w:w="1121"/>
        <w:gridCol w:w="1369"/>
        <w:gridCol w:w="917"/>
      </w:tblGrid>
      <w:tr>
        <w:trPr>
          <w:trHeight w:val="374" w:hRule="exact"/>
        </w:trPr>
        <w:tc>
          <w:tcPr>
            <w:tcW w:w="2156"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472"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1118"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112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369" w:type="dxa"/>
            <w:tcBorders>
              <w:top w:val="single" w:sz="12" w:space="0" w:color="000000"/>
              <w:left w:val="single" w:sz="6" w:space="0" w:color="000000"/>
              <w:bottom w:val="single" w:sz="6" w:space="0" w:color="000000"/>
              <w:right w:val="single" w:sz="6" w:space="0" w:color="000000"/>
            </w:tcBorders>
            <w:shd w:val="clear" w:color="auto" w:fill="D2D2D2"/>
          </w:tcPr>
          <w:p>
            <w:pPr/>
          </w:p>
        </w:tc>
        <w:tc>
          <w:tcPr>
            <w:tcW w:w="917" w:type="dxa"/>
            <w:tcBorders>
              <w:top w:val="single" w:sz="12" w:space="0" w:color="000000"/>
              <w:left w:val="single" w:sz="6" w:space="0" w:color="000000"/>
              <w:bottom w:val="single" w:sz="6" w:space="0" w:color="000000"/>
              <w:right w:val="single" w:sz="12" w:space="0" w:color="000000"/>
            </w:tcBorders>
            <w:shd w:val="clear" w:color="auto" w:fill="D2D2D2"/>
          </w:tcPr>
          <w:p>
            <w:pPr/>
          </w:p>
        </w:tc>
      </w:tr>
      <w:tr>
        <w:trPr>
          <w:trHeight w:val="408"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31,708,580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31,708,580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14,577,140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14,577,140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全国社保基金六零二组合</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4,200,000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3,048,760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韩琼</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2,915,100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49"/>
              <w:ind w:left="14" w:right="137"/>
              <w:jc w:val="left"/>
              <w:rPr>
                <w:rFonts w:ascii="宋体" w:hAnsi="宋体" w:cs="宋体" w:eastAsia="宋体" w:hint="default"/>
                <w:sz w:val="18"/>
                <w:szCs w:val="18"/>
              </w:rPr>
            </w:pPr>
            <w:r>
              <w:rPr>
                <w:rFonts w:ascii="宋体" w:hAnsi="宋体" w:cs="宋体" w:eastAsia="宋体" w:hint="default"/>
                <w:sz w:val="18"/>
                <w:szCs w:val="18"/>
              </w:rPr>
              <w:t>交通银行－普天收益证券 投资基金</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2,734,033</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肖延岭</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2,230,168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9"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2,073,780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2,073,780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吴永莲</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1,936,450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156"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51"/>
              <w:ind w:left="14" w:right="137"/>
              <w:jc w:val="left"/>
              <w:rPr>
                <w:rFonts w:ascii="宋体" w:hAnsi="宋体" w:cs="宋体" w:eastAsia="宋体" w:hint="default"/>
                <w:sz w:val="18"/>
                <w:szCs w:val="18"/>
              </w:rPr>
            </w:pPr>
            <w:r>
              <w:rPr>
                <w:rFonts w:ascii="宋体" w:hAnsi="宋体" w:cs="宋体" w:eastAsia="宋体" w:hint="default"/>
                <w:sz w:val="18"/>
                <w:szCs w:val="18"/>
              </w:rPr>
              <w:t>中国工商银行－鹏华行业 成长证券投资基金</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1,773,382</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未质押，未冻结</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9520"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6" w:hRule="exact"/>
        </w:trPr>
        <w:tc>
          <w:tcPr>
            <w:tcW w:w="3627" w:type="dxa"/>
            <w:gridSpan w:val="2"/>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08"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0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285" w:type="dxa"/>
            <w:gridSpan w:val="2"/>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8" w:hRule="exact"/>
        </w:trPr>
        <w:tc>
          <w:tcPr>
            <w:tcW w:w="3627" w:type="dxa"/>
            <w:gridSpan w:val="2"/>
            <w:vMerge/>
            <w:tcBorders>
              <w:left w:val="single" w:sz="12" w:space="0" w:color="000000"/>
              <w:bottom w:val="single" w:sz="6" w:space="0" w:color="000000"/>
              <w:right w:val="single" w:sz="6" w:space="0" w:color="000000"/>
            </w:tcBorders>
            <w:shd w:val="clear" w:color="auto" w:fill="D2D2D2"/>
          </w:tcPr>
          <w:p>
            <w:pPr/>
          </w:p>
        </w:tc>
        <w:tc>
          <w:tcPr>
            <w:tcW w:w="3608" w:type="dxa"/>
            <w:gridSpan w:val="3"/>
            <w:vMerge/>
            <w:tcBorders>
              <w:left w:val="single" w:sz="6" w:space="0" w:color="000000"/>
              <w:bottom w:val="single" w:sz="6" w:space="0" w:color="000000"/>
              <w:right w:val="single" w:sz="6" w:space="0" w:color="000000"/>
            </w:tcBorders>
            <w:shd w:val="clear" w:color="auto" w:fill="D2D2D2"/>
          </w:tcPr>
          <w:p>
            <w:pPr/>
          </w:p>
        </w:tc>
        <w:tc>
          <w:tcPr>
            <w:tcW w:w="13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17"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6"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全国社保基金六零二组合</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408"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3,048,760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3,048,760</w:t>
            </w:r>
          </w:p>
        </w:tc>
      </w:tr>
      <w:tr>
        <w:trPr>
          <w:trHeight w:val="406"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韩琼</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2,915,100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2,915,100</w:t>
            </w:r>
          </w:p>
        </w:tc>
      </w:tr>
      <w:tr>
        <w:trPr>
          <w:trHeight w:val="408"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交通银行－普天收益证券投资基金</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2,734,033</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2,734,033</w:t>
            </w:r>
          </w:p>
        </w:tc>
      </w:tr>
      <w:tr>
        <w:trPr>
          <w:trHeight w:val="408"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肖延岭</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2,230,168</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2,230,168</w:t>
            </w:r>
          </w:p>
        </w:tc>
      </w:tr>
      <w:tr>
        <w:trPr>
          <w:trHeight w:val="406"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吴永莲</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1,936,450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1,936,450</w:t>
            </w:r>
          </w:p>
        </w:tc>
      </w:tr>
      <w:tr>
        <w:trPr>
          <w:trHeight w:val="408"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中国工商银行－鹏华行业成长证券投资基金</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1,773,382</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1,773,382</w:t>
            </w:r>
          </w:p>
        </w:tc>
      </w:tr>
      <w:tr>
        <w:trPr>
          <w:trHeight w:val="406"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方智勇</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1,755,589</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1,755,589</w:t>
            </w:r>
          </w:p>
        </w:tc>
      </w:tr>
      <w:tr>
        <w:trPr>
          <w:trHeight w:val="408"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赵金领</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1,629,900</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1,629,900</w:t>
            </w:r>
          </w:p>
        </w:tc>
      </w:tr>
      <w:tr>
        <w:trPr>
          <w:trHeight w:val="408" w:hRule="exact"/>
        </w:trPr>
        <w:tc>
          <w:tcPr>
            <w:tcW w:w="362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高胜国</w:t>
            </w:r>
          </w:p>
        </w:tc>
        <w:tc>
          <w:tcPr>
            <w:tcW w:w="36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1,364,542</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1,364,542</w:t>
            </w:r>
          </w:p>
        </w:tc>
      </w:tr>
      <w:tr>
        <w:trPr>
          <w:trHeight w:val="1352" w:hRule="exact"/>
        </w:trPr>
        <w:tc>
          <w:tcPr>
            <w:tcW w:w="3627" w:type="dxa"/>
            <w:gridSpan w:val="2"/>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93" w:type="dxa"/>
            <w:gridSpan w:val="5"/>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87"/>
              <w:jc w:val="both"/>
              <w:rPr>
                <w:rFonts w:ascii="宋体" w:hAnsi="宋体" w:cs="宋体" w:eastAsia="宋体" w:hint="default"/>
                <w:sz w:val="18"/>
                <w:szCs w:val="18"/>
              </w:rPr>
            </w:pPr>
            <w:r>
              <w:rPr>
                <w:rFonts w:ascii="宋体" w:hAnsi="宋体" w:cs="宋体" w:eastAsia="宋体" w:hint="default"/>
                <w:sz w:val="18"/>
                <w:szCs w:val="18"/>
              </w:rPr>
              <w:t>任红军与钟超系夫妻关系，钟超与钟克创系姐弟关系，其他有限售条件股 东之间不存在关联关系或属于《上市公司收购管理办法》规定的一致行动 人。公司未知前十名无限售条件股东之间是否存在关联关系，也未知是否 属于一致行动人。</w:t>
            </w:r>
          </w:p>
        </w:tc>
      </w:tr>
    </w:tbl>
    <w:p>
      <w:pPr>
        <w:spacing w:line="240" w:lineRule="auto" w:before="1"/>
        <w:rPr>
          <w:rFonts w:ascii="宋体" w:hAnsi="宋体" w:cs="宋体" w:eastAsia="宋体" w:hint="default"/>
          <w:b/>
          <w:bCs/>
          <w:sz w:val="18"/>
          <w:szCs w:val="18"/>
        </w:rPr>
      </w:pPr>
    </w:p>
    <w:p>
      <w:pPr>
        <w:pStyle w:val="Heading2"/>
        <w:spacing w:line="240" w:lineRule="auto" w:before="26"/>
        <w:ind w:right="10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3"/>
        <w:rPr>
          <w:rFonts w:ascii="宋体" w:hAnsi="宋体" w:cs="宋体" w:eastAsia="宋体" w:hint="default"/>
          <w:b/>
          <w:bCs/>
          <w:sz w:val="27"/>
          <w:szCs w:val="27"/>
        </w:rPr>
      </w:pPr>
    </w:p>
    <w:p>
      <w:pPr>
        <w:pStyle w:val="BodyText"/>
        <w:spacing w:line="357" w:lineRule="auto" w:before="0"/>
        <w:ind w:right="98" w:firstLine="485"/>
        <w:jc w:val="left"/>
      </w:pPr>
      <w:r>
        <w:rPr>
          <w:spacing w:val="12"/>
        </w:rPr>
        <w:t>报告期内，公司控股股东未发生变化。截至</w:t>
      </w:r>
      <w:r>
        <w:rPr>
          <w:rFonts w:ascii="新宋体" w:hAnsi="新宋体" w:cs="新宋体" w:eastAsia="新宋体" w:hint="default"/>
          <w:spacing w:val="12"/>
        </w:rPr>
        <w:t>2012</w:t>
      </w:r>
      <w:r>
        <w:rPr>
          <w:spacing w:val="12"/>
        </w:rPr>
        <w:t>年</w:t>
      </w:r>
      <w:r>
        <w:rPr>
          <w:rFonts w:ascii="新宋体" w:hAnsi="新宋体" w:cs="新宋体" w:eastAsia="新宋体" w:hint="default"/>
          <w:spacing w:val="12"/>
        </w:rPr>
        <w:t>12</w:t>
      </w:r>
      <w:r>
        <w:rPr>
          <w:spacing w:val="12"/>
        </w:rPr>
        <w:t>月</w:t>
      </w:r>
      <w:r>
        <w:rPr>
          <w:rFonts w:ascii="新宋体" w:hAnsi="新宋体" w:cs="新宋体" w:eastAsia="新宋体" w:hint="default"/>
          <w:spacing w:val="12"/>
        </w:rPr>
        <w:t>31</w:t>
      </w:r>
      <w:r>
        <w:rPr>
          <w:spacing w:val="12"/>
        </w:rPr>
        <w:t>日，任红军先生持有公司</w:t>
      </w:r>
      <w:r>
        <w:rPr/>
        <w:t> </w:t>
      </w:r>
      <w:r>
        <w:rPr>
          <w:rFonts w:ascii="新宋体" w:hAnsi="新宋体" w:cs="新宋体" w:eastAsia="新宋体" w:hint="default"/>
          <w:spacing w:val="-6"/>
        </w:rPr>
        <w:t>31,708,580</w:t>
      </w:r>
      <w:r>
        <w:rPr>
          <w:spacing w:val="-6"/>
        </w:rPr>
        <w:t>股，占公司总股本的</w:t>
      </w:r>
      <w:r>
        <w:rPr>
          <w:rFonts w:ascii="新宋体" w:hAnsi="新宋体" w:cs="新宋体" w:eastAsia="新宋体" w:hint="default"/>
          <w:spacing w:val="-6"/>
        </w:rPr>
        <w:t>26.87%</w:t>
      </w:r>
      <w:r>
        <w:rPr>
          <w:spacing w:val="-6"/>
        </w:rPr>
        <w:t>，为公司的控股股东。任红军，男，</w:t>
      </w:r>
      <w:r>
        <w:rPr>
          <w:rFonts w:ascii="新宋体" w:hAnsi="新宋体" w:cs="新宋体" w:eastAsia="新宋体" w:hint="default"/>
          <w:spacing w:val="-6"/>
        </w:rPr>
        <w:t>1967</w:t>
      </w:r>
      <w:r>
        <w:rPr>
          <w:spacing w:val="-6"/>
        </w:rPr>
        <w:t>年出生，</w:t>
      </w:r>
      <w:r>
        <w:rPr>
          <w:rFonts w:ascii="新宋体" w:hAnsi="新宋体" w:cs="新宋体" w:eastAsia="新宋体" w:hint="default"/>
          <w:spacing w:val="-6"/>
        </w:rPr>
        <w:t>EMBA</w:t>
      </w:r>
      <w:r>
        <w:rPr>
          <w:spacing w:val="-6"/>
        </w:rPr>
        <w:t>，</w:t>
      </w:r>
    </w:p>
    <w:p>
      <w:pPr>
        <w:spacing w:after="0" w:line="357"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right="231"/>
        <w:jc w:val="both"/>
      </w:pPr>
      <w:r>
        <w:rPr>
          <w:spacing w:val="-2"/>
        </w:rPr>
        <w:t>高级工程师，中国国籍，无永久境外居留权。</w:t>
      </w:r>
      <w:r>
        <w:rPr>
          <w:rFonts w:ascii="新宋体" w:hAnsi="新宋体" w:cs="新宋体" w:eastAsia="新宋体" w:hint="default"/>
          <w:spacing w:val="-2"/>
        </w:rPr>
        <w:t>1998</w:t>
      </w:r>
      <w:r>
        <w:rPr>
          <w:spacing w:val="-2"/>
        </w:rPr>
        <w:t>年</w:t>
      </w:r>
      <w:r>
        <w:rPr>
          <w:rFonts w:ascii="新宋体" w:hAnsi="新宋体" w:cs="新宋体" w:eastAsia="新宋体" w:hint="default"/>
          <w:spacing w:val="-2"/>
        </w:rPr>
        <w:t>9</w:t>
      </w:r>
      <w:r>
        <w:rPr>
          <w:spacing w:val="-2"/>
        </w:rPr>
        <w:t>月设立本公司前身河南汉威电子有限公</w:t>
      </w:r>
      <w:r>
        <w:rPr>
          <w:spacing w:val="-116"/>
        </w:rPr>
        <w:t> </w:t>
      </w:r>
      <w:r>
        <w:rPr/>
        <w:t>司，历任郑州晶体管厂技术员、工程师，郑州汽车客运总公司下属科达电子厂高级工程师、</w:t>
      </w:r>
      <w:r>
        <w:rPr>
          <w:spacing w:val="-91"/>
        </w:rPr>
        <w:t> </w:t>
      </w:r>
      <w:r>
        <w:rPr>
          <w:spacing w:val="-91"/>
        </w:rPr>
      </w:r>
      <w:r>
        <w:rPr/>
        <w:t>副厂长。现任公司董事长，除持有公司股份外不持有其他公司的任何股份。</w:t>
      </w:r>
    </w:p>
    <w:p>
      <w:pPr>
        <w:spacing w:line="240" w:lineRule="auto" w:before="11"/>
        <w:rPr>
          <w:rFonts w:ascii="新宋体" w:hAnsi="新宋体" w:cs="新宋体" w:eastAsia="新宋体" w:hint="default"/>
          <w:sz w:val="19"/>
          <w:szCs w:val="19"/>
        </w:rPr>
      </w:pPr>
    </w:p>
    <w:p>
      <w:pPr>
        <w:pStyle w:val="Heading2"/>
        <w:spacing w:line="240" w:lineRule="auto"/>
        <w:ind w:right="0"/>
        <w:jc w:val="both"/>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right="108" w:firstLine="425"/>
        <w:jc w:val="left"/>
      </w:pPr>
      <w:r>
        <w:rPr/>
        <w:t>报告期内，公司实际控制人未发生变化。截止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日，公司的实际控制人为任 红军先生和钟超女士。任红军、钟超为夫妻关系，均为公司的创始股东。截止</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rFonts w:ascii="新宋体" w:hAnsi="新宋体" w:cs="新宋体" w:eastAsia="新宋体" w:hint="default"/>
          <w:spacing w:val="-89"/>
        </w:rPr>
        <w:t> </w:t>
      </w:r>
      <w:r>
        <w:rPr>
          <w:spacing w:val="-2"/>
        </w:rPr>
        <w:t>日，任红军先生持股</w:t>
      </w:r>
      <w:r>
        <w:rPr>
          <w:rFonts w:ascii="新宋体" w:hAnsi="新宋体" w:cs="新宋体" w:eastAsia="新宋体" w:hint="default"/>
          <w:spacing w:val="-2"/>
        </w:rPr>
        <w:t>26.87%</w:t>
      </w:r>
      <w:r>
        <w:rPr>
          <w:spacing w:val="-2"/>
        </w:rPr>
        <w:t>，为公司第一大股东，钟超女士持股</w:t>
      </w:r>
      <w:r>
        <w:rPr>
          <w:rFonts w:ascii="新宋体" w:hAnsi="新宋体" w:cs="新宋体" w:eastAsia="新宋体" w:hint="default"/>
          <w:spacing w:val="-2"/>
        </w:rPr>
        <w:t>12.35%</w:t>
      </w:r>
      <w:r>
        <w:rPr>
          <w:spacing w:val="-2"/>
        </w:rPr>
        <w:t>，为公司第二大股东，</w:t>
      </w:r>
      <w:r>
        <w:rPr>
          <w:spacing w:val="-108"/>
        </w:rPr>
        <w:t> </w:t>
      </w:r>
      <w:r>
        <w:rPr>
          <w:spacing w:val="-108"/>
        </w:rPr>
      </w:r>
      <w:r>
        <w:rPr/>
        <w:t>两人合计持股</w:t>
      </w:r>
      <w:r>
        <w:rPr>
          <w:rFonts w:ascii="新宋体" w:hAnsi="新宋体" w:cs="新宋体" w:eastAsia="新宋体" w:hint="default"/>
        </w:rPr>
        <w:t>39.22%</w:t>
      </w:r>
      <w:r>
        <w:rPr/>
        <w:t>，任红军先生一直担任公司董事长，钟超女士担任公司董事，除持有公</w:t>
      </w:r>
      <w:r>
        <w:rPr>
          <w:spacing w:val="-87"/>
        </w:rPr>
        <w:t> </w:t>
      </w:r>
      <w:r>
        <w:rPr>
          <w:spacing w:val="-87"/>
        </w:rPr>
      </w:r>
      <w:r>
        <w:rPr/>
        <w:t>司股份外不持有其他公司的任何股份。</w:t>
      </w:r>
    </w:p>
    <w:p>
      <w:pPr>
        <w:spacing w:line="240" w:lineRule="auto" w:before="0"/>
        <w:rPr>
          <w:rFonts w:ascii="新宋体" w:hAnsi="新宋体" w:cs="新宋体" w:eastAsia="新宋体" w:hint="default"/>
          <w:sz w:val="24"/>
          <w:szCs w:val="24"/>
        </w:rPr>
      </w:pPr>
    </w:p>
    <w:p>
      <w:pPr>
        <w:spacing w:line="240" w:lineRule="auto" w:before="9"/>
        <w:rPr>
          <w:rFonts w:ascii="新宋体" w:hAnsi="新宋体" w:cs="新宋体" w:eastAsia="新宋体" w:hint="default"/>
          <w:sz w:val="17"/>
          <w:szCs w:val="17"/>
        </w:rPr>
      </w:pPr>
    </w:p>
    <w:p>
      <w:pPr>
        <w:pStyle w:val="BodyText"/>
        <w:spacing w:line="240" w:lineRule="auto" w:before="0"/>
        <w:ind w:left="578" w:right="105"/>
        <w:jc w:val="left"/>
      </w:pPr>
      <w:r>
        <w:rPr/>
        <w:t>公司与实际控制人之间的产权及控制关系的方框图</w:t>
      </w:r>
    </w:p>
    <w:p>
      <w:pPr>
        <w:spacing w:line="240" w:lineRule="auto" w:before="0"/>
        <w:rPr>
          <w:rFonts w:ascii="新宋体" w:hAnsi="新宋体" w:cs="新宋体" w:eastAsia="新宋体" w:hint="default"/>
          <w:sz w:val="20"/>
          <w:szCs w:val="20"/>
        </w:rPr>
      </w:pPr>
    </w:p>
    <w:p>
      <w:pPr>
        <w:spacing w:line="240" w:lineRule="auto" w:before="12"/>
        <w:rPr>
          <w:rFonts w:ascii="新宋体" w:hAnsi="新宋体" w:cs="新宋体" w:eastAsia="新宋体" w:hint="default"/>
          <w:sz w:val="10"/>
          <w:szCs w:val="10"/>
        </w:rPr>
      </w:pPr>
    </w:p>
    <w:p>
      <w:pPr>
        <w:spacing w:line="5118" w:lineRule="exact"/>
        <w:ind w:left="885" w:right="0" w:firstLine="0"/>
        <w:rPr>
          <w:rFonts w:ascii="新宋体" w:hAnsi="新宋体" w:cs="新宋体" w:eastAsia="新宋体" w:hint="default"/>
          <w:sz w:val="20"/>
          <w:szCs w:val="20"/>
        </w:rPr>
      </w:pPr>
      <w:r>
        <w:rPr>
          <w:rFonts w:ascii="新宋体" w:hAnsi="新宋体" w:cs="新宋体" w:eastAsia="新宋体" w:hint="default"/>
          <w:position w:val="-101"/>
          <w:sz w:val="20"/>
          <w:szCs w:val="20"/>
        </w:rPr>
        <w:drawing>
          <wp:inline distT="0" distB="0" distL="0" distR="0">
            <wp:extent cx="5187753" cy="3250120"/>
            <wp:effectExtent l="0" t="0" r="0" b="0"/>
            <wp:docPr id="77" name="image16.png" descr=""/>
            <wp:cNvGraphicFramePr>
              <a:graphicFrameLocks noChangeAspect="1"/>
            </wp:cNvGraphicFramePr>
            <a:graphic>
              <a:graphicData uri="http://schemas.openxmlformats.org/drawingml/2006/picture">
                <pic:pic>
                  <pic:nvPicPr>
                    <pic:cNvPr id="78" name="image16.png"/>
                    <pic:cNvPicPr/>
                  </pic:nvPicPr>
                  <pic:blipFill>
                    <a:blip r:embed="rId34" cstate="print"/>
                    <a:stretch>
                      <a:fillRect/>
                    </a:stretch>
                  </pic:blipFill>
                  <pic:spPr>
                    <a:xfrm>
                      <a:off x="0" y="0"/>
                      <a:ext cx="5187753" cy="3250120"/>
                    </a:xfrm>
                    <a:prstGeom prst="rect">
                      <a:avLst/>
                    </a:prstGeom>
                  </pic:spPr>
                </pic:pic>
              </a:graphicData>
            </a:graphic>
          </wp:inline>
        </w:drawing>
      </w:r>
      <w:r>
        <w:rPr>
          <w:rFonts w:ascii="新宋体" w:hAnsi="新宋体" w:cs="新宋体" w:eastAsia="新宋体" w:hint="default"/>
          <w:position w:val="-101"/>
          <w:sz w:val="20"/>
          <w:szCs w:val="20"/>
        </w:rPr>
      </w:r>
    </w:p>
    <w:p>
      <w:pPr>
        <w:spacing w:line="240" w:lineRule="auto" w:before="10"/>
        <w:rPr>
          <w:rFonts w:ascii="新宋体" w:hAnsi="新宋体" w:cs="新宋体" w:eastAsia="新宋体" w:hint="default"/>
          <w:sz w:val="23"/>
          <w:szCs w:val="23"/>
        </w:rPr>
      </w:pPr>
    </w:p>
    <w:p>
      <w:pPr>
        <w:pStyle w:val="BodyText"/>
        <w:spacing w:line="240" w:lineRule="auto" w:before="26"/>
        <w:ind w:right="105"/>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11"/>
        <w:rPr>
          <w:rFonts w:ascii="宋体" w:hAnsi="宋体" w:cs="宋体" w:eastAsia="宋体" w:hint="default"/>
          <w:sz w:val="26"/>
          <w:szCs w:val="26"/>
        </w:rPr>
      </w:pPr>
    </w:p>
    <w:p>
      <w:pPr>
        <w:pStyle w:val="BodyText"/>
        <w:spacing w:line="240" w:lineRule="auto" w:before="0"/>
        <w:ind w:right="105"/>
        <w:jc w:val="left"/>
        <w:rPr>
          <w:rFonts w:ascii="宋体" w:hAnsi="宋体" w:cs="宋体" w:eastAsia="宋体" w:hint="default"/>
        </w:rPr>
      </w:pPr>
      <w:r>
        <w:rPr>
          <w:rFonts w:ascii="Times New Roman" w:hAnsi="Times New Roman" w:cs="Times New Roman" w:eastAsia="Times New Roman" w:hint="default"/>
        </w:rPr>
        <w:t>□  </w:t>
      </w:r>
      <w:r>
        <w:rPr>
          <w:rFonts w:ascii="宋体" w:hAnsi="宋体" w:cs="宋体" w:eastAsia="宋体" w:hint="default"/>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rFonts w:ascii="宋体" w:hAnsi="宋体" w:cs="宋体" w:eastAsia="宋体" w:hint="default"/>
        </w:rPr>
        <w:t>不适用</w:t>
      </w:r>
    </w:p>
    <w:p>
      <w:pPr>
        <w:spacing w:after="0" w:line="240" w:lineRule="auto"/>
        <w:jc w:val="left"/>
        <w:rPr>
          <w:rFonts w:ascii="宋体" w:hAnsi="宋体" w:cs="宋体" w:eastAsia="宋体" w:hint="default"/>
        </w:rPr>
        <w:sectPr>
          <w:pgSz w:w="11910" w:h="16840"/>
          <w:pgMar w:header="555" w:footer="980" w:top="1100" w:bottom="1160" w:left="980" w:right="900"/>
        </w:sectPr>
      </w:pPr>
    </w:p>
    <w:p>
      <w:pPr>
        <w:spacing w:line="240" w:lineRule="auto" w:before="9"/>
        <w:rPr>
          <w:rFonts w:ascii="宋体" w:hAnsi="宋体" w:cs="宋体" w:eastAsia="宋体" w:hint="default"/>
          <w:sz w:val="19"/>
          <w:szCs w:val="19"/>
        </w:rPr>
      </w:pPr>
    </w:p>
    <w:p>
      <w:pPr>
        <w:pStyle w:val="Heading2"/>
        <w:spacing w:line="240" w:lineRule="auto" w:before="26"/>
        <w:ind w:right="4148"/>
        <w:jc w:val="left"/>
        <w:rPr>
          <w:b w:val="0"/>
          <w:bCs w:val="0"/>
        </w:rPr>
      </w:pPr>
      <w:r>
        <w:rPr>
          <w:rFonts w:ascii="Times New Roman" w:hAnsi="Times New Roman" w:cs="Times New Roman" w:eastAsia="Times New Roman" w:hint="default"/>
        </w:rPr>
        <w:t>4</w:t>
      </w:r>
      <w:r>
        <w:rPr/>
        <w:t>、前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名有限售条件股东持股数量及限售条件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38" w:type="dxa"/>
        <w:tblLayout w:type="fixed"/>
        <w:tblCellMar>
          <w:top w:w="0" w:type="dxa"/>
          <w:left w:w="0" w:type="dxa"/>
          <w:bottom w:w="0" w:type="dxa"/>
          <w:right w:w="0" w:type="dxa"/>
        </w:tblCellMar>
        <w:tblLook w:val="01E0"/>
      </w:tblPr>
      <w:tblGrid>
        <w:gridCol w:w="1913"/>
        <w:gridCol w:w="1916"/>
        <w:gridCol w:w="1916"/>
        <w:gridCol w:w="1913"/>
        <w:gridCol w:w="2125"/>
      </w:tblGrid>
      <w:tr>
        <w:trPr>
          <w:trHeight w:val="710" w:hRule="exact"/>
        </w:trPr>
        <w:tc>
          <w:tcPr>
            <w:tcW w:w="19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4"/>
              <w:ind w:left="501" w:right="50"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4"/>
              <w:ind w:left="590" w:right="47"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212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720"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31,708,580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7,927,145</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2"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追加承诺锁定，高管锁定 股，每年解锁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8"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钟 </w:t>
            </w:r>
            <w:r>
              <w:rPr>
                <w:rFonts w:ascii="宋体" w:hAnsi="宋体" w:cs="宋体" w:eastAsia="宋体" w:hint="default"/>
                <w:spacing w:val="2"/>
                <w:sz w:val="18"/>
                <w:szCs w:val="18"/>
              </w:rPr>
              <w:t> </w:t>
            </w:r>
            <w:r>
              <w:rPr>
                <w:rFonts w:ascii="宋体" w:hAnsi="宋体" w:cs="宋体" w:eastAsia="宋体" w:hint="default"/>
                <w:sz w:val="18"/>
                <w:szCs w:val="18"/>
              </w:rPr>
              <w:t>超</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14,577,140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3,644,285</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2"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追加承诺锁定，高管锁定 股，每年解锁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566"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2,073,780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518,445</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宋体" w:hAnsi="宋体" w:cs="宋体" w:eastAsia="宋体" w:hint="default"/>
                <w:spacing w:val="-92"/>
                <w:sz w:val="18"/>
                <w:szCs w:val="18"/>
              </w:rPr>
              <w:t>，</w:t>
            </w:r>
            <w:r>
              <w:rPr>
                <w:rFonts w:ascii="宋体" w:hAnsi="宋体" w:cs="宋体" w:eastAsia="宋体" w:hint="default"/>
                <w:sz w:val="18"/>
                <w:szCs w:val="18"/>
              </w:rPr>
              <w:t>每年解锁</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tc>
      </w:tr>
      <w:tr>
        <w:trPr>
          <w:trHeight w:val="569"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1"/>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1,524,585</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381,146</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宋体" w:hAnsi="宋体" w:cs="宋体" w:eastAsia="宋体" w:hint="default"/>
                <w:spacing w:val="-92"/>
                <w:sz w:val="18"/>
                <w:szCs w:val="18"/>
              </w:rPr>
              <w:t>，</w:t>
            </w:r>
            <w:r>
              <w:rPr>
                <w:rFonts w:ascii="宋体" w:hAnsi="宋体" w:cs="宋体" w:eastAsia="宋体" w:hint="default"/>
                <w:sz w:val="18"/>
                <w:szCs w:val="18"/>
              </w:rPr>
              <w:t>每年解锁</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tc>
      </w:tr>
      <w:tr>
        <w:trPr>
          <w:trHeight w:val="566"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1,230,000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307,500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宋体" w:hAnsi="宋体" w:cs="宋体" w:eastAsia="宋体" w:hint="default"/>
                <w:spacing w:val="-92"/>
                <w:sz w:val="18"/>
                <w:szCs w:val="18"/>
              </w:rPr>
              <w:t>，</w:t>
            </w:r>
            <w:r>
              <w:rPr>
                <w:rFonts w:ascii="宋体" w:hAnsi="宋体" w:cs="宋体" w:eastAsia="宋体" w:hint="default"/>
                <w:sz w:val="18"/>
                <w:szCs w:val="18"/>
              </w:rPr>
              <w:t>每年解锁</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tc>
      </w:tr>
      <w:tr>
        <w:trPr>
          <w:trHeight w:val="566"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232,060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58,015</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宋体" w:hAnsi="宋体" w:cs="宋体" w:eastAsia="宋体" w:hint="default"/>
                <w:spacing w:val="-92"/>
                <w:sz w:val="18"/>
                <w:szCs w:val="18"/>
              </w:rPr>
              <w:t>，</w:t>
            </w:r>
            <w:r>
              <w:rPr>
                <w:rFonts w:ascii="宋体" w:hAnsi="宋体" w:cs="宋体" w:eastAsia="宋体" w:hint="default"/>
                <w:sz w:val="18"/>
                <w:szCs w:val="18"/>
              </w:rPr>
              <w:t>每年解锁</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tc>
      </w:tr>
      <w:tr>
        <w:trPr>
          <w:trHeight w:val="566"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68,880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17,220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宋体" w:hAnsi="宋体" w:cs="宋体" w:eastAsia="宋体" w:hint="default"/>
                <w:spacing w:val="-92"/>
                <w:sz w:val="18"/>
                <w:szCs w:val="18"/>
              </w:rPr>
              <w:t>，</w:t>
            </w:r>
            <w:r>
              <w:rPr>
                <w:rFonts w:ascii="宋体" w:hAnsi="宋体" w:cs="宋体" w:eastAsia="宋体" w:hint="default"/>
                <w:sz w:val="18"/>
                <w:szCs w:val="18"/>
              </w:rPr>
              <w:t>每年解锁</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tc>
      </w:tr>
      <w:tr>
        <w:trPr>
          <w:trHeight w:val="574" w:hRule="exact"/>
        </w:trPr>
        <w:tc>
          <w:tcPr>
            <w:tcW w:w="19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张志广</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22,960</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5,740</w:t>
            </w:r>
          </w:p>
        </w:tc>
        <w:tc>
          <w:tcPr>
            <w:tcW w:w="21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0"/>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高管锁定股</w:t>
            </w:r>
            <w:r>
              <w:rPr>
                <w:rFonts w:ascii="宋体" w:hAnsi="宋体" w:cs="宋体" w:eastAsia="宋体" w:hint="default"/>
                <w:spacing w:val="-92"/>
                <w:sz w:val="18"/>
                <w:szCs w:val="18"/>
              </w:rPr>
              <w:t>，</w:t>
            </w:r>
            <w:r>
              <w:rPr>
                <w:rFonts w:ascii="宋体" w:hAnsi="宋体" w:cs="宋体" w:eastAsia="宋体" w:hint="default"/>
                <w:sz w:val="18"/>
                <w:szCs w:val="18"/>
              </w:rPr>
              <w:t>每年解锁</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555" w:footer="980" w:top="1100" w:bottom="1160" w:left="980" w:right="8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17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652" w:right="0"/>
        <w:jc w:val="left"/>
        <w:rPr>
          <w:b w:val="0"/>
          <w:bCs w:val="0"/>
        </w:rPr>
      </w:pPr>
      <w:r>
        <w:rPr/>
        <w:pict>
          <v:shape style="position:absolute;margin-left:438.072998pt;margin-top:82.775597pt;width:63.15pt;height:17.650pt;mso-position-horizontal-relative:page;mso-position-vertical-relative:paragraph;z-index:-94724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496.660004pt;margin-top:82.775597pt;width:38.8pt;height:17.650pt;mso-position-horizontal-relative:page;mso-position-vertical-relative:paragraph;z-index:-94722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12.862976pt;margin-top:84.815598pt;width:51.75pt;height:15.6pt;mso-position-horizontal-relative:page;mso-position-vertical-relative:paragraph;z-index:-94720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972"/>
        <w:gridCol w:w="1070"/>
        <w:gridCol w:w="336"/>
        <w:gridCol w:w="283"/>
        <w:gridCol w:w="944"/>
        <w:gridCol w:w="955"/>
        <w:gridCol w:w="967"/>
        <w:gridCol w:w="684"/>
        <w:gridCol w:w="790"/>
        <w:gridCol w:w="953"/>
        <w:gridCol w:w="685"/>
        <w:gridCol w:w="811"/>
        <w:gridCol w:w="684"/>
        <w:gridCol w:w="571"/>
      </w:tblGrid>
      <w:tr>
        <w:trPr>
          <w:trHeight w:val="1351" w:hRule="exact"/>
        </w:trPr>
        <w:tc>
          <w:tcPr>
            <w:tcW w:w="97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姓名</w:t>
            </w:r>
          </w:p>
        </w:tc>
        <w:tc>
          <w:tcPr>
            <w:tcW w:w="107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71" w:right="67"/>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45" w:right="41"/>
              <w:jc w:val="left"/>
              <w:rPr>
                <w:rFonts w:ascii="宋体" w:hAnsi="宋体" w:cs="宋体" w:eastAsia="宋体" w:hint="default"/>
                <w:sz w:val="18"/>
                <w:szCs w:val="18"/>
              </w:rPr>
            </w:pPr>
            <w:r>
              <w:rPr>
                <w:rFonts w:ascii="宋体" w:hAnsi="宋体" w:cs="宋体" w:eastAsia="宋体" w:hint="default"/>
                <w:sz w:val="18"/>
                <w:szCs w:val="18"/>
              </w:rPr>
              <w:t>年 龄</w:t>
            </w:r>
          </w:p>
        </w:tc>
        <w:tc>
          <w:tcPr>
            <w:tcW w:w="9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85" w:right="10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5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92" w:right="10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4" w:right="6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110" w:right="107"/>
              <w:jc w:val="left"/>
              <w:rPr>
                <w:rFonts w:ascii="宋体" w:hAnsi="宋体" w:cs="宋体" w:eastAsia="宋体" w:hint="default"/>
                <w:sz w:val="18"/>
                <w:szCs w:val="18"/>
              </w:rPr>
            </w:pPr>
            <w:r>
              <w:rPr>
                <w:rFonts w:ascii="宋体" w:hAnsi="宋体" w:cs="宋体" w:eastAsia="宋体" w:hint="default"/>
                <w:sz w:val="18"/>
                <w:szCs w:val="18"/>
              </w:rPr>
              <w:t>期末持股 数（股）</w:t>
            </w:r>
          </w:p>
        </w:tc>
        <w:tc>
          <w:tcPr>
            <w:tcW w:w="68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63"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81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36" w:firstLine="16"/>
              <w:jc w:val="both"/>
              <w:rPr>
                <w:rFonts w:ascii="宋体" w:hAnsi="宋体" w:cs="宋体" w:eastAsia="宋体" w:hint="default"/>
                <w:sz w:val="18"/>
                <w:szCs w:val="18"/>
              </w:rPr>
            </w:pPr>
            <w:r>
              <w:rPr>
                <w:rFonts w:ascii="宋体" w:hAnsi="宋体" w:cs="宋体" w:eastAsia="宋体" w:hint="default"/>
                <w:sz w:val="18"/>
                <w:szCs w:val="18"/>
              </w:rPr>
              <w:t>其中：被 授予的限 制性股票 </w:t>
            </w:r>
            <w:r>
              <w:rPr>
                <w:rFonts w:ascii="宋体" w:hAnsi="宋体" w:cs="宋体" w:eastAsia="宋体" w:hint="default"/>
                <w:spacing w:val="-14"/>
                <w:sz w:val="18"/>
                <w:szCs w:val="18"/>
              </w:rPr>
              <w:t>数量（股</w:t>
            </w:r>
          </w:p>
        </w:tc>
        <w:tc>
          <w:tcPr>
            <w:tcW w:w="68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5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98" w:right="89"/>
              <w:jc w:val="left"/>
              <w:rPr>
                <w:rFonts w:ascii="宋体" w:hAnsi="宋体" w:cs="宋体" w:eastAsia="宋体" w:hint="default"/>
                <w:sz w:val="18"/>
                <w:szCs w:val="18"/>
              </w:rPr>
            </w:pPr>
            <w:r>
              <w:rPr>
                <w:rFonts w:ascii="宋体" w:hAnsi="宋体" w:cs="宋体" w:eastAsia="宋体" w:hint="default"/>
                <w:sz w:val="18"/>
                <w:szCs w:val="18"/>
              </w:rPr>
              <w:t>变动 原因</w:t>
            </w:r>
          </w:p>
        </w:tc>
      </w:tr>
      <w:tr>
        <w:trPr>
          <w:trHeight w:val="721"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任红军</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46</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31,708,580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31,708,580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49"/>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18"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钟超</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45</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14,577,140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14,577,140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9"/>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1344"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7"/>
              <w:jc w:val="both"/>
              <w:rPr>
                <w:rFonts w:ascii="宋体" w:hAnsi="宋体" w:cs="宋体" w:eastAsia="宋体" w:hint="default"/>
                <w:sz w:val="18"/>
                <w:szCs w:val="18"/>
              </w:rPr>
            </w:pPr>
            <w:r>
              <w:rPr>
                <w:rFonts w:ascii="宋体" w:hAnsi="宋体" w:cs="宋体" w:eastAsia="宋体" w:hint="default"/>
                <w:spacing w:val="-12"/>
                <w:sz w:val="18"/>
                <w:szCs w:val="18"/>
              </w:rPr>
              <w:t>董事、董事会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秘书、财务负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责人</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41</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2,765,040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691,260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2,073,780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7"/>
              <w:jc w:val="both"/>
              <w:rPr>
                <w:rFonts w:ascii="宋体" w:hAnsi="宋体" w:cs="宋体" w:eastAsia="宋体" w:hint="default"/>
                <w:sz w:val="18"/>
                <w:szCs w:val="18"/>
              </w:rPr>
            </w:pPr>
            <w:r>
              <w:rPr>
                <w:rFonts w:ascii="宋体" w:hAnsi="宋体" w:cs="宋体" w:eastAsia="宋体" w:hint="default"/>
                <w:sz w:val="18"/>
                <w:szCs w:val="18"/>
              </w:rPr>
              <w:t>二级 市场 竞价 交易</w:t>
            </w:r>
          </w:p>
        </w:tc>
      </w:tr>
      <w:tr>
        <w:trPr>
          <w:trHeight w:val="1342"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7"/>
              <w:jc w:val="left"/>
              <w:rPr>
                <w:rFonts w:ascii="宋体" w:hAnsi="宋体" w:cs="宋体" w:eastAsia="宋体" w:hint="default"/>
                <w:sz w:val="18"/>
                <w:szCs w:val="18"/>
              </w:rPr>
            </w:pPr>
            <w:r>
              <w:rPr>
                <w:rFonts w:ascii="宋体" w:hAnsi="宋体" w:cs="宋体" w:eastAsia="宋体" w:hint="default"/>
                <w:spacing w:val="-12"/>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41</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91,840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22,960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68,880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7"/>
              <w:jc w:val="both"/>
              <w:rPr>
                <w:rFonts w:ascii="宋体" w:hAnsi="宋体" w:cs="宋体" w:eastAsia="宋体" w:hint="default"/>
                <w:sz w:val="18"/>
                <w:szCs w:val="18"/>
              </w:rPr>
            </w:pPr>
            <w:r>
              <w:rPr>
                <w:rFonts w:ascii="宋体" w:hAnsi="宋体" w:cs="宋体" w:eastAsia="宋体" w:hint="default"/>
                <w:sz w:val="18"/>
                <w:szCs w:val="18"/>
              </w:rPr>
              <w:t>二级 市场 竞价 交易</w:t>
            </w:r>
          </w:p>
        </w:tc>
      </w:tr>
      <w:tr>
        <w:trPr>
          <w:trHeight w:val="720"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4" w:right="17"/>
              <w:jc w:val="left"/>
              <w:rPr>
                <w:rFonts w:ascii="宋体" w:hAnsi="宋体" w:cs="宋体" w:eastAsia="宋体" w:hint="default"/>
                <w:sz w:val="18"/>
                <w:szCs w:val="18"/>
              </w:rPr>
            </w:pPr>
            <w:r>
              <w:rPr>
                <w:rFonts w:ascii="宋体" w:hAnsi="宋体" w:cs="宋体" w:eastAsia="宋体" w:hint="default"/>
                <w:spacing w:val="-12"/>
                <w:sz w:val="18"/>
                <w:szCs w:val="18"/>
              </w:rPr>
              <w:t>董事、总工程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师</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49</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232,060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232,060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130,000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18"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高天增</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53</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20"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庄行方</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65</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20"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54</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18"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王思鹏</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1344"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41</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1,640,000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410,000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1,230,000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7"/>
              <w:jc w:val="both"/>
              <w:rPr>
                <w:rFonts w:ascii="宋体" w:hAnsi="宋体" w:cs="宋体" w:eastAsia="宋体" w:hint="default"/>
                <w:sz w:val="18"/>
                <w:szCs w:val="18"/>
              </w:rPr>
            </w:pPr>
            <w:r>
              <w:rPr>
                <w:rFonts w:ascii="宋体" w:hAnsi="宋体" w:cs="宋体" w:eastAsia="宋体" w:hint="default"/>
                <w:sz w:val="18"/>
                <w:szCs w:val="18"/>
              </w:rPr>
              <w:t>二级 市场 竞价 交易</w:t>
            </w:r>
          </w:p>
        </w:tc>
      </w:tr>
      <w:tr>
        <w:trPr>
          <w:trHeight w:val="1349" w:hRule="exact"/>
        </w:trPr>
        <w:tc>
          <w:tcPr>
            <w:tcW w:w="9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尚中锋</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41</w:t>
            </w:r>
          </w:p>
        </w:tc>
        <w:tc>
          <w:tcPr>
            <w:tcW w:w="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2,032,780</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508,195</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1,524,585</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49"/>
              <w:ind w:left="21" w:right="167"/>
              <w:jc w:val="both"/>
              <w:rPr>
                <w:rFonts w:ascii="宋体" w:hAnsi="宋体" w:cs="宋体" w:eastAsia="宋体" w:hint="default"/>
                <w:sz w:val="18"/>
                <w:szCs w:val="18"/>
              </w:rPr>
            </w:pPr>
            <w:r>
              <w:rPr>
                <w:rFonts w:ascii="宋体" w:hAnsi="宋体" w:cs="宋体" w:eastAsia="宋体" w:hint="default"/>
                <w:sz w:val="18"/>
                <w:szCs w:val="18"/>
              </w:rPr>
              <w:t>二级 市场 竞价 交易</w:t>
            </w:r>
          </w:p>
        </w:tc>
      </w:tr>
    </w:tbl>
    <w:p>
      <w:pPr>
        <w:spacing w:after="0" w:line="316" w:lineRule="auto"/>
        <w:jc w:val="both"/>
        <w:rPr>
          <w:rFonts w:ascii="宋体" w:hAnsi="宋体" w:cs="宋体" w:eastAsia="宋体" w:hint="default"/>
          <w:sz w:val="18"/>
          <w:szCs w:val="18"/>
        </w:rPr>
        <w:sectPr>
          <w:pgSz w:w="11910" w:h="16840"/>
          <w:pgMar w:header="555" w:footer="980" w:top="1100" w:bottom="1160" w:left="480" w:right="460"/>
        </w:sectPr>
      </w:pPr>
    </w:p>
    <w:p>
      <w:pPr>
        <w:spacing w:line="240" w:lineRule="auto" w:before="8"/>
        <w:rPr>
          <w:rFonts w:ascii="宋体" w:hAnsi="宋体" w:cs="宋体" w:eastAsia="宋体" w:hint="default"/>
          <w:b/>
          <w:bCs/>
          <w:sz w:val="24"/>
          <w:szCs w:val="24"/>
        </w:rPr>
      </w:pPr>
    </w:p>
    <w:tbl>
      <w:tblPr>
        <w:tblW w:w="0" w:type="auto"/>
        <w:jc w:val="left"/>
        <w:tblInd w:w="105" w:type="dxa"/>
        <w:tblLayout w:type="fixed"/>
        <w:tblCellMar>
          <w:top w:w="0" w:type="dxa"/>
          <w:left w:w="0" w:type="dxa"/>
          <w:bottom w:w="0" w:type="dxa"/>
          <w:right w:w="0" w:type="dxa"/>
        </w:tblCellMar>
        <w:tblLook w:val="01E0"/>
      </w:tblPr>
      <w:tblGrid>
        <w:gridCol w:w="972"/>
        <w:gridCol w:w="1070"/>
        <w:gridCol w:w="336"/>
        <w:gridCol w:w="283"/>
        <w:gridCol w:w="944"/>
        <w:gridCol w:w="955"/>
        <w:gridCol w:w="967"/>
        <w:gridCol w:w="684"/>
        <w:gridCol w:w="790"/>
        <w:gridCol w:w="953"/>
        <w:gridCol w:w="685"/>
        <w:gridCol w:w="811"/>
        <w:gridCol w:w="684"/>
        <w:gridCol w:w="571"/>
      </w:tblGrid>
      <w:tr>
        <w:trPr>
          <w:trHeight w:val="728" w:hRule="exact"/>
        </w:trPr>
        <w:tc>
          <w:tcPr>
            <w:tcW w:w="97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祁明锋</w:t>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32</w:t>
            </w:r>
          </w:p>
        </w:tc>
        <w:tc>
          <w:tcPr>
            <w:tcW w:w="9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51"/>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18"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张志广</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38</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22,960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22,960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160,000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20"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徐克</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48</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51"/>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20"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刘焱</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36</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49"/>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58"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苗国珍</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（已离任）</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41</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8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68"/>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59"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申华萍</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（已离任）</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47</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68"/>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758"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景国勋</w:t>
            </w:r>
          </w:p>
          <w:p>
            <w:pPr>
              <w:pStyle w:val="TableParagraph"/>
              <w:spacing w:line="240" w:lineRule="auto" w:before="117"/>
              <w:ind w:right="5"/>
              <w:jc w:val="center"/>
              <w:rPr>
                <w:rFonts w:ascii="宋体" w:hAnsi="宋体" w:cs="宋体" w:eastAsia="宋体" w:hint="default"/>
                <w:sz w:val="18"/>
                <w:szCs w:val="18"/>
              </w:rPr>
            </w:pPr>
            <w:r>
              <w:rPr>
                <w:rFonts w:ascii="宋体" w:hAnsi="宋体" w:cs="宋体" w:eastAsia="宋体" w:hint="default"/>
                <w:sz w:val="18"/>
                <w:szCs w:val="18"/>
              </w:rPr>
              <w:t>（已离任）</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8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1"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9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7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70"/>
              <w:ind w:left="21" w:right="167"/>
              <w:jc w:val="left"/>
              <w:rPr>
                <w:rFonts w:ascii="宋体" w:hAnsi="宋体" w:cs="宋体" w:eastAsia="宋体" w:hint="default"/>
                <w:sz w:val="18"/>
                <w:szCs w:val="18"/>
              </w:rPr>
            </w:pPr>
            <w:r>
              <w:rPr>
                <w:rFonts w:ascii="宋体" w:hAnsi="宋体" w:cs="宋体" w:eastAsia="宋体" w:hint="default"/>
                <w:sz w:val="18"/>
                <w:szCs w:val="18"/>
              </w:rPr>
              <w:t>不适 用</w:t>
            </w:r>
          </w:p>
        </w:tc>
      </w:tr>
      <w:tr>
        <w:trPr>
          <w:trHeight w:val="413" w:hRule="exact"/>
        </w:trPr>
        <w:tc>
          <w:tcPr>
            <w:tcW w:w="97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07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33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w:t>
            </w:r>
          </w:p>
        </w:tc>
        <w:tc>
          <w:tcPr>
            <w:tcW w:w="28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4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53,070,400</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1,632,415</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51,437,985</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640,000</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580,000</w:t>
            </w:r>
          </w:p>
        </w:tc>
        <w:tc>
          <w:tcPr>
            <w:tcW w:w="57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8"/>
          <w:szCs w:val="18"/>
        </w:rPr>
      </w:pPr>
    </w:p>
    <w:p>
      <w:pPr>
        <w:pStyle w:val="Heading2"/>
        <w:spacing w:line="240" w:lineRule="auto" w:before="26"/>
        <w:ind w:left="652" w:right="0"/>
        <w:jc w:val="left"/>
        <w:rPr>
          <w:b w:val="0"/>
          <w:bCs w:val="0"/>
        </w:rPr>
      </w:pPr>
      <w:r>
        <w:rPr/>
        <w:t>二、任职情况</w:t>
      </w:r>
      <w:r>
        <w:rPr>
          <w:b w:val="0"/>
          <w:bCs w:val="0"/>
        </w:rPr>
      </w:r>
    </w:p>
    <w:p>
      <w:pPr>
        <w:spacing w:line="240" w:lineRule="auto" w:before="11"/>
        <w:rPr>
          <w:rFonts w:ascii="宋体" w:hAnsi="宋体" w:cs="宋体" w:eastAsia="宋体" w:hint="default"/>
          <w:b/>
          <w:bCs/>
          <w:sz w:val="28"/>
          <w:szCs w:val="28"/>
        </w:rPr>
      </w:pPr>
    </w:p>
    <w:p>
      <w:pPr>
        <w:pStyle w:val="Heading2"/>
        <w:spacing w:line="388" w:lineRule="auto"/>
        <w:ind w:left="1025" w:right="3366" w:firstLine="52"/>
        <w:jc w:val="left"/>
        <w:rPr>
          <w:rFonts w:ascii="新宋体" w:hAnsi="新宋体" w:cs="新宋体" w:eastAsia="新宋体" w:hint="default"/>
          <w:b w:val="0"/>
          <w:bCs w:val="0"/>
        </w:rPr>
      </w:pPr>
      <w:r>
        <w:rPr>
          <w:rFonts w:ascii="新宋体" w:hAnsi="新宋体" w:cs="新宋体" w:eastAsia="新宋体" w:hint="default"/>
        </w:rPr>
        <w:t>公司现任董事、监事、高级管理人员最近</w:t>
      </w:r>
      <w:r>
        <w:rPr>
          <w:rFonts w:ascii="新宋体" w:hAnsi="新宋体" w:cs="新宋体" w:eastAsia="新宋体" w:hint="default"/>
          <w:spacing w:val="-60"/>
        </w:rPr>
        <w:t> </w:t>
      </w:r>
      <w:r>
        <w:rPr>
          <w:rFonts w:ascii="新宋体" w:hAnsi="新宋体" w:cs="新宋体" w:eastAsia="新宋体" w:hint="default"/>
        </w:rPr>
        <w:t>5</w:t>
      </w:r>
      <w:r>
        <w:rPr>
          <w:rFonts w:ascii="新宋体" w:hAnsi="新宋体" w:cs="新宋体" w:eastAsia="新宋体" w:hint="default"/>
          <w:spacing w:val="-64"/>
        </w:rPr>
        <w:t> </w:t>
      </w:r>
      <w:r>
        <w:rPr>
          <w:rFonts w:ascii="新宋体" w:hAnsi="新宋体" w:cs="新宋体" w:eastAsia="新宋体" w:hint="default"/>
        </w:rPr>
        <w:t>年的主要工作经历</w:t>
      </w:r>
      <w:r>
        <w:rPr>
          <w:rFonts w:ascii="新宋体" w:hAnsi="新宋体" w:cs="新宋体" w:eastAsia="新宋体" w:hint="default"/>
          <w:w w:val="99"/>
        </w:rPr>
        <w:t> </w:t>
      </w:r>
      <w:r>
        <w:rPr>
          <w:rFonts w:ascii="新宋体" w:hAnsi="新宋体" w:cs="新宋体" w:eastAsia="新宋体" w:hint="default"/>
          <w:b w:val="0"/>
          <w:bCs w:val="0"/>
        </w:rPr>
        <w:t>1</w:t>
      </w:r>
      <w:r>
        <w:rPr>
          <w:rFonts w:ascii="新宋体" w:hAnsi="新宋体" w:cs="新宋体" w:eastAsia="新宋体" w:hint="default"/>
          <w:b w:val="0"/>
          <w:bCs w:val="0"/>
        </w:rPr>
        <w:t>、董事会成员</w:t>
      </w:r>
    </w:p>
    <w:p>
      <w:pPr>
        <w:pStyle w:val="BodyText"/>
        <w:spacing w:line="357" w:lineRule="auto" w:before="44"/>
        <w:ind w:left="652" w:right="671" w:firstLine="372"/>
        <w:jc w:val="both"/>
      </w:pPr>
      <w:r>
        <w:rPr>
          <w:spacing w:val="-3"/>
        </w:rPr>
        <w:t>任红军，男，</w:t>
      </w:r>
      <w:r>
        <w:rPr>
          <w:rFonts w:ascii="新宋体" w:hAnsi="新宋体" w:cs="新宋体" w:eastAsia="新宋体" w:hint="default"/>
          <w:spacing w:val="-3"/>
        </w:rPr>
        <w:t>1967</w:t>
      </w:r>
      <w:r>
        <w:rPr>
          <w:spacing w:val="-3"/>
        </w:rPr>
        <w:t>年出生，</w:t>
      </w:r>
      <w:r>
        <w:rPr>
          <w:rFonts w:ascii="新宋体" w:hAnsi="新宋体" w:cs="新宋体" w:eastAsia="新宋体" w:hint="default"/>
          <w:spacing w:val="-3"/>
        </w:rPr>
        <w:t>EMBA</w:t>
      </w:r>
      <w:r>
        <w:rPr>
          <w:spacing w:val="-3"/>
        </w:rPr>
        <w:t>，高级工程师，历任郑州晶体管厂技术员、工程师，郑州</w:t>
      </w:r>
      <w:r>
        <w:rPr/>
        <w:t> </w:t>
      </w:r>
      <w:r>
        <w:rPr>
          <w:spacing w:val="-2"/>
        </w:rPr>
        <w:t>汽车客运总公司下属科达电子厂高级工程师、副厂长。</w:t>
      </w:r>
      <w:r>
        <w:rPr>
          <w:rFonts w:ascii="新宋体" w:hAnsi="新宋体" w:cs="新宋体" w:eastAsia="新宋体" w:hint="default"/>
          <w:spacing w:val="-2"/>
        </w:rPr>
        <w:t>1998</w:t>
      </w:r>
      <w:r>
        <w:rPr>
          <w:spacing w:val="-2"/>
        </w:rPr>
        <w:t>年</w:t>
      </w:r>
      <w:r>
        <w:rPr>
          <w:rFonts w:ascii="新宋体" w:hAnsi="新宋体" w:cs="新宋体" w:eastAsia="新宋体" w:hint="default"/>
          <w:spacing w:val="-2"/>
        </w:rPr>
        <w:t>9</w:t>
      </w:r>
      <w:r>
        <w:rPr>
          <w:spacing w:val="-2"/>
        </w:rPr>
        <w:t>月设立本公司前身河南汉威电</w:t>
      </w:r>
      <w:r>
        <w:rPr>
          <w:spacing w:val="-115"/>
        </w:rPr>
        <w:t> </w:t>
      </w:r>
      <w:r>
        <w:rPr/>
        <w:t>子有限公司。现任公司董事长。</w:t>
      </w:r>
    </w:p>
    <w:p>
      <w:pPr>
        <w:pStyle w:val="BodyText"/>
        <w:spacing w:line="357" w:lineRule="auto"/>
        <w:ind w:left="652" w:right="674" w:firstLine="372"/>
        <w:jc w:val="both"/>
      </w:pPr>
      <w:r>
        <w:rPr/>
        <w:t>钟超，女，</w:t>
      </w:r>
      <w:r>
        <w:rPr>
          <w:rFonts w:ascii="新宋体" w:hAnsi="新宋体" w:cs="新宋体" w:eastAsia="新宋体" w:hint="default"/>
        </w:rPr>
        <w:t>1967</w:t>
      </w:r>
      <w:r>
        <w:rPr/>
        <w:t>年出生，大学专科学历，主管护师。</w:t>
      </w:r>
      <w:r>
        <w:rPr>
          <w:rFonts w:ascii="新宋体" w:hAnsi="新宋体" w:cs="新宋体" w:eastAsia="新宋体" w:hint="default"/>
        </w:rPr>
        <w:t>1986</w:t>
      </w:r>
      <w:r>
        <w:rPr/>
        <w:t>年</w:t>
      </w:r>
      <w:r>
        <w:rPr>
          <w:rFonts w:ascii="新宋体" w:hAnsi="新宋体" w:cs="新宋体" w:eastAsia="新宋体" w:hint="default"/>
        </w:rPr>
        <w:t>7</w:t>
      </w:r>
      <w:r>
        <w:rPr/>
        <w:t>月至今就职于郑州大学第一 附属医院神经外科。现任公司第二届董事会董事。</w:t>
      </w:r>
    </w:p>
    <w:p>
      <w:pPr>
        <w:pStyle w:val="BodyText"/>
        <w:spacing w:line="357" w:lineRule="auto"/>
        <w:ind w:left="652" w:right="669" w:firstLine="372"/>
        <w:jc w:val="both"/>
      </w:pPr>
      <w:r>
        <w:rPr>
          <w:spacing w:val="-3"/>
        </w:rPr>
        <w:t>刘瑞玲，女，</w:t>
      </w:r>
      <w:r>
        <w:rPr>
          <w:rFonts w:ascii="新宋体" w:hAnsi="新宋体" w:cs="新宋体" w:eastAsia="新宋体" w:hint="default"/>
          <w:spacing w:val="-3"/>
        </w:rPr>
        <w:t>1972</w:t>
      </w:r>
      <w:r>
        <w:rPr>
          <w:spacing w:val="-3"/>
        </w:rPr>
        <w:t>年出生，</w:t>
      </w:r>
      <w:r>
        <w:rPr>
          <w:rFonts w:ascii="新宋体" w:hAnsi="新宋体" w:cs="新宋体" w:eastAsia="新宋体" w:hint="default"/>
          <w:spacing w:val="-3"/>
        </w:rPr>
        <w:t>EMBA</w:t>
      </w:r>
      <w:r>
        <w:rPr>
          <w:spacing w:val="-3"/>
        </w:rPr>
        <w:t>，曾任职于郑州晶体管厂核算处、郑州汽车客运总公司下</w:t>
      </w:r>
      <w:r>
        <w:rPr/>
        <w:t> </w:t>
      </w:r>
      <w:r>
        <w:rPr>
          <w:spacing w:val="-2"/>
        </w:rPr>
        <w:t>属科达电子厂会计科，</w:t>
      </w:r>
      <w:r>
        <w:rPr>
          <w:rFonts w:ascii="新宋体" w:hAnsi="新宋体" w:cs="新宋体" w:eastAsia="新宋体" w:hint="default"/>
          <w:spacing w:val="-2"/>
        </w:rPr>
        <w:t>1998</w:t>
      </w:r>
      <w:r>
        <w:rPr>
          <w:spacing w:val="-2"/>
        </w:rPr>
        <w:t>年</w:t>
      </w:r>
      <w:r>
        <w:rPr>
          <w:rFonts w:ascii="新宋体" w:hAnsi="新宋体" w:cs="新宋体" w:eastAsia="新宋体" w:hint="default"/>
          <w:spacing w:val="-2"/>
        </w:rPr>
        <w:t>9</w:t>
      </w:r>
      <w:r>
        <w:rPr>
          <w:spacing w:val="-2"/>
        </w:rPr>
        <w:t>月起就职于汉威电子。现任公司第二届董事会董事、董事会秘</w:t>
      </w:r>
      <w:r>
        <w:rPr>
          <w:spacing w:val="-114"/>
        </w:rPr>
        <w:t> </w:t>
      </w:r>
      <w:r>
        <w:rPr>
          <w:spacing w:val="-114"/>
        </w:rPr>
      </w:r>
      <w:r>
        <w:rPr/>
        <w:t>书、财务负责人。</w:t>
      </w:r>
    </w:p>
    <w:p>
      <w:pPr>
        <w:pStyle w:val="BodyText"/>
        <w:spacing w:line="357" w:lineRule="auto"/>
        <w:ind w:left="652" w:right="548" w:firstLine="372"/>
        <w:jc w:val="both"/>
      </w:pPr>
      <w:r>
        <w:rPr>
          <w:spacing w:val="-3"/>
        </w:rPr>
        <w:t>焦桂东，男，</w:t>
      </w:r>
      <w:r>
        <w:rPr>
          <w:rFonts w:ascii="新宋体" w:hAnsi="新宋体" w:cs="新宋体" w:eastAsia="新宋体" w:hint="default"/>
          <w:spacing w:val="-3"/>
        </w:rPr>
        <w:t>1972</w:t>
      </w:r>
      <w:r>
        <w:rPr>
          <w:spacing w:val="-3"/>
        </w:rPr>
        <w:t>年出生，大学专科学历。曾任职于广东东莞励扬集团横江电子厂、浙江</w:t>
      </w:r>
      <w:r>
        <w:rPr/>
        <w:t> </w:t>
      </w:r>
      <w:r>
        <w:rPr>
          <w:spacing w:val="-2"/>
        </w:rPr>
        <w:t>庄吉集团郑州分公司、郑州三华科技实业有限公司。现任公司第二届董事会董事、副总经理。</w:t>
      </w:r>
    </w:p>
    <w:p>
      <w:pPr>
        <w:pStyle w:val="BodyText"/>
        <w:spacing w:line="357" w:lineRule="auto"/>
        <w:ind w:left="652" w:right="590" w:firstLine="372"/>
        <w:jc w:val="both"/>
      </w:pPr>
      <w:r>
        <w:rPr>
          <w:spacing w:val="-3"/>
        </w:rPr>
        <w:t>张小水，男，</w:t>
      </w:r>
      <w:r>
        <w:rPr>
          <w:rFonts w:ascii="新宋体" w:hAnsi="新宋体" w:cs="新宋体" w:eastAsia="新宋体" w:hint="default"/>
          <w:spacing w:val="-3"/>
        </w:rPr>
        <w:t>1963</w:t>
      </w:r>
      <w:r>
        <w:rPr>
          <w:spacing w:val="-3"/>
        </w:rPr>
        <w:t>年出生，大学本科学历，高级工程师，</w:t>
      </w:r>
      <w:r>
        <w:rPr>
          <w:rFonts w:ascii="新宋体" w:hAnsi="新宋体" w:cs="新宋体" w:eastAsia="新宋体" w:hint="default"/>
          <w:spacing w:val="-3"/>
        </w:rPr>
        <w:t>1987</w:t>
      </w:r>
      <w:r>
        <w:rPr>
          <w:spacing w:val="-3"/>
        </w:rPr>
        <w:t>年毕业于吉林大学电子科学</w:t>
      </w:r>
      <w:r>
        <w:rPr/>
        <w:t> </w:t>
      </w:r>
      <w:r>
        <w:rPr>
          <w:spacing w:val="-2"/>
        </w:rPr>
        <w:t>系半导体化学专业。曾任职于郑州晶体管厂、郑州汽车客运总公司下属科达电子厂，</w:t>
      </w:r>
      <w:r>
        <w:rPr>
          <w:rFonts w:ascii="新宋体" w:hAnsi="新宋体" w:cs="新宋体" w:eastAsia="新宋体" w:hint="default"/>
          <w:spacing w:val="-2"/>
        </w:rPr>
        <w:t>2004</w:t>
      </w:r>
      <w:r>
        <w:rPr>
          <w:spacing w:val="-2"/>
        </w:rPr>
        <w:t>年</w:t>
      </w:r>
      <w:r>
        <w:rPr>
          <w:rFonts w:ascii="新宋体" w:hAnsi="新宋体" w:cs="新宋体" w:eastAsia="新宋体" w:hint="default"/>
          <w:spacing w:val="-2"/>
        </w:rPr>
        <w:t>1</w:t>
      </w:r>
      <w:r>
        <w:rPr>
          <w:rFonts w:ascii="新宋体" w:hAnsi="新宋体" w:cs="新宋体" w:eastAsia="新宋体" w:hint="default"/>
          <w:spacing w:val="-113"/>
        </w:rPr>
        <w:t> </w:t>
      </w:r>
      <w:r>
        <w:rPr/>
        <w:t>月起担任公司子公司郑州炜盛电子科技有限公司总工程师，</w:t>
      </w:r>
      <w:r>
        <w:rPr>
          <w:rFonts w:ascii="新宋体" w:hAnsi="新宋体" w:cs="新宋体" w:eastAsia="新宋体" w:hint="default"/>
        </w:rPr>
        <w:t>2008</w:t>
      </w:r>
      <w:r>
        <w:rPr/>
        <w:t>年</w:t>
      </w:r>
      <w:r>
        <w:rPr>
          <w:rFonts w:ascii="新宋体" w:hAnsi="新宋体" w:cs="新宋体" w:eastAsia="新宋体" w:hint="default"/>
        </w:rPr>
        <w:t>8</w:t>
      </w:r>
      <w:r>
        <w:rPr/>
        <w:t>月起担任公司总工程师，</w:t>
      </w:r>
    </w:p>
    <w:p>
      <w:pPr>
        <w:spacing w:after="0" w:line="357" w:lineRule="auto"/>
        <w:jc w:val="both"/>
        <w:sectPr>
          <w:pgSz w:w="11910" w:h="16840"/>
          <w:pgMar w:header="555" w:footer="980" w:top="1100" w:bottom="1160" w:left="480" w:right="460"/>
        </w:sectPr>
      </w:pPr>
    </w:p>
    <w:p>
      <w:pPr>
        <w:spacing w:line="240" w:lineRule="auto" w:before="7"/>
        <w:rPr>
          <w:rFonts w:ascii="新宋体" w:hAnsi="新宋体" w:cs="新宋体" w:eastAsia="新宋体" w:hint="default"/>
          <w:sz w:val="25"/>
          <w:szCs w:val="25"/>
        </w:rPr>
      </w:pPr>
    </w:p>
    <w:p>
      <w:pPr>
        <w:pStyle w:val="BodyText"/>
        <w:spacing w:line="357" w:lineRule="auto" w:before="26"/>
        <w:ind w:left="525" w:right="105" w:hanging="373"/>
        <w:jc w:val="left"/>
      </w:pPr>
      <w:r>
        <w:rPr/>
        <w:t>自</w:t>
      </w:r>
      <w:r>
        <w:rPr>
          <w:rFonts w:ascii="新宋体" w:hAnsi="新宋体" w:cs="新宋体" w:eastAsia="新宋体" w:hint="default"/>
        </w:rPr>
        <w:t>2009</w:t>
      </w:r>
      <w:r>
        <w:rPr/>
        <w:t>年</w:t>
      </w:r>
      <w:r>
        <w:rPr>
          <w:rFonts w:ascii="新宋体" w:hAnsi="新宋体" w:cs="新宋体" w:eastAsia="新宋体" w:hint="default"/>
        </w:rPr>
        <w:t>5</w:t>
      </w:r>
      <w:r>
        <w:rPr/>
        <w:t>月</w:t>
      </w:r>
      <w:r>
        <w:rPr>
          <w:rFonts w:ascii="新宋体" w:hAnsi="新宋体" w:cs="新宋体" w:eastAsia="新宋体" w:hint="default"/>
        </w:rPr>
        <w:t>6</w:t>
      </w:r>
      <w:r>
        <w:rPr/>
        <w:t>日被任命为炜盛电子法定代表人。现任公司第二届董事会董事、总工程师。 </w:t>
      </w:r>
      <w:r>
        <w:rPr>
          <w:spacing w:val="-3"/>
        </w:rPr>
        <w:t>高天增，男，</w:t>
      </w:r>
      <w:r>
        <w:rPr>
          <w:rFonts w:ascii="新宋体" w:hAnsi="新宋体" w:cs="新宋体" w:eastAsia="新宋体" w:hint="default"/>
          <w:spacing w:val="-3"/>
        </w:rPr>
        <w:t>1960</w:t>
      </w:r>
      <w:r>
        <w:rPr>
          <w:spacing w:val="-3"/>
        </w:rPr>
        <w:t>年出生，中国农业大学博士，现任河南广安生物科技股份有限公司董事</w:t>
      </w:r>
    </w:p>
    <w:p>
      <w:pPr>
        <w:pStyle w:val="BodyText"/>
        <w:spacing w:line="357" w:lineRule="auto"/>
        <w:ind w:right="231"/>
        <w:jc w:val="both"/>
      </w:pPr>
      <w:r>
        <w:rPr>
          <w:spacing w:val="-2"/>
        </w:rPr>
        <w:t>长兼总裁。高天增先生为中国人民大学农村与农业发展学院兼职教授、河南财经学院</w:t>
      </w:r>
      <w:r>
        <w:rPr>
          <w:rFonts w:ascii="新宋体" w:hAnsi="新宋体" w:cs="新宋体" w:eastAsia="新宋体" w:hint="default"/>
          <w:spacing w:val="-2"/>
        </w:rPr>
        <w:t>MBA</w:t>
      </w:r>
      <w:r>
        <w:rPr>
          <w:spacing w:val="-2"/>
        </w:rPr>
        <w:t>中心</w:t>
      </w:r>
      <w:r>
        <w:rPr>
          <w:spacing w:val="-116"/>
        </w:rPr>
        <w:t> </w:t>
      </w:r>
      <w:r>
        <w:rPr/>
        <w:t>荣誉教授、河南省工商联副主席、河南省政协委员、郑州市人大代表，撰写了企业管理经典</w:t>
      </w:r>
      <w:r>
        <w:rPr>
          <w:spacing w:val="-91"/>
        </w:rPr>
        <w:t> </w:t>
      </w:r>
      <w:r>
        <w:rPr>
          <w:spacing w:val="-91"/>
        </w:rPr>
      </w:r>
      <w:r>
        <w:rPr/>
        <w:t>专著《中用管理》及《天增文集》，并在国家级刊物上发表企业管理类论文数十篇。现任公</w:t>
      </w:r>
      <w:r>
        <w:rPr>
          <w:spacing w:val="-91"/>
        </w:rPr>
        <w:t> </w:t>
      </w:r>
      <w:r>
        <w:rPr>
          <w:spacing w:val="-91"/>
        </w:rPr>
      </w:r>
      <w:r>
        <w:rPr/>
        <w:t>司第二届董事会董事。</w:t>
      </w:r>
    </w:p>
    <w:p>
      <w:pPr>
        <w:pStyle w:val="BodyText"/>
        <w:spacing w:line="357" w:lineRule="auto"/>
        <w:ind w:right="233" w:firstLine="372"/>
        <w:jc w:val="both"/>
      </w:pPr>
      <w:r>
        <w:rPr>
          <w:spacing w:val="-3"/>
        </w:rPr>
        <w:t>庄行方，男，</w:t>
      </w:r>
      <w:r>
        <w:rPr>
          <w:rFonts w:ascii="新宋体" w:hAnsi="新宋体" w:cs="新宋体" w:eastAsia="新宋体" w:hint="default"/>
          <w:spacing w:val="-3"/>
        </w:rPr>
        <w:t>1948</w:t>
      </w:r>
      <w:r>
        <w:rPr>
          <w:spacing w:val="-3"/>
        </w:rPr>
        <w:t>年出生，硕士研究生，高级经济师，高级会计师，历任中国电子信息产</w:t>
      </w:r>
      <w:r>
        <w:rPr/>
        <w:t> 业发展研究院副主任、副院长，香港上市公司（</w:t>
      </w:r>
      <w:r>
        <w:rPr>
          <w:rFonts w:ascii="新宋体" w:hAnsi="新宋体" w:cs="新宋体" w:eastAsia="新宋体" w:hint="default"/>
        </w:rPr>
        <w:t>HK8235</w:t>
      </w:r>
      <w:r>
        <w:rPr/>
        <w:t>）赛迪顾问股份有限公司董事长，自</w:t>
      </w:r>
      <w:r>
        <w:rPr>
          <w:spacing w:val="-91"/>
        </w:rPr>
        <w:t> </w:t>
      </w:r>
      <w:r>
        <w:rPr>
          <w:spacing w:val="-91"/>
        </w:rPr>
      </w:r>
      <w:r>
        <w:rPr>
          <w:rFonts w:ascii="新宋体" w:hAnsi="新宋体" w:cs="新宋体" w:eastAsia="新宋体" w:hint="default"/>
        </w:rPr>
        <w:t>1999</w:t>
      </w:r>
      <w:r>
        <w:rPr/>
        <w:t>年起至今先后任中国电子会计学会副会长，中国信息化推进联盟副会长，中国电子资深</w:t>
      </w:r>
      <w:r>
        <w:rPr>
          <w:spacing w:val="-91"/>
        </w:rPr>
        <w:t> </w:t>
      </w:r>
      <w:r>
        <w:rPr>
          <w:spacing w:val="-91"/>
        </w:rPr>
      </w:r>
      <w:r>
        <w:rPr/>
        <w:t>专家委员会委员、资深经济专家，同时兼任华东科技股份有限公司独立董事。现任公司第二</w:t>
      </w:r>
      <w:r>
        <w:rPr>
          <w:spacing w:val="-86"/>
        </w:rPr>
        <w:t> </w:t>
      </w:r>
      <w:r>
        <w:rPr>
          <w:spacing w:val="-86"/>
        </w:rPr>
      </w:r>
      <w:r>
        <w:rPr/>
        <w:t>届董事会独立董事。</w:t>
      </w:r>
    </w:p>
    <w:p>
      <w:pPr>
        <w:pStyle w:val="BodyText"/>
        <w:spacing w:line="357" w:lineRule="auto"/>
        <w:ind w:right="235" w:firstLine="372"/>
        <w:jc w:val="both"/>
      </w:pPr>
      <w:r>
        <w:rPr>
          <w:spacing w:val="-3"/>
        </w:rPr>
        <w:t>李颖江，男，</w:t>
      </w:r>
      <w:r>
        <w:rPr>
          <w:rFonts w:ascii="新宋体" w:hAnsi="新宋体" w:cs="新宋体" w:eastAsia="新宋体" w:hint="default"/>
          <w:spacing w:val="-3"/>
        </w:rPr>
        <w:t>1959</w:t>
      </w:r>
      <w:r>
        <w:rPr>
          <w:spacing w:val="-3"/>
        </w:rPr>
        <w:t>年出生，大学本科学历，曾任化学工业部设计公司职员、北京化工管理</w:t>
      </w:r>
      <w:r>
        <w:rPr/>
        <w:t> 干部学院主任科员、化学工业部党校函授班班主任、《中国石油和化工》杂志社首席摄影记</w:t>
      </w:r>
      <w:r>
        <w:rPr>
          <w:spacing w:val="-91"/>
        </w:rPr>
        <w:t> </w:t>
      </w:r>
      <w:r>
        <w:rPr>
          <w:spacing w:val="-91"/>
        </w:rPr>
      </w:r>
      <w:r>
        <w:rPr/>
        <w:t>者、广告发行部主任，现任中国石油和化学工业联合会《中国石油和化工经济分析》杂志市</w:t>
      </w:r>
      <w:r>
        <w:rPr>
          <w:spacing w:val="-91"/>
        </w:rPr>
        <w:t> </w:t>
      </w:r>
      <w:r>
        <w:rPr>
          <w:spacing w:val="-91"/>
        </w:rPr>
      </w:r>
      <w:r>
        <w:rPr/>
        <w:t>场总监。现任公司第二届董事会独立董事。</w:t>
      </w:r>
    </w:p>
    <w:p>
      <w:pPr>
        <w:pStyle w:val="BodyText"/>
        <w:spacing w:line="357" w:lineRule="auto" w:before="77"/>
        <w:ind w:right="104" w:firstLine="360"/>
        <w:jc w:val="left"/>
      </w:pPr>
      <w:r>
        <w:rPr>
          <w:spacing w:val="-5"/>
        </w:rPr>
        <w:t>王思鹏，</w:t>
      </w:r>
      <w:r>
        <w:rPr>
          <w:rFonts w:ascii="新宋体" w:hAnsi="新宋体" w:cs="新宋体" w:eastAsia="新宋体" w:hint="default"/>
          <w:spacing w:val="-5"/>
        </w:rPr>
        <w:t>1963</w:t>
      </w:r>
      <w:r>
        <w:rPr>
          <w:spacing w:val="-5"/>
        </w:rPr>
        <w:t>年出生，河南理工大学采矿工程专业博士，曾任鹤煤（集团）公司六矿矿长、</w:t>
      </w:r>
      <w:r>
        <w:rPr/>
        <w:t> 生产部部长、项目建设部部长、副总工程师、总工程师，河南省煤层气开发利用有限公司总</w:t>
      </w:r>
      <w:r>
        <w:rPr>
          <w:spacing w:val="-91"/>
        </w:rPr>
        <w:t> </w:t>
      </w:r>
      <w:r>
        <w:rPr>
          <w:spacing w:val="-91"/>
        </w:rPr>
      </w:r>
      <w:r>
        <w:rPr/>
        <w:t>经理，现任公司第二届董事会独立董事。</w:t>
      </w:r>
    </w:p>
    <w:p>
      <w:pPr>
        <w:pStyle w:val="BodyText"/>
        <w:spacing w:line="357" w:lineRule="auto" w:before="74"/>
        <w:ind w:left="525" w:right="105"/>
        <w:jc w:val="left"/>
      </w:pPr>
      <w:r>
        <w:rPr>
          <w:rFonts w:ascii="新宋体" w:hAnsi="新宋体" w:cs="新宋体" w:eastAsia="新宋体" w:hint="default"/>
        </w:rPr>
        <w:t>2</w:t>
      </w:r>
      <w:r>
        <w:rPr/>
        <w:t>、监事会成员 </w:t>
      </w:r>
      <w:r>
        <w:rPr>
          <w:spacing w:val="-3"/>
        </w:rPr>
        <w:t>张艳丽，女，</w:t>
      </w:r>
      <w:r>
        <w:rPr>
          <w:rFonts w:ascii="新宋体" w:hAnsi="新宋体" w:cs="新宋体" w:eastAsia="新宋体" w:hint="default"/>
          <w:spacing w:val="-3"/>
        </w:rPr>
        <w:t>1972</w:t>
      </w:r>
      <w:r>
        <w:rPr>
          <w:spacing w:val="-3"/>
        </w:rPr>
        <w:t>年出生，大学专科学历。曾任职于郑州晶体管厂、郑州汽车客运总公司</w:t>
      </w:r>
    </w:p>
    <w:p>
      <w:pPr>
        <w:pStyle w:val="BodyText"/>
        <w:spacing w:line="357" w:lineRule="auto"/>
        <w:ind w:right="232"/>
        <w:jc w:val="both"/>
      </w:pPr>
      <w:r>
        <w:rPr>
          <w:spacing w:val="-2"/>
        </w:rPr>
        <w:t>下属科达电子厂，</w:t>
      </w:r>
      <w:r>
        <w:rPr>
          <w:rFonts w:ascii="新宋体" w:hAnsi="新宋体" w:cs="新宋体" w:eastAsia="新宋体" w:hint="default"/>
          <w:spacing w:val="-2"/>
        </w:rPr>
        <w:t>1998</w:t>
      </w:r>
      <w:r>
        <w:rPr>
          <w:spacing w:val="-2"/>
        </w:rPr>
        <w:t>年</w:t>
      </w:r>
      <w:r>
        <w:rPr>
          <w:rFonts w:ascii="新宋体" w:hAnsi="新宋体" w:cs="新宋体" w:eastAsia="新宋体" w:hint="default"/>
          <w:spacing w:val="-2"/>
        </w:rPr>
        <w:t>9</w:t>
      </w:r>
      <w:r>
        <w:rPr>
          <w:spacing w:val="-2"/>
        </w:rPr>
        <w:t>月起就职于公司前身河南汉威电子有限公司。现任公司第二届监事</w:t>
      </w:r>
      <w:r>
        <w:rPr>
          <w:spacing w:val="-116"/>
        </w:rPr>
        <w:t> </w:t>
      </w:r>
      <w:r>
        <w:rPr>
          <w:spacing w:val="-116"/>
        </w:rPr>
      </w:r>
      <w:r>
        <w:rPr/>
        <w:t>会监事会主席、公司审计部经理。</w:t>
      </w:r>
    </w:p>
    <w:p>
      <w:pPr>
        <w:pStyle w:val="BodyText"/>
        <w:spacing w:line="357" w:lineRule="auto"/>
        <w:ind w:right="231" w:firstLine="372"/>
        <w:jc w:val="both"/>
      </w:pPr>
      <w:r>
        <w:rPr>
          <w:spacing w:val="3"/>
        </w:rPr>
        <w:t>尚中锋，男，</w:t>
      </w:r>
      <w:r>
        <w:rPr>
          <w:rFonts w:ascii="新宋体" w:hAnsi="新宋体" w:cs="新宋体" w:eastAsia="新宋体" w:hint="default"/>
          <w:spacing w:val="3"/>
        </w:rPr>
        <w:t>1972</w:t>
      </w:r>
      <w:r>
        <w:rPr>
          <w:spacing w:val="3"/>
        </w:rPr>
        <w:t>年出生，毕业于郑州大学化学系，曾任职于郑州市油泵油嘴厂，</w:t>
      </w:r>
      <w:r>
        <w:rPr>
          <w:rFonts w:ascii="新宋体" w:hAnsi="新宋体" w:cs="新宋体" w:eastAsia="新宋体" w:hint="default"/>
          <w:spacing w:val="3"/>
        </w:rPr>
        <w:t>2000</w:t>
      </w:r>
      <w:r>
        <w:rPr>
          <w:rFonts w:ascii="新宋体" w:hAnsi="新宋体" w:cs="新宋体" w:eastAsia="新宋体" w:hint="default"/>
        </w:rPr>
        <w:t> </w:t>
      </w:r>
      <w:r>
        <w:rPr/>
        <w:t>年起就职于公司前身河南汉威电子有限公司。现任公司第二届监事会监事。</w:t>
      </w:r>
    </w:p>
    <w:p>
      <w:pPr>
        <w:pStyle w:val="BodyText"/>
        <w:spacing w:line="388" w:lineRule="auto"/>
        <w:ind w:left="573" w:right="105" w:hanging="48"/>
        <w:jc w:val="left"/>
      </w:pPr>
      <w:r>
        <w:rPr/>
        <w:t>祁明锋，男，</w:t>
      </w:r>
      <w:r>
        <w:rPr>
          <w:rFonts w:ascii="新宋体" w:hAnsi="新宋体" w:cs="新宋体" w:eastAsia="新宋体" w:hint="default"/>
        </w:rPr>
        <w:t>1981</w:t>
      </w:r>
      <w:r>
        <w:rPr/>
        <w:t>年出生，大学本科学历，工程师。现任公司第二届监事会职工监事。 </w:t>
      </w:r>
      <w:r>
        <w:rPr>
          <w:rFonts w:ascii="新宋体" w:hAnsi="新宋体" w:cs="新宋体" w:eastAsia="新宋体" w:hint="default"/>
        </w:rPr>
        <w:t>3</w:t>
      </w:r>
      <w:r>
        <w:rPr/>
        <w:t>、高级管理人员 </w:t>
      </w:r>
      <w:r>
        <w:rPr>
          <w:spacing w:val="-1"/>
        </w:rPr>
        <w:t>张志广，男，</w:t>
      </w:r>
      <w:r>
        <w:rPr>
          <w:rFonts w:ascii="新宋体" w:hAnsi="新宋体" w:cs="新宋体" w:eastAsia="新宋体" w:hint="default"/>
          <w:spacing w:val="-1"/>
        </w:rPr>
        <w:t>1975</w:t>
      </w:r>
      <w:r>
        <w:rPr>
          <w:spacing w:val="-1"/>
        </w:rPr>
        <w:t>年出生，大学本科学历，曾就职于金蝶国际集团。</w:t>
      </w:r>
      <w:r>
        <w:rPr>
          <w:rFonts w:ascii="新宋体" w:hAnsi="新宋体" w:cs="新宋体" w:eastAsia="新宋体" w:hint="default"/>
          <w:spacing w:val="-1"/>
        </w:rPr>
        <w:t>2007</w:t>
      </w:r>
      <w:r>
        <w:rPr>
          <w:spacing w:val="-1"/>
        </w:rPr>
        <w:t>年</w:t>
      </w:r>
      <w:r>
        <w:rPr>
          <w:rFonts w:ascii="新宋体" w:hAnsi="新宋体" w:cs="新宋体" w:eastAsia="新宋体" w:hint="default"/>
          <w:spacing w:val="-1"/>
        </w:rPr>
        <w:t>8</w:t>
      </w:r>
      <w:r>
        <w:rPr>
          <w:spacing w:val="-1"/>
        </w:rPr>
        <w:t>月起就职于</w:t>
      </w:r>
    </w:p>
    <w:p>
      <w:pPr>
        <w:pStyle w:val="BodyText"/>
        <w:spacing w:line="240" w:lineRule="auto" w:before="5"/>
        <w:ind w:right="0"/>
        <w:jc w:val="both"/>
      </w:pPr>
      <w:r>
        <w:rPr/>
        <w:t>公司，现任公司总经理。</w:t>
      </w:r>
    </w:p>
    <w:p>
      <w:pPr>
        <w:pStyle w:val="BodyText"/>
        <w:spacing w:line="240" w:lineRule="auto" w:before="154"/>
        <w:ind w:left="573" w:right="105"/>
        <w:jc w:val="left"/>
      </w:pPr>
      <w:r>
        <w:rPr/>
        <w:t>徐克，</w:t>
      </w:r>
      <w:r>
        <w:rPr>
          <w:rFonts w:ascii="新宋体" w:hAnsi="新宋体" w:cs="新宋体" w:eastAsia="新宋体" w:hint="default"/>
        </w:rPr>
        <w:t>1965</w:t>
      </w:r>
      <w:r>
        <w:rPr>
          <w:rFonts w:ascii="新宋体" w:hAnsi="新宋体" w:cs="新宋体" w:eastAsia="新宋体" w:hint="default"/>
          <w:spacing w:val="14"/>
        </w:rPr>
        <w:t> </w:t>
      </w:r>
      <w:r>
        <w:rPr>
          <w:spacing w:val="2"/>
        </w:rPr>
        <w:t>年出生，</w:t>
      </w:r>
      <w:r>
        <w:rPr>
          <w:rFonts w:ascii="新宋体" w:hAnsi="新宋体" w:cs="新宋体" w:eastAsia="新宋体" w:hint="default"/>
          <w:spacing w:val="2"/>
        </w:rPr>
        <w:t>MBA</w:t>
      </w:r>
      <w:r>
        <w:rPr>
          <w:spacing w:val="2"/>
        </w:rPr>
        <w:t>，曾就职于河南恒星科技股份有限公司，自</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4</w:t>
      </w:r>
      <w:r>
        <w:rPr>
          <w:spacing w:val="2"/>
        </w:rPr>
        <w:t>月</w:t>
      </w:r>
      <w:r>
        <w:rPr>
          <w:rFonts w:ascii="新宋体" w:hAnsi="新宋体" w:cs="新宋体" w:eastAsia="新宋体" w:hint="default"/>
          <w:spacing w:val="2"/>
        </w:rPr>
        <w:t>6</w:t>
      </w:r>
      <w:r>
        <w:rPr>
          <w:spacing w:val="2"/>
        </w:rPr>
        <w:t>日起任</w:t>
      </w:r>
      <w:r>
        <w:rPr/>
      </w:r>
    </w:p>
    <w:p>
      <w:pPr>
        <w:spacing w:after="0" w:line="240"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left="693" w:right="593" w:hanging="421"/>
        <w:jc w:val="left"/>
      </w:pPr>
      <w:r>
        <w:rPr/>
        <w:t>职公司常务副总经理。 刘瑞玲，现任公司董事会秘书、财务负责人，简历详见本节之“董事会成员”介绍。 张小水，现任公司总工程师，简历详见本节之“董事会成员”介绍。 焦桂东，现任公司副总经理，简历详见本节之“董事会成员”介绍。</w:t>
      </w:r>
    </w:p>
    <w:p>
      <w:pPr>
        <w:pStyle w:val="BodyText"/>
        <w:spacing w:line="357" w:lineRule="auto"/>
        <w:ind w:left="272" w:right="284" w:firstLine="420"/>
        <w:jc w:val="both"/>
      </w:pPr>
      <w:r>
        <w:rPr/>
        <w:t>刘焱，男，</w:t>
      </w:r>
      <w:r>
        <w:rPr>
          <w:rFonts w:ascii="新宋体" w:hAnsi="新宋体" w:cs="新宋体" w:eastAsia="新宋体" w:hint="default"/>
        </w:rPr>
        <w:t>1977</w:t>
      </w:r>
      <w:r>
        <w:rPr/>
        <w:t>年出生，曾任职升荣（东莞）电子有限公司、中安科技集团有限公司， </w:t>
      </w:r>
      <w:r>
        <w:rPr>
          <w:rFonts w:ascii="新宋体" w:hAnsi="新宋体" w:cs="新宋体" w:eastAsia="新宋体" w:hint="default"/>
        </w:rPr>
        <w:t>2007</w:t>
      </w:r>
      <w:r>
        <w:rPr/>
        <w:t>年</w:t>
      </w:r>
      <w:r>
        <w:rPr>
          <w:rFonts w:ascii="新宋体" w:hAnsi="新宋体" w:cs="新宋体" w:eastAsia="新宋体" w:hint="default"/>
        </w:rPr>
        <w:t>5</w:t>
      </w:r>
      <w:r>
        <w:rPr/>
        <w:t>月就职于公司，现任公司副总经理。</w:t>
      </w:r>
    </w:p>
    <w:p>
      <w:pPr>
        <w:pStyle w:val="BodyText"/>
        <w:spacing w:line="357" w:lineRule="auto"/>
        <w:ind w:left="272" w:right="274" w:firstLine="420"/>
        <w:jc w:val="both"/>
      </w:pPr>
      <w:r>
        <w:rPr>
          <w:spacing w:val="2"/>
        </w:rPr>
        <w:t>苗国珍（已离任），</w:t>
      </w:r>
      <w:r>
        <w:rPr>
          <w:rFonts w:ascii="新宋体" w:hAnsi="新宋体" w:cs="新宋体" w:eastAsia="新宋体" w:hint="default"/>
          <w:spacing w:val="2"/>
        </w:rPr>
        <w:t>1972</w:t>
      </w:r>
      <w:r>
        <w:rPr>
          <w:spacing w:val="2"/>
        </w:rPr>
        <w:t>年出生，大学本科学历，注册会计师，注册税务师。曾任郑州 </w:t>
      </w:r>
      <w:r>
        <w:rPr/>
        <w:t>军安消防技术工程有限公司财务部经理。曾于</w:t>
      </w:r>
      <w:r>
        <w:rPr>
          <w:rFonts w:ascii="新宋体" w:hAnsi="新宋体" w:cs="新宋体" w:eastAsia="新宋体" w:hint="default"/>
        </w:rPr>
        <w:t>2012</w:t>
      </w:r>
      <w:r>
        <w:rPr/>
        <w:t>年</w:t>
      </w:r>
      <w:r>
        <w:rPr>
          <w:rFonts w:ascii="新宋体" w:hAnsi="新宋体" w:cs="新宋体" w:eastAsia="新宋体" w:hint="default"/>
        </w:rPr>
        <w:t>3</w:t>
      </w:r>
      <w:r>
        <w:rPr/>
        <w:t>月</w:t>
      </w:r>
      <w:r>
        <w:rPr>
          <w:rFonts w:ascii="新宋体" w:hAnsi="新宋体" w:cs="新宋体" w:eastAsia="新宋体" w:hint="default"/>
        </w:rPr>
        <w:t>31</w:t>
      </w:r>
      <w:r>
        <w:rPr/>
        <w:t>日至</w:t>
      </w:r>
      <w:r>
        <w:rPr>
          <w:rFonts w:ascii="新宋体" w:hAnsi="新宋体" w:cs="新宋体" w:eastAsia="新宋体" w:hint="default"/>
        </w:rPr>
        <w:t>2013</w:t>
      </w:r>
      <w:r>
        <w:rPr/>
        <w:t>年</w:t>
      </w:r>
      <w:r>
        <w:rPr>
          <w:rFonts w:ascii="新宋体" w:hAnsi="新宋体" w:cs="新宋体" w:eastAsia="新宋体" w:hint="default"/>
        </w:rPr>
        <w:t>2</w:t>
      </w:r>
      <w:r>
        <w:rPr/>
        <w:t>月</w:t>
      </w:r>
      <w:r>
        <w:rPr>
          <w:rFonts w:ascii="新宋体" w:hAnsi="新宋体" w:cs="新宋体" w:eastAsia="新宋体" w:hint="default"/>
        </w:rPr>
        <w:t>22</w:t>
      </w:r>
      <w:r>
        <w:rPr/>
        <w:t>日期间任公司财</w:t>
      </w:r>
      <w:r>
        <w:rPr>
          <w:spacing w:val="-88"/>
        </w:rPr>
        <w:t> </w:t>
      </w:r>
      <w:r>
        <w:rPr>
          <w:spacing w:val="-88"/>
        </w:rPr>
      </w:r>
      <w:r>
        <w:rPr/>
        <w:t>务负责人，因个人身体原因调整工作岗位。</w:t>
      </w:r>
    </w:p>
    <w:p>
      <w:pPr>
        <w:pStyle w:val="BodyText"/>
        <w:spacing w:line="240" w:lineRule="auto" w:before="77"/>
        <w:ind w:left="698" w:right="6274"/>
        <w:jc w:val="left"/>
      </w:pPr>
      <w:r>
        <w:rPr/>
        <w:t>在股东单位任职情况</w:t>
      </w:r>
    </w:p>
    <w:p>
      <w:pPr>
        <w:pStyle w:val="BodyText"/>
        <w:spacing w:line="388" w:lineRule="auto" w:before="192"/>
        <w:ind w:left="698" w:right="7308"/>
        <w:jc w:val="left"/>
      </w:pPr>
      <w:r>
        <w:rPr/>
        <w:t>□ 适用 √</w:t>
      </w:r>
      <w:r>
        <w:rPr>
          <w:spacing w:val="-1"/>
        </w:rPr>
        <w:t> </w:t>
      </w:r>
      <w:r>
        <w:rPr/>
        <w:t>不适用</w:t>
      </w:r>
      <w:r>
        <w:rPr/>
        <w:t> 在其他单位任职情况</w:t>
      </w:r>
    </w:p>
    <w:p>
      <w:pPr>
        <w:pStyle w:val="BodyText"/>
        <w:spacing w:line="240" w:lineRule="auto" w:before="46"/>
        <w:ind w:left="698" w:right="6274"/>
        <w:jc w:val="left"/>
      </w:pPr>
      <w:r>
        <w:rPr/>
        <w:t>√ 适用 □</w:t>
      </w:r>
      <w:r>
        <w:rPr>
          <w:spacing w:val="-1"/>
        </w:rPr>
        <w:t> </w:t>
      </w:r>
      <w:r>
        <w:rPr/>
        <w:t>不适用</w:t>
      </w:r>
    </w:p>
    <w:p>
      <w:pPr>
        <w:spacing w:line="240" w:lineRule="auto" w:before="10"/>
        <w:rPr>
          <w:rFonts w:ascii="新宋体" w:hAnsi="新宋体" w:cs="新宋体" w:eastAsia="新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200"/>
        <w:gridCol w:w="2583"/>
        <w:gridCol w:w="1418"/>
        <w:gridCol w:w="1558"/>
        <w:gridCol w:w="1573"/>
        <w:gridCol w:w="1594"/>
      </w:tblGrid>
      <w:tr>
        <w:trPr>
          <w:trHeight w:val="727" w:hRule="exact"/>
        </w:trPr>
        <w:tc>
          <w:tcPr>
            <w:tcW w:w="120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5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1"/>
              <w:ind w:left="431"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5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新宋体" w:hAnsi="新宋体" w:cs="新宋体" w:eastAsia="新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4" w:lineRule="auto" w:before="51"/>
              <w:ind w:left="340" w:right="6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8" w:hRule="exact"/>
        </w:trPr>
        <w:tc>
          <w:tcPr>
            <w:tcW w:w="1200"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before="4"/>
              <w:ind w:right="0"/>
              <w:jc w:val="left"/>
              <w:rPr>
                <w:rFonts w:ascii="新宋体" w:hAnsi="新宋体" w:cs="新宋体" w:eastAsia="新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全国气湿敏传感技术专业委员会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200" w:type="dxa"/>
            <w:vMerge/>
            <w:tcBorders>
              <w:left w:val="single" w:sz="12" w:space="0" w:color="000000"/>
              <w:right w:val="single" w:sz="6" w:space="0" w:color="000000"/>
            </w:tcBorders>
          </w:tcPr>
          <w:p>
            <w:pP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传感器分会副理 事长</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32" w:hRule="exact"/>
        </w:trPr>
        <w:tc>
          <w:tcPr>
            <w:tcW w:w="1200" w:type="dxa"/>
            <w:vMerge/>
            <w:tcBorders>
              <w:left w:val="single" w:sz="12" w:space="0" w:color="000000"/>
              <w:right w:val="single" w:sz="6" w:space="0" w:color="000000"/>
            </w:tcBorders>
          </w:tcPr>
          <w:p>
            <w:pP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郑州大学物理工程学院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19" w:firstLine="50"/>
              <w:jc w:val="both"/>
              <w:rPr>
                <w:rFonts w:ascii="宋体" w:hAnsi="宋体" w:cs="宋体" w:eastAsia="宋体" w:hint="default"/>
                <w:sz w:val="18"/>
                <w:szCs w:val="18"/>
              </w:rPr>
            </w:pPr>
            <w:r>
              <w:rPr>
                <w:rFonts w:ascii="宋体" w:hAnsi="宋体" w:cs="宋体" w:eastAsia="宋体" w:hint="default"/>
                <w:sz w:val="18"/>
                <w:szCs w:val="18"/>
              </w:rPr>
              <w:t>兼职硕士研究生 </w:t>
            </w:r>
            <w:r>
              <w:rPr>
                <w:rFonts w:ascii="宋体" w:hAnsi="宋体" w:cs="宋体" w:eastAsia="宋体" w:hint="default"/>
                <w:spacing w:val="-10"/>
                <w:sz w:val="18"/>
                <w:szCs w:val="18"/>
              </w:rPr>
              <w:t>导师、化学工程学</w:t>
            </w:r>
            <w:r>
              <w:rPr>
                <w:rFonts w:ascii="宋体" w:hAnsi="宋体" w:cs="宋体" w:eastAsia="宋体" w:hint="default"/>
                <w:sz w:val="18"/>
                <w:szCs w:val="18"/>
              </w:rPr>
              <w:t> 院硕士指导教师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before="13"/>
              <w:ind w:right="0"/>
              <w:jc w:val="left"/>
              <w:rPr>
                <w:rFonts w:ascii="新宋体" w:hAnsi="新宋体" w:cs="新宋体" w:eastAsia="新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before="13"/>
              <w:ind w:right="0"/>
              <w:jc w:val="left"/>
              <w:rPr>
                <w:rFonts w:ascii="新宋体" w:hAnsi="新宋体" w:cs="新宋体" w:eastAsia="新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12" w:space="0" w:color="000000"/>
              <w:bottom w:val="single" w:sz="6" w:space="0" w:color="000000"/>
              <w:right w:val="single" w:sz="6" w:space="0" w:color="000000"/>
            </w:tcBorders>
          </w:tcPr>
          <w:p>
            <w:pP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钟超</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郑州大学第一附属医院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主管护师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刘瑞玲</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张小水</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传感器分会副秘 书长</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val="restart"/>
            <w:tcBorders>
              <w:top w:val="single" w:sz="6" w:space="0" w:color="000000"/>
              <w:left w:val="single" w:sz="12" w:space="0" w:color="000000"/>
              <w:right w:val="single" w:sz="6" w:space="0" w:color="000000"/>
            </w:tcBorders>
          </w:tcPr>
          <w:p>
            <w:pPr>
              <w:pStyle w:val="TableParagraph"/>
              <w:spacing w:line="240" w:lineRule="auto" w:before="4"/>
              <w:ind w:right="0"/>
              <w:jc w:val="left"/>
              <w:rPr>
                <w:rFonts w:ascii="新宋体" w:hAnsi="新宋体" w:cs="新宋体" w:eastAsia="新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12" w:space="0" w:color="000000"/>
              <w:bottom w:val="single" w:sz="6" w:space="0" w:color="000000"/>
              <w:right w:val="single" w:sz="6" w:space="0" w:color="000000"/>
            </w:tcBorders>
          </w:tcPr>
          <w:p>
            <w:pP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高天增</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河南广安生物科技股份有限公司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董事长兼总裁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新宋体" w:hAnsi="新宋体" w:cs="新宋体" w:eastAsia="新宋体" w:hint="default"/>
                <w:sz w:val="18"/>
                <w:szCs w:val="18"/>
              </w:rPr>
            </w:pPr>
          </w:p>
          <w:p>
            <w:pPr>
              <w:pStyle w:val="TableParagraph"/>
              <w:spacing w:line="240" w:lineRule="auto" w:before="12"/>
              <w:ind w:right="0"/>
              <w:jc w:val="left"/>
              <w:rPr>
                <w:rFonts w:ascii="新宋体" w:hAnsi="新宋体" w:cs="新宋体" w:eastAsia="新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庄行方</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中国电子会计学会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副会长</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12" w:space="0" w:color="000000"/>
              <w:right w:val="single" w:sz="6" w:space="0" w:color="000000"/>
            </w:tcBorders>
          </w:tcPr>
          <w:p>
            <w:pP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中国电子总会计师协会</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副会长</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0" w:type="dxa"/>
            <w:vMerge/>
            <w:tcBorders>
              <w:left w:val="single" w:sz="12" w:space="0" w:color="000000"/>
              <w:bottom w:val="single" w:sz="12" w:space="0" w:color="000000"/>
              <w:right w:val="single" w:sz="6" w:space="0" w:color="000000"/>
            </w:tcBorders>
          </w:tcPr>
          <w:p>
            <w:pP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中国电子装备技术协会</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副会长</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555" w:footer="980" w:top="1100" w:bottom="1160" w:left="860" w:right="860"/>
        </w:sectPr>
      </w:pPr>
    </w:p>
    <w:p>
      <w:pPr>
        <w:spacing w:line="240" w:lineRule="auto" w:before="8"/>
        <w:rPr>
          <w:rFonts w:ascii="新宋体" w:hAnsi="新宋体" w:cs="新宋体" w:eastAsia="新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200"/>
        <w:gridCol w:w="2583"/>
        <w:gridCol w:w="1418"/>
        <w:gridCol w:w="1558"/>
        <w:gridCol w:w="1573"/>
        <w:gridCol w:w="1594"/>
      </w:tblGrid>
      <w:tr>
        <w:trPr>
          <w:trHeight w:val="416" w:hRule="exact"/>
        </w:trPr>
        <w:tc>
          <w:tcPr>
            <w:tcW w:w="1200" w:type="dxa"/>
            <w:tcBorders>
              <w:top w:val="single" w:sz="12" w:space="0" w:color="000000"/>
              <w:left w:val="single" w:sz="12" w:space="0" w:color="000000"/>
              <w:bottom w:val="single" w:sz="6" w:space="0" w:color="000000"/>
              <w:right w:val="single" w:sz="6" w:space="0" w:color="000000"/>
            </w:tcBorders>
          </w:tcPr>
          <w:p>
            <w:pPr/>
          </w:p>
        </w:tc>
        <w:tc>
          <w:tcPr>
            <w:tcW w:w="2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南京华东科技股份有限公司</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right="319"/>
              <w:jc w:val="right"/>
              <w:rPr>
                <w:rFonts w:ascii="宋体" w:hAnsi="宋体" w:cs="宋体" w:eastAsia="宋体" w:hint="default"/>
                <w:sz w:val="18"/>
                <w:szCs w:val="18"/>
              </w:rPr>
            </w:pPr>
            <w:r>
              <w:rPr>
                <w:rFonts w:ascii="宋体" w:hAnsi="宋体" w:cs="宋体" w:eastAsia="宋体" w:hint="default"/>
                <w:sz w:val="18"/>
                <w:szCs w:val="18"/>
              </w:rPr>
              <w:t>李颖江</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中国石油和化学工业联合会《中 国石油和化工经济分析》杂志</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市场总监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新宋体" w:hAnsi="新宋体" w:cs="新宋体" w:eastAsia="新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新宋体" w:hAnsi="新宋体" w:cs="新宋体" w:eastAsia="新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319"/>
              <w:jc w:val="right"/>
              <w:rPr>
                <w:rFonts w:ascii="宋体" w:hAnsi="宋体" w:cs="宋体" w:eastAsia="宋体" w:hint="default"/>
                <w:sz w:val="18"/>
                <w:szCs w:val="18"/>
              </w:rPr>
            </w:pPr>
            <w:r>
              <w:rPr>
                <w:rFonts w:ascii="宋体" w:hAnsi="宋体" w:cs="宋体" w:eastAsia="宋体" w:hint="default"/>
                <w:sz w:val="18"/>
                <w:szCs w:val="18"/>
              </w:rPr>
              <w:t>张艳丽</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vMerge w:val="restart"/>
            <w:tcBorders>
              <w:top w:val="single" w:sz="6" w:space="0" w:color="000000"/>
              <w:left w:val="single" w:sz="12" w:space="0" w:color="000000"/>
              <w:right w:val="single" w:sz="6" w:space="0" w:color="000000"/>
            </w:tcBorders>
          </w:tcPr>
          <w:p>
            <w:pPr>
              <w:pStyle w:val="TableParagraph"/>
              <w:spacing w:line="240" w:lineRule="auto" w:before="4"/>
              <w:ind w:right="0"/>
              <w:jc w:val="left"/>
              <w:rPr>
                <w:rFonts w:ascii="新宋体" w:hAnsi="新宋体" w:cs="新宋体" w:eastAsia="新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郑州春泉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0" w:type="dxa"/>
            <w:vMerge/>
            <w:tcBorders>
              <w:left w:val="single" w:sz="12" w:space="0" w:color="000000"/>
              <w:bottom w:val="single" w:sz="6" w:space="0" w:color="000000"/>
              <w:right w:val="single" w:sz="6" w:space="0" w:color="000000"/>
            </w:tcBorders>
          </w:tcPr>
          <w:p>
            <w:pP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12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319"/>
              <w:jc w:val="right"/>
              <w:rPr>
                <w:rFonts w:ascii="宋体" w:hAnsi="宋体" w:cs="宋体" w:eastAsia="宋体" w:hint="default"/>
                <w:sz w:val="18"/>
                <w:szCs w:val="18"/>
              </w:rPr>
            </w:pPr>
            <w:r>
              <w:rPr>
                <w:rFonts w:ascii="宋体" w:hAnsi="宋体" w:cs="宋体" w:eastAsia="宋体" w:hint="default"/>
                <w:sz w:val="18"/>
                <w:szCs w:val="18"/>
              </w:rPr>
              <w:t>张志广</w:t>
            </w:r>
          </w:p>
        </w:tc>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中威天安</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新宋体" w:hAnsi="新宋体" w:cs="新宋体" w:eastAsia="新宋体" w:hint="default"/>
          <w:sz w:val="18"/>
          <w:szCs w:val="18"/>
        </w:rPr>
      </w:pPr>
    </w:p>
    <w:p>
      <w:pPr>
        <w:pStyle w:val="Heading2"/>
        <w:spacing w:line="240" w:lineRule="auto" w:before="26"/>
        <w:ind w:left="292"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903"/>
        <w:gridCol w:w="6073"/>
      </w:tblGrid>
      <w:tr>
        <w:trPr>
          <w:trHeight w:val="1703" w:hRule="exact"/>
        </w:trPr>
        <w:tc>
          <w:tcPr>
            <w:tcW w:w="390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6073" w:type="dxa"/>
            <w:tcBorders>
              <w:top w:val="single" w:sz="12" w:space="0" w:color="000000"/>
              <w:left w:val="single" w:sz="6" w:space="0" w:color="000000"/>
              <w:bottom w:val="single" w:sz="6" w:space="0" w:color="000000"/>
              <w:right w:val="single" w:sz="12" w:space="0" w:color="000000"/>
            </w:tcBorders>
          </w:tcPr>
          <w:p>
            <w:pPr>
              <w:pStyle w:val="TableParagraph"/>
              <w:spacing w:line="300" w:lineRule="auto" w:before="49"/>
              <w:ind w:left="21"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年年度股东大会审议通过《关于审议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年公司董事薪酬政策的议 </w:t>
            </w:r>
            <w:r>
              <w:rPr>
                <w:rFonts w:ascii="宋体" w:hAnsi="宋体" w:cs="宋体" w:eastAsia="宋体" w:hint="default"/>
                <w:spacing w:val="-2"/>
                <w:sz w:val="18"/>
                <w:szCs w:val="18"/>
              </w:rPr>
              <w:t>案》及《关于审议</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年公司监事薪酬政策的议案》，确定了公司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年董</w:t>
            </w:r>
            <w:r>
              <w:rPr>
                <w:rFonts w:ascii="宋体" w:hAnsi="宋体" w:cs="宋体" w:eastAsia="宋体" w:hint="default"/>
                <w:spacing w:val="-88"/>
                <w:sz w:val="18"/>
                <w:szCs w:val="18"/>
              </w:rPr>
              <w:t> </w:t>
            </w:r>
            <w:r>
              <w:rPr>
                <w:rFonts w:ascii="宋体" w:hAnsi="宋体" w:cs="宋体" w:eastAsia="宋体" w:hint="default"/>
                <w:sz w:val="18"/>
                <w:szCs w:val="18"/>
              </w:rPr>
              <w:t>事、监事薪酬政策。</w:t>
            </w:r>
          </w:p>
          <w:p>
            <w:pPr>
              <w:pStyle w:val="TableParagraph"/>
              <w:spacing w:line="300" w:lineRule="auto" w:before="72"/>
              <w:ind w:left="21"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、第二届董事会第十三次会议审议通过《关于审议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年度公司高级管理 </w:t>
            </w:r>
            <w:r>
              <w:rPr>
                <w:rFonts w:ascii="宋体" w:hAnsi="宋体" w:cs="宋体" w:eastAsia="宋体" w:hint="default"/>
                <w:spacing w:val="-4"/>
                <w:sz w:val="18"/>
                <w:szCs w:val="18"/>
              </w:rPr>
              <w:t>人员薪酬计划的议案》，确定了高级管理人员的薪酬标准。</w:t>
            </w:r>
          </w:p>
        </w:tc>
      </w:tr>
      <w:tr>
        <w:trPr>
          <w:trHeight w:val="1343" w:hRule="exact"/>
        </w:trPr>
        <w:tc>
          <w:tcPr>
            <w:tcW w:w="39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6073" w:type="dxa"/>
            <w:tcBorders>
              <w:top w:val="single" w:sz="6" w:space="0" w:color="000000"/>
              <w:left w:val="single" w:sz="6" w:space="0" w:color="000000"/>
              <w:bottom w:val="single" w:sz="6" w:space="0" w:color="000000"/>
              <w:right w:val="single" w:sz="12" w:space="0" w:color="000000"/>
            </w:tcBorders>
          </w:tcPr>
          <w:p>
            <w:pPr>
              <w:pStyle w:val="TableParagraph"/>
              <w:spacing w:line="312" w:lineRule="auto" w:before="50"/>
              <w:ind w:left="21" w:right="10"/>
              <w:jc w:val="left"/>
              <w:rPr>
                <w:rFonts w:ascii="宋体" w:hAnsi="宋体" w:cs="宋体" w:eastAsia="宋体" w:hint="default"/>
                <w:sz w:val="18"/>
                <w:szCs w:val="18"/>
              </w:rPr>
            </w:pPr>
            <w:r>
              <w:rPr>
                <w:rFonts w:ascii="宋体" w:hAnsi="宋体" w:cs="宋体" w:eastAsia="宋体" w:hint="default"/>
                <w:sz w:val="18"/>
                <w:szCs w:val="18"/>
              </w:rPr>
              <w:t>除董事长、独立董事外，公司不向董事、监事支付薪酬；兼任公司高级管理 人员或公司其他岗位职务的公司董事、监事，按其所任岗位职务的薪酬制度 领取报酬。依据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年年度规划，高级管理人员的薪酬从经营指标和管理指 标两个方面进行考核，按期发放。</w:t>
            </w:r>
          </w:p>
        </w:tc>
      </w:tr>
      <w:tr>
        <w:trPr>
          <w:trHeight w:val="725" w:hRule="exact"/>
        </w:trPr>
        <w:tc>
          <w:tcPr>
            <w:tcW w:w="39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6073" w:type="dxa"/>
            <w:tcBorders>
              <w:top w:val="single" w:sz="6" w:space="0" w:color="000000"/>
              <w:left w:val="single" w:sz="6" w:space="0" w:color="000000"/>
              <w:bottom w:val="single" w:sz="12" w:space="0" w:color="000000"/>
              <w:right w:val="single" w:sz="12" w:space="0" w:color="000000"/>
            </w:tcBorders>
          </w:tcPr>
          <w:p>
            <w:pPr>
              <w:pStyle w:val="TableParagraph"/>
              <w:spacing w:line="300" w:lineRule="auto" w:before="49"/>
              <w:ind w:left="21" w:right="10"/>
              <w:jc w:val="left"/>
              <w:rPr>
                <w:rFonts w:ascii="宋体" w:hAnsi="宋体" w:cs="宋体" w:eastAsia="宋体" w:hint="default"/>
                <w:sz w:val="18"/>
                <w:szCs w:val="18"/>
              </w:rPr>
            </w:pPr>
            <w:r>
              <w:rPr>
                <w:rFonts w:ascii="宋体" w:hAnsi="宋体" w:cs="宋体" w:eastAsia="宋体" w:hint="default"/>
                <w:sz w:val="18"/>
                <w:szCs w:val="18"/>
              </w:rPr>
              <w:t>依据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年年度规划，高级管理人员的薪酬从经营指标和管理指标两个方面 进行考核，按期发放；独立董事津贴按季度发放。</w:t>
            </w:r>
          </w:p>
        </w:tc>
      </w:tr>
    </w:tbl>
    <w:p>
      <w:pPr>
        <w:spacing w:line="240" w:lineRule="auto" w:before="7"/>
        <w:rPr>
          <w:rFonts w:ascii="宋体" w:hAnsi="宋体" w:cs="宋体" w:eastAsia="宋体" w:hint="default"/>
          <w:b/>
          <w:bCs/>
          <w:sz w:val="19"/>
          <w:szCs w:val="19"/>
        </w:rPr>
      </w:pPr>
    </w:p>
    <w:p>
      <w:pPr>
        <w:pStyle w:val="BodyText"/>
        <w:spacing w:line="240" w:lineRule="auto" w:before="26"/>
        <w:ind w:left="292" w:right="0"/>
        <w:jc w:val="left"/>
        <w:rPr>
          <w:rFonts w:ascii="宋体" w:hAnsi="宋体" w:cs="宋体" w:eastAsia="宋体" w:hint="default"/>
        </w:rPr>
      </w:pPr>
      <w:r>
        <w:rPr>
          <w:rFonts w:ascii="宋体" w:hAnsi="宋体" w:cs="宋体" w:eastAsia="宋体" w:hint="default"/>
        </w:rPr>
        <w:t>公司报告期内董事、监事和高级管理人员报酬情况：</w:t>
      </w:r>
    </w:p>
    <w:p>
      <w:pPr>
        <w:spacing w:line="240" w:lineRule="auto" w:before="12"/>
        <w:rPr>
          <w:rFonts w:ascii="宋体" w:hAnsi="宋体" w:cs="宋体" w:eastAsia="宋体" w:hint="default"/>
          <w:sz w:val="11"/>
          <w:szCs w:val="11"/>
        </w:rPr>
      </w:pPr>
    </w:p>
    <w:tbl>
      <w:tblPr>
        <w:tblW w:w="0" w:type="auto"/>
        <w:jc w:val="left"/>
        <w:tblInd w:w="249" w:type="dxa"/>
        <w:tblLayout w:type="fixed"/>
        <w:tblCellMar>
          <w:top w:w="0" w:type="dxa"/>
          <w:left w:w="0" w:type="dxa"/>
          <w:bottom w:w="0" w:type="dxa"/>
          <w:right w:w="0" w:type="dxa"/>
        </w:tblCellMar>
        <w:tblLook w:val="01E0"/>
      </w:tblPr>
      <w:tblGrid>
        <w:gridCol w:w="1198"/>
        <w:gridCol w:w="1320"/>
        <w:gridCol w:w="1196"/>
        <w:gridCol w:w="1198"/>
        <w:gridCol w:w="1196"/>
        <w:gridCol w:w="1195"/>
        <w:gridCol w:w="1198"/>
        <w:gridCol w:w="1195"/>
      </w:tblGrid>
      <w:tr>
        <w:trPr>
          <w:trHeight w:val="725" w:hRule="exact"/>
        </w:trPr>
        <w:tc>
          <w:tcPr>
            <w:tcW w:w="119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3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49"/>
              <w:ind w:left="230" w:right="4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任红军</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247,078.00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247,078.00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钟超</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董事、董事会秘 书、财务负责人</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209,876.00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209,876.00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229,553.00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229,553.00</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193,117.00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193,117.00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高天增</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庄行方</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65</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47,500.00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47,500.00</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47,500.00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47,500.00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王思鹏</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25,000.00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117,179.00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117,179.00</w:t>
            </w:r>
          </w:p>
        </w:tc>
      </w:tr>
      <w:tr>
        <w:trPr>
          <w:trHeight w:val="413" w:hRule="exact"/>
        </w:trPr>
        <w:tc>
          <w:tcPr>
            <w:tcW w:w="1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尚中锋</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180,690.00</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180,690.00</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840" w:right="820"/>
        </w:sectPr>
      </w:pPr>
    </w:p>
    <w:p>
      <w:pPr>
        <w:spacing w:line="240" w:lineRule="auto" w:before="8"/>
        <w:rPr>
          <w:rFonts w:ascii="宋体" w:hAnsi="宋体" w:cs="宋体" w:eastAsia="宋体" w:hint="default"/>
          <w:sz w:val="24"/>
          <w:szCs w:val="24"/>
        </w:rPr>
      </w:pPr>
    </w:p>
    <w:tbl>
      <w:tblPr>
        <w:tblW w:w="0" w:type="auto"/>
        <w:jc w:val="left"/>
        <w:tblInd w:w="429" w:type="dxa"/>
        <w:tblLayout w:type="fixed"/>
        <w:tblCellMar>
          <w:top w:w="0" w:type="dxa"/>
          <w:left w:w="0" w:type="dxa"/>
          <w:bottom w:w="0" w:type="dxa"/>
          <w:right w:w="0" w:type="dxa"/>
        </w:tblCellMar>
        <w:tblLook w:val="01E0"/>
      </w:tblPr>
      <w:tblGrid>
        <w:gridCol w:w="1198"/>
        <w:gridCol w:w="1320"/>
        <w:gridCol w:w="1196"/>
        <w:gridCol w:w="1198"/>
        <w:gridCol w:w="1196"/>
        <w:gridCol w:w="1195"/>
        <w:gridCol w:w="1198"/>
        <w:gridCol w:w="1195"/>
      </w:tblGrid>
      <w:tr>
        <w:trPr>
          <w:trHeight w:val="416" w:hRule="exact"/>
        </w:trPr>
        <w:tc>
          <w:tcPr>
            <w:tcW w:w="119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祁明锋</w:t>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32</w:t>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103,937.46</w:t>
            </w:r>
          </w:p>
        </w:tc>
        <w:tc>
          <w:tcPr>
            <w:tcW w:w="11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103,937.46</w:t>
            </w:r>
          </w:p>
        </w:tc>
      </w:tr>
      <w:tr>
        <w:trPr>
          <w:trHeight w:val="406"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张志广</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38</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231,615.00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231,615.00</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徐克</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249,582.52</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249,582.52</w:t>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刘焱</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148,306.19</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148,306.19</w:t>
            </w:r>
          </w:p>
        </w:tc>
      </w:tr>
      <w:tr>
        <w:trPr>
          <w:trHeight w:val="75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苗国珍</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（已离任）</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111,796.00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111,796.00</w:t>
            </w:r>
          </w:p>
        </w:tc>
      </w:tr>
      <w:tr>
        <w:trPr>
          <w:trHeight w:val="75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景国勋</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（已离任）</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22,500.00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22,500.00</w:t>
            </w:r>
          </w:p>
        </w:tc>
      </w:tr>
      <w:tr>
        <w:trPr>
          <w:trHeight w:val="760"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申华萍</w:t>
            </w:r>
          </w:p>
          <w:p>
            <w:pPr>
              <w:pStyle w:val="TableParagraph"/>
              <w:spacing w:line="240" w:lineRule="auto" w:before="117"/>
              <w:ind w:right="5"/>
              <w:jc w:val="center"/>
              <w:rPr>
                <w:rFonts w:ascii="宋体" w:hAnsi="宋体" w:cs="宋体" w:eastAsia="宋体" w:hint="default"/>
                <w:sz w:val="18"/>
                <w:szCs w:val="18"/>
              </w:rPr>
            </w:pPr>
            <w:r>
              <w:rPr>
                <w:rFonts w:ascii="宋体" w:hAnsi="宋体" w:cs="宋体" w:eastAsia="宋体" w:hint="default"/>
                <w:sz w:val="18"/>
                <w:szCs w:val="18"/>
              </w:rPr>
              <w:t>（已离任）</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25,917.00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25,917.00</w:t>
            </w:r>
          </w:p>
        </w:tc>
      </w:tr>
      <w:tr>
        <w:trPr>
          <w:trHeight w:val="412" w:hRule="exact"/>
        </w:trPr>
        <w:tc>
          <w:tcPr>
            <w:tcW w:w="119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2"/>
              <w:ind w:left="21"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2"/>
              <w:ind w:right="528"/>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2,191,147.17</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2,191,147.17</w:t>
            </w:r>
          </w:p>
        </w:tc>
      </w:tr>
    </w:tbl>
    <w:p>
      <w:pPr>
        <w:spacing w:before="52"/>
        <w:ind w:left="472" w:right="1199" w:firstLine="0"/>
        <w:jc w:val="left"/>
        <w:rPr>
          <w:rFonts w:ascii="宋体" w:hAnsi="宋体" w:cs="宋体" w:eastAsia="宋体" w:hint="default"/>
          <w:sz w:val="21"/>
          <w:szCs w:val="21"/>
        </w:rPr>
      </w:pPr>
      <w:r>
        <w:rPr>
          <w:rFonts w:ascii="宋体" w:hAnsi="宋体" w:cs="宋体" w:eastAsia="宋体" w:hint="default"/>
          <w:sz w:val="21"/>
          <w:szCs w:val="21"/>
        </w:rPr>
        <w:t>公司董事、监事、高级管理人员报告期内被授予的股权激励情况</w:t>
      </w:r>
    </w:p>
    <w:p>
      <w:pPr>
        <w:spacing w:before="126"/>
        <w:ind w:left="472" w:right="11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960"/>
        <w:gridCol w:w="1274"/>
        <w:gridCol w:w="956"/>
        <w:gridCol w:w="955"/>
        <w:gridCol w:w="1224"/>
        <w:gridCol w:w="958"/>
        <w:gridCol w:w="1210"/>
        <w:gridCol w:w="958"/>
        <w:gridCol w:w="955"/>
        <w:gridCol w:w="881"/>
      </w:tblGrid>
      <w:tr>
        <w:trPr>
          <w:trHeight w:val="1039" w:hRule="exact"/>
        </w:trPr>
        <w:tc>
          <w:tcPr>
            <w:tcW w:w="96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3"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1"/>
                <w:sz w:val="18"/>
                <w:szCs w:val="18"/>
              </w:rPr>
              <w:t> </w:t>
            </w:r>
            <w:r>
              <w:rPr>
                <w:rFonts w:ascii="宋体" w:hAnsi="宋体" w:cs="宋体" w:eastAsia="宋体" w:hint="default"/>
                <w:sz w:val="18"/>
                <w:szCs w:val="18"/>
              </w:rPr>
              <w:t>务</w:t>
            </w:r>
          </w:p>
        </w:tc>
        <w:tc>
          <w:tcPr>
            <w:tcW w:w="9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0" w:right="17"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0" w:right="17"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122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67" w:right="60"/>
              <w:jc w:val="both"/>
              <w:rPr>
                <w:rFonts w:ascii="宋体" w:hAnsi="宋体" w:cs="宋体" w:eastAsia="宋体" w:hint="default"/>
                <w:sz w:val="18"/>
                <w:szCs w:val="18"/>
              </w:rPr>
            </w:pPr>
            <w:r>
              <w:rPr>
                <w:rFonts w:ascii="宋体" w:hAnsi="宋体" w:cs="宋体" w:eastAsia="宋体" w:hint="default"/>
                <w:sz w:val="18"/>
                <w:szCs w:val="18"/>
              </w:rPr>
              <w:t>报告期内已行 权股数行权价 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2"/>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期初持有限制 性股票数量</w:t>
            </w:r>
          </w:p>
        </w:tc>
        <w:tc>
          <w:tcPr>
            <w:tcW w:w="9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20"/>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 w:right="17"/>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6"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8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74" w:right="62"/>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任红军</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钟超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1"/>
              <w:ind w:left="21" w:right="1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 </w:t>
            </w:r>
            <w:r>
              <w:rPr>
                <w:rFonts w:ascii="宋体" w:hAnsi="宋体" w:cs="宋体" w:eastAsia="宋体" w:hint="default"/>
                <w:spacing w:val="-7"/>
                <w:sz w:val="18"/>
                <w:szCs w:val="18"/>
              </w:rPr>
              <w:t>书、财务负责人</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18,000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39,000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高天增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庄行方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王思鹏</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尚中锋</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祁明锋</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张志广</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48,000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徐克</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刘焱</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24,000</w:t>
            </w:r>
          </w:p>
        </w:tc>
        <w:tc>
          <w:tcPr>
            <w:tcW w:w="955"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75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苗国珍</w:t>
            </w:r>
          </w:p>
          <w:p>
            <w:pPr>
              <w:pStyle w:val="TableParagraph"/>
              <w:spacing w:line="240" w:lineRule="auto" w:before="117"/>
              <w:ind w:right="3"/>
              <w:jc w:val="center"/>
              <w:rPr>
                <w:rFonts w:ascii="宋体" w:hAnsi="宋体" w:cs="宋体" w:eastAsia="宋体" w:hint="default"/>
                <w:sz w:val="18"/>
                <w:szCs w:val="18"/>
              </w:rPr>
            </w:pPr>
            <w:r>
              <w:rPr>
                <w:rFonts w:ascii="宋体" w:hAnsi="宋体" w:cs="宋体" w:eastAsia="宋体" w:hint="default"/>
                <w:sz w:val="18"/>
                <w:szCs w:val="18"/>
              </w:rPr>
              <w:t>（已离任）</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9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申华萍</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424" w:right="0"/>
              <w:jc w:val="left"/>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11.96</w:t>
            </w:r>
          </w:p>
        </w:tc>
        <w:tc>
          <w:tcPr>
            <w:tcW w:w="1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555" w:footer="980" w:top="1100" w:bottom="1160" w:left="660" w:right="64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960"/>
        <w:gridCol w:w="1274"/>
        <w:gridCol w:w="956"/>
        <w:gridCol w:w="955"/>
        <w:gridCol w:w="1224"/>
        <w:gridCol w:w="958"/>
        <w:gridCol w:w="1210"/>
        <w:gridCol w:w="958"/>
        <w:gridCol w:w="955"/>
        <w:gridCol w:w="881"/>
      </w:tblGrid>
      <w:tr>
        <w:trPr>
          <w:trHeight w:val="375" w:hRule="exact"/>
        </w:trPr>
        <w:tc>
          <w:tcPr>
            <w:tcW w:w="9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（已离任）</w:t>
            </w:r>
          </w:p>
        </w:tc>
        <w:tc>
          <w:tcPr>
            <w:tcW w:w="1274" w:type="dxa"/>
            <w:tcBorders>
              <w:top w:val="single" w:sz="12" w:space="0" w:color="000000"/>
              <w:left w:val="single" w:sz="6" w:space="0" w:color="000000"/>
              <w:bottom w:val="single" w:sz="6" w:space="0" w:color="000000"/>
              <w:right w:val="single" w:sz="6" w:space="0" w:color="000000"/>
            </w:tcBorders>
          </w:tcPr>
          <w:p>
            <w:pPr/>
          </w:p>
        </w:tc>
        <w:tc>
          <w:tcPr>
            <w:tcW w:w="956" w:type="dxa"/>
            <w:tcBorders>
              <w:top w:val="single" w:sz="12" w:space="0" w:color="000000"/>
              <w:left w:val="single" w:sz="6" w:space="0" w:color="000000"/>
              <w:bottom w:val="single" w:sz="6" w:space="0" w:color="000000"/>
              <w:right w:val="single" w:sz="6" w:space="0" w:color="000000"/>
            </w:tcBorders>
          </w:tcPr>
          <w:p>
            <w:pPr/>
          </w:p>
        </w:tc>
        <w:tc>
          <w:tcPr>
            <w:tcW w:w="955" w:type="dxa"/>
            <w:tcBorders>
              <w:top w:val="single" w:sz="12" w:space="0" w:color="000000"/>
              <w:left w:val="single" w:sz="6" w:space="0" w:color="000000"/>
              <w:bottom w:val="single" w:sz="6" w:space="0" w:color="000000"/>
              <w:right w:val="single" w:sz="6" w:space="0" w:color="000000"/>
            </w:tcBorders>
          </w:tcPr>
          <w:p>
            <w:pPr/>
          </w:p>
        </w:tc>
        <w:tc>
          <w:tcPr>
            <w:tcW w:w="1224" w:type="dxa"/>
            <w:tcBorders>
              <w:top w:val="single" w:sz="12" w:space="0" w:color="000000"/>
              <w:left w:val="single" w:sz="6" w:space="0" w:color="000000"/>
              <w:bottom w:val="single" w:sz="6" w:space="0" w:color="000000"/>
              <w:right w:val="single" w:sz="6" w:space="0" w:color="000000"/>
            </w:tcBorders>
          </w:tcPr>
          <w:p>
            <w:pPr/>
          </w:p>
        </w:tc>
        <w:tc>
          <w:tcPr>
            <w:tcW w:w="958" w:type="dxa"/>
            <w:tcBorders>
              <w:top w:val="single" w:sz="12" w:space="0" w:color="000000"/>
              <w:left w:val="single" w:sz="6" w:space="0" w:color="000000"/>
              <w:bottom w:val="single" w:sz="6" w:space="0" w:color="000000"/>
              <w:right w:val="single" w:sz="6" w:space="0" w:color="000000"/>
            </w:tcBorders>
          </w:tcPr>
          <w:p>
            <w:pPr/>
          </w:p>
        </w:tc>
        <w:tc>
          <w:tcPr>
            <w:tcW w:w="1210" w:type="dxa"/>
            <w:tcBorders>
              <w:top w:val="single" w:sz="12" w:space="0" w:color="000000"/>
              <w:left w:val="single" w:sz="6" w:space="0" w:color="000000"/>
              <w:bottom w:val="single" w:sz="6" w:space="0" w:color="000000"/>
              <w:right w:val="single" w:sz="6" w:space="0" w:color="000000"/>
            </w:tcBorders>
          </w:tcPr>
          <w:p>
            <w:pPr/>
          </w:p>
        </w:tc>
        <w:tc>
          <w:tcPr>
            <w:tcW w:w="958" w:type="dxa"/>
            <w:tcBorders>
              <w:top w:val="single" w:sz="12" w:space="0" w:color="000000"/>
              <w:left w:val="single" w:sz="6" w:space="0" w:color="000000"/>
              <w:bottom w:val="single" w:sz="6" w:space="0" w:color="000000"/>
              <w:right w:val="single" w:sz="6" w:space="0" w:color="000000"/>
            </w:tcBorders>
          </w:tcPr>
          <w:p>
            <w:pPr/>
          </w:p>
        </w:tc>
        <w:tc>
          <w:tcPr>
            <w:tcW w:w="955" w:type="dxa"/>
            <w:tcBorders>
              <w:top w:val="single" w:sz="12" w:space="0" w:color="000000"/>
              <w:left w:val="single" w:sz="6" w:space="0" w:color="000000"/>
              <w:bottom w:val="single" w:sz="6" w:space="0" w:color="000000"/>
              <w:right w:val="single" w:sz="6" w:space="0" w:color="000000"/>
            </w:tcBorders>
          </w:tcPr>
          <w:p>
            <w:pPr/>
          </w:p>
        </w:tc>
        <w:tc>
          <w:tcPr>
            <w:tcW w:w="881" w:type="dxa"/>
            <w:tcBorders>
              <w:top w:val="single" w:sz="12" w:space="0" w:color="000000"/>
              <w:left w:val="single" w:sz="6" w:space="0" w:color="000000"/>
              <w:bottom w:val="single" w:sz="6" w:space="0" w:color="000000"/>
              <w:right w:val="single" w:sz="12" w:space="0" w:color="000000"/>
            </w:tcBorders>
          </w:tcPr>
          <w:p>
            <w:pPr/>
          </w:p>
        </w:tc>
      </w:tr>
      <w:tr>
        <w:trPr>
          <w:trHeight w:val="413" w:hRule="exact"/>
        </w:trPr>
        <w:tc>
          <w:tcPr>
            <w:tcW w:w="96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174,000</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22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58"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0</w:t>
            </w:r>
          </w:p>
        </w:tc>
        <w:tc>
          <w:tcPr>
            <w:tcW w:w="95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8"/>
          <w:szCs w:val="18"/>
        </w:rPr>
      </w:pPr>
    </w:p>
    <w:p>
      <w:pPr>
        <w:pStyle w:val="Heading2"/>
        <w:spacing w:line="240" w:lineRule="auto" w:before="26"/>
        <w:ind w:left="472" w:right="1199"/>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208" w:type="dxa"/>
        <w:tblLayout w:type="fixed"/>
        <w:tblCellMar>
          <w:top w:w="0" w:type="dxa"/>
          <w:left w:w="0" w:type="dxa"/>
          <w:bottom w:w="0" w:type="dxa"/>
          <w:right w:w="0" w:type="dxa"/>
        </w:tblCellMar>
        <w:tblLook w:val="01E0"/>
      </w:tblPr>
      <w:tblGrid>
        <w:gridCol w:w="711"/>
        <w:gridCol w:w="1109"/>
        <w:gridCol w:w="905"/>
        <w:gridCol w:w="1647"/>
        <w:gridCol w:w="5766"/>
      </w:tblGrid>
      <w:tr>
        <w:trPr>
          <w:trHeight w:val="415" w:hRule="exact"/>
        </w:trPr>
        <w:tc>
          <w:tcPr>
            <w:tcW w:w="7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姓名</w:t>
            </w:r>
          </w:p>
        </w:tc>
        <w:tc>
          <w:tcPr>
            <w:tcW w:w="11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担任职务</w:t>
            </w:r>
          </w:p>
        </w:tc>
        <w:tc>
          <w:tcPr>
            <w:tcW w:w="9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6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变动日期</w:t>
            </w:r>
          </w:p>
        </w:tc>
        <w:tc>
          <w:tcPr>
            <w:tcW w:w="57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6"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申华萍</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7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因个人身体健康原因，申请辞去所担任的公司财务负责人职务。</w:t>
            </w:r>
          </w:p>
        </w:tc>
      </w:tr>
      <w:tr>
        <w:trPr>
          <w:trHeight w:val="720"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景国勋</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57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21" w:right="-38"/>
              <w:jc w:val="left"/>
              <w:rPr>
                <w:rFonts w:ascii="宋体" w:hAnsi="宋体" w:cs="宋体" w:eastAsia="宋体" w:hint="default"/>
                <w:sz w:val="18"/>
                <w:szCs w:val="18"/>
              </w:rPr>
            </w:pPr>
            <w:r>
              <w:rPr>
                <w:rFonts w:ascii="宋体" w:hAnsi="宋体" w:cs="宋体" w:eastAsia="宋体" w:hint="default"/>
                <w:sz w:val="18"/>
                <w:szCs w:val="18"/>
              </w:rPr>
              <w:t>景国勋因个人工作原因辞去公司独立董事和董事会专业委员会相关职务，</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年年度股东大会选举王思鹏先生补任公司第二届董事会独立董事。</w:t>
            </w:r>
          </w:p>
        </w:tc>
      </w:tr>
      <w:tr>
        <w:trPr>
          <w:trHeight w:val="413" w:hRule="exact"/>
        </w:trPr>
        <w:tc>
          <w:tcPr>
            <w:tcW w:w="7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苗国珍</w:t>
            </w:r>
          </w:p>
        </w:tc>
        <w:tc>
          <w:tcPr>
            <w:tcW w:w="11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9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7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因个人身体原因向公司申请调整其工作岗位。</w:t>
            </w:r>
          </w:p>
        </w:tc>
      </w:tr>
    </w:tbl>
    <w:p>
      <w:pPr>
        <w:spacing w:line="240" w:lineRule="auto" w:before="4"/>
        <w:rPr>
          <w:rFonts w:ascii="宋体" w:hAnsi="宋体" w:cs="宋体" w:eastAsia="宋体" w:hint="default"/>
          <w:b/>
          <w:bCs/>
          <w:sz w:val="18"/>
          <w:szCs w:val="18"/>
        </w:rPr>
      </w:pPr>
    </w:p>
    <w:p>
      <w:pPr>
        <w:spacing w:line="525" w:lineRule="auto" w:before="26"/>
        <w:ind w:left="898" w:right="1199" w:hanging="426"/>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报告期内公司核心技术团队和关键技术人员没有发生变动。</w:t>
      </w:r>
    </w:p>
    <w:p>
      <w:pPr>
        <w:pStyle w:val="Heading2"/>
        <w:spacing w:line="240" w:lineRule="auto" w:before="91"/>
        <w:ind w:left="472" w:right="1199"/>
        <w:jc w:val="left"/>
        <w:rPr>
          <w:b w:val="0"/>
          <w:bCs w:val="0"/>
        </w:rPr>
      </w:pPr>
      <w:r>
        <w:rPr/>
        <w:t>六、公司员工情况</w:t>
      </w:r>
      <w:r>
        <w:rPr>
          <w:b w:val="0"/>
          <w:bCs w:val="0"/>
        </w:rPr>
      </w:r>
    </w:p>
    <w:p>
      <w:pPr>
        <w:spacing w:line="240" w:lineRule="auto" w:before="11"/>
        <w:rPr>
          <w:rFonts w:ascii="宋体" w:hAnsi="宋体" w:cs="宋体" w:eastAsia="宋体" w:hint="default"/>
          <w:b/>
          <w:bCs/>
          <w:sz w:val="28"/>
          <w:szCs w:val="28"/>
        </w:rPr>
      </w:pPr>
    </w:p>
    <w:p>
      <w:pPr>
        <w:pStyle w:val="BodyText"/>
        <w:spacing w:line="388" w:lineRule="auto" w:before="0"/>
        <w:ind w:left="965" w:right="381" w:hanging="120"/>
        <w:jc w:val="left"/>
      </w:pPr>
      <w:r>
        <w:rPr/>
        <w:pict>
          <v:shape style="position:absolute;margin-left:89.903999pt;margin-top:47.135624pt;width:416.25pt;height:140.8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0"/>
                    <w:gridCol w:w="2388"/>
                    <w:gridCol w:w="3533"/>
                  </w:tblGrid>
                  <w:tr>
                    <w:trPr>
                      <w:trHeight w:val="348" w:hRule="exact"/>
                    </w:trPr>
                    <w:tc>
                      <w:tcPr>
                        <w:tcW w:w="2360" w:type="dxa"/>
                        <w:tcBorders>
                          <w:top w:val="single" w:sz="12" w:space="0" w:color="000000"/>
                          <w:left w:val="single" w:sz="12" w:space="0" w:color="000000"/>
                          <w:bottom w:val="single" w:sz="6" w:space="0" w:color="000000"/>
                          <w:right w:val="single" w:sz="6" w:space="0" w:color="000000"/>
                        </w:tcBorders>
                        <w:shd w:val="clear" w:color="auto" w:fill="DFDFDF"/>
                      </w:tcPr>
                      <w:p>
                        <w:pPr>
                          <w:pStyle w:val="TableParagraph"/>
                          <w:spacing w:line="267" w:lineRule="exact"/>
                          <w:ind w:right="0"/>
                          <w:jc w:val="center"/>
                          <w:rPr>
                            <w:rFonts w:ascii="新宋体" w:hAnsi="新宋体" w:cs="新宋体" w:eastAsia="新宋体" w:hint="default"/>
                            <w:sz w:val="21"/>
                            <w:szCs w:val="21"/>
                          </w:rPr>
                        </w:pPr>
                        <w:r>
                          <w:rPr>
                            <w:rFonts w:ascii="新宋体" w:hAnsi="新宋体" w:cs="新宋体" w:eastAsia="新宋体" w:hint="default"/>
                            <w:b/>
                            <w:bCs/>
                            <w:sz w:val="21"/>
                            <w:szCs w:val="21"/>
                          </w:rPr>
                          <w:t>时间</w:t>
                        </w:r>
                        <w:r>
                          <w:rPr>
                            <w:rFonts w:ascii="新宋体" w:hAnsi="新宋体" w:cs="新宋体" w:eastAsia="新宋体" w:hint="default"/>
                            <w:sz w:val="21"/>
                            <w:szCs w:val="21"/>
                          </w:rPr>
                        </w:r>
                      </w:p>
                    </w:tc>
                    <w:tc>
                      <w:tcPr>
                        <w:tcW w:w="5922" w:type="dxa"/>
                        <w:gridSpan w:val="2"/>
                        <w:tcBorders>
                          <w:top w:val="single" w:sz="12" w:space="0" w:color="000000"/>
                          <w:left w:val="single" w:sz="6" w:space="0" w:color="000000"/>
                          <w:bottom w:val="single" w:sz="6" w:space="0" w:color="000000"/>
                          <w:right w:val="single" w:sz="12" w:space="0" w:color="000000"/>
                        </w:tcBorders>
                        <w:shd w:val="clear" w:color="auto" w:fill="DFDFDF"/>
                      </w:tcPr>
                      <w:p>
                        <w:pPr>
                          <w:pStyle w:val="TableParagraph"/>
                          <w:spacing w:line="267" w:lineRule="exact"/>
                          <w:ind w:left="9" w:right="0"/>
                          <w:jc w:val="center"/>
                          <w:rPr>
                            <w:rFonts w:ascii="新宋体" w:hAnsi="新宋体" w:cs="新宋体" w:eastAsia="新宋体" w:hint="default"/>
                            <w:sz w:val="21"/>
                            <w:szCs w:val="21"/>
                          </w:rPr>
                        </w:pPr>
                        <w:r>
                          <w:rPr>
                            <w:rFonts w:ascii="新宋体" w:hAnsi="新宋体" w:cs="新宋体" w:eastAsia="新宋体" w:hint="default"/>
                            <w:b/>
                            <w:bCs/>
                            <w:sz w:val="21"/>
                            <w:szCs w:val="21"/>
                          </w:rPr>
                          <w:t>2012</w:t>
                        </w:r>
                        <w:r>
                          <w:rPr>
                            <w:rFonts w:ascii="新宋体" w:hAnsi="新宋体" w:cs="新宋体" w:eastAsia="新宋体" w:hint="default"/>
                            <w:b/>
                            <w:bCs/>
                            <w:sz w:val="21"/>
                            <w:szCs w:val="21"/>
                          </w:rPr>
                          <w:t>年</w:t>
                        </w:r>
                        <w:r>
                          <w:rPr>
                            <w:rFonts w:ascii="新宋体" w:hAnsi="新宋体" w:cs="新宋体" w:eastAsia="新宋体" w:hint="default"/>
                            <w:b/>
                            <w:bCs/>
                            <w:sz w:val="21"/>
                            <w:szCs w:val="21"/>
                          </w:rPr>
                          <w:t>12</w:t>
                        </w:r>
                        <w:r>
                          <w:rPr>
                            <w:rFonts w:ascii="新宋体" w:hAnsi="新宋体" w:cs="新宋体" w:eastAsia="新宋体" w:hint="default"/>
                            <w:b/>
                            <w:bCs/>
                            <w:sz w:val="21"/>
                            <w:szCs w:val="21"/>
                          </w:rPr>
                          <w:t>月</w:t>
                        </w:r>
                        <w:r>
                          <w:rPr>
                            <w:rFonts w:ascii="新宋体" w:hAnsi="新宋体" w:cs="新宋体" w:eastAsia="新宋体" w:hint="default"/>
                            <w:b/>
                            <w:bCs/>
                            <w:sz w:val="21"/>
                            <w:szCs w:val="21"/>
                          </w:rPr>
                          <w:t>31</w:t>
                        </w:r>
                        <w:r>
                          <w:rPr>
                            <w:rFonts w:ascii="新宋体" w:hAnsi="新宋体" w:cs="新宋体" w:eastAsia="新宋体" w:hint="default"/>
                            <w:b/>
                            <w:bCs/>
                            <w:sz w:val="21"/>
                            <w:szCs w:val="21"/>
                          </w:rPr>
                          <w:t>日</w:t>
                        </w:r>
                        <w:r>
                          <w:rPr>
                            <w:rFonts w:ascii="新宋体" w:hAnsi="新宋体" w:cs="新宋体" w:eastAsia="新宋体" w:hint="default"/>
                            <w:sz w:val="21"/>
                            <w:szCs w:val="21"/>
                          </w:rPr>
                        </w:r>
                      </w:p>
                    </w:tc>
                  </w:tr>
                  <w:tr>
                    <w:trPr>
                      <w:trHeight w:val="348" w:hRule="exact"/>
                    </w:trPr>
                    <w:tc>
                      <w:tcPr>
                        <w:tcW w:w="2360" w:type="dxa"/>
                        <w:tcBorders>
                          <w:top w:val="single" w:sz="6" w:space="0" w:color="000000"/>
                          <w:left w:val="single" w:sz="12" w:space="0" w:color="000000"/>
                          <w:bottom w:val="single" w:sz="6" w:space="0" w:color="000000"/>
                          <w:right w:val="single" w:sz="6" w:space="0" w:color="000000"/>
                        </w:tcBorders>
                        <w:shd w:val="clear" w:color="auto" w:fill="DFDFDF"/>
                      </w:tcPr>
                      <w:p>
                        <w:pPr>
                          <w:pStyle w:val="TableParagraph"/>
                          <w:spacing w:line="240" w:lineRule="auto"/>
                          <w:ind w:left="4" w:right="0"/>
                          <w:jc w:val="center"/>
                          <w:rPr>
                            <w:rFonts w:ascii="新宋体" w:hAnsi="新宋体" w:cs="新宋体" w:eastAsia="新宋体" w:hint="default"/>
                            <w:sz w:val="21"/>
                            <w:szCs w:val="21"/>
                          </w:rPr>
                        </w:pPr>
                        <w:r>
                          <w:rPr>
                            <w:rFonts w:ascii="新宋体" w:hAnsi="新宋体" w:cs="新宋体" w:eastAsia="新宋体" w:hint="default"/>
                            <w:b/>
                            <w:bCs/>
                            <w:sz w:val="21"/>
                            <w:szCs w:val="21"/>
                          </w:rPr>
                          <w:t>专业结构</w:t>
                        </w:r>
                        <w:r>
                          <w:rPr>
                            <w:rFonts w:ascii="新宋体" w:hAnsi="新宋体" w:cs="新宋体" w:eastAsia="新宋体" w:hint="default"/>
                            <w:sz w:val="21"/>
                            <w:szCs w:val="21"/>
                          </w:rPr>
                        </w:r>
                      </w:p>
                    </w:tc>
                    <w:tc>
                      <w:tcPr>
                        <w:tcW w:w="238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ind w:right="972"/>
                          <w:jc w:val="right"/>
                          <w:rPr>
                            <w:rFonts w:ascii="新宋体" w:hAnsi="新宋体" w:cs="新宋体" w:eastAsia="新宋体" w:hint="default"/>
                            <w:sz w:val="21"/>
                            <w:szCs w:val="21"/>
                          </w:rPr>
                        </w:pPr>
                        <w:r>
                          <w:rPr>
                            <w:rFonts w:ascii="新宋体" w:hAnsi="新宋体" w:cs="新宋体" w:eastAsia="新宋体" w:hint="default"/>
                            <w:b/>
                            <w:bCs/>
                            <w:sz w:val="21"/>
                            <w:szCs w:val="21"/>
                          </w:rPr>
                          <w:t>人数</w:t>
                        </w:r>
                        <w:r>
                          <w:rPr>
                            <w:rFonts w:ascii="新宋体" w:hAnsi="新宋体" w:cs="新宋体" w:eastAsia="新宋体" w:hint="default"/>
                            <w:sz w:val="21"/>
                            <w:szCs w:val="21"/>
                          </w:rPr>
                        </w:r>
                      </w:p>
                    </w:tc>
                    <w:tc>
                      <w:tcPr>
                        <w:tcW w:w="3533" w:type="dxa"/>
                        <w:tcBorders>
                          <w:top w:val="single" w:sz="6" w:space="0" w:color="000000"/>
                          <w:left w:val="single" w:sz="6" w:space="0" w:color="000000"/>
                          <w:bottom w:val="single" w:sz="6" w:space="0" w:color="000000"/>
                          <w:right w:val="single" w:sz="12" w:space="0" w:color="000000"/>
                        </w:tcBorders>
                        <w:shd w:val="clear" w:color="auto" w:fill="DFDFDF"/>
                      </w:tcPr>
                      <w:p>
                        <w:pPr>
                          <w:pStyle w:val="TableParagraph"/>
                          <w:spacing w:line="240" w:lineRule="auto"/>
                          <w:ind w:left="6" w:right="0"/>
                          <w:jc w:val="center"/>
                          <w:rPr>
                            <w:rFonts w:ascii="新宋体" w:hAnsi="新宋体" w:cs="新宋体" w:eastAsia="新宋体" w:hint="default"/>
                            <w:sz w:val="21"/>
                            <w:szCs w:val="21"/>
                          </w:rPr>
                        </w:pPr>
                        <w:r>
                          <w:rPr>
                            <w:rFonts w:ascii="新宋体" w:hAnsi="新宋体" w:cs="新宋体" w:eastAsia="新宋体" w:hint="default"/>
                            <w:b/>
                            <w:bCs/>
                            <w:sz w:val="21"/>
                            <w:szCs w:val="21"/>
                          </w:rPr>
                          <w:t>比例</w:t>
                        </w:r>
                        <w:r>
                          <w:rPr>
                            <w:rFonts w:ascii="新宋体" w:hAnsi="新宋体" w:cs="新宋体" w:eastAsia="新宋体" w:hint="default"/>
                            <w:sz w:val="21"/>
                            <w:szCs w:val="21"/>
                          </w:rPr>
                        </w:r>
                      </w:p>
                    </w:tc>
                  </w:tr>
                  <w:tr>
                    <w:trPr>
                      <w:trHeight w:val="348" w:hRule="exact"/>
                    </w:trPr>
                    <w:tc>
                      <w:tcPr>
                        <w:tcW w:w="236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管理人员</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新宋体" w:hAnsi="新宋体" w:cs="新宋体" w:eastAsia="新宋体" w:hint="default"/>
                            <w:sz w:val="21"/>
                            <w:szCs w:val="21"/>
                          </w:rPr>
                        </w:pPr>
                        <w:r>
                          <w:rPr>
                            <w:rFonts w:ascii="新宋体"/>
                            <w:sz w:val="21"/>
                          </w:rPr>
                          <w:t>89</w:t>
                        </w:r>
                      </w:p>
                    </w:tc>
                    <w:tc>
                      <w:tcPr>
                        <w:tcW w:w="3533"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right="1431"/>
                          <w:jc w:val="right"/>
                          <w:rPr>
                            <w:rFonts w:ascii="新宋体" w:hAnsi="新宋体" w:cs="新宋体" w:eastAsia="新宋体" w:hint="default"/>
                            <w:sz w:val="21"/>
                            <w:szCs w:val="21"/>
                          </w:rPr>
                        </w:pPr>
                        <w:r>
                          <w:rPr>
                            <w:rFonts w:ascii="新宋体"/>
                            <w:sz w:val="21"/>
                          </w:rPr>
                          <w:t>12.92%</w:t>
                        </w:r>
                      </w:p>
                    </w:tc>
                  </w:tr>
                  <w:tr>
                    <w:trPr>
                      <w:trHeight w:val="346" w:hRule="exact"/>
                    </w:trPr>
                    <w:tc>
                      <w:tcPr>
                        <w:tcW w:w="236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财务人员</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新宋体" w:hAnsi="新宋体" w:cs="新宋体" w:eastAsia="新宋体" w:hint="default"/>
                            <w:sz w:val="21"/>
                            <w:szCs w:val="21"/>
                          </w:rPr>
                        </w:pPr>
                        <w:r>
                          <w:rPr>
                            <w:rFonts w:ascii="新宋体"/>
                            <w:sz w:val="21"/>
                          </w:rPr>
                          <w:t>29</w:t>
                        </w:r>
                      </w:p>
                    </w:tc>
                    <w:tc>
                      <w:tcPr>
                        <w:tcW w:w="3533"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11" w:right="0"/>
                          <w:jc w:val="center"/>
                          <w:rPr>
                            <w:rFonts w:ascii="新宋体" w:hAnsi="新宋体" w:cs="新宋体" w:eastAsia="新宋体" w:hint="default"/>
                            <w:sz w:val="21"/>
                            <w:szCs w:val="21"/>
                          </w:rPr>
                        </w:pPr>
                        <w:r>
                          <w:rPr>
                            <w:rFonts w:ascii="新宋体"/>
                            <w:sz w:val="21"/>
                          </w:rPr>
                          <w:t>4.21%</w:t>
                        </w:r>
                      </w:p>
                    </w:tc>
                  </w:tr>
                  <w:tr>
                    <w:trPr>
                      <w:trHeight w:val="348" w:hRule="exact"/>
                    </w:trPr>
                    <w:tc>
                      <w:tcPr>
                        <w:tcW w:w="236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生产人员</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新宋体" w:hAnsi="新宋体" w:cs="新宋体" w:eastAsia="新宋体" w:hint="default"/>
                            <w:sz w:val="21"/>
                            <w:szCs w:val="21"/>
                          </w:rPr>
                        </w:pPr>
                        <w:r>
                          <w:rPr>
                            <w:rFonts w:ascii="新宋体"/>
                            <w:sz w:val="21"/>
                          </w:rPr>
                          <w:t>94</w:t>
                        </w:r>
                      </w:p>
                    </w:tc>
                    <w:tc>
                      <w:tcPr>
                        <w:tcW w:w="3533"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1431"/>
                          <w:jc w:val="right"/>
                          <w:rPr>
                            <w:rFonts w:ascii="新宋体" w:hAnsi="新宋体" w:cs="新宋体" w:eastAsia="新宋体" w:hint="default"/>
                            <w:sz w:val="21"/>
                            <w:szCs w:val="21"/>
                          </w:rPr>
                        </w:pPr>
                        <w:r>
                          <w:rPr>
                            <w:rFonts w:ascii="新宋体"/>
                            <w:sz w:val="21"/>
                          </w:rPr>
                          <w:t>13.64%</w:t>
                        </w:r>
                      </w:p>
                    </w:tc>
                  </w:tr>
                  <w:tr>
                    <w:trPr>
                      <w:trHeight w:val="346" w:hRule="exact"/>
                    </w:trPr>
                    <w:tc>
                      <w:tcPr>
                        <w:tcW w:w="236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市场销售</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25"/>
                          <w:jc w:val="right"/>
                          <w:rPr>
                            <w:rFonts w:ascii="新宋体" w:hAnsi="新宋体" w:cs="新宋体" w:eastAsia="新宋体" w:hint="default"/>
                            <w:sz w:val="21"/>
                            <w:szCs w:val="21"/>
                          </w:rPr>
                        </w:pPr>
                        <w:r>
                          <w:rPr>
                            <w:rFonts w:ascii="新宋体"/>
                            <w:sz w:val="21"/>
                          </w:rPr>
                          <w:t>261</w:t>
                        </w:r>
                      </w:p>
                    </w:tc>
                    <w:tc>
                      <w:tcPr>
                        <w:tcW w:w="3533"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right="1431"/>
                          <w:jc w:val="right"/>
                          <w:rPr>
                            <w:rFonts w:ascii="新宋体" w:hAnsi="新宋体" w:cs="新宋体" w:eastAsia="新宋体" w:hint="default"/>
                            <w:sz w:val="21"/>
                            <w:szCs w:val="21"/>
                          </w:rPr>
                        </w:pPr>
                        <w:r>
                          <w:rPr>
                            <w:rFonts w:ascii="新宋体"/>
                            <w:sz w:val="21"/>
                          </w:rPr>
                          <w:t>37.88%</w:t>
                        </w:r>
                      </w:p>
                    </w:tc>
                  </w:tr>
                  <w:tr>
                    <w:trPr>
                      <w:trHeight w:val="348" w:hRule="exact"/>
                    </w:trPr>
                    <w:tc>
                      <w:tcPr>
                        <w:tcW w:w="236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研发人员</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25"/>
                          <w:jc w:val="right"/>
                          <w:rPr>
                            <w:rFonts w:ascii="新宋体" w:hAnsi="新宋体" w:cs="新宋体" w:eastAsia="新宋体" w:hint="default"/>
                            <w:sz w:val="21"/>
                            <w:szCs w:val="21"/>
                          </w:rPr>
                        </w:pPr>
                        <w:r>
                          <w:rPr>
                            <w:rFonts w:ascii="新宋体"/>
                            <w:sz w:val="21"/>
                          </w:rPr>
                          <w:t>216</w:t>
                        </w:r>
                      </w:p>
                    </w:tc>
                    <w:tc>
                      <w:tcPr>
                        <w:tcW w:w="3533"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1431"/>
                          <w:jc w:val="right"/>
                          <w:rPr>
                            <w:rFonts w:ascii="新宋体" w:hAnsi="新宋体" w:cs="新宋体" w:eastAsia="新宋体" w:hint="default"/>
                            <w:sz w:val="21"/>
                            <w:szCs w:val="21"/>
                          </w:rPr>
                        </w:pPr>
                        <w:r>
                          <w:rPr>
                            <w:rFonts w:ascii="新宋体"/>
                            <w:sz w:val="21"/>
                          </w:rPr>
                          <w:t>31.35%</w:t>
                        </w:r>
                      </w:p>
                    </w:tc>
                  </w:tr>
                  <w:tr>
                    <w:trPr>
                      <w:trHeight w:val="355" w:hRule="exact"/>
                    </w:trPr>
                    <w:tc>
                      <w:tcPr>
                        <w:tcW w:w="2360" w:type="dxa"/>
                        <w:tcBorders>
                          <w:top w:val="single" w:sz="6" w:space="0" w:color="000000"/>
                          <w:left w:val="single" w:sz="12" w:space="0" w:color="000000"/>
                          <w:bottom w:val="single" w:sz="12" w:space="0" w:color="000000"/>
                          <w:right w:val="single" w:sz="6" w:space="0" w:color="000000"/>
                        </w:tcBorders>
                      </w:tcPr>
                      <w:p>
                        <w:pPr>
                          <w:pStyle w:val="TableParagraph"/>
                          <w:tabs>
                            <w:tab w:pos="632" w:val="left" w:leader="none"/>
                          </w:tabs>
                          <w:spacing w:line="272"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合</w:t>
                          <w:tab/>
                          <w:t>计</w:t>
                        </w:r>
                      </w:p>
                    </w:tc>
                    <w:tc>
                      <w:tcPr>
                        <w:tcW w:w="238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025"/>
                          <w:jc w:val="right"/>
                          <w:rPr>
                            <w:rFonts w:ascii="新宋体" w:hAnsi="新宋体" w:cs="新宋体" w:eastAsia="新宋体" w:hint="default"/>
                            <w:sz w:val="21"/>
                            <w:szCs w:val="21"/>
                          </w:rPr>
                        </w:pPr>
                        <w:r>
                          <w:rPr>
                            <w:rFonts w:ascii="新宋体"/>
                            <w:sz w:val="21"/>
                          </w:rPr>
                          <w:t>689</w:t>
                        </w:r>
                      </w:p>
                    </w:tc>
                    <w:tc>
                      <w:tcPr>
                        <w:tcW w:w="3533"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right="1380"/>
                          <w:jc w:val="right"/>
                          <w:rPr>
                            <w:rFonts w:ascii="新宋体" w:hAnsi="新宋体" w:cs="新宋体" w:eastAsia="新宋体" w:hint="default"/>
                            <w:sz w:val="21"/>
                            <w:szCs w:val="21"/>
                          </w:rPr>
                        </w:pPr>
                        <w:r>
                          <w:rPr>
                            <w:rFonts w:ascii="新宋体"/>
                            <w:spacing w:val="-1"/>
                            <w:sz w:val="21"/>
                          </w:rPr>
                          <w:t>100.00%</w:t>
                        </w:r>
                      </w:p>
                    </w:tc>
                  </w:tr>
                </w:tbl>
                <w:p>
                  <w:pPr/>
                </w:p>
              </w:txbxContent>
            </v:textbox>
            <w10:wrap type="none"/>
          </v:shape>
        </w:pict>
      </w:r>
      <w:r>
        <w:rPr/>
        <w:t>（一）截至</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日，公司员工（含子公司）的专业结构、受教育程度情况如下： </w:t>
      </w:r>
      <w:r>
        <w:rPr>
          <w:rFonts w:ascii="新宋体" w:hAnsi="新宋体" w:cs="新宋体" w:eastAsia="新宋体" w:hint="default"/>
        </w:rPr>
        <w:t>1</w:t>
      </w:r>
      <w:r>
        <w:rPr/>
        <w:t>、员工专业结构</w:t>
      </w: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pStyle w:val="BodyText"/>
        <w:spacing w:line="240" w:lineRule="auto" w:before="186"/>
        <w:ind w:left="965" w:right="1199"/>
        <w:jc w:val="left"/>
      </w:pPr>
      <w:r>
        <w:rPr>
          <w:rFonts w:ascii="新宋体" w:hAnsi="新宋体" w:cs="新宋体" w:eastAsia="新宋体" w:hint="default"/>
        </w:rPr>
        <w:t>2</w:t>
      </w:r>
      <w:r>
        <w:rPr/>
        <w:t>、员工受教育程度</w:t>
      </w:r>
    </w:p>
    <w:p>
      <w:pPr>
        <w:spacing w:line="240" w:lineRule="auto" w:before="3"/>
        <w:rPr>
          <w:rFonts w:ascii="新宋体" w:hAnsi="新宋体" w:cs="新宋体" w:eastAsia="新宋体" w:hint="default"/>
          <w:sz w:val="9"/>
          <w:szCs w:val="9"/>
        </w:rPr>
      </w:pPr>
    </w:p>
    <w:tbl>
      <w:tblPr>
        <w:tblW w:w="0" w:type="auto"/>
        <w:jc w:val="left"/>
        <w:tblInd w:w="1066" w:type="dxa"/>
        <w:tblLayout w:type="fixed"/>
        <w:tblCellMar>
          <w:top w:w="0" w:type="dxa"/>
          <w:left w:w="0" w:type="dxa"/>
          <w:bottom w:w="0" w:type="dxa"/>
          <w:right w:w="0" w:type="dxa"/>
        </w:tblCellMar>
        <w:tblLook w:val="01E0"/>
      </w:tblPr>
      <w:tblGrid>
        <w:gridCol w:w="2451"/>
        <w:gridCol w:w="2343"/>
        <w:gridCol w:w="3632"/>
      </w:tblGrid>
      <w:tr>
        <w:trPr>
          <w:trHeight w:val="349" w:hRule="exact"/>
        </w:trPr>
        <w:tc>
          <w:tcPr>
            <w:tcW w:w="2451" w:type="dxa"/>
            <w:tcBorders>
              <w:top w:val="single" w:sz="12" w:space="0" w:color="000000"/>
              <w:left w:val="single" w:sz="12" w:space="0" w:color="000000"/>
              <w:bottom w:val="single" w:sz="6" w:space="0" w:color="000000"/>
              <w:right w:val="single" w:sz="6" w:space="0" w:color="000000"/>
            </w:tcBorders>
            <w:shd w:val="clear" w:color="auto" w:fill="DFDFDF"/>
          </w:tcPr>
          <w:p>
            <w:pPr>
              <w:pStyle w:val="TableParagraph"/>
              <w:spacing w:line="268" w:lineRule="exact"/>
              <w:ind w:right="0"/>
              <w:jc w:val="center"/>
              <w:rPr>
                <w:rFonts w:ascii="新宋体" w:hAnsi="新宋体" w:cs="新宋体" w:eastAsia="新宋体" w:hint="default"/>
                <w:sz w:val="21"/>
                <w:szCs w:val="21"/>
              </w:rPr>
            </w:pPr>
            <w:r>
              <w:rPr>
                <w:rFonts w:ascii="新宋体" w:hAnsi="新宋体" w:cs="新宋体" w:eastAsia="新宋体" w:hint="default"/>
                <w:b/>
                <w:bCs/>
                <w:sz w:val="21"/>
                <w:szCs w:val="21"/>
              </w:rPr>
              <w:t>时间</w:t>
            </w:r>
            <w:r>
              <w:rPr>
                <w:rFonts w:ascii="新宋体" w:hAnsi="新宋体" w:cs="新宋体" w:eastAsia="新宋体" w:hint="default"/>
                <w:sz w:val="21"/>
                <w:szCs w:val="21"/>
              </w:rPr>
            </w:r>
          </w:p>
        </w:tc>
        <w:tc>
          <w:tcPr>
            <w:tcW w:w="5975" w:type="dxa"/>
            <w:gridSpan w:val="2"/>
            <w:tcBorders>
              <w:top w:val="single" w:sz="12" w:space="0" w:color="000000"/>
              <w:left w:val="single" w:sz="6" w:space="0" w:color="000000"/>
              <w:bottom w:val="single" w:sz="6" w:space="0" w:color="000000"/>
              <w:right w:val="single" w:sz="12" w:space="0" w:color="000000"/>
            </w:tcBorders>
            <w:shd w:val="clear" w:color="auto" w:fill="DFDFDF"/>
          </w:tcPr>
          <w:p>
            <w:pPr>
              <w:pStyle w:val="TableParagraph"/>
              <w:spacing w:line="268" w:lineRule="exact"/>
              <w:ind w:left="4" w:right="0"/>
              <w:jc w:val="center"/>
              <w:rPr>
                <w:rFonts w:ascii="新宋体" w:hAnsi="新宋体" w:cs="新宋体" w:eastAsia="新宋体" w:hint="default"/>
                <w:sz w:val="21"/>
                <w:szCs w:val="21"/>
              </w:rPr>
            </w:pPr>
            <w:r>
              <w:rPr>
                <w:rFonts w:ascii="新宋体" w:hAnsi="新宋体" w:cs="新宋体" w:eastAsia="新宋体" w:hint="default"/>
                <w:b/>
                <w:bCs/>
                <w:sz w:val="21"/>
                <w:szCs w:val="21"/>
              </w:rPr>
              <w:t>2012</w:t>
            </w:r>
            <w:r>
              <w:rPr>
                <w:rFonts w:ascii="新宋体" w:hAnsi="新宋体" w:cs="新宋体" w:eastAsia="新宋体" w:hint="default"/>
                <w:b/>
                <w:bCs/>
                <w:sz w:val="21"/>
                <w:szCs w:val="21"/>
              </w:rPr>
              <w:t>年</w:t>
            </w:r>
            <w:r>
              <w:rPr>
                <w:rFonts w:ascii="新宋体" w:hAnsi="新宋体" w:cs="新宋体" w:eastAsia="新宋体" w:hint="default"/>
                <w:b/>
                <w:bCs/>
                <w:sz w:val="21"/>
                <w:szCs w:val="21"/>
              </w:rPr>
              <w:t>12</w:t>
            </w:r>
            <w:r>
              <w:rPr>
                <w:rFonts w:ascii="新宋体" w:hAnsi="新宋体" w:cs="新宋体" w:eastAsia="新宋体" w:hint="default"/>
                <w:b/>
                <w:bCs/>
                <w:sz w:val="21"/>
                <w:szCs w:val="21"/>
              </w:rPr>
              <w:t>月</w:t>
            </w:r>
            <w:r>
              <w:rPr>
                <w:rFonts w:ascii="新宋体" w:hAnsi="新宋体" w:cs="新宋体" w:eastAsia="新宋体" w:hint="default"/>
                <w:b/>
                <w:bCs/>
                <w:sz w:val="21"/>
                <w:szCs w:val="21"/>
              </w:rPr>
              <w:t>31</w:t>
            </w:r>
            <w:r>
              <w:rPr>
                <w:rFonts w:ascii="新宋体" w:hAnsi="新宋体" w:cs="新宋体" w:eastAsia="新宋体" w:hint="default"/>
                <w:b/>
                <w:bCs/>
                <w:sz w:val="21"/>
                <w:szCs w:val="21"/>
              </w:rPr>
              <w:t>日</w:t>
            </w:r>
            <w:r>
              <w:rPr>
                <w:rFonts w:ascii="新宋体" w:hAnsi="新宋体" w:cs="新宋体" w:eastAsia="新宋体" w:hint="default"/>
                <w:sz w:val="21"/>
                <w:szCs w:val="21"/>
              </w:rPr>
            </w:r>
          </w:p>
        </w:tc>
      </w:tr>
      <w:tr>
        <w:trPr>
          <w:trHeight w:val="346" w:hRule="exact"/>
        </w:trPr>
        <w:tc>
          <w:tcPr>
            <w:tcW w:w="2451" w:type="dxa"/>
            <w:tcBorders>
              <w:top w:val="single" w:sz="6" w:space="0" w:color="000000"/>
              <w:left w:val="single" w:sz="12" w:space="0" w:color="000000"/>
              <w:bottom w:val="single" w:sz="6" w:space="0" w:color="000000"/>
              <w:right w:val="single" w:sz="6" w:space="0" w:color="000000"/>
            </w:tcBorders>
            <w:shd w:val="clear" w:color="auto" w:fill="DFDFDF"/>
          </w:tcPr>
          <w:p>
            <w:pPr>
              <w:pStyle w:val="TableParagraph"/>
              <w:spacing w:line="273" w:lineRule="exact"/>
              <w:ind w:left="4" w:right="0"/>
              <w:jc w:val="center"/>
              <w:rPr>
                <w:rFonts w:ascii="新宋体" w:hAnsi="新宋体" w:cs="新宋体" w:eastAsia="新宋体" w:hint="default"/>
                <w:sz w:val="21"/>
                <w:szCs w:val="21"/>
              </w:rPr>
            </w:pPr>
            <w:r>
              <w:rPr>
                <w:rFonts w:ascii="新宋体" w:hAnsi="新宋体" w:cs="新宋体" w:eastAsia="新宋体" w:hint="default"/>
                <w:b/>
                <w:bCs/>
                <w:sz w:val="21"/>
                <w:szCs w:val="21"/>
              </w:rPr>
              <w:t>受教育程度</w:t>
            </w:r>
            <w:r>
              <w:rPr>
                <w:rFonts w:ascii="新宋体" w:hAnsi="新宋体" w:cs="新宋体" w:eastAsia="新宋体" w:hint="default"/>
                <w:sz w:val="21"/>
                <w:szCs w:val="21"/>
              </w:rPr>
            </w:r>
          </w:p>
        </w:tc>
        <w:tc>
          <w:tcPr>
            <w:tcW w:w="2343"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73" w:lineRule="exact"/>
              <w:ind w:right="951"/>
              <w:jc w:val="right"/>
              <w:rPr>
                <w:rFonts w:ascii="新宋体" w:hAnsi="新宋体" w:cs="新宋体" w:eastAsia="新宋体" w:hint="default"/>
                <w:sz w:val="21"/>
                <w:szCs w:val="21"/>
              </w:rPr>
            </w:pPr>
            <w:r>
              <w:rPr>
                <w:rFonts w:ascii="新宋体" w:hAnsi="新宋体" w:cs="新宋体" w:eastAsia="新宋体" w:hint="default"/>
                <w:b/>
                <w:bCs/>
                <w:sz w:val="21"/>
                <w:szCs w:val="21"/>
              </w:rPr>
              <w:t>人数</w:t>
            </w:r>
            <w:r>
              <w:rPr>
                <w:rFonts w:ascii="新宋体" w:hAnsi="新宋体" w:cs="新宋体" w:eastAsia="新宋体" w:hint="default"/>
                <w:sz w:val="21"/>
                <w:szCs w:val="21"/>
              </w:rPr>
            </w:r>
          </w:p>
        </w:tc>
        <w:tc>
          <w:tcPr>
            <w:tcW w:w="3632" w:type="dxa"/>
            <w:tcBorders>
              <w:top w:val="single" w:sz="6" w:space="0" w:color="000000"/>
              <w:left w:val="single" w:sz="6" w:space="0" w:color="000000"/>
              <w:bottom w:val="single" w:sz="6" w:space="0" w:color="000000"/>
              <w:right w:val="single" w:sz="12" w:space="0" w:color="000000"/>
            </w:tcBorders>
            <w:shd w:val="clear" w:color="auto" w:fill="DFDFDF"/>
          </w:tcPr>
          <w:p>
            <w:pPr>
              <w:pStyle w:val="TableParagraph"/>
              <w:spacing w:line="273" w:lineRule="exact"/>
              <w:ind w:left="4" w:right="0"/>
              <w:jc w:val="center"/>
              <w:rPr>
                <w:rFonts w:ascii="新宋体" w:hAnsi="新宋体" w:cs="新宋体" w:eastAsia="新宋体" w:hint="default"/>
                <w:sz w:val="21"/>
                <w:szCs w:val="21"/>
              </w:rPr>
            </w:pPr>
            <w:r>
              <w:rPr>
                <w:rFonts w:ascii="新宋体" w:hAnsi="新宋体" w:cs="新宋体" w:eastAsia="新宋体" w:hint="default"/>
                <w:b/>
                <w:bCs/>
                <w:sz w:val="21"/>
                <w:szCs w:val="21"/>
              </w:rPr>
              <w:t>比例</w:t>
            </w:r>
            <w:r>
              <w:rPr>
                <w:rFonts w:ascii="新宋体" w:hAnsi="新宋体" w:cs="新宋体" w:eastAsia="新宋体" w:hint="default"/>
                <w:sz w:val="21"/>
                <w:szCs w:val="21"/>
              </w:rPr>
            </w:r>
          </w:p>
        </w:tc>
      </w:tr>
      <w:tr>
        <w:trPr>
          <w:trHeight w:val="348" w:hRule="exact"/>
        </w:trPr>
        <w:tc>
          <w:tcPr>
            <w:tcW w:w="24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硕士以上</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新宋体" w:hAnsi="新宋体" w:cs="新宋体" w:eastAsia="新宋体" w:hint="default"/>
                <w:sz w:val="21"/>
                <w:szCs w:val="21"/>
              </w:rPr>
            </w:pPr>
            <w:r>
              <w:rPr>
                <w:rFonts w:ascii="新宋体"/>
                <w:sz w:val="21"/>
              </w:rPr>
              <w:t>22</w:t>
            </w:r>
          </w:p>
        </w:tc>
        <w:tc>
          <w:tcPr>
            <w:tcW w:w="3632"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1534"/>
              <w:jc w:val="right"/>
              <w:rPr>
                <w:rFonts w:ascii="新宋体" w:hAnsi="新宋体" w:cs="新宋体" w:eastAsia="新宋体" w:hint="default"/>
                <w:sz w:val="21"/>
                <w:szCs w:val="21"/>
              </w:rPr>
            </w:pPr>
            <w:r>
              <w:rPr>
                <w:rFonts w:ascii="新宋体"/>
                <w:sz w:val="21"/>
              </w:rPr>
              <w:t>3.19%</w:t>
            </w:r>
          </w:p>
        </w:tc>
      </w:tr>
      <w:tr>
        <w:trPr>
          <w:trHeight w:val="348" w:hRule="exact"/>
        </w:trPr>
        <w:tc>
          <w:tcPr>
            <w:tcW w:w="245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本科学历</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05"/>
              <w:jc w:val="right"/>
              <w:rPr>
                <w:rFonts w:ascii="新宋体" w:hAnsi="新宋体" w:cs="新宋体" w:eastAsia="新宋体" w:hint="default"/>
                <w:sz w:val="21"/>
                <w:szCs w:val="21"/>
              </w:rPr>
            </w:pPr>
            <w:r>
              <w:rPr>
                <w:rFonts w:ascii="新宋体"/>
                <w:sz w:val="21"/>
              </w:rPr>
              <w:t>241</w:t>
            </w:r>
          </w:p>
        </w:tc>
        <w:tc>
          <w:tcPr>
            <w:tcW w:w="3632"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right="1481"/>
              <w:jc w:val="right"/>
              <w:rPr>
                <w:rFonts w:ascii="新宋体" w:hAnsi="新宋体" w:cs="新宋体" w:eastAsia="新宋体" w:hint="default"/>
                <w:sz w:val="21"/>
                <w:szCs w:val="21"/>
              </w:rPr>
            </w:pPr>
            <w:r>
              <w:rPr>
                <w:rFonts w:ascii="新宋体"/>
                <w:sz w:val="21"/>
              </w:rPr>
              <w:t>34.98%</w:t>
            </w:r>
          </w:p>
        </w:tc>
      </w:tr>
      <w:tr>
        <w:trPr>
          <w:trHeight w:val="346" w:hRule="exact"/>
        </w:trPr>
        <w:tc>
          <w:tcPr>
            <w:tcW w:w="245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大专学历</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005"/>
              <w:jc w:val="right"/>
              <w:rPr>
                <w:rFonts w:ascii="新宋体" w:hAnsi="新宋体" w:cs="新宋体" w:eastAsia="新宋体" w:hint="default"/>
                <w:sz w:val="21"/>
                <w:szCs w:val="21"/>
              </w:rPr>
            </w:pPr>
            <w:r>
              <w:rPr>
                <w:rFonts w:ascii="新宋体"/>
                <w:sz w:val="21"/>
              </w:rPr>
              <w:t>301</w:t>
            </w:r>
          </w:p>
        </w:tc>
        <w:tc>
          <w:tcPr>
            <w:tcW w:w="3632"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right="1481"/>
              <w:jc w:val="right"/>
              <w:rPr>
                <w:rFonts w:ascii="新宋体" w:hAnsi="新宋体" w:cs="新宋体" w:eastAsia="新宋体" w:hint="default"/>
                <w:sz w:val="21"/>
                <w:szCs w:val="21"/>
              </w:rPr>
            </w:pPr>
            <w:r>
              <w:rPr>
                <w:rFonts w:ascii="新宋体"/>
                <w:sz w:val="21"/>
              </w:rPr>
              <w:t>43.69%</w:t>
            </w:r>
          </w:p>
        </w:tc>
      </w:tr>
      <w:tr>
        <w:trPr>
          <w:trHeight w:val="348" w:hRule="exact"/>
        </w:trPr>
        <w:tc>
          <w:tcPr>
            <w:tcW w:w="24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4" w:right="0"/>
              <w:jc w:val="center"/>
              <w:rPr>
                <w:rFonts w:ascii="新宋体" w:hAnsi="新宋体" w:cs="新宋体" w:eastAsia="新宋体" w:hint="default"/>
                <w:sz w:val="21"/>
                <w:szCs w:val="21"/>
              </w:rPr>
            </w:pPr>
            <w:r>
              <w:rPr>
                <w:rFonts w:ascii="新宋体" w:hAnsi="新宋体" w:cs="新宋体" w:eastAsia="新宋体" w:hint="default"/>
                <w:sz w:val="21"/>
                <w:szCs w:val="21"/>
              </w:rPr>
              <w:t>大专以下学历</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05"/>
              <w:jc w:val="right"/>
              <w:rPr>
                <w:rFonts w:ascii="新宋体" w:hAnsi="新宋体" w:cs="新宋体" w:eastAsia="新宋体" w:hint="default"/>
                <w:sz w:val="21"/>
                <w:szCs w:val="21"/>
              </w:rPr>
            </w:pPr>
            <w:r>
              <w:rPr>
                <w:rFonts w:ascii="新宋体"/>
                <w:sz w:val="21"/>
              </w:rPr>
              <w:t>125</w:t>
            </w:r>
          </w:p>
        </w:tc>
        <w:tc>
          <w:tcPr>
            <w:tcW w:w="3632"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right="1481"/>
              <w:jc w:val="right"/>
              <w:rPr>
                <w:rFonts w:ascii="新宋体" w:hAnsi="新宋体" w:cs="新宋体" w:eastAsia="新宋体" w:hint="default"/>
                <w:sz w:val="21"/>
                <w:szCs w:val="21"/>
              </w:rPr>
            </w:pPr>
            <w:r>
              <w:rPr>
                <w:rFonts w:ascii="新宋体"/>
                <w:sz w:val="21"/>
              </w:rPr>
              <w:t>18.14%</w:t>
            </w:r>
          </w:p>
        </w:tc>
      </w:tr>
      <w:tr>
        <w:trPr>
          <w:trHeight w:val="355" w:hRule="exact"/>
        </w:trPr>
        <w:tc>
          <w:tcPr>
            <w:tcW w:w="2451" w:type="dxa"/>
            <w:tcBorders>
              <w:top w:val="single" w:sz="6" w:space="0" w:color="000000"/>
              <w:left w:val="single" w:sz="12" w:space="0" w:color="000000"/>
              <w:bottom w:val="single" w:sz="12" w:space="0" w:color="000000"/>
              <w:right w:val="single" w:sz="6" w:space="0" w:color="000000"/>
            </w:tcBorders>
          </w:tcPr>
          <w:p>
            <w:pPr>
              <w:pStyle w:val="TableParagraph"/>
              <w:tabs>
                <w:tab w:pos="632" w:val="left" w:leader="none"/>
              </w:tabs>
              <w:spacing w:line="272" w:lineRule="exact"/>
              <w:ind w:left="1" w:right="0"/>
              <w:jc w:val="center"/>
              <w:rPr>
                <w:rFonts w:ascii="新宋体" w:hAnsi="新宋体" w:cs="新宋体" w:eastAsia="新宋体" w:hint="default"/>
                <w:sz w:val="21"/>
                <w:szCs w:val="21"/>
              </w:rPr>
            </w:pPr>
            <w:r>
              <w:rPr>
                <w:rFonts w:ascii="新宋体" w:hAnsi="新宋体" w:cs="新宋体" w:eastAsia="新宋体" w:hint="default"/>
                <w:sz w:val="21"/>
                <w:szCs w:val="21"/>
              </w:rPr>
              <w:t>合</w:t>
              <w:tab/>
              <w:t>计</w:t>
            </w:r>
          </w:p>
        </w:tc>
        <w:tc>
          <w:tcPr>
            <w:tcW w:w="234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005"/>
              <w:jc w:val="right"/>
              <w:rPr>
                <w:rFonts w:ascii="新宋体" w:hAnsi="新宋体" w:cs="新宋体" w:eastAsia="新宋体" w:hint="default"/>
                <w:sz w:val="21"/>
                <w:szCs w:val="21"/>
              </w:rPr>
            </w:pPr>
            <w:r>
              <w:rPr>
                <w:rFonts w:ascii="新宋体"/>
                <w:sz w:val="21"/>
              </w:rPr>
              <w:t>689</w:t>
            </w:r>
          </w:p>
        </w:tc>
        <w:tc>
          <w:tcPr>
            <w:tcW w:w="3632"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right="1431"/>
              <w:jc w:val="right"/>
              <w:rPr>
                <w:rFonts w:ascii="新宋体" w:hAnsi="新宋体" w:cs="新宋体" w:eastAsia="新宋体" w:hint="default"/>
                <w:sz w:val="21"/>
                <w:szCs w:val="21"/>
              </w:rPr>
            </w:pPr>
            <w:r>
              <w:rPr>
                <w:rFonts w:ascii="新宋体"/>
                <w:spacing w:val="-1"/>
                <w:sz w:val="21"/>
              </w:rPr>
              <w:t>100.00%</w:t>
            </w:r>
          </w:p>
        </w:tc>
      </w:tr>
    </w:tbl>
    <w:p>
      <w:pPr>
        <w:spacing w:line="240" w:lineRule="auto" w:before="4"/>
        <w:rPr>
          <w:rFonts w:ascii="新宋体" w:hAnsi="新宋体" w:cs="新宋体" w:eastAsia="新宋体" w:hint="default"/>
          <w:sz w:val="19"/>
          <w:szCs w:val="19"/>
        </w:rPr>
      </w:pPr>
    </w:p>
    <w:p>
      <w:pPr>
        <w:pStyle w:val="BodyText"/>
        <w:spacing w:line="240" w:lineRule="auto" w:before="26"/>
        <w:ind w:left="845" w:right="1199"/>
        <w:jc w:val="left"/>
      </w:pPr>
      <w:r>
        <w:rPr/>
        <w:t>（二）公司无需承担费用的离退休员工。</w:t>
      </w:r>
    </w:p>
    <w:p>
      <w:pPr>
        <w:spacing w:after="0" w:line="240" w:lineRule="auto"/>
        <w:jc w:val="left"/>
        <w:sectPr>
          <w:pgSz w:w="11910" w:h="16840"/>
          <w:pgMar w:header="555" w:footer="980" w:top="1100" w:bottom="1160" w:left="660" w:right="640"/>
        </w:sect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4"/>
        <w:rPr>
          <w:rFonts w:ascii="新宋体" w:hAnsi="新宋体" w:cs="新宋体" w:eastAsia="新宋体" w:hint="default"/>
          <w:sz w:val="19"/>
          <w:szCs w:val="19"/>
        </w:rPr>
      </w:pPr>
    </w:p>
    <w:p>
      <w:pPr>
        <w:pStyle w:val="Heading1"/>
        <w:spacing w:line="240" w:lineRule="auto"/>
        <w:ind w:right="3827"/>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5"/>
        <w:jc w:val="left"/>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234" w:firstLine="660"/>
        <w:jc w:val="both"/>
      </w:pPr>
      <w:r>
        <w:rPr>
          <w:spacing w:val="2"/>
        </w:rPr>
        <w:t>报告期内，公司严格按照《公司法》、《证券法》、《上市公司治理准则》、《深圳</w:t>
      </w:r>
      <w:r>
        <w:rPr/>
        <w:t> 证券交易所创业板股票上市规则》、《创业板上市公司规范运作指引》、《上市公司章程指</w:t>
      </w:r>
      <w:r>
        <w:rPr>
          <w:spacing w:val="-91"/>
        </w:rPr>
        <w:t> </w:t>
      </w:r>
      <w:r>
        <w:rPr>
          <w:spacing w:val="-91"/>
        </w:rPr>
      </w:r>
      <w:r>
        <w:rPr/>
        <w:t>引》和其他有关法律法规的要求，不断完善公司法人治理结构，建立健全公司内部管理和控</w:t>
      </w:r>
      <w:r>
        <w:rPr>
          <w:spacing w:val="-91"/>
        </w:rPr>
        <w:t> </w:t>
      </w:r>
      <w:r>
        <w:rPr>
          <w:spacing w:val="-91"/>
        </w:rPr>
      </w:r>
      <w:r>
        <w:rPr/>
        <w:t>制制度，进一步规范公司运作，提升公司的规范化和透明度，努力做好信息披露工作及投资</w:t>
      </w:r>
      <w:r>
        <w:rPr>
          <w:spacing w:val="-91"/>
        </w:rPr>
        <w:t> </w:t>
      </w:r>
      <w:r>
        <w:rPr>
          <w:spacing w:val="-91"/>
        </w:rPr>
      </w:r>
      <w:r>
        <w:rPr/>
        <w:t>者关系管理，不断提高公司治理水平。截止报告期末，公司治理结构的实际情况符合中国证</w:t>
      </w:r>
      <w:r>
        <w:rPr>
          <w:spacing w:val="-87"/>
        </w:rPr>
        <w:t> </w:t>
      </w:r>
      <w:r>
        <w:rPr>
          <w:spacing w:val="-87"/>
        </w:rPr>
      </w:r>
      <w:r>
        <w:rPr/>
        <w:t>监会发布的有关上市公司治理的规范性文件的要求。</w:t>
      </w:r>
    </w:p>
    <w:p>
      <w:pPr>
        <w:pStyle w:val="BodyText"/>
        <w:spacing w:line="240" w:lineRule="auto"/>
        <w:ind w:left="525" w:right="105"/>
        <w:jc w:val="left"/>
      </w:pPr>
      <w:r>
        <w:rPr/>
        <w:t>（一）独立性</w:t>
      </w:r>
    </w:p>
    <w:p>
      <w:pPr>
        <w:pStyle w:val="BodyText"/>
        <w:spacing w:line="357" w:lineRule="auto" w:before="192"/>
        <w:ind w:right="233" w:firstLine="420"/>
        <w:jc w:val="both"/>
      </w:pPr>
      <w:r>
        <w:rPr>
          <w:spacing w:val="2"/>
        </w:rPr>
        <w:t>公司自成立以来严格按照《公司法》、《证券法》等有关法律、法规和《公司章程》的 </w:t>
      </w:r>
      <w:r>
        <w:rPr/>
        <w:t>要求规范运作，在业务、资产、人员、机构和财务等方面与公司股东相互独立，拥有独立完</w:t>
      </w:r>
      <w:r>
        <w:rPr>
          <w:spacing w:val="-91"/>
        </w:rPr>
        <w:t> </w:t>
      </w:r>
      <w:r>
        <w:rPr>
          <w:spacing w:val="-91"/>
        </w:rPr>
      </w:r>
      <w:r>
        <w:rPr/>
        <w:t>整的采购、生产、销售、研发系统，具备面向市场自主经营的能力。</w:t>
      </w:r>
    </w:p>
    <w:p>
      <w:pPr>
        <w:pStyle w:val="BodyText"/>
        <w:spacing w:line="357" w:lineRule="auto"/>
        <w:ind w:right="230" w:firstLine="427"/>
        <w:jc w:val="both"/>
      </w:pPr>
      <w:r>
        <w:rPr>
          <w:rFonts w:ascii="新宋体" w:hAnsi="新宋体" w:cs="新宋体" w:eastAsia="新宋体" w:hint="default"/>
          <w:spacing w:val="-1"/>
        </w:rPr>
        <w:t>1</w:t>
      </w:r>
      <w:r>
        <w:rPr>
          <w:spacing w:val="-1"/>
        </w:rPr>
        <w:t>、公司的人员独立。公司的董事、监事均严格按照《公司法》、《公司章程》的有关规</w:t>
      </w:r>
      <w:r>
        <w:rPr/>
        <w:t> 定产生，履行了合法程序；公司的总经理、副总经理、董事会秘书、财务负责人、核心技术 人员等人员专职在公司工作，并在公司领取薪酬。公司已建立独立的劳动、人事、社会保障 体系及工资管理体系，与员工签订了劳动合同，并按国家规定办理了社会保险。</w:t>
      </w:r>
    </w:p>
    <w:p>
      <w:pPr>
        <w:pStyle w:val="BodyText"/>
        <w:spacing w:line="357" w:lineRule="auto"/>
        <w:ind w:right="232" w:firstLine="427"/>
        <w:jc w:val="both"/>
      </w:pPr>
      <w:r>
        <w:rPr>
          <w:rFonts w:ascii="新宋体" w:hAnsi="新宋体" w:cs="新宋体" w:eastAsia="新宋体" w:hint="default"/>
          <w:spacing w:val="-1"/>
        </w:rPr>
        <w:t>2</w:t>
      </w:r>
      <w:r>
        <w:rPr>
          <w:spacing w:val="-1"/>
        </w:rPr>
        <w:t>、公司的资产独立完整、权属清晰。公司具备与生产经营有关的生产系统、辅助生产系</w:t>
      </w:r>
      <w:r>
        <w:rPr/>
        <w:t> 统和配套设施，合法拥有与生产经营有关的土地、厂房、机器设备以及商标、专利、非专利 技术的所有权和使用权，具有独立的原料采购和产品销售系统，与发起人及其他关联方间资 产相互独立，其资产具有完整性。</w:t>
      </w:r>
    </w:p>
    <w:p>
      <w:pPr>
        <w:pStyle w:val="BodyText"/>
        <w:spacing w:line="357" w:lineRule="auto"/>
        <w:ind w:right="107" w:firstLine="427"/>
        <w:jc w:val="left"/>
      </w:pPr>
      <w:r>
        <w:rPr>
          <w:rFonts w:ascii="新宋体" w:hAnsi="新宋体" w:cs="新宋体" w:eastAsia="新宋体" w:hint="default"/>
          <w:spacing w:val="-4"/>
        </w:rPr>
        <w:t>3</w:t>
      </w:r>
      <w:r>
        <w:rPr>
          <w:spacing w:val="-4"/>
        </w:rPr>
        <w:t>、公司财务独立。公司有独立的财务部门，建立了独立的会计核算体系和财务管理制度；</w:t>
      </w:r>
      <w:r>
        <w:rPr/>
        <w:t> 配备了专职的财务会计人员，独立进行会计核算和财务决策。公司开设有独立的银行帐号， 公司并依法独立进行纳税申报和履行纳税义务。</w:t>
      </w:r>
    </w:p>
    <w:p>
      <w:pPr>
        <w:pStyle w:val="BodyText"/>
        <w:spacing w:line="357" w:lineRule="auto"/>
        <w:ind w:right="230" w:firstLine="427"/>
        <w:jc w:val="both"/>
      </w:pPr>
      <w:r>
        <w:rPr>
          <w:rFonts w:ascii="新宋体" w:hAnsi="新宋体" w:cs="新宋体" w:eastAsia="新宋体" w:hint="default"/>
          <w:spacing w:val="-1"/>
        </w:rPr>
        <w:t>4</w:t>
      </w:r>
      <w:r>
        <w:rPr>
          <w:spacing w:val="-1"/>
        </w:rPr>
        <w:t>、公司建立健全了独立的股东大会、董事会、监事会、经理的法人治理结构。并严格按</w:t>
      </w:r>
      <w:r>
        <w:rPr/>
        <w:t> 照《公司法》、《公司章程》的规定履行各自的职责；建立了独立的、适应自身发展需要的 组织结构，制定了完善的岗位职责和管理制度，各部门按照规定的职责独立运作。</w:t>
      </w:r>
    </w:p>
    <w:p>
      <w:pPr>
        <w:pStyle w:val="BodyText"/>
        <w:spacing w:line="240" w:lineRule="auto"/>
        <w:ind w:left="580" w:right="105"/>
        <w:jc w:val="left"/>
      </w:pPr>
      <w:r>
        <w:rPr>
          <w:rFonts w:ascii="新宋体" w:hAnsi="新宋体" w:cs="新宋体" w:eastAsia="新宋体" w:hint="default"/>
        </w:rPr>
        <w:t>5</w:t>
      </w:r>
      <w:r>
        <w:rPr/>
        <w:t>、公司业务独立。公司具备独立、完整的产供销系统，拥有独立的决策和执行机构，并</w:t>
      </w:r>
    </w:p>
    <w:p>
      <w:pPr>
        <w:spacing w:after="0" w:line="240"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right="269"/>
        <w:jc w:val="both"/>
      </w:pPr>
      <w:r>
        <w:rPr/>
        <w:t>拥有独立的业务系统；独立地对外签署合同，独立采购、生产并销售其生产的产品；具有面 向市场的自主经营能力；公司股东及其控制的其他企业没有从事与公司相同或相近的业务。</w:t>
      </w:r>
    </w:p>
    <w:p>
      <w:pPr>
        <w:pStyle w:val="BodyText"/>
        <w:spacing w:line="240" w:lineRule="auto"/>
        <w:ind w:left="525" w:right="105"/>
        <w:jc w:val="left"/>
      </w:pPr>
      <w:r>
        <w:rPr/>
        <w:t>（二）股东与股东大会</w:t>
      </w:r>
    </w:p>
    <w:p>
      <w:pPr>
        <w:pStyle w:val="BodyText"/>
        <w:spacing w:line="357" w:lineRule="auto" w:before="194"/>
        <w:ind w:right="233" w:firstLine="420"/>
        <w:jc w:val="both"/>
      </w:pPr>
      <w:r>
        <w:rPr>
          <w:spacing w:val="2"/>
        </w:rPr>
        <w:t>公司严格按照《创业板上市公司规范运作指引》、《上市公司股东大会规则》、《公司 </w:t>
      </w:r>
      <w:r>
        <w:rPr/>
        <w:t>章程》、《公司股东大会议事规则》等规定的要求，召集、召开股东大会，平等对待所有股</w:t>
      </w:r>
      <w:r>
        <w:rPr>
          <w:spacing w:val="-91"/>
        </w:rPr>
        <w:t> </w:t>
      </w:r>
      <w:r>
        <w:rPr>
          <w:spacing w:val="-91"/>
        </w:rPr>
      </w:r>
      <w:r>
        <w:rPr/>
        <w:t>东，特别是保证中小股东享有平等地位，并尽可能为股东参加股东大会提供便利，使其充分</w:t>
      </w:r>
      <w:r>
        <w:rPr>
          <w:spacing w:val="-91"/>
        </w:rPr>
        <w:t> </w:t>
      </w:r>
      <w:r>
        <w:rPr>
          <w:spacing w:val="-91"/>
        </w:rPr>
      </w:r>
      <w:r>
        <w:rPr/>
        <w:t>行使自己的权利。在《公司章程》、《股东大会议事规则》中明确规定了股东大会的召集、</w:t>
      </w:r>
      <w:r>
        <w:rPr>
          <w:spacing w:val="-91"/>
        </w:rPr>
        <w:t> </w:t>
      </w:r>
      <w:r>
        <w:rPr>
          <w:spacing w:val="-91"/>
        </w:rPr>
      </w:r>
      <w:r>
        <w:rPr/>
        <w:t>召开及表决程序、股东的参会资格和对董事会的授权原则等，董事会在报告期内做到认真审</w:t>
      </w:r>
      <w:r>
        <w:rPr>
          <w:spacing w:val="-91"/>
        </w:rPr>
        <w:t> </w:t>
      </w:r>
      <w:r>
        <w:rPr>
          <w:spacing w:val="-91"/>
        </w:rPr>
      </w:r>
      <w:r>
        <w:rPr/>
        <w:t>议并安排股东大会的审议事项等。</w:t>
      </w:r>
    </w:p>
    <w:p>
      <w:pPr>
        <w:pStyle w:val="BodyText"/>
        <w:spacing w:line="386" w:lineRule="auto"/>
        <w:ind w:left="573" w:right="113" w:hanging="48"/>
        <w:jc w:val="left"/>
      </w:pPr>
      <w:r>
        <w:rPr/>
        <w:t>（三）公司与控股股东 </w:t>
      </w:r>
      <w:r>
        <w:rPr>
          <w:spacing w:val="-7"/>
        </w:rPr>
        <w:t>公司控股股东严格按照《上市公司治理准则》、《深圳证券交易所创业板股票上市规则》、</w:t>
      </w:r>
    </w:p>
    <w:p>
      <w:pPr>
        <w:pStyle w:val="BodyText"/>
        <w:spacing w:line="357" w:lineRule="auto" w:before="7"/>
        <w:ind w:right="239"/>
        <w:jc w:val="both"/>
      </w:pPr>
      <w:r>
        <w:rPr/>
        <w:t>《公司章程》规范自己的行为，通过股东大会依法行使出资人的权利，没有采取任何其他方</w:t>
      </w:r>
      <w:r>
        <w:rPr>
          <w:spacing w:val="-91"/>
        </w:rPr>
        <w:t> </w:t>
      </w:r>
      <w:r>
        <w:rPr>
          <w:spacing w:val="-91"/>
        </w:rPr>
      </w:r>
      <w:r>
        <w:rPr/>
        <w:t>式直接或间接地干预公司的决策及依法开展的生产经营活动，没有损害公司及其他股东的利</w:t>
      </w:r>
      <w:r>
        <w:rPr>
          <w:spacing w:val="-91"/>
        </w:rPr>
        <w:t> </w:t>
      </w:r>
      <w:r>
        <w:rPr>
          <w:spacing w:val="-91"/>
        </w:rPr>
      </w:r>
      <w:r>
        <w:rPr/>
        <w:t>益；公司与控股股东在业务、人员、资产、机构和财务方面做到相互独立；公司的重大决策</w:t>
      </w:r>
      <w:r>
        <w:rPr>
          <w:spacing w:val="-91"/>
        </w:rPr>
        <w:t> </w:t>
      </w:r>
      <w:r>
        <w:rPr>
          <w:spacing w:val="-91"/>
        </w:rPr>
      </w:r>
      <w:r>
        <w:rPr/>
        <w:t>能按照规范的程序由股东大会和董事会作出。控股股东与公司之间无非经营性关联交易，公</w:t>
      </w:r>
      <w:r>
        <w:rPr>
          <w:spacing w:val="-91"/>
        </w:rPr>
        <w:t> </w:t>
      </w:r>
      <w:r>
        <w:rPr>
          <w:spacing w:val="-91"/>
        </w:rPr>
      </w:r>
      <w:r>
        <w:rPr/>
        <w:t>司没有为控股股东及其下属企业提供担保。</w:t>
      </w:r>
    </w:p>
    <w:p>
      <w:pPr>
        <w:pStyle w:val="BodyText"/>
        <w:spacing w:line="240" w:lineRule="auto"/>
        <w:ind w:left="525" w:right="105"/>
        <w:jc w:val="left"/>
      </w:pPr>
      <w:r>
        <w:rPr/>
        <w:t>（四）董事与董事会</w:t>
      </w:r>
    </w:p>
    <w:p>
      <w:pPr>
        <w:pStyle w:val="BodyText"/>
        <w:spacing w:line="357" w:lineRule="auto" w:before="194"/>
        <w:ind w:right="113" w:firstLine="420"/>
        <w:jc w:val="both"/>
      </w:pPr>
      <w:r>
        <w:rPr>
          <w:spacing w:val="2"/>
        </w:rPr>
        <w:t>公司在《公司章程》、《董事会议事规则》中规定规范、透明的董事选聘程序，并严格 </w:t>
      </w:r>
      <w:r>
        <w:rPr/>
        <w:t>执行。公司董事会设董事</w:t>
      </w:r>
      <w:r>
        <w:rPr>
          <w:rFonts w:ascii="新宋体" w:hAnsi="新宋体" w:cs="新宋体" w:eastAsia="新宋体" w:hint="default"/>
        </w:rPr>
        <w:t>9 </w:t>
      </w:r>
      <w:r>
        <w:rPr/>
        <w:t>名，其中独立董事</w:t>
      </w:r>
      <w:r>
        <w:rPr>
          <w:rFonts w:ascii="新宋体" w:hAnsi="新宋体" w:cs="新宋体" w:eastAsia="新宋体" w:hint="default"/>
        </w:rPr>
        <w:t>3 </w:t>
      </w:r>
      <w:r>
        <w:rPr/>
        <w:t>名，董事会的人数及人员构成符合法律、法</w:t>
      </w:r>
      <w:r>
        <w:rPr>
          <w:spacing w:val="-89"/>
        </w:rPr>
        <w:t> </w:t>
      </w:r>
      <w:r>
        <w:rPr>
          <w:spacing w:val="-89"/>
        </w:rPr>
      </w:r>
      <w:r>
        <w:rPr>
          <w:spacing w:val="-8"/>
        </w:rPr>
        <w:t>规和《公司章程》的要求。各位董事能够依据《公司法》、《创业板上市公司规范运作指引》、</w:t>
      </w:r>
    </w:p>
    <w:p>
      <w:pPr>
        <w:pStyle w:val="BodyText"/>
        <w:spacing w:line="357" w:lineRule="auto"/>
        <w:ind w:right="239"/>
        <w:jc w:val="both"/>
      </w:pPr>
      <w:r>
        <w:rPr/>
        <w:t>《公司章程》、《董事会议事规则》等相关法律法规制度开展工作，按时参加会议，勤勉尽</w:t>
      </w:r>
      <w:r>
        <w:rPr>
          <w:spacing w:val="-91"/>
        </w:rPr>
        <w:t> </w:t>
      </w:r>
      <w:r>
        <w:rPr>
          <w:spacing w:val="-91"/>
        </w:rPr>
      </w:r>
      <w:r>
        <w:rPr/>
        <w:t>责地履行职责和义务，同时积极参加相关培训，熟悉相关法律法规。独立董事能够不受公司</w:t>
      </w:r>
      <w:r>
        <w:rPr>
          <w:spacing w:val="-91"/>
        </w:rPr>
        <w:t> </w:t>
      </w:r>
      <w:r>
        <w:rPr>
          <w:spacing w:val="-91"/>
        </w:rPr>
      </w:r>
      <w:r>
        <w:rPr/>
        <w:t>主要股东、实际控制人以及其他与公司存在利害关系的单位或个人的影响，独立履行职责，</w:t>
      </w:r>
      <w:r>
        <w:rPr>
          <w:spacing w:val="-91"/>
        </w:rPr>
        <w:t> </w:t>
      </w:r>
      <w:r>
        <w:rPr>
          <w:spacing w:val="-91"/>
        </w:rPr>
      </w:r>
      <w:r>
        <w:rPr/>
        <w:t>对公司的重大事项均能发表独立意见。</w:t>
      </w:r>
    </w:p>
    <w:p>
      <w:pPr>
        <w:pStyle w:val="BodyText"/>
        <w:spacing w:line="240" w:lineRule="auto"/>
        <w:ind w:left="525" w:right="105"/>
        <w:jc w:val="left"/>
      </w:pPr>
      <w:r>
        <w:rPr/>
        <w:t>（五）监事与监事会</w:t>
      </w:r>
    </w:p>
    <w:p>
      <w:pPr>
        <w:pStyle w:val="BodyText"/>
        <w:spacing w:line="357" w:lineRule="auto" w:before="194"/>
        <w:ind w:right="228" w:firstLine="420"/>
        <w:jc w:val="both"/>
      </w:pPr>
      <w:r>
        <w:rPr>
          <w:spacing w:val="2"/>
        </w:rPr>
        <w:t>公司监事会严格按照《公司法》、《公司章程》和《监事会议事规则》的有关规定，认</w:t>
      </w:r>
      <w:r>
        <w:rPr/>
        <w:t> 真履行职责，对公司财务状况、重大事项以及公司董事、经理和其他高级管理人员履行职责</w:t>
      </w:r>
      <w:r>
        <w:rPr>
          <w:spacing w:val="-91"/>
        </w:rPr>
        <w:t> </w:t>
      </w:r>
      <w:r>
        <w:rPr>
          <w:spacing w:val="-91"/>
        </w:rPr>
      </w:r>
      <w:r>
        <w:rPr>
          <w:spacing w:val="-2"/>
        </w:rPr>
        <w:t>的合法合规性进行监督，维护公司及股东的合法权益。公司监事会设监事</w:t>
      </w:r>
      <w:r>
        <w:rPr>
          <w:rFonts w:ascii="新宋体" w:hAnsi="新宋体" w:cs="新宋体" w:eastAsia="新宋体" w:hint="default"/>
          <w:spacing w:val="-2"/>
        </w:rPr>
        <w:t>3</w:t>
      </w:r>
      <w:r>
        <w:rPr>
          <w:spacing w:val="-2"/>
        </w:rPr>
        <w:t>名，其中职工监事</w:t>
      </w:r>
      <w:r>
        <w:rPr>
          <w:spacing w:val="-118"/>
        </w:rPr>
        <w:t> </w:t>
      </w:r>
      <w:r>
        <w:rPr>
          <w:spacing w:val="-118"/>
        </w:rPr>
      </w:r>
      <w:r>
        <w:rPr>
          <w:rFonts w:ascii="新宋体" w:hAnsi="新宋体" w:cs="新宋体" w:eastAsia="新宋体" w:hint="default"/>
          <w:spacing w:val="-2"/>
        </w:rPr>
        <w:t>1</w:t>
      </w:r>
      <w:r>
        <w:rPr>
          <w:spacing w:val="-2"/>
        </w:rPr>
        <w:t>名，公司监事会的人数、成员构成及监事的任职资格符合相关法律、法规的要求。监事会能</w:t>
      </w:r>
    </w:p>
    <w:p>
      <w:pPr>
        <w:spacing w:after="0" w:line="357" w:lineRule="auto"/>
        <w:jc w:val="both"/>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240" w:lineRule="auto" w:before="26"/>
        <w:ind w:right="0"/>
        <w:jc w:val="both"/>
      </w:pPr>
      <w:r>
        <w:rPr>
          <w:spacing w:val="-3"/>
        </w:rPr>
        <w:t>够严格按照《监事会议事规则》的要求召集、召开监事会，表决程序符合法律、法规的要求。</w:t>
      </w:r>
    </w:p>
    <w:p>
      <w:pPr>
        <w:pStyle w:val="BodyText"/>
        <w:spacing w:line="240" w:lineRule="auto" w:before="154"/>
        <w:ind w:left="525" w:right="105"/>
        <w:jc w:val="left"/>
      </w:pPr>
      <w:r>
        <w:rPr/>
        <w:t>（六）绩效评价与激励约束机制</w:t>
      </w:r>
    </w:p>
    <w:p>
      <w:pPr>
        <w:pStyle w:val="BodyText"/>
        <w:spacing w:line="357" w:lineRule="auto" w:before="194"/>
        <w:ind w:right="233" w:firstLine="420"/>
        <w:jc w:val="both"/>
      </w:pPr>
      <w:r>
        <w:rPr>
          <w:spacing w:val="2"/>
        </w:rPr>
        <w:t>公司已建立工作绩效评价体系，使员工的收入与工作绩效挂钩；高级管理人员的聘任能 </w:t>
      </w:r>
      <w:r>
        <w:rPr/>
        <w:t>够做到公开、透明，符合法律、法规的规定；公司建立了经理人员的薪酬与公司业绩和个人</w:t>
      </w:r>
      <w:r>
        <w:rPr>
          <w:spacing w:val="-88"/>
        </w:rPr>
        <w:t> </w:t>
      </w:r>
      <w:r>
        <w:rPr>
          <w:spacing w:val="-88"/>
        </w:rPr>
      </w:r>
      <w:r>
        <w:rPr/>
        <w:t>业绩相挂钩的激励机制。</w:t>
      </w:r>
    </w:p>
    <w:p>
      <w:pPr>
        <w:pStyle w:val="BodyText"/>
        <w:spacing w:line="240" w:lineRule="auto"/>
        <w:ind w:left="525" w:right="105"/>
        <w:jc w:val="left"/>
      </w:pPr>
      <w:r>
        <w:rPr/>
        <w:t>（七）相关利益者</w:t>
      </w:r>
    </w:p>
    <w:p>
      <w:pPr>
        <w:pStyle w:val="BodyText"/>
        <w:spacing w:line="357" w:lineRule="auto" w:before="192"/>
        <w:ind w:right="105" w:firstLine="420"/>
        <w:jc w:val="left"/>
      </w:pPr>
      <w:r>
        <w:rPr>
          <w:spacing w:val="2"/>
        </w:rPr>
        <w:t>公司能够充分尊重银行及其他债权人、员工、消费者、供应商、经销商等利益相关者的 </w:t>
      </w:r>
      <w:r>
        <w:rPr/>
        <w:t>合法权利，与利益相关者积极合作，共同推动公司持续、健康地发展。</w:t>
      </w:r>
    </w:p>
    <w:p>
      <w:pPr>
        <w:pStyle w:val="BodyText"/>
        <w:spacing w:line="240" w:lineRule="auto" w:before="37"/>
        <w:ind w:left="525" w:right="105"/>
        <w:jc w:val="left"/>
      </w:pPr>
      <w:r>
        <w:rPr/>
        <w:t>（八）关于信息披露与透明度</w:t>
      </w:r>
    </w:p>
    <w:p>
      <w:pPr>
        <w:pStyle w:val="BodyText"/>
        <w:spacing w:line="240" w:lineRule="auto" w:before="194"/>
        <w:ind w:left="573" w:right="105"/>
        <w:jc w:val="left"/>
      </w:pPr>
      <w:r>
        <w:rPr>
          <w:spacing w:val="2"/>
        </w:rPr>
        <w:t>公司根据《深圳证券交易所创业板股票上市规则》、《上市公司信息披露管理办法》、</w:t>
      </w:r>
      <w:r>
        <w:rPr/>
      </w:r>
    </w:p>
    <w:p>
      <w:pPr>
        <w:pStyle w:val="BodyText"/>
        <w:spacing w:line="357" w:lineRule="auto" w:before="154"/>
        <w:ind w:right="236"/>
        <w:jc w:val="both"/>
      </w:pPr>
      <w:r>
        <w:rPr/>
        <w:t>《公司章程》以及公司《信息披露基本制度》等相关法规制度的规定，认真履行信息披露义</w:t>
      </w:r>
      <w:r>
        <w:rPr>
          <w:spacing w:val="-91"/>
        </w:rPr>
        <w:t> </w:t>
      </w:r>
      <w:r>
        <w:rPr>
          <w:spacing w:val="-91"/>
        </w:rPr>
      </w:r>
      <w:r>
        <w:rPr/>
        <w:t>务。公司指定董事会秘书负责信息披露工作，并负责投资者关系管理，接待投资者的来访和</w:t>
      </w:r>
      <w:r>
        <w:rPr>
          <w:spacing w:val="-91"/>
        </w:rPr>
        <w:t> </w:t>
      </w:r>
      <w:r>
        <w:rPr>
          <w:spacing w:val="-91"/>
        </w:rPr>
      </w:r>
      <w:r>
        <w:rPr/>
        <w:t>咨询，设立专门机构并配备了相应人员，真实、准确、及时、公平、完整地披露有关信息，</w:t>
      </w:r>
      <w:r>
        <w:rPr>
          <w:spacing w:val="-89"/>
        </w:rPr>
        <w:t> </w:t>
      </w:r>
      <w:r>
        <w:rPr>
          <w:spacing w:val="-89"/>
        </w:rPr>
      </w:r>
      <w:r>
        <w:rPr/>
        <w:t>确保公司所有股东能够以平等的机会获得信息。</w:t>
      </w:r>
    </w:p>
    <w:p>
      <w:pPr>
        <w:pStyle w:val="BodyText"/>
        <w:spacing w:line="357" w:lineRule="auto"/>
        <w:ind w:right="105" w:firstLine="420"/>
        <w:jc w:val="left"/>
      </w:pPr>
      <w:r>
        <w:rPr/>
        <w:t>公司指定《证券时报》和巨潮资讯网（</w:t>
      </w:r>
      <w:hyperlink r:id="rId13">
        <w:r>
          <w:rPr>
            <w:rFonts w:ascii="新宋体" w:hAnsi="新宋体" w:cs="新宋体" w:eastAsia="新宋体" w:hint="default"/>
          </w:rPr>
          <w:t>http://www.cninfo.com.cn</w:t>
        </w:r>
      </w:hyperlink>
      <w:r>
        <w:rPr/>
        <w:t>）为公司信息披露的 指定报纸和网站。</w:t>
      </w:r>
    </w:p>
    <w:p>
      <w:pPr>
        <w:pStyle w:val="BodyText"/>
        <w:spacing w:line="388" w:lineRule="auto"/>
        <w:ind w:left="645" w:right="105" w:hanging="120"/>
        <w:jc w:val="left"/>
      </w:pPr>
      <w:r>
        <w:rPr/>
        <w:t>（九）投资者关系管理情况 </w:t>
      </w:r>
      <w:r>
        <w:rPr>
          <w:spacing w:val="-3"/>
        </w:rPr>
        <w:t>投资者关系工作是一项长期、持续的重要工作，公司不断学习先进投资者关系管理经验，</w:t>
      </w:r>
    </w:p>
    <w:p>
      <w:pPr>
        <w:pStyle w:val="BodyText"/>
        <w:spacing w:line="357" w:lineRule="auto" w:before="5"/>
        <w:ind w:right="239"/>
        <w:jc w:val="both"/>
      </w:pPr>
      <w:r>
        <w:rPr/>
        <w:t>以更好的方式和途径使广大投资者能够平等地获取公司经营管理、未来发展等信息，构建与</w:t>
      </w:r>
      <w:r>
        <w:rPr>
          <w:spacing w:val="-91"/>
        </w:rPr>
        <w:t> </w:t>
      </w:r>
      <w:r>
        <w:rPr>
          <w:spacing w:val="-91"/>
        </w:rPr>
      </w:r>
      <w:r>
        <w:rPr/>
        <w:t>投资者的良好互动关系，树立公司在资本市场的规范形象。报告期内，公司严格执行《投资</w:t>
      </w:r>
      <w:r>
        <w:rPr>
          <w:spacing w:val="-91"/>
        </w:rPr>
        <w:t> </w:t>
      </w:r>
      <w:r>
        <w:rPr>
          <w:spacing w:val="-91"/>
        </w:rPr>
      </w:r>
      <w:r>
        <w:rPr/>
        <w:t>者关系管理制度》，认真做好投资者关系管理工作：</w:t>
      </w:r>
    </w:p>
    <w:p>
      <w:pPr>
        <w:pStyle w:val="BodyText"/>
        <w:spacing w:line="240" w:lineRule="auto" w:before="74"/>
        <w:ind w:left="645" w:right="105"/>
        <w:jc w:val="left"/>
      </w:pPr>
      <w:r>
        <w:rPr>
          <w:rFonts w:ascii="新宋体" w:hAnsi="新宋体" w:cs="新宋体" w:eastAsia="新宋体" w:hint="default"/>
        </w:rPr>
        <w:t>1</w:t>
      </w:r>
      <w:r>
        <w:rPr/>
        <w:t>、日常工作</w:t>
      </w:r>
    </w:p>
    <w:p>
      <w:pPr>
        <w:pStyle w:val="BodyText"/>
        <w:spacing w:line="357" w:lineRule="auto" w:before="194"/>
        <w:ind w:right="122" w:firstLine="492"/>
        <w:jc w:val="left"/>
      </w:pPr>
      <w:r>
        <w:rPr/>
        <w:t>（</w:t>
      </w:r>
      <w:r>
        <w:rPr>
          <w:rFonts w:ascii="新宋体" w:hAnsi="新宋体" w:cs="新宋体" w:eastAsia="新宋体" w:hint="default"/>
        </w:rPr>
        <w:t>1</w:t>
      </w:r>
      <w:r>
        <w:rPr/>
        <w:t>）指定董事会秘书作为投资者关系管理负责人，安排专人负责投资者来访接待工作， 积极做好投资者关系管理工作档案的建立和保管，合理、妥善地安排个人投资者、机构投资</w:t>
      </w:r>
      <w:r>
        <w:rPr>
          <w:spacing w:val="-91"/>
        </w:rPr>
        <w:t> </w:t>
      </w:r>
      <w:r>
        <w:rPr>
          <w:spacing w:val="-91"/>
        </w:rPr>
      </w:r>
      <w:r>
        <w:rPr/>
        <w:t>者、行业分析师等相关人员到公司进行调研，并切实做好相关信息的保密工作。</w:t>
      </w:r>
    </w:p>
    <w:p>
      <w:pPr>
        <w:pStyle w:val="BodyText"/>
        <w:spacing w:line="357" w:lineRule="auto" w:before="77"/>
        <w:ind w:right="105" w:firstLine="492"/>
        <w:jc w:val="left"/>
      </w:pPr>
      <w:r>
        <w:rPr>
          <w:spacing w:val="-3"/>
        </w:rPr>
        <w:t>（</w:t>
      </w:r>
      <w:r>
        <w:rPr>
          <w:rFonts w:ascii="新宋体" w:hAnsi="新宋体" w:cs="新宋体" w:eastAsia="新宋体" w:hint="default"/>
          <w:spacing w:val="-3"/>
        </w:rPr>
        <w:t>2</w:t>
      </w:r>
      <w:r>
        <w:rPr>
          <w:spacing w:val="-3"/>
        </w:rPr>
        <w:t>）通过公司网站、投资者关系管理电话、电子信箱、互动平台等多种渠道与投资者加</w:t>
      </w:r>
      <w:r>
        <w:rPr/>
        <w:t> 强沟通，尽可能解答投资者的疑问。</w:t>
      </w:r>
    </w:p>
    <w:p>
      <w:pPr>
        <w:pStyle w:val="BodyText"/>
        <w:spacing w:line="240" w:lineRule="auto" w:before="74"/>
        <w:ind w:left="645" w:right="105"/>
        <w:jc w:val="left"/>
      </w:pPr>
      <w:r>
        <w:rPr>
          <w:rFonts w:ascii="新宋体" w:hAnsi="新宋体" w:cs="新宋体" w:eastAsia="新宋体" w:hint="default"/>
        </w:rPr>
        <w:t>2</w:t>
      </w:r>
      <w:r>
        <w:rPr/>
        <w:t>、互动交流</w:t>
      </w:r>
    </w:p>
    <w:p>
      <w:pPr>
        <w:pStyle w:val="BodyText"/>
        <w:spacing w:line="240" w:lineRule="auto" w:before="194"/>
        <w:ind w:left="645" w:right="105"/>
        <w:jc w:val="left"/>
      </w:pPr>
      <w:r>
        <w:rPr>
          <w:spacing w:val="-3"/>
        </w:rPr>
        <w:t>（</w:t>
      </w:r>
      <w:r>
        <w:rPr>
          <w:rFonts w:ascii="新宋体" w:hAnsi="新宋体" w:cs="新宋体" w:eastAsia="新宋体" w:hint="default"/>
          <w:spacing w:val="-3"/>
        </w:rPr>
        <w:t>1</w:t>
      </w:r>
      <w:r>
        <w:rPr>
          <w:spacing w:val="-3"/>
        </w:rPr>
        <w:t>）报告期内，公司召开了</w:t>
      </w:r>
      <w:r>
        <w:rPr>
          <w:rFonts w:ascii="新宋体" w:hAnsi="新宋体" w:cs="新宋体" w:eastAsia="新宋体" w:hint="default"/>
          <w:spacing w:val="-3"/>
        </w:rPr>
        <w:t>2011</w:t>
      </w:r>
      <w:r>
        <w:rPr>
          <w:spacing w:val="-3"/>
        </w:rPr>
        <w:t>年年度股东大会。在会上，公司董事、监事、高级管理</w:t>
      </w:r>
    </w:p>
    <w:p>
      <w:pPr>
        <w:spacing w:after="0" w:line="240"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right="235"/>
        <w:jc w:val="both"/>
      </w:pPr>
      <w:r>
        <w:rPr/>
        <w:t>人员认真听取了投资者的建议和意见，并就公司经营以及未来发展等问题与投资者进行了深</w:t>
      </w:r>
      <w:r>
        <w:rPr>
          <w:spacing w:val="-88"/>
        </w:rPr>
        <w:t> </w:t>
      </w:r>
      <w:r>
        <w:rPr>
          <w:spacing w:val="-88"/>
        </w:rPr>
      </w:r>
      <w:r>
        <w:rPr/>
        <w:t>入的沟通和交流。</w:t>
      </w:r>
    </w:p>
    <w:p>
      <w:pPr>
        <w:pStyle w:val="BodyText"/>
        <w:spacing w:line="357" w:lineRule="auto" w:before="77"/>
        <w:ind w:right="233" w:firstLine="492"/>
        <w:jc w:val="both"/>
      </w:pPr>
      <w:r>
        <w:rPr>
          <w:spacing w:val="-2"/>
        </w:rPr>
        <w:t>（</w:t>
      </w:r>
      <w:r>
        <w:rPr>
          <w:rFonts w:ascii="新宋体" w:hAnsi="新宋体" w:cs="新宋体" w:eastAsia="新宋体" w:hint="default"/>
          <w:spacing w:val="-2"/>
        </w:rPr>
        <w:t>2</w:t>
      </w:r>
      <w:r>
        <w:rPr>
          <w:spacing w:val="-2"/>
        </w:rPr>
        <w:t>）报告期内，公司通过投资者互动平台（</w:t>
      </w:r>
      <w:hyperlink r:id="rId35">
        <w:r>
          <w:rPr>
            <w:rFonts w:ascii="新宋体" w:hAnsi="新宋体" w:cs="新宋体" w:eastAsia="新宋体" w:hint="default"/>
            <w:spacing w:val="-2"/>
          </w:rPr>
          <w:t>http://irm.p5w.net</w:t>
        </w:r>
      </w:hyperlink>
      <w:r>
        <w:rPr>
          <w:spacing w:val="-2"/>
        </w:rPr>
        <w:t>）举行了</w:t>
      </w:r>
      <w:r>
        <w:rPr>
          <w:rFonts w:ascii="新宋体" w:hAnsi="新宋体" w:cs="新宋体" w:eastAsia="新宋体" w:hint="default"/>
          <w:spacing w:val="-2"/>
        </w:rPr>
        <w:t>2011</w:t>
      </w:r>
      <w:r>
        <w:rPr>
          <w:spacing w:val="-2"/>
        </w:rPr>
        <w:t>年年度报</w:t>
      </w:r>
      <w:r>
        <w:rPr/>
        <w:t> 告网上业绩说明会，公司董事长任红军先生，总经理张志广先生，董事会秘书刘瑞玲女士，</w:t>
      </w:r>
      <w:r>
        <w:rPr>
          <w:spacing w:val="-91"/>
        </w:rPr>
        <w:t> </w:t>
      </w:r>
      <w:r>
        <w:rPr>
          <w:spacing w:val="-91"/>
        </w:rPr>
      </w:r>
      <w:r>
        <w:rPr/>
        <w:t>财务负责人苗国珍女士，独立董事李颖江先生，国金证券股份有限公司保荐代表人罗洪峰先</w:t>
      </w:r>
      <w:r>
        <w:rPr>
          <w:spacing w:val="-91"/>
        </w:rPr>
        <w:t> </w:t>
      </w:r>
      <w:r>
        <w:rPr>
          <w:spacing w:val="-91"/>
        </w:rPr>
      </w:r>
      <w:r>
        <w:rPr/>
        <w:t>生参加了网上说明会，在线回答了投资者的咨询，与广大投资者进行坦诚的沟通和交流，使</w:t>
      </w:r>
      <w:r>
        <w:rPr>
          <w:spacing w:val="-91"/>
        </w:rPr>
        <w:t> </w:t>
      </w:r>
      <w:r>
        <w:rPr>
          <w:spacing w:val="-91"/>
        </w:rPr>
      </w:r>
      <w:r>
        <w:rPr/>
        <w:t>广大投资者更深入地了解公司的各项情况。</w:t>
      </w:r>
    </w:p>
    <w:p>
      <w:pPr>
        <w:pStyle w:val="BodyText"/>
        <w:spacing w:line="240" w:lineRule="auto" w:before="74"/>
        <w:ind w:left="525" w:right="105"/>
        <w:jc w:val="left"/>
      </w:pPr>
      <w:r>
        <w:rPr/>
        <w:t>（</w:t>
      </w:r>
      <w:r>
        <w:rPr>
          <w:spacing w:val="55"/>
        </w:rPr>
        <w:t> </w:t>
      </w:r>
      <w:r>
        <w:rPr>
          <w:rFonts w:ascii="新宋体" w:hAnsi="新宋体" w:cs="新宋体" w:eastAsia="新宋体" w:hint="default"/>
        </w:rPr>
        <w:t>3</w:t>
      </w:r>
      <w:r>
        <w:rPr>
          <w:rFonts w:ascii="新宋体" w:hAnsi="新宋体" w:cs="新宋体" w:eastAsia="新宋体" w:hint="default"/>
          <w:spacing w:val="55"/>
        </w:rPr>
        <w:t> </w:t>
      </w:r>
      <w:r>
        <w:rPr/>
        <w:t>）</w:t>
      </w:r>
      <w:r>
        <w:rPr>
          <w:spacing w:val="54"/>
        </w:rPr>
        <w:t> </w:t>
      </w:r>
      <w:r>
        <w:rPr/>
        <w:t>报</w:t>
      </w:r>
      <w:r>
        <w:rPr>
          <w:spacing w:val="54"/>
        </w:rPr>
        <w:t> </w:t>
      </w:r>
      <w:r>
        <w:rPr/>
        <w:t>告</w:t>
      </w:r>
      <w:r>
        <w:rPr>
          <w:spacing w:val="54"/>
        </w:rPr>
        <w:t> </w:t>
      </w:r>
      <w:r>
        <w:rPr/>
        <w:t>期</w:t>
      </w:r>
      <w:r>
        <w:rPr>
          <w:spacing w:val="57"/>
        </w:rPr>
        <w:t> </w:t>
      </w:r>
      <w:r>
        <w:rPr/>
        <w:t>内</w:t>
      </w:r>
      <w:r>
        <w:rPr>
          <w:spacing w:val="54"/>
        </w:rPr>
        <w:t> </w:t>
      </w:r>
      <w:r>
        <w:rPr/>
        <w:t>，</w:t>
      </w:r>
      <w:r>
        <w:rPr>
          <w:spacing w:val="54"/>
        </w:rPr>
        <w:t> </w:t>
      </w:r>
      <w:r>
        <w:rPr/>
        <w:t>公</w:t>
      </w:r>
      <w:r>
        <w:rPr>
          <w:spacing w:val="54"/>
        </w:rPr>
        <w:t> </w:t>
      </w:r>
      <w:r>
        <w:rPr/>
        <w:t>司</w:t>
      </w:r>
      <w:r>
        <w:rPr>
          <w:spacing w:val="54"/>
        </w:rPr>
        <w:t> </w:t>
      </w:r>
      <w:r>
        <w:rPr/>
        <w:t>通</w:t>
      </w:r>
      <w:r>
        <w:rPr>
          <w:spacing w:val="57"/>
        </w:rPr>
        <w:t> </w:t>
      </w:r>
      <w:r>
        <w:rPr/>
        <w:t>过</w:t>
      </w:r>
      <w:r>
        <w:rPr>
          <w:spacing w:val="58"/>
        </w:rPr>
        <w:t> </w:t>
      </w:r>
      <w:r>
        <w:rPr/>
        <w:t>“</w:t>
      </w:r>
      <w:r>
        <w:rPr>
          <w:spacing w:val="55"/>
        </w:rPr>
        <w:t> </w:t>
      </w:r>
      <w:r>
        <w:rPr/>
        <w:t>投</w:t>
      </w:r>
      <w:r>
        <w:rPr>
          <w:spacing w:val="54"/>
        </w:rPr>
        <w:t> </w:t>
      </w:r>
      <w:r>
        <w:rPr/>
        <w:t>资</w:t>
      </w:r>
      <w:r>
        <w:rPr>
          <w:spacing w:val="54"/>
        </w:rPr>
        <w:t> </w:t>
      </w:r>
      <w:r>
        <w:rPr/>
        <w:t>者</w:t>
      </w:r>
      <w:r>
        <w:rPr>
          <w:spacing w:val="57"/>
        </w:rPr>
        <w:t> </w:t>
      </w:r>
      <w:r>
        <w:rPr/>
        <w:t>关</w:t>
      </w:r>
      <w:r>
        <w:rPr>
          <w:spacing w:val="54"/>
        </w:rPr>
        <w:t> </w:t>
      </w:r>
      <w:r>
        <w:rPr/>
        <w:t>系</w:t>
      </w:r>
      <w:r>
        <w:rPr>
          <w:spacing w:val="54"/>
        </w:rPr>
        <w:t> </w:t>
      </w:r>
      <w:r>
        <w:rPr/>
        <w:t>互</w:t>
      </w:r>
      <w:r>
        <w:rPr>
          <w:spacing w:val="54"/>
        </w:rPr>
        <w:t> </w:t>
      </w:r>
      <w:r>
        <w:rPr/>
        <w:t>动</w:t>
      </w:r>
      <w:r>
        <w:rPr>
          <w:spacing w:val="54"/>
        </w:rPr>
        <w:t> </w:t>
      </w:r>
      <w:r>
        <w:rPr/>
        <w:t>平</w:t>
      </w:r>
      <w:r>
        <w:rPr>
          <w:spacing w:val="57"/>
        </w:rPr>
        <w:t> </w:t>
      </w:r>
      <w:r>
        <w:rPr/>
        <w:t>台</w:t>
      </w:r>
      <w:r>
        <w:rPr>
          <w:spacing w:val="57"/>
        </w:rPr>
        <w:t> </w:t>
      </w:r>
      <w:r>
        <w:rPr/>
        <w:t>”</w:t>
      </w:r>
    </w:p>
    <w:p>
      <w:pPr>
        <w:pStyle w:val="BodyText"/>
        <w:spacing w:line="357" w:lineRule="auto" w:before="154"/>
        <w:ind w:right="231"/>
        <w:jc w:val="both"/>
      </w:pPr>
      <w:r>
        <w:rPr/>
        <w:t>（</w:t>
      </w:r>
      <w:hyperlink r:id="rId36">
        <w:r>
          <w:rPr>
            <w:rFonts w:ascii="新宋体" w:hAnsi="新宋体" w:cs="新宋体" w:eastAsia="新宋体" w:hint="default"/>
          </w:rPr>
          <w:t>http://ircs.p5w.net/ircs/ssgs/index.do</w:t>
        </w:r>
      </w:hyperlink>
      <w:r>
        <w:rPr/>
        <w:t>），就投资者关心的问题进行了充分、深入、</w:t>
      </w:r>
      <w:r>
        <w:rPr>
          <w:spacing w:val="-85"/>
        </w:rPr>
        <w:t> </w:t>
      </w:r>
      <w:r>
        <w:rPr>
          <w:spacing w:val="-85"/>
        </w:rPr>
      </w:r>
      <w:r>
        <w:rPr/>
        <w:t>详细的分析、说明和答复，建立了投资者与公司之间规范、直接、快速的交流与沟通渠道，</w:t>
      </w:r>
      <w:r>
        <w:rPr>
          <w:spacing w:val="-91"/>
        </w:rPr>
        <w:t> </w:t>
      </w:r>
      <w:r>
        <w:rPr>
          <w:spacing w:val="-91"/>
        </w:rPr>
      </w:r>
      <w:r>
        <w:rPr/>
        <w:t>提高了公司规范运作水平，更好的保护了投资者特别是中小投资者的合法权益。</w:t>
      </w:r>
    </w:p>
    <w:p>
      <w:pPr>
        <w:spacing w:line="240" w:lineRule="auto" w:before="2"/>
        <w:rPr>
          <w:rFonts w:ascii="新宋体" w:hAnsi="新宋体" w:cs="新宋体" w:eastAsia="新宋体" w:hint="default"/>
          <w:sz w:val="21"/>
          <w:szCs w:val="21"/>
        </w:rPr>
      </w:pPr>
    </w:p>
    <w:p>
      <w:pPr>
        <w:pStyle w:val="BodyText"/>
        <w:spacing w:line="388" w:lineRule="auto" w:before="0"/>
        <w:ind w:left="573" w:right="105" w:hanging="48"/>
        <w:jc w:val="left"/>
      </w:pPr>
      <w:r>
        <w:rPr>
          <w:rFonts w:ascii="新宋体" w:hAnsi="新宋体" w:cs="新宋体" w:eastAsia="新宋体" w:hint="default"/>
        </w:rPr>
        <w:t>(</w:t>
      </w:r>
      <w:r>
        <w:rPr/>
        <w:t>十</w:t>
      </w:r>
      <w:r>
        <w:rPr>
          <w:rFonts w:ascii="新宋体" w:hAnsi="新宋体" w:cs="新宋体" w:eastAsia="新宋体" w:hint="default"/>
        </w:rPr>
        <w:t>)</w:t>
      </w:r>
      <w:r>
        <w:rPr/>
        <w:t>公司董事长、独立董事及其他董事履行职责情况 </w:t>
      </w:r>
      <w:r>
        <w:rPr>
          <w:rFonts w:ascii="新宋体" w:hAnsi="新宋体" w:cs="新宋体" w:eastAsia="新宋体" w:hint="default"/>
          <w:spacing w:val="-1"/>
        </w:rPr>
        <w:t>1</w:t>
      </w:r>
      <w:r>
        <w:rPr>
          <w:spacing w:val="-1"/>
        </w:rPr>
        <w:t>、报告期内，公司全体董事严格按照《公司法》、《证券法》、《深圳证券交易所创业</w:t>
      </w:r>
    </w:p>
    <w:p>
      <w:pPr>
        <w:pStyle w:val="BodyText"/>
        <w:spacing w:line="357" w:lineRule="auto" w:before="5"/>
        <w:ind w:right="233"/>
        <w:jc w:val="both"/>
      </w:pPr>
      <w:r>
        <w:rPr/>
        <w:t>板上市公司规范运作指引》、《上市公司治理准则》及《公司章程》等法律、法规及规章制</w:t>
      </w:r>
      <w:r>
        <w:rPr>
          <w:spacing w:val="-91"/>
        </w:rPr>
        <w:t> </w:t>
      </w:r>
      <w:r>
        <w:rPr>
          <w:spacing w:val="-91"/>
        </w:rPr>
      </w:r>
      <w:r>
        <w:rPr/>
        <w:t>度的规定和要求，履行董事职责，遵守董事行为规范，积极参加相关培训，提高规范运作水</w:t>
      </w:r>
      <w:r>
        <w:rPr>
          <w:spacing w:val="-86"/>
        </w:rPr>
        <w:t> </w:t>
      </w:r>
      <w:r>
        <w:rPr>
          <w:spacing w:val="-86"/>
        </w:rPr>
      </w:r>
      <w:r>
        <w:rPr/>
        <w:t>平，发挥各自的专业特长，积极履行职责。董事在董事会会议投票表决重大事项或其他对公</w:t>
      </w:r>
      <w:r>
        <w:rPr>
          <w:spacing w:val="-91"/>
        </w:rPr>
        <w:t> </w:t>
      </w:r>
      <w:r>
        <w:rPr>
          <w:spacing w:val="-91"/>
        </w:rPr>
      </w:r>
      <w:r>
        <w:rPr/>
        <w:t>司有重大影响的事项时，严格遵循公司董事会议事规则的有关审议规定，审慎决策，切实保</w:t>
      </w:r>
      <w:r>
        <w:rPr>
          <w:spacing w:val="-91"/>
        </w:rPr>
        <w:t> </w:t>
      </w:r>
      <w:r>
        <w:rPr>
          <w:spacing w:val="-91"/>
        </w:rPr>
      </w:r>
      <w:r>
        <w:rPr/>
        <w:t>护公司和股东特别是社会公众股股东的利益。</w:t>
      </w:r>
    </w:p>
    <w:p>
      <w:pPr>
        <w:pStyle w:val="BodyText"/>
        <w:spacing w:line="357" w:lineRule="auto"/>
        <w:ind w:right="96" w:firstLine="420"/>
        <w:jc w:val="left"/>
      </w:pPr>
      <w:r>
        <w:rPr>
          <w:rFonts w:ascii="新宋体" w:hAnsi="新宋体" w:cs="新宋体" w:eastAsia="新宋体" w:hint="default"/>
        </w:rPr>
        <w:t>2</w:t>
      </w:r>
      <w:r>
        <w:rPr/>
        <w:t>、公司董事长在履行职责时，严格按照《公司法》、《证券法》、《深圳证券交易所创 业板上市公司规范运作指引》和《公司章程》规定，行使董事长职权，履行职责。在召集、</w:t>
      </w:r>
      <w:r>
        <w:rPr>
          <w:spacing w:val="-91"/>
        </w:rPr>
        <w:t> </w:t>
      </w:r>
      <w:r>
        <w:rPr>
          <w:spacing w:val="-91"/>
        </w:rPr>
      </w:r>
      <w:r>
        <w:rPr>
          <w:spacing w:val="-2"/>
        </w:rPr>
        <w:t>主持董事会会议时，带头执行董事会集体决策机制，积极推动公司治理工作和内部控制建设、</w:t>
      </w:r>
      <w:r>
        <w:rPr/>
        <w:t> 督促执行股东大会和董事会的各项决议，确保董事会依法正常运作。保证独立董事和董事会</w:t>
      </w:r>
      <w:r>
        <w:rPr>
          <w:spacing w:val="-86"/>
        </w:rPr>
        <w:t> </w:t>
      </w:r>
      <w:r>
        <w:rPr>
          <w:spacing w:val="-86"/>
        </w:rPr>
      </w:r>
      <w:r>
        <w:rPr/>
        <w:t>秘书的知情权，及时将董事会工作运行情况通报其他董事。督促其他董事、监事、高管人员</w:t>
      </w:r>
      <w:r>
        <w:rPr>
          <w:spacing w:val="-91"/>
        </w:rPr>
        <w:t> </w:t>
      </w:r>
      <w:r>
        <w:rPr>
          <w:spacing w:val="-91"/>
        </w:rPr>
      </w:r>
      <w:r>
        <w:rPr/>
        <w:t>积极参加监管部门组织的培训，并借“三会”召开之际，积极地向公司董事、监事及其他高</w:t>
      </w:r>
      <w:r>
        <w:rPr>
          <w:spacing w:val="-89"/>
        </w:rPr>
        <w:t> </w:t>
      </w:r>
      <w:r>
        <w:rPr>
          <w:spacing w:val="-89"/>
        </w:rPr>
      </w:r>
      <w:r>
        <w:rPr/>
        <w:t>级管理人员宣传新的法律、法规，提高董事、监事、高管人员的依法履职意识，确保公司规</w:t>
      </w:r>
      <w:r>
        <w:rPr>
          <w:spacing w:val="-91"/>
        </w:rPr>
        <w:t> </w:t>
      </w:r>
      <w:r>
        <w:rPr>
          <w:spacing w:val="-91"/>
        </w:rPr>
      </w:r>
      <w:r>
        <w:rPr/>
        <w:t>范运作。</w:t>
      </w:r>
    </w:p>
    <w:p>
      <w:pPr>
        <w:pStyle w:val="BodyText"/>
        <w:spacing w:line="357" w:lineRule="auto"/>
        <w:ind w:right="105" w:firstLine="420"/>
        <w:jc w:val="left"/>
      </w:pPr>
      <w:r>
        <w:rPr>
          <w:rFonts w:ascii="新宋体" w:hAnsi="新宋体" w:cs="新宋体" w:eastAsia="新宋体" w:hint="default"/>
        </w:rPr>
        <w:t>3</w:t>
      </w:r>
      <w:r>
        <w:rPr/>
        <w:t>、公司独立董事认真履行职责，能够严格按照《公司章程》、《独立董事工作细则》等 </w:t>
      </w:r>
      <w:r>
        <w:rPr>
          <w:spacing w:val="-3"/>
        </w:rPr>
        <w:t>的规定，本着对公司、股东负责的态度，勤勉尽责，忠实履行职责，积极准时出席相关会议，</w:t>
      </w:r>
      <w:r>
        <w:rPr>
          <w:spacing w:val="-82"/>
        </w:rPr>
        <w:t> </w:t>
      </w:r>
      <w:r>
        <w:rPr>
          <w:spacing w:val="-82"/>
        </w:rPr>
      </w:r>
      <w:r>
        <w:rPr/>
        <w:t>认真审议各项议案，客观的发表自己的看法及观点，认真发挥独立董事作用，努力维护公司</w:t>
      </w:r>
    </w:p>
    <w:p>
      <w:pPr>
        <w:spacing w:after="0" w:line="357"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left="172" w:right="96"/>
        <w:jc w:val="left"/>
      </w:pPr>
      <w:r>
        <w:rPr/>
        <w:t>整体利益及中小股东的合法权益。同时积极深入公司现场调查，了解公司生产经营状况和内</w:t>
      </w:r>
      <w:r>
        <w:rPr>
          <w:spacing w:val="-91"/>
        </w:rPr>
        <w:t> </w:t>
      </w:r>
      <w:r>
        <w:rPr>
          <w:spacing w:val="-91"/>
        </w:rPr>
      </w:r>
      <w:r>
        <w:rPr>
          <w:spacing w:val="-2"/>
        </w:rPr>
        <w:t>部控制的建设及董事会决议、股东会决议的执行情况，关注外部环境变化对公司造成的影响，</w:t>
      </w:r>
      <w:r>
        <w:rPr/>
        <w:t> 并利用自己的专业知识为公司未来经营和发展提出合理化的意见和建议。</w:t>
      </w:r>
    </w:p>
    <w:p>
      <w:pPr>
        <w:pStyle w:val="BodyText"/>
        <w:spacing w:line="388" w:lineRule="auto"/>
        <w:ind w:left="598" w:right="2468" w:hanging="5"/>
        <w:jc w:val="left"/>
      </w:pPr>
      <w:r>
        <w:rPr/>
        <w:t>独立董事对</w:t>
      </w:r>
      <w:r>
        <w:rPr>
          <w:rFonts w:ascii="新宋体" w:hAnsi="新宋体" w:cs="新宋体" w:eastAsia="新宋体" w:hint="default"/>
        </w:rPr>
        <w:t>2012</w:t>
      </w:r>
      <w:r>
        <w:rPr/>
        <w:t>年度公司审议的各项事项没有提出异议。 公司治理与《公司法》和中国证监会相关规定的要求是否存在差异</w:t>
      </w:r>
    </w:p>
    <w:p>
      <w:pPr>
        <w:pStyle w:val="BodyText"/>
        <w:spacing w:line="240" w:lineRule="auto" w:before="43"/>
        <w:ind w:left="598" w:right="208"/>
        <w:jc w:val="left"/>
      </w:pPr>
      <w:r>
        <w:rPr/>
        <w:t>□ 是 √</w:t>
      </w:r>
      <w:r>
        <w:rPr>
          <w:spacing w:val="-1"/>
        </w:rPr>
        <w:t> </w:t>
      </w:r>
      <w:r>
        <w:rPr/>
        <w:t>否</w:t>
      </w:r>
    </w:p>
    <w:p>
      <w:pPr>
        <w:spacing w:line="240" w:lineRule="auto" w:before="11"/>
        <w:rPr>
          <w:rFonts w:ascii="新宋体" w:hAnsi="新宋体" w:cs="新宋体" w:eastAsia="新宋体" w:hint="default"/>
          <w:sz w:val="28"/>
          <w:szCs w:val="28"/>
        </w:rPr>
      </w:pPr>
    </w:p>
    <w:p>
      <w:pPr>
        <w:pStyle w:val="Heading2"/>
        <w:spacing w:line="240" w:lineRule="auto"/>
        <w:ind w:left="172" w:right="208"/>
        <w:jc w:val="left"/>
        <w:rPr>
          <w:b w:val="0"/>
          <w:bCs w:val="0"/>
        </w:rPr>
      </w:pPr>
      <w:r>
        <w:rPr/>
        <w:t>二、报告期内召开的年度股东大会和临时股东大会的有关情况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0"/>
        <w:ind w:left="172" w:right="20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、本报告期年度股东大会情况</w:t>
      </w:r>
    </w:p>
    <w:p>
      <w:pPr>
        <w:spacing w:line="240" w:lineRule="auto" w:before="7"/>
        <w:rPr>
          <w:rFonts w:ascii="宋体" w:hAnsi="宋体" w:cs="宋体" w:eastAsia="宋体" w:hint="default"/>
          <w:sz w:val="25"/>
          <w:szCs w:val="25"/>
        </w:rPr>
      </w:pPr>
    </w:p>
    <w:tbl>
      <w:tblPr>
        <w:tblW w:w="0" w:type="auto"/>
        <w:jc w:val="left"/>
        <w:tblInd w:w="117" w:type="dxa"/>
        <w:tblLayout w:type="fixed"/>
        <w:tblCellMar>
          <w:top w:w="0" w:type="dxa"/>
          <w:left w:w="0" w:type="dxa"/>
          <w:bottom w:w="0" w:type="dxa"/>
          <w:right w:w="0" w:type="dxa"/>
        </w:tblCellMar>
        <w:tblLook w:val="01E0"/>
      </w:tblPr>
      <w:tblGrid>
        <w:gridCol w:w="2393"/>
        <w:gridCol w:w="1969"/>
        <w:gridCol w:w="2763"/>
        <w:gridCol w:w="2597"/>
      </w:tblGrid>
      <w:tr>
        <w:trPr>
          <w:trHeight w:val="398"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96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76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59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13"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w:t>
            </w:r>
          </w:p>
        </w:tc>
        <w:tc>
          <w:tcPr>
            <w:tcW w:w="1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7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pacing w:val="-1"/>
                <w:sz w:val="18"/>
                <w:szCs w:val="18"/>
              </w:rPr>
              <w:t>巨潮资讯网（</w:t>
            </w:r>
            <w:hyperlink r:id="rId13">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p>
        </w:tc>
        <w:tc>
          <w:tcPr>
            <w:tcW w:w="25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line="240" w:lineRule="auto" w:before="5"/>
        <w:rPr>
          <w:rFonts w:ascii="宋体" w:hAnsi="宋体" w:cs="宋体" w:eastAsia="宋体" w:hint="default"/>
          <w:sz w:val="19"/>
          <w:szCs w:val="19"/>
        </w:rPr>
      </w:pPr>
    </w:p>
    <w:p>
      <w:pPr>
        <w:spacing w:before="36"/>
        <w:ind w:left="172"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、本报告期临时股东大会情况</w:t>
      </w:r>
    </w:p>
    <w:p>
      <w:pPr>
        <w:spacing w:line="240" w:lineRule="auto" w:before="9"/>
        <w:rPr>
          <w:rFonts w:ascii="宋体" w:hAnsi="宋体" w:cs="宋体" w:eastAsia="宋体"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2393"/>
        <w:gridCol w:w="1959"/>
        <w:gridCol w:w="2844"/>
        <w:gridCol w:w="2487"/>
      </w:tblGrid>
      <w:tr>
        <w:trPr>
          <w:trHeight w:val="415"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9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6"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13"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9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4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8"/>
          <w:szCs w:val="18"/>
        </w:rPr>
      </w:pPr>
    </w:p>
    <w:p>
      <w:pPr>
        <w:pStyle w:val="Heading2"/>
        <w:spacing w:line="240" w:lineRule="auto" w:before="26"/>
        <w:ind w:left="172" w:right="208"/>
        <w:jc w:val="left"/>
        <w:rPr>
          <w:b w:val="0"/>
          <w:bCs w:val="0"/>
        </w:rPr>
      </w:pPr>
      <w:r>
        <w:rPr/>
        <w:t>三、报告期董事会召开情况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24" w:type="dxa"/>
        <w:tblLayout w:type="fixed"/>
        <w:tblCellMar>
          <w:top w:w="0" w:type="dxa"/>
          <w:left w:w="0" w:type="dxa"/>
          <w:bottom w:w="0" w:type="dxa"/>
          <w:right w:w="0" w:type="dxa"/>
        </w:tblCellMar>
        <w:tblLook w:val="01E0"/>
      </w:tblPr>
      <w:tblGrid>
        <w:gridCol w:w="2393"/>
        <w:gridCol w:w="1897"/>
        <w:gridCol w:w="2801"/>
        <w:gridCol w:w="2614"/>
      </w:tblGrid>
      <w:tr>
        <w:trPr>
          <w:trHeight w:val="398" w:hRule="exact"/>
        </w:trPr>
        <w:tc>
          <w:tcPr>
            <w:tcW w:w="239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1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6"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6"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6"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23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6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8"/>
          <w:szCs w:val="18"/>
        </w:rPr>
      </w:pPr>
    </w:p>
    <w:p>
      <w:pPr>
        <w:pStyle w:val="Heading2"/>
        <w:spacing w:line="240" w:lineRule="auto" w:before="26"/>
        <w:ind w:left="172" w:right="208"/>
        <w:jc w:val="left"/>
        <w:rPr>
          <w:b w:val="0"/>
          <w:bCs w:val="0"/>
        </w:rPr>
      </w:pPr>
      <w:r>
        <w:rPr/>
        <w:t>四、年度报告重大差错责任追究制度的建立与执行情况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left="598" w:right="196"/>
        <w:jc w:val="left"/>
      </w:pPr>
      <w:r>
        <w:rPr/>
        <w:t>公司第一届董事会第十二次会议审议制定</w:t>
      </w:r>
      <w:r>
        <w:rPr>
          <w:spacing w:val="-15"/>
        </w:rPr>
        <w:t>了</w:t>
      </w:r>
      <w:r>
        <w:rPr/>
        <w:t>《年报信息披露重大差错责任追究制度</w:t>
      </w:r>
      <w:r>
        <w:rPr>
          <w:spacing w:val="-120"/>
        </w:rPr>
        <w:t>》</w:t>
      </w:r>
      <w:r>
        <w:rPr>
          <w:spacing w:val="-15"/>
        </w:rPr>
        <w:t>，</w:t>
      </w:r>
      <w:r>
        <w:rPr/>
        <w:t>对</w:t>
      </w:r>
    </w:p>
    <w:p>
      <w:pPr>
        <w:spacing w:after="0" w:line="240" w:lineRule="auto"/>
        <w:jc w:val="left"/>
        <w:sectPr>
          <w:pgSz w:w="11910" w:h="16840"/>
          <w:pgMar w:header="555" w:footer="980" w:top="1100" w:bottom="1160" w:left="96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right="153"/>
        <w:jc w:val="both"/>
      </w:pPr>
      <w:r>
        <w:rPr/>
        <w:t>年报编制和披露的每一环节都进行规定，明确了参与编制和披露工作人员各自的责任。</w:t>
      </w:r>
      <w:r>
        <w:rPr>
          <w:rFonts w:ascii="新宋体" w:hAnsi="新宋体" w:cs="新宋体" w:eastAsia="新宋体" w:hint="default"/>
        </w:rPr>
        <w:t>2012 </w:t>
      </w:r>
      <w:r>
        <w:rPr>
          <w:spacing w:val="-5"/>
        </w:rPr>
        <w:t>年度，《年报信息披露重大差错责任追究制度》得到有效执行，提高了公司年报信息披露的质</w:t>
      </w:r>
      <w:r>
        <w:rPr/>
        <w:t> 量和透明度。报告期内，公司未发生重大会计差错更正、重大遗漏信息补充以及业绩预告修 正等情况。</w:t>
      </w:r>
    </w:p>
    <w:p>
      <w:pPr>
        <w:spacing w:line="240" w:lineRule="auto" w:before="11"/>
        <w:rPr>
          <w:rFonts w:ascii="新宋体" w:hAnsi="新宋体" w:cs="新宋体" w:eastAsia="新宋体" w:hint="default"/>
          <w:sz w:val="19"/>
          <w:szCs w:val="19"/>
        </w:rPr>
      </w:pPr>
    </w:p>
    <w:p>
      <w:pPr>
        <w:pStyle w:val="Heading2"/>
        <w:spacing w:line="240" w:lineRule="auto"/>
        <w:ind w:right="0"/>
        <w:jc w:val="both"/>
        <w:rPr>
          <w:b w:val="0"/>
          <w:bCs w:val="0"/>
        </w:rPr>
      </w:pPr>
      <w:r>
        <w:rPr/>
        <w:t>五、监事会工作情况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0"/>
        <w:ind w:right="0"/>
        <w:jc w:val="both"/>
      </w:pPr>
      <w:r>
        <w:rPr/>
        <w:t>监事会在报告期内的监督活动是否发现公司存在风险</w:t>
      </w:r>
    </w:p>
    <w:p>
      <w:pPr>
        <w:pStyle w:val="BodyText"/>
        <w:spacing w:line="388" w:lineRule="auto" w:before="192"/>
        <w:ind w:right="5214"/>
        <w:jc w:val="left"/>
      </w:pPr>
      <w:r>
        <w:rPr/>
        <w:t>□ 是 √</w:t>
      </w:r>
      <w:r>
        <w:rPr>
          <w:spacing w:val="-1"/>
        </w:rPr>
        <w:t> </w:t>
      </w:r>
      <w:r>
        <w:rPr/>
        <w:t>否</w:t>
      </w:r>
      <w:r>
        <w:rPr/>
        <w:t> 公司监事会对报告期内的监督事项无异议。</w:t>
      </w:r>
    </w:p>
    <w:p>
      <w:pPr>
        <w:spacing w:after="0" w:line="388" w:lineRule="auto"/>
        <w:jc w:val="left"/>
        <w:sectPr>
          <w:pgSz w:w="11910" w:h="16840"/>
          <w:pgMar w:header="555" w:footer="980" w:top="1100" w:bottom="1160" w:left="980" w:right="980"/>
        </w:sect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2"/>
        <w:rPr>
          <w:rFonts w:ascii="新宋体" w:hAnsi="新宋体" w:cs="新宋体" w:eastAsia="新宋体" w:hint="default"/>
          <w:sz w:val="16"/>
          <w:szCs w:val="16"/>
        </w:rPr>
      </w:pPr>
    </w:p>
    <w:p>
      <w:pPr>
        <w:pStyle w:val="Heading1"/>
        <w:spacing w:line="240" w:lineRule="auto"/>
        <w:ind w:right="3827"/>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r>
    </w:tbl>
    <w:p>
      <w:pPr>
        <w:pStyle w:val="Heading2"/>
        <w:spacing w:line="477" w:lineRule="auto" w:before="79"/>
        <w:ind w:right="4311" w:firstLine="4097"/>
        <w:jc w:val="left"/>
        <w:rPr>
          <w:rFonts w:ascii="新宋体" w:hAnsi="新宋体" w:cs="新宋体" w:eastAsia="新宋体" w:hint="default"/>
          <w:b w:val="0"/>
          <w:bCs w:val="0"/>
        </w:rPr>
      </w:pPr>
      <w:r>
        <w:rPr>
          <w:rFonts w:ascii="新宋体" w:hAnsi="新宋体" w:cs="新宋体" w:eastAsia="新宋体" w:hint="default"/>
        </w:rPr>
        <w:t>审计报告正文</w:t>
      </w:r>
      <w:r>
        <w:rPr>
          <w:rFonts w:ascii="新宋体" w:hAnsi="新宋体" w:cs="新宋体" w:eastAsia="新宋体" w:hint="default"/>
          <w:w w:val="99"/>
        </w:rPr>
        <w:t> </w:t>
      </w:r>
      <w:r>
        <w:rPr>
          <w:rFonts w:ascii="新宋体" w:hAnsi="新宋体" w:cs="新宋体" w:eastAsia="新宋体" w:hint="default"/>
        </w:rPr>
        <w:t>河南汉威电子股份有限公司全体股东：</w:t>
      </w:r>
      <w:r>
        <w:rPr>
          <w:rFonts w:ascii="新宋体" w:hAnsi="新宋体" w:cs="新宋体" w:eastAsia="新宋体" w:hint="default"/>
          <w:b w:val="0"/>
          <w:bCs w:val="0"/>
        </w:rPr>
      </w:r>
    </w:p>
    <w:p>
      <w:pPr>
        <w:pStyle w:val="BodyText"/>
        <w:spacing w:line="357" w:lineRule="auto" w:before="70"/>
        <w:ind w:right="235" w:firstLine="480"/>
        <w:jc w:val="both"/>
      </w:pPr>
      <w:r>
        <w:rPr/>
        <w:t>我们审计了后附的河南汉威电子股份有限公司（以下简称“贵公司”）财务报表，包括 </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日的资产负债表及合并资产负债表，</w:t>
      </w:r>
      <w:r>
        <w:rPr>
          <w:rFonts w:ascii="新宋体" w:hAnsi="新宋体" w:cs="新宋体" w:eastAsia="新宋体" w:hint="default"/>
        </w:rPr>
        <w:t>2012</w:t>
      </w:r>
      <w:r>
        <w:rPr/>
        <w:t>年度的利润表及合并利润表、现金流</w:t>
      </w:r>
      <w:r>
        <w:rPr>
          <w:spacing w:val="-89"/>
        </w:rPr>
        <w:t> </w:t>
      </w:r>
      <w:r>
        <w:rPr>
          <w:spacing w:val="-89"/>
        </w:rPr>
      </w:r>
      <w:r>
        <w:rPr/>
        <w:t>量表及合并现金流量表、所有者权益变动表及合并所有者权益变动表以及财务报表附注。</w:t>
      </w:r>
    </w:p>
    <w:p>
      <w:pPr>
        <w:spacing w:line="357" w:lineRule="auto" w:before="192"/>
        <w:ind w:left="633" w:right="105" w:firstLine="2"/>
        <w:jc w:val="left"/>
        <w:rPr>
          <w:rFonts w:ascii="新宋体" w:hAnsi="新宋体" w:cs="新宋体" w:eastAsia="新宋体" w:hint="default"/>
          <w:sz w:val="24"/>
          <w:szCs w:val="24"/>
        </w:rPr>
      </w:pPr>
      <w:r>
        <w:rPr>
          <w:rFonts w:ascii="新宋体" w:hAnsi="新宋体" w:cs="新宋体" w:eastAsia="新宋体" w:hint="default"/>
          <w:b/>
          <w:bCs/>
          <w:sz w:val="24"/>
          <w:szCs w:val="24"/>
        </w:rPr>
        <w:t>（一）管理层对财务报表的责任</w:t>
      </w:r>
      <w:r>
        <w:rPr>
          <w:rFonts w:ascii="新宋体" w:hAnsi="新宋体" w:cs="新宋体" w:eastAsia="新宋体" w:hint="default"/>
          <w:b/>
          <w:bCs/>
          <w:w w:val="99"/>
          <w:sz w:val="24"/>
          <w:szCs w:val="24"/>
        </w:rPr>
        <w:t> </w:t>
      </w:r>
      <w:r>
        <w:rPr>
          <w:rFonts w:ascii="新宋体" w:hAnsi="新宋体" w:cs="新宋体" w:eastAsia="新宋体" w:hint="default"/>
          <w:spacing w:val="-3"/>
          <w:sz w:val="24"/>
          <w:szCs w:val="24"/>
        </w:rPr>
        <w:t>编制和公允列报财务报表是贵公司管理层的责任，这种责任包括：（</w:t>
      </w:r>
      <w:r>
        <w:rPr>
          <w:rFonts w:ascii="新宋体" w:hAnsi="新宋体" w:cs="新宋体" w:eastAsia="新宋体" w:hint="default"/>
          <w:spacing w:val="-3"/>
          <w:sz w:val="24"/>
          <w:szCs w:val="24"/>
        </w:rPr>
        <w:t>1</w:t>
      </w:r>
      <w:r>
        <w:rPr>
          <w:rFonts w:ascii="新宋体" w:hAnsi="新宋体" w:cs="新宋体" w:eastAsia="新宋体" w:hint="default"/>
          <w:spacing w:val="-3"/>
          <w:sz w:val="24"/>
          <w:szCs w:val="24"/>
        </w:rPr>
        <w:t>）按照企业会计准</w:t>
      </w:r>
    </w:p>
    <w:p>
      <w:pPr>
        <w:pStyle w:val="BodyText"/>
        <w:spacing w:line="357" w:lineRule="auto"/>
        <w:ind w:right="105"/>
        <w:jc w:val="left"/>
      </w:pPr>
      <w:r>
        <w:rPr>
          <w:spacing w:val="-3"/>
        </w:rPr>
        <w:t>则的规定编制财务报表，并使其实现公允反映；（</w:t>
      </w:r>
      <w:r>
        <w:rPr>
          <w:rFonts w:ascii="新宋体" w:hAnsi="新宋体" w:cs="新宋体" w:eastAsia="新宋体" w:hint="default"/>
          <w:spacing w:val="-3"/>
        </w:rPr>
        <w:t>2</w:t>
      </w:r>
      <w:r>
        <w:rPr>
          <w:spacing w:val="-3"/>
        </w:rPr>
        <w:t>）设计、执行和维护必要的内部控制，以</w:t>
      </w:r>
      <w:r>
        <w:rPr>
          <w:spacing w:val="-83"/>
        </w:rPr>
        <w:t> </w:t>
      </w:r>
      <w:r>
        <w:rPr>
          <w:spacing w:val="-83"/>
        </w:rPr>
      </w:r>
      <w:r>
        <w:rPr/>
        <w:t>使财务报表不存在由于舞弊或错误而导致的重大错报。</w:t>
      </w:r>
    </w:p>
    <w:p>
      <w:pPr>
        <w:pStyle w:val="Heading2"/>
        <w:spacing w:line="240" w:lineRule="auto" w:before="192"/>
        <w:ind w:left="635" w:right="105"/>
        <w:jc w:val="left"/>
        <w:rPr>
          <w:rFonts w:ascii="新宋体" w:hAnsi="新宋体" w:cs="新宋体" w:eastAsia="新宋体" w:hint="default"/>
          <w:b w:val="0"/>
          <w:bCs w:val="0"/>
        </w:rPr>
      </w:pPr>
      <w:r>
        <w:rPr>
          <w:rFonts w:ascii="新宋体" w:hAnsi="新宋体" w:cs="新宋体" w:eastAsia="新宋体" w:hint="default"/>
        </w:rPr>
        <w:t>（二）注册会计师的责任</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23"/>
          <w:szCs w:val="23"/>
        </w:rPr>
      </w:pPr>
    </w:p>
    <w:p>
      <w:pPr>
        <w:pStyle w:val="BodyText"/>
        <w:spacing w:line="357" w:lineRule="auto" w:before="0"/>
        <w:ind w:right="236" w:firstLine="480"/>
        <w:jc w:val="both"/>
      </w:pPr>
      <w:r>
        <w:rPr/>
        <w:t>我们的责任是在执行审计工作的基础上对财务报表发表审计意见。我们按照中国注册会 计师审计准则的规定执行了审计工作。中国注册会计师审计准则要求我们遵守中国注册会计</w:t>
      </w:r>
      <w:r>
        <w:rPr>
          <w:spacing w:val="-91"/>
        </w:rPr>
        <w:t> </w:t>
      </w:r>
      <w:r>
        <w:rPr>
          <w:spacing w:val="-91"/>
        </w:rPr>
      </w:r>
      <w:r>
        <w:rPr/>
        <w:t>师职业道德守则，计划和执行审计工作以对财务报表是否不存在重大错报获取合理保证。</w:t>
      </w:r>
    </w:p>
    <w:p>
      <w:pPr>
        <w:pStyle w:val="BodyText"/>
        <w:spacing w:line="357" w:lineRule="auto" w:before="192"/>
        <w:ind w:right="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86"/>
        </w:rPr>
        <w:t> </w:t>
      </w:r>
      <w:r>
        <w:rPr>
          <w:spacing w:val="-86"/>
        </w:rPr>
      </w:r>
      <w:r>
        <w:rPr/>
        <w:t>会计政策的恰当性和作出会计估计的合理性，以及评价财务报表的总体列报。</w:t>
      </w:r>
    </w:p>
    <w:p>
      <w:pPr>
        <w:pStyle w:val="BodyText"/>
        <w:spacing w:line="240" w:lineRule="auto" w:before="192"/>
        <w:ind w:left="633" w:right="105"/>
        <w:jc w:val="left"/>
      </w:pPr>
      <w:r>
        <w:rPr/>
        <w:t>我们相信，我们获取的审计证据是充分、适当的，为发表审计意见提供了基础。</w:t>
      </w:r>
    </w:p>
    <w:p>
      <w:pPr>
        <w:spacing w:after="0" w:line="240"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Heading2"/>
        <w:spacing w:line="240" w:lineRule="auto" w:before="26"/>
        <w:ind w:left="635" w:right="0"/>
        <w:jc w:val="left"/>
        <w:rPr>
          <w:rFonts w:ascii="新宋体" w:hAnsi="新宋体" w:cs="新宋体" w:eastAsia="新宋体" w:hint="default"/>
          <w:b w:val="0"/>
          <w:bCs w:val="0"/>
        </w:rPr>
      </w:pPr>
      <w:r>
        <w:rPr>
          <w:rFonts w:ascii="新宋体" w:hAnsi="新宋体" w:cs="新宋体" w:eastAsia="新宋体" w:hint="default"/>
        </w:rPr>
        <w:t>（三）审计意见</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23"/>
          <w:szCs w:val="23"/>
        </w:rPr>
      </w:pPr>
    </w:p>
    <w:p>
      <w:pPr>
        <w:pStyle w:val="BodyText"/>
        <w:spacing w:line="357" w:lineRule="auto" w:before="0"/>
        <w:ind w:right="0" w:firstLine="480"/>
        <w:jc w:val="left"/>
      </w:pPr>
      <w:r>
        <w:rPr/>
        <w:t>我们认为，贵公司财务报表在所有重大方面按照企业会计准则的规定编制，公允反映了 贵公司</w:t>
      </w:r>
      <w:r>
        <w:rPr>
          <w:rFonts w:ascii="新宋体" w:hAnsi="新宋体" w:cs="新宋体" w:eastAsia="新宋体" w:hint="default"/>
        </w:rPr>
        <w:t>2012</w:t>
      </w:r>
      <w:r>
        <w:rPr/>
        <w:t>年</w:t>
      </w:r>
      <w:r>
        <w:rPr>
          <w:rFonts w:ascii="新宋体" w:hAnsi="新宋体" w:cs="新宋体" w:eastAsia="新宋体" w:hint="default"/>
        </w:rPr>
        <w:t>12</w:t>
      </w:r>
      <w:r>
        <w:rPr/>
        <w:t>月</w:t>
      </w:r>
      <w:r>
        <w:rPr>
          <w:rFonts w:ascii="新宋体" w:hAnsi="新宋体" w:cs="新宋体" w:eastAsia="新宋体" w:hint="default"/>
        </w:rPr>
        <w:t>31</w:t>
      </w:r>
      <w:r>
        <w:rPr/>
        <w:t>日的财务状况以及</w:t>
      </w:r>
      <w:r>
        <w:rPr>
          <w:rFonts w:ascii="新宋体" w:hAnsi="新宋体" w:cs="新宋体" w:eastAsia="新宋体" w:hint="default"/>
        </w:rPr>
        <w:t>2012</w:t>
      </w:r>
      <w:r>
        <w:rPr/>
        <w:t>年度的经营成果和现金流量。</w:t>
      </w: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pStyle w:val="BodyText"/>
        <w:tabs>
          <w:tab w:pos="5794" w:val="left" w:leader="none"/>
        </w:tabs>
        <w:spacing w:line="240" w:lineRule="auto" w:before="188"/>
        <w:ind w:left="1233" w:right="0" w:hanging="840"/>
        <w:jc w:val="left"/>
      </w:pPr>
      <w:r>
        <w:rPr/>
        <w:t>中磊会计师事务所有限责任公司</w:t>
        <w:tab/>
        <w:t>中国注册会计师：郝东升</w:t>
      </w: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5"/>
        <w:rPr>
          <w:rFonts w:ascii="新宋体" w:hAnsi="新宋体" w:cs="新宋体" w:eastAsia="新宋体" w:hint="default"/>
          <w:sz w:val="23"/>
          <w:szCs w:val="23"/>
        </w:rPr>
      </w:pPr>
    </w:p>
    <w:p>
      <w:pPr>
        <w:pStyle w:val="BodyText"/>
        <w:tabs>
          <w:tab w:pos="5794" w:val="left" w:leader="none"/>
        </w:tabs>
        <w:spacing w:line="240" w:lineRule="auto" w:before="0"/>
        <w:ind w:left="5794" w:right="0" w:hanging="4561"/>
        <w:jc w:val="left"/>
      </w:pPr>
      <w:r>
        <w:rPr/>
        <w:t>中国 · 北京</w:t>
        <w:tab/>
        <w:t>中国注册会计师：邓小强</w:t>
      </w:r>
    </w:p>
    <w:p>
      <w:pPr>
        <w:spacing w:line="240" w:lineRule="auto" w:before="0"/>
        <w:rPr>
          <w:rFonts w:ascii="新宋体" w:hAnsi="新宋体" w:cs="新宋体" w:eastAsia="新宋体" w:hint="default"/>
          <w:sz w:val="24"/>
          <w:szCs w:val="24"/>
        </w:rPr>
      </w:pPr>
    </w:p>
    <w:p>
      <w:pPr>
        <w:spacing w:line="240" w:lineRule="auto" w:before="6"/>
        <w:rPr>
          <w:rFonts w:ascii="新宋体" w:hAnsi="新宋体" w:cs="新宋体" w:eastAsia="新宋体" w:hint="default"/>
          <w:sz w:val="35"/>
          <w:szCs w:val="35"/>
        </w:rPr>
      </w:pPr>
    </w:p>
    <w:p>
      <w:pPr>
        <w:pStyle w:val="BodyText"/>
        <w:spacing w:line="240" w:lineRule="auto" w:before="0"/>
        <w:ind w:left="5794" w:right="0"/>
        <w:jc w:val="left"/>
      </w:pPr>
      <w:r>
        <w:rPr/>
        <w:t>二○一三年三月二十八日</w:t>
      </w: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468" w:lineRule="auto" w:before="211"/>
        <w:ind w:left="152" w:right="5934" w:firstLine="0"/>
        <w:jc w:val="left"/>
        <w:rPr>
          <w:rFonts w:ascii="新宋体" w:hAnsi="新宋体" w:cs="新宋体" w:eastAsia="新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新宋体" w:hAnsi="新宋体" w:cs="新宋体" w:eastAsia="新宋体" w:hint="default"/>
          <w:sz w:val="24"/>
          <w:szCs w:val="24"/>
        </w:rPr>
        <w:t>财务附注中报表的单位为：人民币元 </w:t>
      </w:r>
      <w:r>
        <w:rPr>
          <w:rFonts w:ascii="新宋体" w:hAnsi="新宋体" w:cs="新宋体" w:eastAsia="新宋体" w:hint="default"/>
          <w:b/>
          <w:bCs/>
          <w:sz w:val="24"/>
          <w:szCs w:val="24"/>
        </w:rPr>
        <w:t>1</w:t>
      </w:r>
      <w:r>
        <w:rPr>
          <w:rFonts w:ascii="新宋体" w:hAnsi="新宋体" w:cs="新宋体" w:eastAsia="新宋体" w:hint="default"/>
          <w:b/>
          <w:bCs/>
          <w:sz w:val="24"/>
          <w:szCs w:val="24"/>
        </w:rPr>
        <w:t>、合并资产负债表</w:t>
      </w:r>
      <w:r>
        <w:rPr>
          <w:rFonts w:ascii="新宋体" w:hAnsi="新宋体" w:cs="新宋体" w:eastAsia="新宋体" w:hint="default"/>
          <w:sz w:val="24"/>
          <w:szCs w:val="24"/>
        </w:rPr>
      </w:r>
    </w:p>
    <w:p>
      <w:pPr>
        <w:spacing w:after="0" w:line="468" w:lineRule="auto"/>
        <w:jc w:val="left"/>
        <w:rPr>
          <w:rFonts w:ascii="新宋体" w:hAnsi="新宋体" w:cs="新宋体" w:eastAsia="新宋体" w:hint="default"/>
          <w:sz w:val="24"/>
          <w:szCs w:val="24"/>
        </w:rPr>
        <w:sectPr>
          <w:pgSz w:w="11910" w:h="16840"/>
          <w:pgMar w:header="555" w:footer="980" w:top="1100" w:bottom="1160" w:left="980" w:right="980"/>
        </w:sectPr>
      </w:pPr>
    </w:p>
    <w:p>
      <w:pPr>
        <w:pStyle w:val="BodyText"/>
        <w:spacing w:line="240" w:lineRule="auto" w:before="70"/>
        <w:ind w:right="-20"/>
        <w:jc w:val="left"/>
      </w:pPr>
      <w:r>
        <w:rPr/>
        <w:t>编制单位：河南汉威电子股份有限公司</w:t>
      </w:r>
    </w:p>
    <w:p>
      <w:pPr>
        <w:spacing w:line="240" w:lineRule="auto" w:before="0"/>
        <w:rPr>
          <w:rFonts w:ascii="新宋体" w:hAnsi="新宋体" w:cs="新宋体" w:eastAsia="新宋体" w:hint="default"/>
          <w:sz w:val="18"/>
          <w:szCs w:val="18"/>
        </w:rPr>
      </w:pPr>
      <w:r>
        <w:rPr/>
        <w:br w:type="column"/>
      </w:r>
      <w:r>
        <w:rPr>
          <w:rFonts w:ascii="新宋体"/>
          <w:sz w:val="18"/>
        </w:rPr>
      </w:r>
    </w:p>
    <w:p>
      <w:pPr>
        <w:spacing w:line="240" w:lineRule="auto" w:before="0"/>
        <w:rPr>
          <w:rFonts w:ascii="新宋体" w:hAnsi="新宋体" w:cs="新宋体" w:eastAsia="新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33" w:space="4687"/>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213,337,933.61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260,147,364.63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5,175,126.17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4,637,858.50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114,402,202.18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110,200,902.07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31,398,740.38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46,029,940.05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5,606,783.39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4,771,026.64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68,630,898.51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56,194,548.13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438,551,684.24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481,981,640.02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84,759,020.43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73,597,138.02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137,458,863.69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70,570,716.47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68,559,262.07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63,158,220.51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1,897,779.25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1,698,895.48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796,314.11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414,513.40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2,629,730.46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4,587,615.22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296,440,970.01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214,367,099.10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734,992,654.25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696,348,739.12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51,430,725.15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49,945,373.82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14,070,283.03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14,966,920.91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4,821,268.00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5,578,017.23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-402,557.87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13,152,871.81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4,855,565.66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3,395,461.63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5,550,705.41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13,988,600.24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90,325,989.38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106,027,245.64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869,937.52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1,059,565.06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1,496,634.72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1,806,882.12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2,366,572.24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2,866,447.18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92,692,561.62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108,893,692.82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316,891,142.17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316,583,842.17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14,660,387.56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12,979,861.85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159,156,060.17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125,297,011.02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608,707,589.90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572,860,715.04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33,592,502.73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14,594,331.26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642,300,092.63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587,455,046.30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734,992,654.25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696,348,739.12</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会计机构负责人：钱英</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71,328,624.78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173,136,185.51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2,594,680.00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2,697,858.50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80,244,504.80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79,638,399.90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22,553,813.41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17,243,381.36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4,484,591.13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3,799,916.58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45,465,218.50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39,114,755.77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226,671,432.62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315,630,497.62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125,715,626.20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122,695,626.20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2,207,464.53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1,321,114.09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68,035,061.12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60,226,091.65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137,458,863.69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70,570,716.47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62,369,859.34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57,357,386.28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1,896,165.22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3,809,355.89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397,683,040.10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315,980,290.58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624,354,472.72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631,610,788.20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54,135,549.02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48,919,674.65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10,917,325.27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13,610,723.65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3,800,090.34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4,147,949.02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-1,998,815.06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10,058,930.39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16,050,290.49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16,014,711.52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4,993,396.30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12,561,781.37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92,897,836.36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105,313,770.60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952,037.13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1,104,975.42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952,037.13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1,104,975.42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93,849,873.49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106,418,746.02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316,880,723.70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316,573,423.70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14,660,387.56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12,979,861.85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80,963,487.97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77,638,756.63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530,504,599.23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525,192,042.18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624,354,472.72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631,610,788.20</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会计机构负责人：钱英</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264,491,528.48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261,311,217.63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264,491,528.48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261,311,217.63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232,166,744.01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202,411,936.27</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125,237,759.71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117,137,158.63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2,353,145.53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2,956,605.76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50,668,537.91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42,507,082.73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56,379,833.63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40,899,549.06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-4,903,202.95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-5,299,122.32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2,430,670.18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4,210,662.41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32,324,784.47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58,899,281.36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24,242,996.95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19,792,759.17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273,202.06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1,140,786.44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112,902.06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1,022,756.22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56,294,579.36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77,551,254.09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4,567,317.25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10,753,697.50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51,727,262.11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66,797,556.59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47,339,574.86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64,641,439.37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4,387,687.25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2,156,117.22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51,727,262.11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66,797,556.59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47,339,574.86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64,641,439.37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4,387,687.25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2,156,117.22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667" w:val="left" w:leader="none"/>
          <w:tab w:pos="7899" w:val="left" w:leader="none"/>
        </w:tabs>
        <w:spacing w:before="125"/>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会计机构负责人：钱英</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187,182,526.21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194,394,604.01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108,631,625.74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95,144,840.13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1,145,743.70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2,021,620.09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43,194,679.68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35,911,838.48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32,599,935.30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26,020,921.59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-2,375,063.33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-4,311,844.03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1,125,652.75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3,118,711.07</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2,859,952.37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36,488,516.68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17,184,618.86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15,360,624.95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220,960.75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152,521.21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19,823,610.48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51,696,620.42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3,018,353.43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7,404,751.02</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16,805,257.05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44,291,869.40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16,805,257.05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44,291,869.40</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会计机构负责人：钱英</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262,007,714.61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233,941,521.62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3,246,645.70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661,245.96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27,163,247.85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40,335,754.64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292,417,608.16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274,938,522.22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126,319,804.91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129,919,513.20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56,123,630.25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44,342,194.13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34,669,534.99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30,629,440.99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49,866,744.94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45,992,533.52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266,979,715.09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250,883,681.84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25,437,893.07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24,054,840.38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25,741,733.91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25,833,783.91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99,953,500.02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115,549,825.89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99,953,500.02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115,549,825.89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-74,119,716.11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-115,549,585.89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7,350,000.00</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12,420,344.13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11,913,706.66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13,529.33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17,433,725.02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11,927,235.99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1,966,274.98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-4,577,235.99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-93,882.96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-337,121.02</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-46,809,431.02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-96,409,102.52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260,147,364.63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356,556,467.15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213,337,933.61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260,147,364.63</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会计机构负责人：钱英</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175,213,822.13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175,239,891.60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2,636,156.14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661,245.96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22,811,024.37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46,361,848.45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200,661,002.64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222,262,986.01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91,415,697.32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108,738,053.65</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37,487,368.66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30,670,989.06</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20,926,425.95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19,436,453.51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46,607,705.09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47,659,831.28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196,437,197.02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206,505,327.50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4,223,805.62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15,757,658.51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95,970,294.67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114,115,547.89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98,990,294.67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124,865,547.89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-98,933,294.67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-124,865,547.89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12,031,513.35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13,529.33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12,044,894.24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11,813,529.33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-7,044,894.24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-11,813,529.33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-53,177.44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-337,121.02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-101,807,560.73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-121,258,539.73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173,136,185.51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294,394,725.24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71,328,624.78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173,136,185.51</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会计机构负责人：钱英</w:t>
      </w:r>
    </w:p>
    <w:p>
      <w:pPr>
        <w:spacing w:after="0"/>
        <w:jc w:val="left"/>
        <w:rPr>
          <w:rFonts w:ascii="宋体" w:hAnsi="宋体" w:cs="宋体" w:eastAsia="宋体" w:hint="default"/>
          <w:sz w:val="18"/>
          <w:szCs w:val="18"/>
        </w:rPr>
        <w:sectPr>
          <w:pgSz w:w="11910" w:h="16840"/>
          <w:pgMar w:header="555" w:footer="980" w:top="1100" w:bottom="1160" w:left="980" w:right="980"/>
        </w:sectPr>
      </w:pPr>
    </w:p>
    <w:p>
      <w:pPr>
        <w:spacing w:line="240" w:lineRule="auto" w:before="11"/>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555" w:footer="980" w:top="110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316,583,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842.17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12,979,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861.85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125,297,</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011.02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14,594,33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1.26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587,455,04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6.30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316,583,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842.17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12,979,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861.85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125,297,</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011.02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14,594,33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1.26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587,455,04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6.30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307,300.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1,680,5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25.71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33,859,0</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49.15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18,998,17</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1.47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54,845,046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47,339,5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74.86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4,387,687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51,727,262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47,339,5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74.86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4,387,687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51,727,262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307,300.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14,610,48</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4.22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14,917,784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.22</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11,900,00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307,300.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307,300.00</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2,710,484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2,710,484.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1,680,5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25.71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-13,480,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525.71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1,680,5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25.71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-1,680,5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25.71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316,891,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142.17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14,660,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387.56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159,156,</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060.17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33,592,50</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2.73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642,300,09</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2.63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2"/>
              <w:ind w:left="138"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316,568,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642.17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8,550,6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74.91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76,884,7</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58.59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10,088,21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4.04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530,092,28</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9.71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316,568,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642.17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8,550,6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74.91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76,884,7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58.59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10,088,21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4.04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530,092,28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9.71</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4,429,1</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86.94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48,412,2</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52.43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4,506,117.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57,362,756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64,641,4</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39.37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2,156,117.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66,797,556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64,641,4</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39.37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2,156,117.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66,797,556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2,365,200.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15,200.00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4,429,1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86.94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-16,229,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186.94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4,429,1</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86.94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-4,429,1</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86.94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2"/>
              <w:ind w:left="163" w:right="0"/>
              <w:jc w:val="left"/>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316,583,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842.17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12,979,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861.85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125,297,</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011.02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14,594,33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1.26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587,455,04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6.30</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会计机构负责人：钱英</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编制单位：河南汉威电子股份有限公司</w:t>
      </w:r>
    </w:p>
    <w:p>
      <w:pPr>
        <w:spacing w:after="0"/>
        <w:jc w:val="left"/>
        <w:rPr>
          <w:rFonts w:ascii="宋体" w:hAnsi="宋体" w:cs="宋体" w:eastAsia="宋体" w:hint="default"/>
          <w:sz w:val="18"/>
          <w:szCs w:val="18"/>
        </w:rPr>
        <w:sectPr>
          <w:pgSz w:w="11910" w:h="16840"/>
          <w:pgMar w:header="555" w:footer="980" w:top="1100" w:bottom="1160" w:left="980" w:right="980"/>
        </w:sectPr>
      </w:pPr>
    </w:p>
    <w:p>
      <w:pPr>
        <w:spacing w:line="240" w:lineRule="auto" w:before="11"/>
        <w:rPr>
          <w:rFonts w:ascii="宋体" w:hAnsi="宋体" w:cs="宋体" w:eastAsia="宋体" w:hint="default"/>
          <w:sz w:val="21"/>
          <w:szCs w:val="21"/>
        </w:rPr>
      </w:pPr>
      <w:r>
        <w:rPr/>
        <w:pict>
          <v:shape style="position:absolute;margin-left:138.600006pt;margin-top:685.899963pt;width:84.8pt;height:19.6pt;mso-position-horizontal-relative:page;mso-position-vertical-relative:page;z-index:-9471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705.940002pt;width:84.8pt;height:19.7pt;mso-position-horizontal-relative:page;mso-position-vertical-relative:page;z-index:-9471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685.299988pt;width:42.65pt;height:40.950pt;mso-position-horizontal-relative:page;mso-position-vertical-relative:page;z-index:-947104" coordorigin="3615,13706" coordsize="853,819">
            <v:group style="position:absolute;left:3627;top:13718;width:2;height:392" coordorigin="3627,13718" coordsize="2,392">
              <v:shape style="position:absolute;left:3627;top:13718;width:2;height:392" coordorigin="3627,13718" coordsize="0,392" path="m3627,13718l3627,14109e" filled="false" stroked="true" strokeweight="1.2pt" strokecolor="#ffffff">
                <v:path arrowok="t"/>
              </v:shape>
            </v:group>
            <v:group style="position:absolute;left:3639;top:13718;width:829;height:392" coordorigin="3639,13718" coordsize="829,392">
              <v:shape style="position:absolute;left:3639;top:13718;width:829;height:392" coordorigin="3639,13718" coordsize="829,392" path="m3639,14109l4467,14109,4467,13718,3639,13718,3639,14109xe" filled="true" fillcolor="#ffffff" stroked="false">
                <v:path arrowok="t"/>
                <v:fill type="solid"/>
              </v:shape>
            </v:group>
            <v:group style="position:absolute;left:3627;top:14119;width:2;height:394" coordorigin="3627,14119" coordsize="2,394">
              <v:shape style="position:absolute;left:3627;top:14119;width:2;height:394" coordorigin="3627,14119" coordsize="0,394" path="m3627,14119l3627,14512e" filled="false" stroked="true" strokeweight="1.2pt" strokecolor="#ffffff">
                <v:path arrowok="t"/>
              </v:shape>
            </v:group>
            <v:group style="position:absolute;left:3639;top:14119;width:829;height:394" coordorigin="3639,14119" coordsize="829,394">
              <v:shape style="position:absolute;left:3639;top:14119;width:829;height:394" coordorigin="3639,14119" coordsize="829,394" path="m3639,14512l4467,14512,4467,14119,3639,14119,3639,14512xe" filled="true" fillcolor="#ffffff" stroked="false">
                <v:path arrowok="t"/>
                <v:fill type="solid"/>
              </v:shape>
            </v:group>
            <w10:wrap type="none"/>
          </v:group>
        </w:pict>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99"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316,573,42</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3.70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12,979,861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77,638,756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525,192,04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2.18</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316,573,42</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3.70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12,979,861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77,638,756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525,192,04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2.18</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307,300.00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1,680,525.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3,324,731.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5,312,557.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16,805,257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16,805,257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16,805,257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16,805,257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307,300.00</w:t>
            </w: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307,300.00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307,300.00</w:t>
            </w: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1,680,525.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-13,480,52</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5.71</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1,680,525.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-1,680,525.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90" w:type="dxa"/>
            <w:vMerge w:val="restart"/>
            <w:tcBorders>
              <w:top w:val="single" w:sz="4" w:space="0" w:color="000000"/>
              <w:left w:val="single" w:sz="4" w:space="0" w:color="000000"/>
              <w:right w:val="single" w:sz="4" w:space="0" w:color="000000"/>
            </w:tcBorders>
          </w:tcPr>
          <w:p>
            <w:pP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7"/>
          <w:pgSz w:w="11910" w:h="16840"/>
          <w:pgMar w:footer="980" w:header="555"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118,000,00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316,880,72</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3.70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14,660,387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80,963,487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530,504,59</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9.23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316,558,22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3.70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8,550,674.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49,576,074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492,684,97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2.78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316,558,22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3.70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8,550,674.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49,576,074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492,684,97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2.78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4,429,186.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28,062,682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32,507,069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44,291,869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44,291,869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44,291,869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44,291,869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15,200.00</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15,200.00</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4,429,186.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-16,229,18</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6.94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4,429,186.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-4,429,186.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1910" w:h="16840"/>
          <w:pgMar w:footer="980" w:header="555" w:top="1100" w:bottom="1160" w:left="980" w:right="980"/>
          <w:pgNumType w:start="101"/>
        </w:sectPr>
      </w:pPr>
    </w:p>
    <w:p>
      <w:pPr>
        <w:spacing w:line="240" w:lineRule="auto" w:before="8"/>
        <w:rPr>
          <w:rFonts w:ascii="宋体" w:hAnsi="宋体" w:cs="宋体" w:eastAsia="宋体" w:hint="default"/>
          <w:sz w:val="24"/>
          <w:szCs w:val="24"/>
        </w:rPr>
      </w:pPr>
      <w:r>
        <w:rPr/>
        <w:pict>
          <v:shape style="position:absolute;margin-left:139.554001pt;margin-top:148.459976pt;width:84.8pt;height:19.6pt;mso-position-horizontal-relative:page;mso-position-vertical-relative:page;z-index:-94708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168.499985pt;width:84.8pt;height:19.6pt;mso-position-horizontal-relative:page;mso-position-vertical-relative:page;z-index:-9470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148.459976pt;width:41.45pt;height:39.6pt;mso-position-horizontal-relative:page;mso-position-vertical-relative:page;z-index:-947032" coordorigin="3658,2969" coordsize="829,792">
            <v:group style="position:absolute;left:3658;top:2969;width:829;height:392" coordorigin="3658,2969" coordsize="829,392">
              <v:shape style="position:absolute;left:3658;top:2969;width:829;height:392" coordorigin="3658,2969" coordsize="829,392" path="m3658,3360l4486,3360,4486,2969,3658,2969,3658,3360xe" filled="true" fillcolor="#ffffff" stroked="false">
                <v:path arrowok="t"/>
                <v:fill type="solid"/>
              </v:shape>
            </v:group>
            <v:group style="position:absolute;left:3658;top:3370;width:829;height:392" coordorigin="3658,3370" coordsize="829,392">
              <v:shape style="position:absolute;left:3658;top:3370;width:829;height:392" coordorigin="3658,3370" coordsize="829,392" path="m3658,3761l4486,3761,4486,3370,3658,3370,3658,376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-11,800,00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118,000,00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316,573,42</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3.70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12,979,861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77,638,756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525,192,04</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2.18</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会计机构负责人：钱英</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0" w:firstLine="480"/>
        <w:jc w:val="left"/>
      </w:pPr>
      <w:r>
        <w:rPr/>
        <w:t>河南汉威电子股份有限公司（以下简称：公司或本公司）系由河南汉威电子有限公司整 体改制变更设立，并于</w:t>
      </w:r>
      <w:r>
        <w:rPr>
          <w:rFonts w:ascii="新宋体" w:hAnsi="新宋体" w:cs="新宋体" w:eastAsia="新宋体" w:hint="default"/>
        </w:rPr>
        <w:t>2008</w:t>
      </w:r>
      <w:r>
        <w:rPr/>
        <w:t>年</w:t>
      </w:r>
      <w:r>
        <w:rPr>
          <w:rFonts w:ascii="新宋体" w:hAnsi="新宋体" w:cs="新宋体" w:eastAsia="新宋体" w:hint="default"/>
        </w:rPr>
        <w:t>1</w:t>
      </w:r>
      <w:r>
        <w:rPr/>
        <w:t>月</w:t>
      </w:r>
      <w:r>
        <w:rPr>
          <w:rFonts w:ascii="新宋体" w:hAnsi="新宋体" w:cs="新宋体" w:eastAsia="新宋体" w:hint="default"/>
        </w:rPr>
        <w:t>28</w:t>
      </w:r>
      <w:r>
        <w:rPr/>
        <w:t>日取得了郑州市工商行政管理局颁发的企业法人营业执 </w:t>
      </w:r>
      <w:r>
        <w:rPr>
          <w:spacing w:val="-5"/>
        </w:rPr>
        <w:t>照，注册号：</w:t>
      </w:r>
      <w:r>
        <w:rPr>
          <w:rFonts w:ascii="新宋体" w:hAnsi="新宋体" w:cs="新宋体" w:eastAsia="新宋体" w:hint="default"/>
          <w:spacing w:val="-5"/>
        </w:rPr>
        <w:t>410000100020749</w:t>
      </w:r>
      <w:r>
        <w:rPr>
          <w:spacing w:val="-5"/>
        </w:rPr>
        <w:t>；法定代表人：任红军；公司住所：郑州高新开发区雪松路</w:t>
      </w:r>
      <w:r>
        <w:rPr>
          <w:rFonts w:ascii="新宋体" w:hAnsi="新宋体" w:cs="新宋体" w:eastAsia="新宋体" w:hint="default"/>
          <w:spacing w:val="-5"/>
        </w:rPr>
        <w:t>169</w:t>
      </w:r>
      <w:r>
        <w:rPr>
          <w:rFonts w:ascii="新宋体" w:hAnsi="新宋体" w:cs="新宋体" w:eastAsia="新宋体" w:hint="default"/>
          <w:spacing w:val="-73"/>
        </w:rPr>
        <w:t> </w:t>
      </w:r>
      <w:r>
        <w:rPr/>
        <w:t>号；设立时总股本为</w:t>
      </w:r>
      <w:r>
        <w:rPr>
          <w:rFonts w:ascii="新宋体" w:hAnsi="新宋体" w:cs="新宋体" w:eastAsia="新宋体" w:hint="default"/>
        </w:rPr>
        <w:t>4,100</w:t>
      </w:r>
      <w:r>
        <w:rPr/>
        <w:t>万股。</w:t>
      </w:r>
    </w:p>
    <w:p>
      <w:pPr>
        <w:pStyle w:val="BodyText"/>
        <w:spacing w:line="357" w:lineRule="auto"/>
        <w:ind w:right="146" w:firstLine="480"/>
        <w:jc w:val="left"/>
      </w:pPr>
      <w:r>
        <w:rPr>
          <w:rFonts w:ascii="新宋体" w:hAnsi="新宋体" w:cs="新宋体" w:eastAsia="新宋体" w:hint="default"/>
          <w:spacing w:val="-2"/>
        </w:rPr>
        <w:t>2008</w:t>
      </w:r>
      <w:r>
        <w:rPr>
          <w:spacing w:val="-2"/>
        </w:rPr>
        <w:t>年</w:t>
      </w:r>
      <w:r>
        <w:rPr>
          <w:rFonts w:ascii="新宋体" w:hAnsi="新宋体" w:cs="新宋体" w:eastAsia="新宋体" w:hint="default"/>
          <w:spacing w:val="-2"/>
        </w:rPr>
        <w:t>6</w:t>
      </w:r>
      <w:r>
        <w:rPr>
          <w:spacing w:val="-2"/>
        </w:rPr>
        <w:t>月</w:t>
      </w:r>
      <w:r>
        <w:rPr>
          <w:rFonts w:ascii="新宋体" w:hAnsi="新宋体" w:cs="新宋体" w:eastAsia="新宋体" w:hint="default"/>
          <w:spacing w:val="-2"/>
        </w:rPr>
        <w:t>22</w:t>
      </w:r>
      <w:r>
        <w:rPr>
          <w:spacing w:val="-2"/>
        </w:rPr>
        <w:t>日，公司</w:t>
      </w:r>
      <w:r>
        <w:rPr>
          <w:rFonts w:ascii="新宋体" w:hAnsi="新宋体" w:cs="新宋体" w:eastAsia="新宋体" w:hint="default"/>
          <w:spacing w:val="-2"/>
        </w:rPr>
        <w:t>2008</w:t>
      </w:r>
      <w:r>
        <w:rPr>
          <w:spacing w:val="-2"/>
        </w:rPr>
        <w:t>年第</w:t>
      </w:r>
      <w:r>
        <w:rPr>
          <w:rFonts w:ascii="新宋体" w:hAnsi="新宋体" w:cs="新宋体" w:eastAsia="新宋体" w:hint="default"/>
          <w:spacing w:val="-2"/>
        </w:rPr>
        <w:t>2</w:t>
      </w:r>
      <w:r>
        <w:rPr>
          <w:spacing w:val="-2"/>
        </w:rPr>
        <w:t>次临时股东大会通过决议，公司增加股本</w:t>
      </w:r>
      <w:r>
        <w:rPr>
          <w:rFonts w:ascii="新宋体" w:hAnsi="新宋体" w:cs="新宋体" w:eastAsia="新宋体" w:hint="default"/>
          <w:spacing w:val="-2"/>
        </w:rPr>
        <w:t>300</w:t>
      </w:r>
      <w:r>
        <w:rPr>
          <w:spacing w:val="-2"/>
        </w:rPr>
        <w:t>万股，由宁</w:t>
      </w:r>
      <w:r>
        <w:rPr/>
        <w:t> 波君润投资有限公司出资。经本次变更后，公司总股本为</w:t>
      </w:r>
      <w:r>
        <w:rPr>
          <w:rFonts w:ascii="新宋体" w:hAnsi="新宋体" w:cs="新宋体" w:eastAsia="新宋体" w:hint="default"/>
        </w:rPr>
        <w:t>4,400</w:t>
      </w:r>
      <w:r>
        <w:rPr/>
        <w:t>万股。</w:t>
      </w:r>
    </w:p>
    <w:p>
      <w:pPr>
        <w:pStyle w:val="BodyText"/>
        <w:spacing w:line="357" w:lineRule="auto"/>
        <w:ind w:right="142" w:firstLine="480"/>
        <w:jc w:val="left"/>
      </w:pPr>
      <w:r>
        <w:rPr/>
        <w:t>经公司</w:t>
      </w:r>
      <w:r>
        <w:rPr>
          <w:rFonts w:ascii="新宋体" w:hAnsi="新宋体" w:cs="新宋体" w:eastAsia="新宋体" w:hint="default"/>
        </w:rPr>
        <w:t>2009</w:t>
      </w:r>
      <w:r>
        <w:rPr/>
        <w:t>年第二次临时股东大会和第一届董事会第八次会议审议通过，并经中国证券 </w:t>
      </w:r>
      <w:r>
        <w:rPr>
          <w:spacing w:val="-2"/>
        </w:rPr>
        <w:t>监督管理委员会证监许可［</w:t>
      </w:r>
      <w:r>
        <w:rPr>
          <w:rFonts w:ascii="新宋体" w:hAnsi="新宋体" w:cs="新宋体" w:eastAsia="新宋体" w:hint="default"/>
          <w:spacing w:val="-2"/>
        </w:rPr>
        <w:t>2009</w:t>
      </w:r>
      <w:r>
        <w:rPr>
          <w:spacing w:val="-2"/>
        </w:rPr>
        <w:t>］</w:t>
      </w:r>
      <w:r>
        <w:rPr>
          <w:rFonts w:ascii="新宋体" w:hAnsi="新宋体" w:cs="新宋体" w:eastAsia="新宋体" w:hint="default"/>
          <w:spacing w:val="-2"/>
        </w:rPr>
        <w:t>957</w:t>
      </w:r>
      <w:r>
        <w:rPr>
          <w:spacing w:val="-2"/>
        </w:rPr>
        <w:t>号文《关于核准河南汉威电子股份有限公司首次公开发</w:t>
      </w:r>
      <w:r>
        <w:rPr>
          <w:spacing w:val="-115"/>
        </w:rPr>
        <w:t> </w:t>
      </w:r>
      <w:r>
        <w:rPr>
          <w:spacing w:val="-115"/>
        </w:rPr>
      </w:r>
      <w:r>
        <w:rPr/>
        <w:t>行股票并在创业板上市的批复》核准，公司向社会公开发行人民币普通股（创业板）</w:t>
      </w:r>
      <w:r>
        <w:rPr>
          <w:rFonts w:ascii="新宋体" w:hAnsi="新宋体" w:cs="新宋体" w:eastAsia="新宋体" w:hint="default"/>
        </w:rPr>
        <w:t>1,500 </w:t>
      </w:r>
      <w:r>
        <w:rPr/>
        <w:t>万股（每股面值为人民币</w:t>
      </w:r>
      <w:r>
        <w:rPr>
          <w:rFonts w:ascii="新宋体" w:hAnsi="新宋体" w:cs="新宋体" w:eastAsia="新宋体" w:hint="default"/>
        </w:rPr>
        <w:t>1</w:t>
      </w:r>
      <w:r>
        <w:rPr/>
        <w:t>元），变更后公司总股本</w:t>
      </w:r>
      <w:r>
        <w:rPr>
          <w:rFonts w:ascii="新宋体" w:hAnsi="新宋体" w:cs="新宋体" w:eastAsia="新宋体" w:hint="default"/>
        </w:rPr>
        <w:t>5,900</w:t>
      </w:r>
      <w:r>
        <w:rPr/>
        <w:t>万股。其中，有限售条件的流通股 份</w:t>
      </w:r>
      <w:r>
        <w:rPr>
          <w:rFonts w:ascii="新宋体" w:hAnsi="新宋体" w:cs="新宋体" w:eastAsia="新宋体" w:hint="default"/>
        </w:rPr>
        <w:t>4,400</w:t>
      </w:r>
      <w:r>
        <w:rPr/>
        <w:t>万股；无限售条件的流通股份</w:t>
      </w:r>
      <w:r>
        <w:rPr>
          <w:rFonts w:ascii="新宋体" w:hAnsi="新宋体" w:cs="新宋体" w:eastAsia="新宋体" w:hint="default"/>
        </w:rPr>
        <w:t>1,500</w:t>
      </w:r>
      <w:r>
        <w:rPr/>
        <w:t>万股。公司股票于</w:t>
      </w:r>
      <w:r>
        <w:rPr>
          <w:rFonts w:ascii="新宋体" w:hAnsi="新宋体" w:cs="新宋体" w:eastAsia="新宋体" w:hint="default"/>
        </w:rPr>
        <w:t>2009</w:t>
      </w:r>
      <w:r>
        <w:rPr/>
        <w:t>年</w:t>
      </w:r>
      <w:r>
        <w:rPr>
          <w:rFonts w:ascii="新宋体" w:hAnsi="新宋体" w:cs="新宋体" w:eastAsia="新宋体" w:hint="default"/>
        </w:rPr>
        <w:t>10</w:t>
      </w:r>
      <w:r>
        <w:rPr/>
        <w:t>月</w:t>
      </w:r>
      <w:r>
        <w:rPr>
          <w:rFonts w:ascii="新宋体" w:hAnsi="新宋体" w:cs="新宋体" w:eastAsia="新宋体" w:hint="default"/>
        </w:rPr>
        <w:t>30</w:t>
      </w:r>
      <w:r>
        <w:rPr/>
        <w:t>日在深圳证券交 易所挂牌交易，股票简称：汉威电子，股票代码：</w:t>
      </w:r>
      <w:r>
        <w:rPr>
          <w:rFonts w:ascii="新宋体" w:hAnsi="新宋体" w:cs="新宋体" w:eastAsia="新宋体" w:hint="default"/>
        </w:rPr>
        <w:t>300007</w:t>
      </w:r>
      <w:r>
        <w:rPr/>
        <w:t>。</w:t>
      </w:r>
    </w:p>
    <w:p>
      <w:pPr>
        <w:pStyle w:val="BodyText"/>
        <w:spacing w:line="357" w:lineRule="auto"/>
        <w:ind w:right="148" w:firstLine="480"/>
        <w:jc w:val="left"/>
      </w:pPr>
      <w:r>
        <w:rPr>
          <w:rFonts w:ascii="新宋体" w:hAnsi="新宋体" w:cs="新宋体" w:eastAsia="新宋体" w:hint="default"/>
        </w:rPr>
        <w:t>2010</w:t>
      </w:r>
      <w:r>
        <w:rPr/>
        <w:t>年</w:t>
      </w:r>
      <w:r>
        <w:rPr>
          <w:rFonts w:ascii="新宋体" w:hAnsi="新宋体" w:cs="新宋体" w:eastAsia="新宋体" w:hint="default"/>
        </w:rPr>
        <w:t>4</w:t>
      </w:r>
      <w:r>
        <w:rPr/>
        <w:t>月</w:t>
      </w:r>
      <w:r>
        <w:rPr>
          <w:rFonts w:ascii="新宋体" w:hAnsi="新宋体" w:cs="新宋体" w:eastAsia="新宋体" w:hint="default"/>
        </w:rPr>
        <w:t>13</w:t>
      </w:r>
      <w:r>
        <w:rPr/>
        <w:t>日，根据公司</w:t>
      </w:r>
      <w:r>
        <w:rPr>
          <w:rFonts w:ascii="新宋体" w:hAnsi="新宋体" w:cs="新宋体" w:eastAsia="新宋体" w:hint="default"/>
        </w:rPr>
        <w:t>2010</w:t>
      </w:r>
      <w:r>
        <w:rPr/>
        <w:t>年</w:t>
      </w:r>
      <w:r>
        <w:rPr>
          <w:rFonts w:ascii="新宋体" w:hAnsi="新宋体" w:cs="新宋体" w:eastAsia="新宋体" w:hint="default"/>
        </w:rPr>
        <w:t>3</w:t>
      </w:r>
      <w:r>
        <w:rPr/>
        <w:t>月</w:t>
      </w:r>
      <w:r>
        <w:rPr>
          <w:rFonts w:ascii="新宋体" w:hAnsi="新宋体" w:cs="新宋体" w:eastAsia="新宋体" w:hint="default"/>
        </w:rPr>
        <w:t>25</w:t>
      </w:r>
      <w:r>
        <w:rPr/>
        <w:t>日股东大会审议通过的的公司</w:t>
      </w:r>
      <w:r>
        <w:rPr>
          <w:rFonts w:ascii="新宋体" w:hAnsi="新宋体" w:cs="新宋体" w:eastAsia="新宋体" w:hint="default"/>
        </w:rPr>
        <w:t>2009</w:t>
      </w:r>
      <w:r>
        <w:rPr/>
        <w:t>年度利润分配 </w:t>
      </w:r>
      <w:r>
        <w:rPr>
          <w:spacing w:val="-2"/>
        </w:rPr>
        <w:t>及资本公积转增股本方案，公司以</w:t>
      </w:r>
      <w:r>
        <w:rPr>
          <w:rFonts w:ascii="新宋体" w:hAnsi="新宋体" w:cs="新宋体" w:eastAsia="新宋体" w:hint="default"/>
          <w:spacing w:val="-2"/>
        </w:rPr>
        <w:t>2009</w:t>
      </w:r>
      <w:r>
        <w:rPr>
          <w:spacing w:val="-2"/>
        </w:rPr>
        <w:t>年</w:t>
      </w:r>
      <w:r>
        <w:rPr>
          <w:rFonts w:ascii="新宋体" w:hAnsi="新宋体" w:cs="新宋体" w:eastAsia="新宋体" w:hint="default"/>
          <w:spacing w:val="-2"/>
        </w:rPr>
        <w:t>12</w:t>
      </w:r>
      <w:r>
        <w:rPr>
          <w:spacing w:val="-2"/>
        </w:rPr>
        <w:t>月</w:t>
      </w:r>
      <w:r>
        <w:rPr>
          <w:rFonts w:ascii="新宋体" w:hAnsi="新宋体" w:cs="新宋体" w:eastAsia="新宋体" w:hint="default"/>
          <w:spacing w:val="-2"/>
        </w:rPr>
        <w:t>31</w:t>
      </w:r>
      <w:r>
        <w:rPr>
          <w:spacing w:val="-2"/>
        </w:rPr>
        <w:t>日总股本</w:t>
      </w:r>
      <w:r>
        <w:rPr>
          <w:rFonts w:ascii="新宋体" w:hAnsi="新宋体" w:cs="新宋体" w:eastAsia="新宋体" w:hint="default"/>
          <w:spacing w:val="-2"/>
        </w:rPr>
        <w:t>5,900</w:t>
      </w:r>
      <w:r>
        <w:rPr>
          <w:spacing w:val="-2"/>
        </w:rPr>
        <w:t>万股为基数，由资本公积向股</w:t>
      </w:r>
    </w:p>
    <w:p>
      <w:pPr>
        <w:spacing w:after="0" w:line="357" w:lineRule="auto"/>
        <w:jc w:val="left"/>
        <w:sectPr>
          <w:pgSz w:w="11910" w:h="16840"/>
          <w:pgMar w:header="555" w:footer="980" w:top="1100" w:bottom="1160" w:left="980" w:right="980"/>
        </w:sectPr>
      </w:pPr>
    </w:p>
    <w:p>
      <w:pPr>
        <w:spacing w:line="240" w:lineRule="auto" w:before="7"/>
        <w:rPr>
          <w:rFonts w:ascii="新宋体" w:hAnsi="新宋体" w:cs="新宋体" w:eastAsia="新宋体" w:hint="default"/>
          <w:sz w:val="25"/>
          <w:szCs w:val="25"/>
        </w:rPr>
      </w:pPr>
    </w:p>
    <w:p>
      <w:pPr>
        <w:pStyle w:val="BodyText"/>
        <w:spacing w:line="357" w:lineRule="auto" w:before="26"/>
        <w:ind w:left="633" w:right="253" w:hanging="481"/>
        <w:jc w:val="left"/>
      </w:pPr>
      <w:r>
        <w:rPr/>
        <w:t>东每</w:t>
      </w:r>
      <w:r>
        <w:rPr>
          <w:rFonts w:ascii="新宋体" w:hAnsi="新宋体" w:cs="新宋体" w:eastAsia="新宋体" w:hint="default"/>
        </w:rPr>
        <w:t>10</w:t>
      </w:r>
      <w:r>
        <w:rPr/>
        <w:t>股转增</w:t>
      </w:r>
      <w:r>
        <w:rPr>
          <w:rFonts w:ascii="新宋体" w:hAnsi="新宋体" w:cs="新宋体" w:eastAsia="新宋体" w:hint="default"/>
        </w:rPr>
        <w:t>10</w:t>
      </w:r>
      <w:r>
        <w:rPr/>
        <w:t>股，合计转增股本</w:t>
      </w:r>
      <w:r>
        <w:rPr>
          <w:rFonts w:ascii="新宋体" w:hAnsi="新宋体" w:cs="新宋体" w:eastAsia="新宋体" w:hint="default"/>
        </w:rPr>
        <w:t>5,900</w:t>
      </w:r>
      <w:r>
        <w:rPr/>
        <w:t>万股，转增后公司总股本增至</w:t>
      </w:r>
      <w:r>
        <w:rPr>
          <w:rFonts w:ascii="新宋体" w:hAnsi="新宋体" w:cs="新宋体" w:eastAsia="新宋体" w:hint="default"/>
        </w:rPr>
        <w:t>11,800</w:t>
      </w:r>
      <w:r>
        <w:rPr/>
        <w:t>万股。 本公司属专用仪器仪表制造业。主要产品为气体传感器、气体检测仪器仪表及监控系统</w:t>
      </w:r>
    </w:p>
    <w:p>
      <w:pPr>
        <w:pStyle w:val="BodyText"/>
        <w:spacing w:line="357" w:lineRule="auto"/>
        <w:ind w:right="105"/>
        <w:jc w:val="left"/>
      </w:pPr>
      <w:r>
        <w:rPr>
          <w:spacing w:val="-3"/>
        </w:rPr>
        <w:t>等，主要应用于石油、化工、冶金、采矿、电子、电力、医疗卫生、农业、燃气、市政工程、</w:t>
      </w:r>
      <w:r>
        <w:rPr>
          <w:spacing w:val="-87"/>
        </w:rPr>
        <w:t> </w:t>
      </w:r>
      <w:r>
        <w:rPr>
          <w:spacing w:val="-87"/>
        </w:rPr>
      </w:r>
      <w:r>
        <w:rPr/>
        <w:t>家庭安全与健康、公共场所、道路安全管理等领域，用于防火防爆、预防中毒、污染监测、 环境治理、改善人居环境等。</w:t>
      </w:r>
    </w:p>
    <w:p>
      <w:pPr>
        <w:pStyle w:val="BodyText"/>
        <w:spacing w:line="357" w:lineRule="auto" w:before="77"/>
        <w:ind w:right="105" w:firstLine="374"/>
        <w:jc w:val="left"/>
      </w:pPr>
      <w:r>
        <w:rPr>
          <w:spacing w:val="-6"/>
        </w:rPr>
        <w:t>本公司主要经营范围包括：研究、开发、生产销售电子传感器；电子监控技术开发；研究、</w:t>
      </w:r>
      <w:r>
        <w:rPr/>
        <w:t> 开发、生产销售检测仪器及控制系统、机械电器设备、防爆电气系列产品、个体防护装备系</w:t>
      </w:r>
      <w:r>
        <w:rPr>
          <w:spacing w:val="-91"/>
        </w:rPr>
        <w:t> </w:t>
      </w:r>
      <w:r>
        <w:rPr>
          <w:spacing w:val="-91"/>
        </w:rPr>
      </w:r>
      <w:r>
        <w:rPr/>
        <w:t>列产品；警用装备系列产品；智能交通和安防监控系统的研发、设计、施工和销售；提供技</w:t>
      </w:r>
      <w:r>
        <w:rPr>
          <w:spacing w:val="-91"/>
        </w:rPr>
        <w:t> </w:t>
      </w:r>
      <w:r>
        <w:rPr>
          <w:spacing w:val="-91"/>
        </w:rPr>
      </w:r>
      <w:r>
        <w:rPr/>
        <w:t>术转让、技术服务、技术咨询；计算机软件开发与销售；计算机网络工程施工；防爆设备安</w:t>
      </w:r>
      <w:r>
        <w:rPr>
          <w:spacing w:val="-91"/>
        </w:rPr>
        <w:t> </w:t>
      </w:r>
      <w:r>
        <w:rPr>
          <w:spacing w:val="-91"/>
        </w:rPr>
      </w:r>
      <w:r>
        <w:rPr/>
        <w:t>装工程施工；经营本企业自产产品的出口业务和本企业所需的机械设备、零配件、原辅材料</w:t>
      </w:r>
      <w:r>
        <w:rPr>
          <w:spacing w:val="-91"/>
        </w:rPr>
        <w:t> </w:t>
      </w:r>
      <w:r>
        <w:rPr>
          <w:spacing w:val="-91"/>
        </w:rPr>
      </w:r>
      <w:r>
        <w:rPr/>
        <w:t>的进口业务，但国家限定公司经营或禁止进出口的商品除外。</w:t>
      </w:r>
    </w:p>
    <w:p>
      <w:pPr>
        <w:pStyle w:val="BodyText"/>
        <w:spacing w:line="357" w:lineRule="auto" w:before="74"/>
        <w:ind w:right="231" w:firstLine="374"/>
        <w:jc w:val="both"/>
      </w:pPr>
      <w:r>
        <w:rPr>
          <w:spacing w:val="-3"/>
        </w:rPr>
        <w:t>公司办公地址、生产经营单位和主要的生产管理部门设在郑州高新开发区。主要控股子公</w:t>
      </w:r>
      <w:r>
        <w:rPr/>
        <w:t> 司有郑州炜盛电子科技有限公司、郑州创威煤安科技有限公司、郑州春泉暖通节能设备有限</w:t>
      </w:r>
      <w:r>
        <w:rPr>
          <w:spacing w:val="-91"/>
        </w:rPr>
        <w:t> </w:t>
      </w:r>
      <w:r>
        <w:rPr>
          <w:spacing w:val="-91"/>
        </w:rPr>
      </w:r>
      <w:r>
        <w:rPr/>
        <w:t>公司、沈阳汉威科技有限公司、北京智威宇讯科技有限公司、上海中威天安公共安全科技有</w:t>
      </w:r>
      <w:r>
        <w:rPr>
          <w:spacing w:val="-91"/>
        </w:rPr>
        <w:t> </w:t>
      </w:r>
      <w:r>
        <w:rPr>
          <w:spacing w:val="-91"/>
        </w:rPr>
      </w:r>
      <w:r>
        <w:rPr/>
        <w:t>限公司和哈尔滨盈江科技有限公司。</w:t>
      </w:r>
    </w:p>
    <w:p>
      <w:pPr>
        <w:spacing w:line="240" w:lineRule="auto" w:before="11"/>
        <w:rPr>
          <w:rFonts w:ascii="新宋体" w:hAnsi="新宋体" w:cs="新宋体" w:eastAsia="新宋体" w:hint="default"/>
          <w:sz w:val="19"/>
          <w:szCs w:val="19"/>
        </w:rPr>
      </w:pPr>
    </w:p>
    <w:p>
      <w:pPr>
        <w:pStyle w:val="Heading2"/>
        <w:spacing w:line="240" w:lineRule="auto"/>
        <w:ind w:right="105"/>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05"/>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3"/>
        <w:rPr>
          <w:rFonts w:ascii="宋体" w:hAnsi="宋体" w:cs="宋体" w:eastAsia="宋体" w:hint="default"/>
          <w:b/>
          <w:bCs/>
          <w:sz w:val="27"/>
          <w:szCs w:val="27"/>
        </w:rPr>
      </w:pPr>
    </w:p>
    <w:p>
      <w:pPr>
        <w:pStyle w:val="BodyText"/>
        <w:spacing w:line="357" w:lineRule="auto" w:before="0"/>
        <w:ind w:right="271" w:firstLine="425"/>
        <w:jc w:val="both"/>
      </w:pPr>
      <w:r>
        <w:rPr/>
        <w:t>本公司以持续经营为基础，根据实际发生的交易和事项，按照《企业会计准则—基本准 则》和其他各项具体会计准则、应用指南及准则解释的规定进行确认和计量，并基于以下所 述主要会计政策、会计估计编制财务报表。</w:t>
      </w:r>
    </w:p>
    <w:p>
      <w:pPr>
        <w:spacing w:line="768" w:lineRule="exact" w:before="2"/>
        <w:ind w:left="633" w:right="253" w:hanging="481"/>
        <w:jc w:val="left"/>
        <w:rPr>
          <w:rFonts w:ascii="新宋体" w:hAnsi="新宋体" w:cs="新宋体" w:eastAsia="新宋体" w:hint="default"/>
          <w:sz w:val="24"/>
          <w:szCs w:val="24"/>
        </w:rPr>
      </w:pPr>
      <w:r>
        <w:rPr>
          <w:rFonts w:ascii="新宋体" w:hAnsi="新宋体" w:cs="新宋体" w:eastAsia="新宋体" w:hint="default"/>
          <w:b/>
          <w:bCs/>
          <w:sz w:val="24"/>
          <w:szCs w:val="24"/>
        </w:rPr>
        <w:t>2</w:t>
      </w:r>
      <w:r>
        <w:rPr>
          <w:rFonts w:ascii="新宋体" w:hAnsi="新宋体" w:cs="新宋体" w:eastAsia="新宋体" w:hint="default"/>
          <w:b/>
          <w:bCs/>
          <w:sz w:val="24"/>
          <w:szCs w:val="24"/>
        </w:rPr>
        <w:t>、遵循企业会计准则的声明</w:t>
      </w:r>
      <w:r>
        <w:rPr>
          <w:rFonts w:ascii="新宋体" w:hAnsi="新宋体" w:cs="新宋体" w:eastAsia="新宋体" w:hint="default"/>
          <w:b/>
          <w:bCs/>
          <w:w w:val="99"/>
          <w:sz w:val="24"/>
          <w:szCs w:val="24"/>
        </w:rPr>
        <w:t> </w:t>
      </w:r>
      <w:r>
        <w:rPr>
          <w:rFonts w:ascii="新宋体" w:hAnsi="新宋体" w:cs="新宋体" w:eastAsia="新宋体" w:hint="default"/>
          <w:sz w:val="24"/>
          <w:szCs w:val="24"/>
        </w:rPr>
        <w:t>本公司编制的财务报表符合《企业会计准则》的要求，真实、完整地反映了本公司</w:t>
      </w:r>
      <w:r>
        <w:rPr>
          <w:rFonts w:ascii="新宋体" w:hAnsi="新宋体" w:cs="新宋体" w:eastAsia="新宋体" w:hint="default"/>
          <w:sz w:val="24"/>
          <w:szCs w:val="24"/>
        </w:rPr>
        <w:t>2012</w:t>
      </w:r>
    </w:p>
    <w:p>
      <w:pPr>
        <w:pStyle w:val="BodyText"/>
        <w:spacing w:line="240" w:lineRule="auto" w:before="34"/>
        <w:ind w:right="105"/>
        <w:jc w:val="left"/>
      </w:pPr>
      <w:r>
        <w:rPr/>
        <w:t>年</w:t>
      </w:r>
      <w:r>
        <w:rPr>
          <w:rFonts w:ascii="新宋体" w:hAnsi="新宋体" w:cs="新宋体" w:eastAsia="新宋体" w:hint="default"/>
        </w:rPr>
        <w:t>12</w:t>
      </w:r>
      <w:r>
        <w:rPr/>
        <w:t>月</w:t>
      </w:r>
      <w:r>
        <w:rPr>
          <w:rFonts w:ascii="新宋体" w:hAnsi="新宋体" w:cs="新宋体" w:eastAsia="新宋体" w:hint="default"/>
        </w:rPr>
        <w:t>31</w:t>
      </w:r>
      <w:r>
        <w:rPr/>
        <w:t>日的财务状况、</w:t>
      </w:r>
      <w:r>
        <w:rPr>
          <w:rFonts w:ascii="新宋体" w:hAnsi="新宋体" w:cs="新宋体" w:eastAsia="新宋体" w:hint="default"/>
        </w:rPr>
        <w:t>2012</w:t>
      </w:r>
      <w:r>
        <w:rPr/>
        <w:t>年度的经营成果和现金流量等有关信息。</w:t>
      </w:r>
    </w:p>
    <w:p>
      <w:pPr>
        <w:spacing w:line="240" w:lineRule="auto" w:before="11"/>
        <w:rPr>
          <w:rFonts w:ascii="新宋体" w:hAnsi="新宋体" w:cs="新宋体" w:eastAsia="新宋体" w:hint="default"/>
          <w:sz w:val="28"/>
          <w:szCs w:val="28"/>
        </w:rPr>
      </w:pPr>
    </w:p>
    <w:p>
      <w:pPr>
        <w:pStyle w:val="Heading2"/>
        <w:spacing w:line="240" w:lineRule="auto"/>
        <w:ind w:right="105"/>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left="633" w:right="105"/>
        <w:jc w:val="left"/>
        <w:rPr>
          <w:rFonts w:ascii="宋体" w:hAnsi="宋体" w:cs="宋体" w:eastAsia="宋体" w:hint="default"/>
        </w:rPr>
      </w:pPr>
      <w:r>
        <w:rPr>
          <w:rFonts w:ascii="宋体" w:hAnsi="宋体" w:cs="宋体" w:eastAsia="宋体" w:hint="default"/>
        </w:rPr>
        <w:t>本公司的会计年度为公历</w:t>
      </w:r>
      <w:r>
        <w:rPr>
          <w:rFonts w:ascii="Times New Roman" w:hAnsi="Times New Roman" w:cs="Times New Roman" w:eastAsia="Times New Roman" w:hint="default"/>
        </w:rPr>
        <w:t>1</w:t>
      </w:r>
      <w:r>
        <w:rPr>
          <w:rFonts w:ascii="宋体" w:hAnsi="宋体" w:cs="宋体" w:eastAsia="宋体" w:hint="default"/>
        </w:rPr>
        <w:t>月</w:t>
      </w:r>
      <w:r>
        <w:rPr>
          <w:rFonts w:ascii="Times New Roman" w:hAnsi="Times New Roman" w:cs="Times New Roman" w:eastAsia="Times New Roman" w:hint="default"/>
        </w:rPr>
        <w:t>1</w:t>
      </w:r>
      <w:r>
        <w:rPr>
          <w:rFonts w:ascii="宋体" w:hAnsi="宋体" w:cs="宋体" w:eastAsia="宋体" w:hint="default"/>
        </w:rPr>
        <w:t>日起至</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31</w:t>
      </w:r>
      <w:r>
        <w:rPr>
          <w:rFonts w:ascii="宋体" w:hAnsi="宋体" w:cs="宋体" w:eastAsia="宋体" w:hint="default"/>
        </w:rPr>
        <w:t>日止。</w:t>
      </w:r>
    </w:p>
    <w:p>
      <w:pPr>
        <w:spacing w:after="0" w:line="240" w:lineRule="auto"/>
        <w:jc w:val="left"/>
        <w:rPr>
          <w:rFonts w:ascii="宋体" w:hAnsi="宋体" w:cs="宋体" w:eastAsia="宋体" w:hint="default"/>
        </w:rPr>
        <w:sectPr>
          <w:pgSz w:w="11910" w:h="16840"/>
          <w:pgMar w:header="555" w:footer="980" w:top="1100" w:bottom="1160" w:left="980" w:right="90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1"/>
          <w:szCs w:val="21"/>
        </w:rPr>
      </w:pPr>
    </w:p>
    <w:p>
      <w:pPr>
        <w:pStyle w:val="BodyText"/>
        <w:spacing w:line="240" w:lineRule="auto" w:before="0"/>
        <w:ind w:left="633" w:right="0"/>
        <w:jc w:val="left"/>
        <w:rPr>
          <w:rFonts w:ascii="宋体" w:hAnsi="宋体" w:cs="宋体" w:eastAsia="宋体" w:hint="default"/>
        </w:rPr>
      </w:pPr>
      <w:r>
        <w:rPr>
          <w:rFonts w:ascii="宋体" w:hAnsi="宋体" w:cs="宋体" w:eastAsia="宋体" w:hint="default"/>
        </w:rPr>
        <w:t>本公司以人民币为记账本位币。</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92" w:lineRule="exact" w:before="6"/>
        <w:ind w:left="633" w:right="173" w:hanging="48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）同一控制下企业合并</w:t>
      </w:r>
      <w:r>
        <w:rPr>
          <w:rFonts w:ascii="宋体" w:hAnsi="宋体" w:cs="宋体" w:eastAsia="宋体" w:hint="default"/>
          <w:b/>
          <w:bCs/>
          <w:w w:val="99"/>
          <w:sz w:val="24"/>
          <w:szCs w:val="24"/>
        </w:rPr>
        <w:t> </w:t>
      </w:r>
      <w:r>
        <w:rPr>
          <w:rFonts w:ascii="宋体" w:hAnsi="宋体" w:cs="宋体" w:eastAsia="宋体" w:hint="default"/>
          <w:sz w:val="24"/>
          <w:szCs w:val="24"/>
        </w:rPr>
        <w:t>参与合并的各方在合并前后均受同一方或相同的多方最终控制且该控制并非暂时性的，</w:t>
      </w:r>
    </w:p>
    <w:p>
      <w:pPr>
        <w:pStyle w:val="BodyText"/>
        <w:spacing w:line="357" w:lineRule="auto" w:before="49"/>
        <w:ind w:right="190"/>
        <w:jc w:val="both"/>
        <w:rPr>
          <w:rFonts w:ascii="宋体" w:hAnsi="宋体" w:cs="宋体" w:eastAsia="宋体" w:hint="default"/>
        </w:rPr>
      </w:pPr>
      <w:r>
        <w:rPr>
          <w:rFonts w:ascii="宋体" w:hAnsi="宋体" w:cs="宋体" w:eastAsia="宋体" w:hint="default"/>
        </w:rPr>
        <w:t>该项企业合并按权益结合法进行会计核算。在企业合并中取得的资产和负债，按照合并日在 被合并方的账面价值计量。取得的净资产账面价值与支付的现金、转让的非现金资产以及所 承担债务账面价值之间的差额，调整资本公积；资本公积不足冲减的，调整留存收益。合并 方以发行权益性证券作为合并对价的，在合并日按照取得被合并方所有者权益账面价值的份 额作为长期股权投资的初始投资成本。按照发行股份的面值总额作为股本，长期股权投资初 始投资成本与所发行股份面值总额之间的差额，调整资本公积；资本公积不足冲减的，调整 留存收益。为合并发生的各项直接相关费用，发生时计入当期损益。</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3"/>
        <w:rPr>
          <w:rFonts w:ascii="宋体" w:hAnsi="宋体" w:cs="宋体" w:eastAsia="宋体" w:hint="default"/>
          <w:b/>
          <w:bCs/>
          <w:sz w:val="27"/>
          <w:szCs w:val="27"/>
        </w:rPr>
      </w:pPr>
    </w:p>
    <w:p>
      <w:pPr>
        <w:pStyle w:val="BodyText"/>
        <w:spacing w:line="357" w:lineRule="auto" w:before="0"/>
        <w:ind w:right="156" w:firstLine="420"/>
        <w:jc w:val="both"/>
        <w:rPr>
          <w:rFonts w:ascii="宋体" w:hAnsi="宋体" w:cs="宋体" w:eastAsia="宋体" w:hint="default"/>
        </w:rPr>
      </w:pPr>
      <w:r>
        <w:rPr>
          <w:rFonts w:ascii="宋体" w:hAnsi="宋体" w:cs="宋体" w:eastAsia="宋体" w:hint="default"/>
          <w:spacing w:val="2"/>
        </w:rPr>
        <w:t>对于非同一控制下的企业合并，合并成本为购买方在购买日为取得对被购买方的控制权</w:t>
      </w:r>
      <w:r>
        <w:rPr>
          <w:rFonts w:ascii="宋体" w:hAnsi="宋体" w:cs="宋体" w:eastAsia="宋体" w:hint="default"/>
        </w:rPr>
        <w:t> 而付出的资产、发生或承担的负债以及发行的权益性证券的公允价值。</w:t>
      </w:r>
    </w:p>
    <w:p>
      <w:pPr>
        <w:pStyle w:val="BodyText"/>
        <w:spacing w:line="357" w:lineRule="auto"/>
        <w:ind w:right="153" w:firstLine="420"/>
        <w:jc w:val="both"/>
        <w:rPr>
          <w:rFonts w:ascii="宋体" w:hAnsi="宋体" w:cs="宋体" w:eastAsia="宋体" w:hint="default"/>
        </w:rPr>
      </w:pPr>
      <w:r>
        <w:rPr>
          <w:rFonts w:ascii="宋体" w:hAnsi="宋体" w:cs="宋体" w:eastAsia="宋体" w:hint="default"/>
          <w:spacing w:val="2"/>
        </w:rPr>
        <w:t>通过多次交换交易分步实现的非同一控制下企业合并，区分个别财务报表和合并财务报 </w:t>
      </w:r>
      <w:r>
        <w:rPr>
          <w:rFonts w:ascii="宋体" w:hAnsi="宋体" w:cs="宋体" w:eastAsia="宋体" w:hint="default"/>
        </w:rPr>
        <w:t>表进行相关会计处理：</w:t>
      </w:r>
    </w:p>
    <w:p>
      <w:pPr>
        <w:pStyle w:val="BodyText"/>
        <w:spacing w:line="350" w:lineRule="auto"/>
        <w:ind w:right="155" w:firstLine="420"/>
        <w:jc w:val="both"/>
        <w:rPr>
          <w:rFonts w:ascii="宋体" w:hAnsi="宋体" w:cs="宋体" w:eastAsia="宋体" w:hint="default"/>
        </w:rPr>
      </w:pPr>
      <w:r>
        <w:rPr>
          <w:rFonts w:ascii="宋体" w:hAnsi="宋体" w:cs="宋体" w:eastAsia="宋体" w:hint="default"/>
          <w:spacing w:val="-1"/>
        </w:rPr>
        <w:t>（</w:t>
      </w:r>
      <w:r>
        <w:rPr>
          <w:rFonts w:ascii="Times New Roman" w:hAnsi="Times New Roman" w:cs="Times New Roman" w:eastAsia="Times New Roman" w:hint="default"/>
          <w:spacing w:val="-1"/>
        </w:rPr>
        <w:t>1</w:t>
      </w:r>
      <w:r>
        <w:rPr>
          <w:rFonts w:ascii="宋体" w:hAnsi="宋体" w:cs="宋体" w:eastAsia="宋体" w:hint="default"/>
          <w:spacing w:val="-1"/>
        </w:rPr>
        <w:t>）在个别财务报表中，以购买日之前所持被购买方的股权投资的账面价值与购买日新</w:t>
      </w:r>
      <w:r>
        <w:rPr>
          <w:rFonts w:ascii="宋体" w:hAnsi="宋体" w:cs="宋体" w:eastAsia="宋体" w:hint="default"/>
        </w:rPr>
        <w:t> 增投资成本之和，作为该项投资的初始投资成本；购买日之前持有的被购买方的股权涉及其</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他综合收益的，在处置该项投资时将与其相关的其他综合收益（例如，可供出售金融资产公</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允价值变动计入资本公积的部分，下同）转入当期投资收益。</w:t>
      </w:r>
    </w:p>
    <w:p>
      <w:pPr>
        <w:pStyle w:val="BodyText"/>
        <w:spacing w:line="350" w:lineRule="auto" w:before="44"/>
        <w:ind w:right="152" w:firstLine="420"/>
        <w:jc w:val="both"/>
        <w:rPr>
          <w:rFonts w:ascii="宋体" w:hAnsi="宋体" w:cs="宋体" w:eastAsia="宋体" w:hint="default"/>
        </w:rPr>
      </w:pPr>
      <w:r>
        <w:rPr>
          <w:rFonts w:ascii="宋体" w:hAnsi="宋体" w:cs="宋体" w:eastAsia="宋体" w:hint="default"/>
          <w:spacing w:val="-1"/>
        </w:rPr>
        <w:t>（</w:t>
      </w:r>
      <w:r>
        <w:rPr>
          <w:rFonts w:ascii="Times New Roman" w:hAnsi="Times New Roman" w:cs="Times New Roman" w:eastAsia="Times New Roman" w:hint="default"/>
          <w:spacing w:val="-1"/>
        </w:rPr>
        <w:t>2</w:t>
      </w:r>
      <w:r>
        <w:rPr>
          <w:rFonts w:ascii="宋体" w:hAnsi="宋体" w:cs="宋体" w:eastAsia="宋体" w:hint="default"/>
          <w:spacing w:val="-1"/>
        </w:rPr>
        <w:t>）在合并财务报表中，对于购买日之前持有的被购买方的股权，按照该股权在购买日</w:t>
      </w:r>
      <w:r>
        <w:rPr>
          <w:rFonts w:ascii="宋体" w:hAnsi="宋体" w:cs="宋体" w:eastAsia="宋体" w:hint="default"/>
        </w:rPr>
        <w:t> 的公允价值进行重新计量，公允价值与其账面价值的差额计入当期投资收益；购买日之前持</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有的被购买方的股权涉及其他综合收益的，与其相关的其他综合收益转为购买日所属当期投</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资收益。</w:t>
      </w:r>
    </w:p>
    <w:p>
      <w:pPr>
        <w:pStyle w:val="BodyText"/>
        <w:spacing w:line="240" w:lineRule="auto" w:before="43"/>
        <w:ind w:left="573" w:right="0"/>
        <w:jc w:val="left"/>
        <w:rPr>
          <w:rFonts w:ascii="宋体" w:hAnsi="宋体" w:cs="宋体" w:eastAsia="宋体" w:hint="default"/>
        </w:rPr>
      </w:pPr>
      <w:r>
        <w:rPr>
          <w:rFonts w:ascii="宋体" w:hAnsi="宋体" w:cs="宋体" w:eastAsia="宋体" w:hint="default"/>
          <w:spacing w:val="2"/>
        </w:rPr>
        <w:t>购买方为进行企业合并发生的审计、法律服务、评估咨询等中介费用以及其他相关管理</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555"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0"/>
        <w:jc w:val="left"/>
        <w:rPr>
          <w:rFonts w:ascii="宋体" w:hAnsi="宋体" w:cs="宋体" w:eastAsia="宋体" w:hint="default"/>
        </w:rPr>
      </w:pPr>
      <w:r>
        <w:rPr>
          <w:rFonts w:ascii="宋体" w:hAnsi="宋体" w:cs="宋体" w:eastAsia="宋体" w:hint="default"/>
        </w:rPr>
        <w:t>费用，于发生时计入当期损益；购买方作为合并对价发行的权益性证券或债务性证券的交易</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费用，计入权益性证券或债务性证券的初始确认金额。</w:t>
      </w:r>
    </w:p>
    <w:p>
      <w:pPr>
        <w:pStyle w:val="BodyText"/>
        <w:spacing w:line="357" w:lineRule="auto"/>
        <w:ind w:right="153" w:firstLine="420"/>
        <w:jc w:val="both"/>
        <w:rPr>
          <w:rFonts w:ascii="宋体" w:hAnsi="宋体" w:cs="宋体" w:eastAsia="宋体" w:hint="default"/>
        </w:rPr>
      </w:pPr>
      <w:r>
        <w:rPr>
          <w:rFonts w:ascii="宋体" w:hAnsi="宋体" w:cs="宋体" w:eastAsia="宋体" w:hint="default"/>
          <w:spacing w:val="2"/>
        </w:rPr>
        <w:t>购买方对合并成本大于合并中取得的被购买方可辨认净资产公允价值份额的差额，确认 </w:t>
      </w:r>
      <w:r>
        <w:rPr>
          <w:rFonts w:ascii="宋体" w:hAnsi="宋体" w:cs="宋体" w:eastAsia="宋体" w:hint="default"/>
        </w:rPr>
        <w:t>为商誉。购买方对合并成本小于合并中取得的被购买方可辨认净资产公允价值份额的，经复</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核后合并成本仍小于合并中取得的被购买方可辨认净资产公允价值份额的差额，计入当期损</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益。</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left="573" w:right="0"/>
        <w:jc w:val="left"/>
      </w:pPr>
      <w:r>
        <w:rPr>
          <w:rFonts w:ascii="新宋体" w:hAnsi="新宋体" w:cs="新宋体" w:eastAsia="新宋体" w:hint="default"/>
        </w:rPr>
        <w:t>1</w:t>
      </w:r>
      <w:r>
        <w:rPr/>
        <w:t>．合并范围的确定原则</w:t>
      </w:r>
    </w:p>
    <w:p>
      <w:pPr>
        <w:pStyle w:val="BodyText"/>
        <w:spacing w:line="357" w:lineRule="auto" w:before="154"/>
        <w:ind w:right="153" w:firstLine="420"/>
        <w:jc w:val="both"/>
      </w:pPr>
      <w:r>
        <w:rPr>
          <w:spacing w:val="2"/>
        </w:rPr>
        <w:t>本公司直接或通过子公司间接拥有被投资单位半数以上的表决权，表明本公司能够控制 </w:t>
      </w:r>
      <w:r>
        <w:rPr/>
        <w:t>被投资单位，将该被投资单位认定为子公司，纳入合并财务报表的合并范围，但是，有证据</w:t>
      </w:r>
      <w:r>
        <w:rPr>
          <w:spacing w:val="-91"/>
        </w:rPr>
        <w:t> </w:t>
      </w:r>
      <w:r>
        <w:rPr>
          <w:spacing w:val="-91"/>
        </w:rPr>
      </w:r>
      <w:r>
        <w:rPr/>
        <w:t>表明本公司不能控制被投资单位的除外。</w:t>
      </w:r>
    </w:p>
    <w:p>
      <w:pPr>
        <w:pStyle w:val="BodyText"/>
        <w:spacing w:line="357" w:lineRule="auto"/>
        <w:ind w:right="153" w:firstLine="420"/>
        <w:jc w:val="both"/>
      </w:pPr>
      <w:r>
        <w:rPr>
          <w:spacing w:val="2"/>
        </w:rPr>
        <w:t>本公司拥有被投资单位半数或以下的表决权，满足下列条件之一的，视为本公司能够控 </w:t>
      </w:r>
      <w:r>
        <w:rPr/>
        <w:t>制被投资单位，将该被投资单位认定为子公司，纳入合并财务报表的合并范围。但是，有证</w:t>
      </w:r>
      <w:r>
        <w:rPr>
          <w:spacing w:val="-91"/>
        </w:rPr>
        <w:t> </w:t>
      </w:r>
      <w:r>
        <w:rPr>
          <w:spacing w:val="-91"/>
        </w:rPr>
      </w:r>
      <w:r>
        <w:rPr/>
        <w:t>据表明本公司不能控制被投资单位的除外：</w:t>
      </w:r>
    </w:p>
    <w:p>
      <w:pPr>
        <w:pStyle w:val="BodyText"/>
        <w:spacing w:line="240" w:lineRule="auto"/>
        <w:ind w:left="573" w:right="0"/>
        <w:jc w:val="left"/>
      </w:pPr>
      <w:r>
        <w:rPr/>
        <w:t>（</w:t>
      </w:r>
      <w:r>
        <w:rPr>
          <w:rFonts w:ascii="新宋体" w:hAnsi="新宋体" w:cs="新宋体" w:eastAsia="新宋体" w:hint="default"/>
        </w:rPr>
        <w:t>1</w:t>
      </w:r>
      <w:r>
        <w:rPr/>
        <w:t>）通过与被投资单位其他投资者之间的协议，拥有被投资单位半数以上的表决权；</w:t>
      </w:r>
    </w:p>
    <w:p>
      <w:pPr>
        <w:pStyle w:val="BodyText"/>
        <w:spacing w:line="240" w:lineRule="auto" w:before="154"/>
        <w:ind w:left="573" w:right="0"/>
        <w:jc w:val="left"/>
      </w:pPr>
      <w:r>
        <w:rPr/>
        <w:t>（</w:t>
      </w:r>
      <w:r>
        <w:rPr>
          <w:rFonts w:ascii="新宋体" w:hAnsi="新宋体" w:cs="新宋体" w:eastAsia="新宋体" w:hint="default"/>
        </w:rPr>
        <w:t>2</w:t>
      </w:r>
      <w:r>
        <w:rPr/>
        <w:t>）根据公司章程或协议，有权决定被投资单位的财务和经营政策；</w:t>
      </w:r>
    </w:p>
    <w:p>
      <w:pPr>
        <w:pStyle w:val="BodyText"/>
        <w:spacing w:line="240" w:lineRule="auto" w:before="154"/>
        <w:ind w:left="573" w:right="0"/>
        <w:jc w:val="left"/>
      </w:pPr>
      <w:r>
        <w:rPr/>
        <w:t>（</w:t>
      </w:r>
      <w:r>
        <w:rPr>
          <w:rFonts w:ascii="新宋体" w:hAnsi="新宋体" w:cs="新宋体" w:eastAsia="新宋体" w:hint="default"/>
        </w:rPr>
        <w:t>3</w:t>
      </w:r>
      <w:r>
        <w:rPr/>
        <w:t>）有权任免被投资单位的董事会或类似机构的多数成员；</w:t>
      </w:r>
    </w:p>
    <w:p>
      <w:pPr>
        <w:pStyle w:val="BodyText"/>
        <w:spacing w:line="240" w:lineRule="auto" w:before="154"/>
        <w:ind w:left="573" w:right="0"/>
        <w:jc w:val="left"/>
      </w:pPr>
      <w:r>
        <w:rPr/>
        <w:t>（</w:t>
      </w:r>
      <w:r>
        <w:rPr>
          <w:rFonts w:ascii="新宋体" w:hAnsi="新宋体" w:cs="新宋体" w:eastAsia="新宋体" w:hint="default"/>
        </w:rPr>
        <w:t>4</w:t>
      </w:r>
      <w:r>
        <w:rPr/>
        <w:t>）在被投资单位的董事会或类似机构占多数表决权。</w:t>
      </w:r>
    </w:p>
    <w:p>
      <w:pPr>
        <w:pStyle w:val="BodyText"/>
        <w:spacing w:line="357" w:lineRule="auto" w:before="154"/>
        <w:ind w:right="153" w:firstLine="420"/>
        <w:jc w:val="both"/>
      </w:pPr>
      <w:r>
        <w:rPr>
          <w:spacing w:val="2"/>
        </w:rPr>
        <w:t>本公司在确定能否控制被投资单位时，同时考虑企业和其他企业持有的被投资单位的当 </w:t>
      </w:r>
      <w:r>
        <w:rPr/>
        <w:t>期可转换的可转换公司债券、当期可执行的认股权证等潜在表决权因素。</w:t>
      </w:r>
    </w:p>
    <w:p>
      <w:pPr>
        <w:pStyle w:val="BodyText"/>
        <w:spacing w:line="357" w:lineRule="auto"/>
        <w:ind w:left="573" w:right="3833"/>
        <w:jc w:val="left"/>
      </w:pPr>
      <w:r>
        <w:rPr/>
        <w:t>本公司将全部子公司纳入合并财务报表的合并范围。 本报告期内纳入合并范围子公司合并报表情况：</w:t>
      </w:r>
    </w:p>
    <w:tbl>
      <w:tblPr>
        <w:tblW w:w="0" w:type="auto"/>
        <w:jc w:val="left"/>
        <w:tblInd w:w="200" w:type="dxa"/>
        <w:tblLayout w:type="fixed"/>
        <w:tblCellMar>
          <w:top w:w="0" w:type="dxa"/>
          <w:left w:w="0" w:type="dxa"/>
          <w:bottom w:w="0" w:type="dxa"/>
          <w:right w:w="0" w:type="dxa"/>
        </w:tblCellMar>
        <w:tblLook w:val="01E0"/>
      </w:tblPr>
      <w:tblGrid>
        <w:gridCol w:w="3171"/>
        <w:gridCol w:w="1260"/>
        <w:gridCol w:w="1918"/>
        <w:gridCol w:w="3178"/>
      </w:tblGrid>
      <w:tr>
        <w:trPr>
          <w:trHeight w:val="348" w:hRule="exact"/>
        </w:trPr>
        <w:tc>
          <w:tcPr>
            <w:tcW w:w="31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9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投资期间</w:t>
            </w:r>
          </w:p>
        </w:tc>
        <w:tc>
          <w:tcPr>
            <w:tcW w:w="31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纳入本期合并报表期间</w:t>
            </w:r>
          </w:p>
        </w:tc>
      </w:tr>
      <w:tr>
        <w:trPr>
          <w:trHeight w:val="346" w:hRule="exact"/>
        </w:trPr>
        <w:tc>
          <w:tcPr>
            <w:tcW w:w="31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创威煤安</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郑州春泉</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57.14</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100.00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555" w:footer="980" w:top="1100" w:bottom="1160" w:left="980" w:right="980"/>
        </w:sectPr>
      </w:pPr>
    </w:p>
    <w:p>
      <w:pPr>
        <w:spacing w:line="240" w:lineRule="auto" w:before="8"/>
        <w:rPr>
          <w:rFonts w:ascii="新宋体" w:hAnsi="新宋体" w:cs="新宋体" w:eastAsia="新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3171"/>
        <w:gridCol w:w="1260"/>
        <w:gridCol w:w="1918"/>
        <w:gridCol w:w="3178"/>
      </w:tblGrid>
      <w:tr>
        <w:trPr>
          <w:trHeight w:val="348" w:hRule="exact"/>
        </w:trPr>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17"/>
              <w:jc w:val="right"/>
              <w:rPr>
                <w:rFonts w:ascii="Times New Roman" w:hAnsi="Times New Roman" w:cs="Times New Roman" w:eastAsia="Times New Roman" w:hint="default"/>
                <w:sz w:val="18"/>
                <w:szCs w:val="18"/>
              </w:rPr>
            </w:pPr>
            <w:r>
              <w:rPr>
                <w:rFonts w:ascii="Times New Roman"/>
                <w:sz w:val="18"/>
              </w:rPr>
              <w:t>43.00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月起</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3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17"/>
              <w:jc w:val="right"/>
              <w:rPr>
                <w:rFonts w:ascii="Times New Roman" w:hAnsi="Times New Roman" w:cs="Times New Roman" w:eastAsia="Times New Roman" w:hint="default"/>
                <w:sz w:val="18"/>
                <w:szCs w:val="18"/>
              </w:rPr>
            </w:pPr>
            <w:r>
              <w:rPr>
                <w:rFonts w:ascii="Times New Roman"/>
                <w:sz w:val="18"/>
              </w:rPr>
              <w:t>51.00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bl>
    <w:p>
      <w:pPr>
        <w:pStyle w:val="BodyText"/>
        <w:spacing w:line="240" w:lineRule="auto" w:before="39"/>
        <w:ind w:left="573" w:right="0"/>
        <w:jc w:val="left"/>
      </w:pPr>
      <w:r>
        <w:rPr>
          <w:rFonts w:ascii="新宋体" w:hAnsi="新宋体" w:cs="新宋体" w:eastAsia="新宋体" w:hint="default"/>
        </w:rPr>
        <w:t>2</w:t>
      </w:r>
      <w:r>
        <w:rPr/>
        <w:t>．合并财务报表所采用的会计方法</w:t>
      </w:r>
    </w:p>
    <w:p>
      <w:pPr>
        <w:pStyle w:val="BodyText"/>
        <w:spacing w:line="357" w:lineRule="auto" w:before="154"/>
        <w:ind w:right="154" w:firstLine="420"/>
        <w:jc w:val="both"/>
      </w:pPr>
      <w:r>
        <w:rPr/>
        <w:t>本公司合并财务报表是按照《企业会计准则第</w:t>
      </w:r>
      <w:r>
        <w:rPr>
          <w:rFonts w:ascii="新宋体" w:hAnsi="新宋体" w:cs="新宋体" w:eastAsia="新宋体" w:hint="default"/>
        </w:rPr>
        <w:t>33</w:t>
      </w:r>
      <w:r>
        <w:rPr>
          <w:rFonts w:ascii="新宋体" w:hAnsi="新宋体" w:cs="新宋体" w:eastAsia="新宋体" w:hint="default"/>
          <w:spacing w:val="-23"/>
        </w:rPr>
        <w:t> </w:t>
      </w:r>
      <w:r>
        <w:rPr/>
        <w:t>号－合并财务报表》及相关规定的要求 编制，合并时合并范围内的所有重大内部交易和往来业已抵销。子公司的股东权益中不属于</w:t>
      </w:r>
      <w:r>
        <w:rPr>
          <w:spacing w:val="-91"/>
        </w:rPr>
        <w:t> </w:t>
      </w:r>
      <w:r>
        <w:rPr>
          <w:spacing w:val="-91"/>
        </w:rPr>
      </w:r>
      <w:r>
        <w:rPr/>
        <w:t>母公司所拥有的部分，作为少数股东权益在合并财务报表中股东权益项下单独列示。</w:t>
      </w:r>
    </w:p>
    <w:p>
      <w:pPr>
        <w:pStyle w:val="BodyText"/>
        <w:spacing w:line="357" w:lineRule="auto"/>
        <w:ind w:right="153" w:firstLine="420"/>
        <w:jc w:val="both"/>
      </w:pPr>
      <w:r>
        <w:rPr>
          <w:spacing w:val="2"/>
        </w:rPr>
        <w:t>子公司与本公司采用的会计政策或会计期间不一致的，在编制合并财务报表时，按照本 </w:t>
      </w:r>
      <w:r>
        <w:rPr/>
        <w:t>公司的会计政策或会计期间对子公司财务报表进行必要的调整。</w:t>
      </w:r>
    </w:p>
    <w:p>
      <w:pPr>
        <w:pStyle w:val="BodyText"/>
        <w:spacing w:line="357" w:lineRule="auto"/>
        <w:ind w:right="153" w:firstLine="420"/>
        <w:jc w:val="both"/>
      </w:pPr>
      <w:r>
        <w:rPr>
          <w:spacing w:val="2"/>
        </w:rPr>
        <w:t>对于非同一控制下企业合并取得的子公司，在编制合并财务报表时，以购买日可辨认净 </w:t>
      </w:r>
      <w:r>
        <w:rPr/>
        <w:t>资产公允价值为基础对其个别财务报表进行调整；对于同一控制下企业合并取得的子公司，</w:t>
      </w:r>
      <w:r>
        <w:rPr>
          <w:spacing w:val="-91"/>
        </w:rPr>
        <w:t> </w:t>
      </w:r>
      <w:r>
        <w:rPr>
          <w:spacing w:val="-91"/>
        </w:rPr>
      </w:r>
      <w:r>
        <w:rPr/>
        <w:t>视同该企业于合并当期的年初已经存在，从合并当期的年初起将其资产、负债、经营成果和</w:t>
      </w:r>
      <w:r>
        <w:rPr>
          <w:spacing w:val="-91"/>
        </w:rPr>
        <w:t> </w:t>
      </w:r>
      <w:r>
        <w:rPr>
          <w:spacing w:val="-91"/>
        </w:rPr>
      </w:r>
      <w:r>
        <w:rPr/>
        <w:t>现金流量，按原账面价值纳入合并财务报表。</w:t>
      </w:r>
    </w:p>
    <w:p>
      <w:pPr>
        <w:spacing w:line="240" w:lineRule="auto" w:before="1"/>
        <w:rPr>
          <w:rFonts w:ascii="新宋体" w:hAnsi="新宋体" w:cs="新宋体" w:eastAsia="新宋体" w:hint="default"/>
          <w:sz w:val="22"/>
          <w:szCs w:val="22"/>
        </w:rPr>
      </w:pPr>
    </w:p>
    <w:p>
      <w:pPr>
        <w:pStyle w:val="Heading2"/>
        <w:spacing w:line="314" w:lineRule="exact"/>
        <w:ind w:right="139"/>
        <w:jc w:val="left"/>
        <w:rPr>
          <w:b w:val="0"/>
          <w:bCs w:val="0"/>
        </w:rPr>
      </w:pPr>
      <w:r>
        <w:rPr>
          <w:spacing w:val="-3"/>
        </w:rPr>
        <w:t>（</w:t>
      </w:r>
      <w:r>
        <w:rPr>
          <w:rFonts w:ascii="Times New Roman" w:hAnsi="Times New Roman" w:cs="Times New Roman" w:eastAsia="Times New Roman" w:hint="default"/>
          <w:spacing w:val="-3"/>
        </w:rPr>
        <w:t>2</w:t>
      </w:r>
      <w:r>
        <w:rPr>
          <w:spacing w:val="-3"/>
        </w:rPr>
        <w:t>）对同一子公司的股权在连续两个会计年度买入再卖出，或卖出再买入的应披露相关的会</w:t>
      </w:r>
      <w:r>
        <w:rPr>
          <w:spacing w:val="-119"/>
        </w:rPr>
        <w:t> </w:t>
      </w:r>
      <w:r>
        <w:rPr>
          <w:spacing w:val="-119"/>
        </w:rPr>
      </w:r>
      <w:r>
        <w:rPr/>
        <w:t>计处理方法</w:t>
      </w:r>
      <w:r>
        <w:rPr>
          <w:b w:val="0"/>
          <w:bCs w:val="0"/>
        </w:rPr>
      </w:r>
    </w:p>
    <w:p>
      <w:pPr>
        <w:spacing w:line="240" w:lineRule="auto" w:before="5"/>
        <w:rPr>
          <w:rFonts w:ascii="宋体" w:hAnsi="宋体" w:cs="宋体" w:eastAsia="宋体" w:hint="default"/>
          <w:b/>
          <w:bCs/>
          <w:sz w:val="20"/>
          <w:szCs w:val="20"/>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rPr>
        <w:t>无</w:t>
      </w:r>
    </w:p>
    <w:p>
      <w:pPr>
        <w:spacing w:line="692" w:lineRule="exact" w:before="27"/>
        <w:ind w:left="633" w:right="17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本公司在编制现金流量表时所确定的现金，是指本公司的库存现金以及可以随时用于支</w:t>
      </w:r>
    </w:p>
    <w:p>
      <w:pPr>
        <w:pStyle w:val="BodyText"/>
        <w:spacing w:line="357" w:lineRule="auto" w:before="49"/>
        <w:ind w:right="174"/>
        <w:jc w:val="left"/>
        <w:rPr>
          <w:rFonts w:ascii="宋体" w:hAnsi="宋体" w:cs="宋体" w:eastAsia="宋体" w:hint="default"/>
        </w:rPr>
      </w:pPr>
      <w:r>
        <w:rPr>
          <w:rFonts w:ascii="宋体" w:hAnsi="宋体" w:cs="宋体" w:eastAsia="宋体" w:hint="default"/>
        </w:rPr>
        <w:t>付的存款；现金等价物，是指本公司持有的期限短、流动性强、易于转换为已知金额现金、 价值变动风险很小的投资。</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4"/>
        <w:rPr>
          <w:rFonts w:ascii="宋体" w:hAnsi="宋体" w:cs="宋体" w:eastAsia="宋体" w:hint="default"/>
          <w:b/>
          <w:bCs/>
          <w:sz w:val="27"/>
          <w:szCs w:val="27"/>
        </w:rPr>
      </w:pPr>
    </w:p>
    <w:p>
      <w:pPr>
        <w:pStyle w:val="BodyText"/>
        <w:spacing w:line="357" w:lineRule="auto" w:before="0"/>
        <w:ind w:right="153" w:firstLine="420"/>
        <w:jc w:val="both"/>
        <w:rPr>
          <w:rFonts w:ascii="宋体" w:hAnsi="宋体" w:cs="宋体" w:eastAsia="宋体" w:hint="default"/>
        </w:rPr>
      </w:pPr>
      <w:r>
        <w:rPr>
          <w:rFonts w:ascii="宋体" w:hAnsi="宋体" w:cs="宋体" w:eastAsia="宋体" w:hint="default"/>
          <w:spacing w:val="2"/>
        </w:rPr>
        <w:t>本公司对发生的外币业务，采用业务发生日中国人民银行授权中国外汇交易中心公布的 </w:t>
      </w:r>
      <w:r>
        <w:rPr>
          <w:rFonts w:ascii="宋体" w:hAnsi="宋体" w:cs="宋体" w:eastAsia="宋体" w:hint="default"/>
        </w:rPr>
        <w:t>中间价折合为人民币记账。资产负债表日，外币货币性项目按中国人民银行授权中国外汇交</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易中心公布的中间价折算，由此产生的汇兑损益，除属于与符合资本化条件资产有关的借款</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产生的汇兑损益，予以资本化计入相关资产成本外，其余计入当期损益。以历史成本计量的</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外币非货币性项目，仍采用业务发生日中国人民银行授权中国外汇交易中心公布的中间价折</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算，不改变其记账本位币金额。</w:t>
      </w:r>
    </w:p>
    <w:p>
      <w:pPr>
        <w:spacing w:after="0" w:line="357" w:lineRule="auto"/>
        <w:jc w:val="both"/>
        <w:rPr>
          <w:rFonts w:ascii="宋体" w:hAnsi="宋体" w:cs="宋体" w:eastAsia="宋体" w:hint="default"/>
        </w:rPr>
        <w:sectPr>
          <w:pgSz w:w="11910" w:h="16840"/>
          <w:pgMar w:header="555"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05"/>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6"/>
        <w:rPr>
          <w:rFonts w:ascii="宋体" w:hAnsi="宋体" w:cs="宋体" w:eastAsia="宋体" w:hint="default"/>
          <w:b/>
          <w:bCs/>
          <w:sz w:val="27"/>
          <w:szCs w:val="27"/>
        </w:rPr>
      </w:pPr>
    </w:p>
    <w:p>
      <w:pPr>
        <w:pStyle w:val="BodyText"/>
        <w:spacing w:line="240" w:lineRule="auto" w:before="0"/>
        <w:ind w:left="573" w:right="105"/>
        <w:jc w:val="left"/>
        <w:rPr>
          <w:rFonts w:ascii="宋体" w:hAnsi="宋体" w:cs="宋体" w:eastAsia="宋体" w:hint="default"/>
        </w:rPr>
      </w:pPr>
      <w:r>
        <w:rPr>
          <w:rFonts w:ascii="宋体" w:hAnsi="宋体" w:cs="宋体" w:eastAsia="宋体" w:hint="default"/>
        </w:rPr>
        <w:t>本公司对合并范围内境外经营实体的财务报表，折算为人民币财务报表进行编报。</w:t>
      </w:r>
    </w:p>
    <w:p>
      <w:pPr>
        <w:pStyle w:val="BodyText"/>
        <w:spacing w:line="355" w:lineRule="auto" w:before="154"/>
        <w:ind w:right="233" w:firstLine="420"/>
        <w:jc w:val="both"/>
        <w:rPr>
          <w:rFonts w:ascii="宋体" w:hAnsi="宋体" w:cs="宋体" w:eastAsia="宋体" w:hint="default"/>
        </w:rPr>
      </w:pPr>
      <w:r>
        <w:rPr>
          <w:rFonts w:ascii="宋体" w:hAnsi="宋体" w:cs="宋体" w:eastAsia="宋体" w:hint="default"/>
          <w:spacing w:val="2"/>
        </w:rPr>
        <w:t>资产负债表中的资产和负债项目，采用资产负债表日中国人民银行授权中国外汇交易中 </w:t>
      </w:r>
      <w:r>
        <w:rPr>
          <w:rFonts w:ascii="宋体" w:hAnsi="宋体" w:cs="宋体" w:eastAsia="宋体" w:hint="default"/>
        </w:rPr>
        <w:t>心公布的中间价折算，所有者权益项目除</w:t>
      </w:r>
      <w:r>
        <w:rPr>
          <w:rFonts w:ascii="Times New Roman" w:hAnsi="Times New Roman" w:cs="Times New Roman" w:eastAsia="Times New Roman" w:hint="default"/>
        </w:rPr>
        <w:t>“</w:t>
      </w:r>
      <w:r>
        <w:rPr>
          <w:rFonts w:ascii="宋体" w:hAnsi="宋体" w:cs="宋体" w:eastAsia="宋体" w:hint="default"/>
        </w:rPr>
        <w:t>未分配利润</w:t>
      </w:r>
      <w:r>
        <w:rPr>
          <w:rFonts w:ascii="Times New Roman" w:hAnsi="Times New Roman" w:cs="Times New Roman" w:eastAsia="Times New Roman" w:hint="default"/>
        </w:rPr>
        <w:t>”</w:t>
      </w:r>
      <w:r>
        <w:rPr>
          <w:rFonts w:ascii="宋体" w:hAnsi="宋体" w:cs="宋体" w:eastAsia="宋体" w:hint="default"/>
        </w:rPr>
        <w:t>项目外，其他项目采用发生时中国人</w:t>
      </w:r>
      <w:r>
        <w:rPr>
          <w:rFonts w:ascii="宋体" w:hAnsi="宋体" w:cs="宋体" w:eastAsia="宋体" w:hint="default"/>
          <w:spacing w:val="-62"/>
        </w:rPr>
        <w:t> </w:t>
      </w:r>
      <w:r>
        <w:rPr>
          <w:rFonts w:ascii="宋体" w:hAnsi="宋体" w:cs="宋体" w:eastAsia="宋体" w:hint="default"/>
          <w:spacing w:val="-62"/>
        </w:rPr>
      </w:r>
      <w:r>
        <w:rPr>
          <w:rFonts w:ascii="宋体" w:hAnsi="宋体" w:cs="宋体" w:eastAsia="宋体" w:hint="default"/>
        </w:rPr>
        <w:t>民银行授权中国外汇交易中心公布的中间价折算。利润表中的收入和费用项目，采用交易发</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生期间中国人民银行授权中国外汇交易中心公布的中间价的平均汇率折算。折算产生的外币</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财务报表折算差额，在资产负债表中所有者权益项目下单独列示。外币现金流量采用现金流</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量发生期间中国人民银行授权中国外汇交易中心公布的中间价的平均汇率折算。汇率变动对</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现金的影响额，在现金流量表中单独列示。</w:t>
      </w:r>
    </w:p>
    <w:p>
      <w:pPr>
        <w:pStyle w:val="BodyText"/>
        <w:spacing w:line="240" w:lineRule="auto" w:before="38"/>
        <w:ind w:left="573" w:right="105"/>
        <w:jc w:val="left"/>
        <w:rPr>
          <w:rFonts w:ascii="宋体" w:hAnsi="宋体" w:cs="宋体" w:eastAsia="宋体" w:hint="default"/>
        </w:rPr>
      </w:pPr>
      <w:r>
        <w:rPr>
          <w:rFonts w:ascii="宋体" w:hAnsi="宋体" w:cs="宋体" w:eastAsia="宋体" w:hint="default"/>
        </w:rPr>
        <w:t>处置境外经营时，与该境外经营有关的外币报表折算差额，按比例转入处置当期损益。</w:t>
      </w:r>
    </w:p>
    <w:p>
      <w:pPr>
        <w:spacing w:line="240" w:lineRule="auto" w:before="11"/>
        <w:rPr>
          <w:rFonts w:ascii="宋体" w:hAnsi="宋体" w:cs="宋体" w:eastAsia="宋体" w:hint="default"/>
          <w:sz w:val="28"/>
          <w:szCs w:val="28"/>
        </w:rPr>
      </w:pPr>
    </w:p>
    <w:p>
      <w:pPr>
        <w:spacing w:line="496" w:lineRule="auto" w:before="0"/>
        <w:ind w:left="152" w:right="481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、金融工具</w:t>
      </w:r>
      <w:r>
        <w:rPr>
          <w:rFonts w:ascii="宋体" w:hAnsi="宋体" w:cs="宋体" w:eastAsia="宋体" w:hint="default"/>
          <w:b/>
          <w:bCs/>
          <w:w w:val="99"/>
          <w:sz w:val="24"/>
          <w:szCs w:val="24"/>
        </w:rPr>
        <w:t> </w:t>
      </w:r>
      <w:r>
        <w:rPr>
          <w:rFonts w:ascii="宋体" w:hAnsi="宋体" w:cs="宋体" w:eastAsia="宋体" w:hint="default"/>
          <w:sz w:val="24"/>
          <w:szCs w:val="24"/>
        </w:rPr>
        <w:t>金融工具包括金融资产、金融负债和权益工具。</w:t>
      </w:r>
    </w:p>
    <w:p>
      <w:pPr>
        <w:pStyle w:val="Heading2"/>
        <w:spacing w:line="240" w:lineRule="auto" w:before="197"/>
        <w:ind w:right="105"/>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113" w:firstLine="420"/>
        <w:jc w:val="left"/>
        <w:rPr>
          <w:rFonts w:ascii="宋体" w:hAnsi="宋体" w:cs="宋体" w:eastAsia="宋体" w:hint="default"/>
        </w:rPr>
      </w:pPr>
      <w:r>
        <w:rPr>
          <w:rFonts w:ascii="宋体" w:hAnsi="宋体" w:cs="宋体" w:eastAsia="宋体" w:hint="default"/>
          <w:spacing w:val="-1"/>
        </w:rPr>
        <w:t>本公司的金融资产包括：以公允价值计量且其变动计入当期损益的金融资产、应收款项、</w:t>
      </w:r>
      <w:r>
        <w:rPr>
          <w:rFonts w:ascii="宋体" w:hAnsi="宋体" w:cs="宋体" w:eastAsia="宋体" w:hint="default"/>
        </w:rPr>
        <w:t> 可供出售金融资产和持有至到期投资。金融资产的分类取决于本公司及其子公司对金融资产</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的持有意图和持有能力。</w:t>
      </w:r>
    </w:p>
    <w:p>
      <w:pPr>
        <w:pStyle w:val="BodyText"/>
        <w:spacing w:line="357" w:lineRule="auto"/>
        <w:ind w:right="233" w:firstLine="420"/>
        <w:jc w:val="both"/>
        <w:rPr>
          <w:rFonts w:ascii="宋体" w:hAnsi="宋体" w:cs="宋体" w:eastAsia="宋体" w:hint="default"/>
        </w:rPr>
      </w:pPr>
      <w:r>
        <w:rPr>
          <w:rFonts w:ascii="宋体" w:hAnsi="宋体" w:cs="宋体" w:eastAsia="宋体" w:hint="default"/>
          <w:spacing w:val="2"/>
        </w:rPr>
        <w:t>本公司的金融负债包括：以公允价值计量且其变动计入当期损益的金融负债和其他金融 </w:t>
      </w:r>
      <w:r>
        <w:rPr>
          <w:rFonts w:ascii="宋体" w:hAnsi="宋体" w:cs="宋体" w:eastAsia="宋体" w:hint="default"/>
        </w:rPr>
        <w:t>负债。</w:t>
      </w:r>
    </w:p>
    <w:p>
      <w:pPr>
        <w:spacing w:line="240" w:lineRule="auto" w:before="9"/>
        <w:rPr>
          <w:rFonts w:ascii="宋体" w:hAnsi="宋体" w:cs="宋体" w:eastAsia="宋体" w:hint="default"/>
          <w:sz w:val="25"/>
          <w:szCs w:val="25"/>
        </w:rPr>
      </w:pPr>
    </w:p>
    <w:p>
      <w:pPr>
        <w:pStyle w:val="Heading2"/>
        <w:spacing w:line="240" w:lineRule="auto"/>
        <w:ind w:right="105"/>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）以公允价值计量且其变动计入当期损益的金融资产</w:t>
      </w:r>
    </w:p>
    <w:p>
      <w:pPr>
        <w:pStyle w:val="BodyText"/>
        <w:spacing w:line="357" w:lineRule="auto" w:before="136"/>
        <w:ind w:right="233" w:firstLine="420"/>
        <w:jc w:val="both"/>
        <w:rPr>
          <w:rFonts w:ascii="宋体" w:hAnsi="宋体" w:cs="宋体" w:eastAsia="宋体" w:hint="default"/>
        </w:rPr>
      </w:pPr>
      <w:r>
        <w:rPr>
          <w:rFonts w:ascii="宋体" w:hAnsi="宋体" w:cs="宋体" w:eastAsia="宋体" w:hint="default"/>
          <w:spacing w:val="2"/>
        </w:rPr>
        <w:t>包括交易性金融资产和直接指定为以公允价值计量且其变动计入当期损益的金融资产， </w:t>
      </w:r>
      <w:r>
        <w:rPr>
          <w:rFonts w:ascii="宋体" w:hAnsi="宋体" w:cs="宋体" w:eastAsia="宋体" w:hint="default"/>
        </w:rPr>
        <w:t>按照取得时的公允价值作为初始确认金额，相关的交易费用在发生时计入当期损益。支付的</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价款中包含已宣告但尚未发放的现金股利或已到付息期但尚未领取的债券利息，单独确认为</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应收项目。本公司在持有该等金融资产期间取得的利息或现金股利，确认为投资收益。资产</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负债表日，本公司将该等金融资产的公允价值变动计入当期损益。处置该等金融资产时，该</w:t>
      </w:r>
    </w:p>
    <w:p>
      <w:pPr>
        <w:spacing w:after="0" w:line="357" w:lineRule="auto"/>
        <w:jc w:val="both"/>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105"/>
        <w:jc w:val="left"/>
        <w:rPr>
          <w:rFonts w:ascii="宋体" w:hAnsi="宋体" w:cs="宋体" w:eastAsia="宋体" w:hint="default"/>
        </w:rPr>
      </w:pPr>
      <w:r>
        <w:rPr>
          <w:rFonts w:ascii="宋体" w:hAnsi="宋体" w:cs="宋体" w:eastAsia="宋体" w:hint="default"/>
        </w:rPr>
        <w:t>等金融资产公允价值与初始入账金额之间的差额确认为投资收益，同时调整公允价值变动损</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益。</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）持有至到期投资</w:t>
      </w:r>
    </w:p>
    <w:p>
      <w:pPr>
        <w:pStyle w:val="BodyText"/>
        <w:spacing w:line="357" w:lineRule="auto" w:before="135"/>
        <w:ind w:right="233" w:firstLine="420"/>
        <w:jc w:val="both"/>
        <w:rPr>
          <w:rFonts w:ascii="宋体" w:hAnsi="宋体" w:cs="宋体" w:eastAsia="宋体" w:hint="default"/>
        </w:rPr>
      </w:pPr>
      <w:r>
        <w:rPr>
          <w:rFonts w:ascii="宋体" w:hAnsi="宋体" w:cs="宋体" w:eastAsia="宋体" w:hint="default"/>
          <w:spacing w:val="2"/>
        </w:rPr>
        <w:t>指到期日固定、回收金额固定或可确定，且本公司有明确意图和能力持有至到期的非衍 </w:t>
      </w:r>
      <w:r>
        <w:rPr>
          <w:rFonts w:ascii="宋体" w:hAnsi="宋体" w:cs="宋体" w:eastAsia="宋体" w:hint="default"/>
        </w:rPr>
        <w:t>生金融资产，该非衍生金融资产有活跃的市场，可以取得其市场价格。本公司对持有至到期</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投资，按取得时的公允价值和相关交易费用之和作为初始确认金额。支付的价款中包含已到</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付息期但尚未领取的债券利息的，单独确认为应收项目。持有至到期投资在持有期间按照摊</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余成本和实际利率确认利息收入，计入投资收益。实际利率在取得持有至到期投资时确定，</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在随后期间保持不变。实际利率与票面利率差别很小的，按票面利率计算利息收入，计入投</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资收益。处置持有至到期投资时，将所取得价款与该投资账面价值之间的差额确认为投资收</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益。</w:t>
      </w:r>
    </w:p>
    <w:p>
      <w:pPr>
        <w:pStyle w:val="BodyText"/>
        <w:spacing w:line="357" w:lineRule="auto"/>
        <w:ind w:right="96" w:firstLine="420"/>
        <w:jc w:val="left"/>
        <w:rPr>
          <w:rFonts w:ascii="宋体" w:hAnsi="宋体" w:cs="宋体" w:eastAsia="宋体" w:hint="default"/>
        </w:rPr>
      </w:pPr>
      <w:r>
        <w:rPr>
          <w:rFonts w:ascii="宋体" w:hAnsi="宋体" w:cs="宋体" w:eastAsia="宋体" w:hint="default"/>
          <w:spacing w:val="2"/>
        </w:rPr>
        <w:t>如本公司因持有意图或能力发生改变，使某项投资不再适合作为持有至到期投资，则将 </w:t>
      </w:r>
      <w:r>
        <w:rPr>
          <w:rFonts w:ascii="宋体" w:hAnsi="宋体" w:cs="宋体" w:eastAsia="宋体" w:hint="default"/>
        </w:rPr>
        <w:t>其重分类为可供出售金融资产，并以公允价值进行后续计量。重分类日，该投资的账面价值</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2"/>
        </w:rPr>
        <w:t>与公允价值之间的差额计入所有者权益，在该可供出售金融资产发生减值或终止确认时转出，</w:t>
      </w:r>
      <w:r>
        <w:rPr>
          <w:rFonts w:ascii="宋体" w:hAnsi="宋体" w:cs="宋体" w:eastAsia="宋体" w:hint="default"/>
        </w:rPr>
        <w:t> 计入当期损益。</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）可供出售金融资产</w:t>
      </w:r>
    </w:p>
    <w:p>
      <w:pPr>
        <w:pStyle w:val="BodyText"/>
        <w:spacing w:line="357" w:lineRule="auto" w:before="136"/>
        <w:ind w:right="233" w:firstLine="420"/>
        <w:jc w:val="both"/>
        <w:rPr>
          <w:rFonts w:ascii="宋体" w:hAnsi="宋体" w:cs="宋体" w:eastAsia="宋体" w:hint="default"/>
        </w:rPr>
      </w:pPr>
      <w:r>
        <w:rPr>
          <w:rFonts w:ascii="宋体" w:hAnsi="宋体" w:cs="宋体" w:eastAsia="宋体" w:hint="default"/>
          <w:spacing w:val="2"/>
        </w:rPr>
        <w:t>指初始确认时即被指定为可供出售的非衍生金融资产，即本公司没有划分为以公允价值 </w:t>
      </w:r>
      <w:r>
        <w:rPr>
          <w:rFonts w:ascii="宋体" w:hAnsi="宋体" w:cs="宋体" w:eastAsia="宋体" w:hint="default"/>
        </w:rPr>
        <w:t>计量且其变动计入当期损益的金融资产、持有至到期投资、贷款和应收款项的金融资产。</w:t>
      </w:r>
    </w:p>
    <w:p>
      <w:pPr>
        <w:pStyle w:val="BodyText"/>
        <w:spacing w:line="352" w:lineRule="auto"/>
        <w:ind w:right="231" w:firstLine="420"/>
        <w:jc w:val="both"/>
        <w:rPr>
          <w:rFonts w:ascii="宋体" w:hAnsi="宋体" w:cs="宋体" w:eastAsia="宋体" w:hint="default"/>
        </w:rPr>
      </w:pPr>
      <w:r>
        <w:rPr>
          <w:rFonts w:ascii="宋体" w:hAnsi="宋体" w:cs="宋体" w:eastAsia="宋体" w:hint="default"/>
          <w:spacing w:val="2"/>
        </w:rPr>
        <w:t>本公司可供出售金融资产按取得时的公允价值和相关交易费用之和作为初始确认金额。 </w:t>
      </w:r>
      <w:r>
        <w:rPr>
          <w:rFonts w:ascii="宋体" w:hAnsi="宋体" w:cs="宋体" w:eastAsia="宋体" w:hint="default"/>
        </w:rPr>
        <w:t>支付的价款中包含已到付息期但尚未领取的债券利息或已宣告但尚未发放的现金股利，单独</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确认为应收项目。本公司可供出售金融资产持有期间取得的利息或现金股利，确认为投资收</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2"/>
        </w:rPr>
        <w:t>益。资产负债表日，可供出售金融资产按公允价值计量，其公允价值变动计入</w:t>
      </w:r>
      <w:r>
        <w:rPr>
          <w:rFonts w:ascii="Times New Roman" w:hAnsi="Times New Roman" w:cs="Times New Roman" w:eastAsia="Times New Roman" w:hint="default"/>
          <w:spacing w:val="-2"/>
        </w:rPr>
        <w:t>“</w:t>
      </w:r>
      <w:r>
        <w:rPr>
          <w:rFonts w:ascii="宋体" w:hAnsi="宋体" w:cs="宋体" w:eastAsia="宋体" w:hint="default"/>
          <w:spacing w:val="-2"/>
        </w:rPr>
        <w:t>资本公积－其</w:t>
      </w:r>
      <w:r>
        <w:rPr>
          <w:rFonts w:ascii="宋体" w:hAnsi="宋体" w:cs="宋体" w:eastAsia="宋体" w:hint="default"/>
          <w:spacing w:val="-105"/>
        </w:rPr>
        <w:t> </w:t>
      </w:r>
      <w:r>
        <w:rPr>
          <w:rFonts w:ascii="宋体" w:hAnsi="宋体" w:cs="宋体" w:eastAsia="宋体" w:hint="default"/>
        </w:rPr>
        <w:t>他资本公积</w:t>
      </w:r>
      <w:r>
        <w:rPr>
          <w:rFonts w:ascii="Times New Roman" w:hAnsi="Times New Roman" w:cs="Times New Roman" w:eastAsia="Times New Roman" w:hint="default"/>
        </w:rPr>
        <w:t>”</w:t>
      </w:r>
      <w:r>
        <w:rPr>
          <w:rFonts w:ascii="宋体" w:hAnsi="宋体" w:cs="宋体" w:eastAsia="宋体" w:hint="default"/>
        </w:rPr>
        <w:t>。</w:t>
      </w:r>
    </w:p>
    <w:p>
      <w:pPr>
        <w:pStyle w:val="BodyText"/>
        <w:spacing w:line="357" w:lineRule="auto" w:before="11"/>
        <w:ind w:right="233" w:firstLine="420"/>
        <w:jc w:val="both"/>
        <w:rPr>
          <w:rFonts w:ascii="宋体" w:hAnsi="宋体" w:cs="宋体" w:eastAsia="宋体" w:hint="default"/>
        </w:rPr>
      </w:pPr>
      <w:r>
        <w:rPr>
          <w:rFonts w:ascii="宋体" w:hAnsi="宋体" w:cs="宋体" w:eastAsia="宋体" w:hint="default"/>
          <w:spacing w:val="2"/>
        </w:rPr>
        <w:t>处置可供出售金融资产时，将取得的价款和该金融资产的账面价值之间的差额，计入投 </w:t>
      </w:r>
      <w:r>
        <w:rPr>
          <w:rFonts w:ascii="宋体" w:hAnsi="宋体" w:cs="宋体" w:eastAsia="宋体" w:hint="default"/>
        </w:rPr>
        <w:t>资收益，同时，将原直接计入所有者权益的公允价值变动累计额对应处置部分的金额转出，</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计入投资收益。</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）以公允价值计量且其变动计入当期损益的金融负债</w:t>
      </w:r>
    </w:p>
    <w:p>
      <w:pPr>
        <w:pStyle w:val="BodyText"/>
        <w:spacing w:line="357" w:lineRule="auto" w:before="135"/>
        <w:ind w:right="105" w:firstLine="420"/>
        <w:jc w:val="left"/>
        <w:rPr>
          <w:rFonts w:ascii="宋体" w:hAnsi="宋体" w:cs="宋体" w:eastAsia="宋体" w:hint="default"/>
        </w:rPr>
      </w:pPr>
      <w:r>
        <w:rPr>
          <w:rFonts w:ascii="宋体" w:hAnsi="宋体" w:cs="宋体" w:eastAsia="宋体" w:hint="default"/>
          <w:spacing w:val="2"/>
        </w:rPr>
        <w:t>指交易性金融负债和直接指定为以公允价值计量且其变动计入当期损益的金融负债，具 </w:t>
      </w:r>
      <w:r>
        <w:rPr>
          <w:rFonts w:ascii="宋体" w:hAnsi="宋体" w:cs="宋体" w:eastAsia="宋体" w:hint="default"/>
          <w:spacing w:val="-3"/>
        </w:rPr>
        <w:t>体包括：</w:t>
      </w:r>
      <w:r>
        <w:rPr>
          <w:rFonts w:ascii="Times New Roman" w:hAnsi="Times New Roman" w:cs="Times New Roman" w:eastAsia="Times New Roman" w:hint="default"/>
          <w:spacing w:val="-3"/>
        </w:rPr>
        <w:t>1</w:t>
      </w:r>
      <w:r>
        <w:rPr>
          <w:rFonts w:ascii="宋体" w:hAnsi="宋体" w:cs="宋体" w:eastAsia="宋体" w:hint="default"/>
          <w:spacing w:val="-3"/>
        </w:rPr>
        <w:t>）为了近期内回购而承担的金融负债；</w:t>
      </w:r>
      <w:r>
        <w:rPr>
          <w:rFonts w:ascii="Times New Roman" w:hAnsi="Times New Roman" w:cs="Times New Roman" w:eastAsia="Times New Roman" w:hint="default"/>
          <w:spacing w:val="-3"/>
        </w:rPr>
        <w:t>2</w:t>
      </w:r>
      <w:r>
        <w:rPr>
          <w:rFonts w:ascii="宋体" w:hAnsi="宋体" w:cs="宋体" w:eastAsia="宋体" w:hint="default"/>
          <w:spacing w:val="-3"/>
        </w:rPr>
        <w:t>）本公司基于风险管理、战略投资需要等，</w:t>
      </w:r>
    </w:p>
    <w:p>
      <w:pPr>
        <w:spacing w:after="0" w:line="357" w:lineRule="auto"/>
        <w:jc w:val="left"/>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338" w:lineRule="auto" w:before="26"/>
        <w:ind w:right="216"/>
        <w:jc w:val="left"/>
        <w:rPr>
          <w:rFonts w:ascii="宋体" w:hAnsi="宋体" w:cs="宋体" w:eastAsia="宋体" w:hint="default"/>
        </w:rPr>
      </w:pPr>
      <w:r>
        <w:rPr>
          <w:rFonts w:ascii="宋体" w:hAnsi="宋体" w:cs="宋体" w:eastAsia="宋体" w:hint="default"/>
          <w:spacing w:val="-2"/>
        </w:rPr>
        <w:t>直接指定为以公允价值计量且其变动计入当期损益的金融负债；</w:t>
      </w:r>
      <w:r>
        <w:rPr>
          <w:rFonts w:ascii="Times New Roman" w:hAnsi="Times New Roman" w:cs="Times New Roman" w:eastAsia="Times New Roman" w:hint="default"/>
          <w:spacing w:val="-2"/>
        </w:rPr>
        <w:t>3</w:t>
      </w:r>
      <w:r>
        <w:rPr>
          <w:rFonts w:ascii="宋体" w:hAnsi="宋体" w:cs="宋体" w:eastAsia="宋体" w:hint="default"/>
          <w:spacing w:val="-2"/>
        </w:rPr>
        <w:t>）不作为有效套期工具的衍</w:t>
      </w:r>
      <w:r>
        <w:rPr>
          <w:rFonts w:ascii="宋体" w:hAnsi="宋体" w:cs="宋体" w:eastAsia="宋体" w:hint="default"/>
        </w:rPr>
        <w:t> 生工具。</w:t>
      </w:r>
    </w:p>
    <w:p>
      <w:pPr>
        <w:pStyle w:val="BodyText"/>
        <w:spacing w:line="357" w:lineRule="auto" w:before="55"/>
        <w:ind w:right="233" w:firstLine="420"/>
        <w:jc w:val="both"/>
        <w:rPr>
          <w:rFonts w:ascii="宋体" w:hAnsi="宋体" w:cs="宋体" w:eastAsia="宋体" w:hint="default"/>
        </w:rPr>
      </w:pPr>
      <w:r>
        <w:rPr>
          <w:rFonts w:ascii="宋体" w:hAnsi="宋体" w:cs="宋体" w:eastAsia="宋体" w:hint="default"/>
          <w:spacing w:val="2"/>
        </w:rPr>
        <w:t>本公司持有该类金融负债按公允价值计价，不扣除将来结清金融负债时可能发生的交易 </w:t>
      </w:r>
      <w:r>
        <w:rPr>
          <w:rFonts w:ascii="宋体" w:hAnsi="宋体" w:cs="宋体" w:eastAsia="宋体" w:hint="default"/>
        </w:rPr>
        <w:t>费用。如不适合按公允价值计量时，本公司将该类金融负债改按摊余成本计量。</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）其他金融负债</w:t>
      </w:r>
    </w:p>
    <w:p>
      <w:pPr>
        <w:pStyle w:val="BodyText"/>
        <w:spacing w:line="357" w:lineRule="auto" w:before="135"/>
        <w:ind w:right="233" w:firstLine="420"/>
        <w:jc w:val="both"/>
        <w:rPr>
          <w:rFonts w:ascii="宋体" w:hAnsi="宋体" w:cs="宋体" w:eastAsia="宋体" w:hint="default"/>
        </w:rPr>
      </w:pPr>
      <w:r>
        <w:rPr>
          <w:rFonts w:ascii="宋体" w:hAnsi="宋体" w:cs="宋体" w:eastAsia="宋体" w:hint="default"/>
          <w:spacing w:val="2"/>
        </w:rPr>
        <w:t>本公司的其他金融负债是指除以公允价值计量且其变动计入当期损益的金融负债以外的 </w:t>
      </w:r>
      <w:r>
        <w:rPr>
          <w:rFonts w:ascii="宋体" w:hAnsi="宋体" w:cs="宋体" w:eastAsia="宋体" w:hint="default"/>
        </w:rPr>
        <w:t>金融负债。主要包括企业发行的债券、因购买商品产生的应付账款、长期应付款等。其他金</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融负债按其公允价值和相关交易费用之和作为初始确认金额。采用摊余成本进行后续计量。</w:t>
      </w:r>
    </w:p>
    <w:p>
      <w:pPr>
        <w:pStyle w:val="BodyText"/>
        <w:spacing w:line="357" w:lineRule="auto" w:before="37"/>
        <w:ind w:right="236" w:firstLine="420"/>
        <w:jc w:val="both"/>
        <w:rPr>
          <w:rFonts w:ascii="宋体" w:hAnsi="宋体" w:cs="宋体" w:eastAsia="宋体" w:hint="default"/>
        </w:rPr>
      </w:pPr>
      <w:r>
        <w:rPr>
          <w:rFonts w:ascii="宋体" w:hAnsi="宋体" w:cs="宋体" w:eastAsia="宋体" w:hint="default"/>
          <w:spacing w:val="2"/>
        </w:rPr>
        <w:t>本公司拥有的其他不属于以公允价值计量且其变动计入当期损益的金融负债的财务担保</w:t>
      </w:r>
      <w:r>
        <w:rPr>
          <w:rFonts w:ascii="宋体" w:hAnsi="宋体" w:cs="宋体" w:eastAsia="宋体" w:hint="default"/>
        </w:rPr>
        <w:t> 合同等，按其公允价值和相关交易费用之和作为初始确认金额。在初始计量后按照下列两项</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金额之中的较高者进行后续计量：</w:t>
      </w:r>
    </w:p>
    <w:p>
      <w:pPr>
        <w:pStyle w:val="BodyText"/>
        <w:spacing w:line="240" w:lineRule="auto"/>
        <w:ind w:left="580" w:right="105"/>
        <w:jc w:val="left"/>
        <w:rPr>
          <w:rFonts w:ascii="宋体" w:hAnsi="宋体" w:cs="宋体" w:eastAsia="宋体" w:hint="default"/>
        </w:rPr>
      </w:pPr>
      <w:r>
        <w:rPr>
          <w:rFonts w:ascii="宋体" w:hAnsi="宋体" w:cs="宋体" w:eastAsia="宋体" w:hint="default"/>
        </w:rPr>
        <w:t>A</w:t>
      </w:r>
      <w:r>
        <w:rPr>
          <w:rFonts w:ascii="宋体" w:hAnsi="宋体" w:cs="宋体" w:eastAsia="宋体" w:hint="default"/>
        </w:rPr>
        <w:t>．</w:t>
      </w:r>
      <w:r>
        <w:rPr>
          <w:rFonts w:ascii="宋体" w:hAnsi="宋体" w:cs="宋体" w:eastAsia="宋体" w:hint="default"/>
          <w:spacing w:val="-68"/>
        </w:rPr>
        <w:t> </w:t>
      </w:r>
      <w:r>
        <w:rPr>
          <w:rFonts w:ascii="宋体" w:hAnsi="宋体" w:cs="宋体" w:eastAsia="宋体" w:hint="default"/>
        </w:rPr>
        <w:t>按照《企业会计准则第</w:t>
      </w:r>
      <w:r>
        <w:rPr>
          <w:rFonts w:ascii="Times New Roman" w:hAnsi="Times New Roman" w:cs="Times New Roman" w:eastAsia="Times New Roman" w:hint="default"/>
        </w:rPr>
        <w:t>13</w:t>
      </w:r>
      <w:r>
        <w:rPr>
          <w:rFonts w:ascii="Times New Roman" w:hAnsi="Times New Roman" w:cs="Times New Roman" w:eastAsia="Times New Roman" w:hint="default"/>
          <w:spacing w:val="36"/>
        </w:rPr>
        <w:t> </w:t>
      </w:r>
      <w:r>
        <w:rPr>
          <w:rFonts w:ascii="宋体" w:hAnsi="宋体" w:cs="宋体" w:eastAsia="宋体" w:hint="default"/>
        </w:rPr>
        <w:t>号</w:t>
      </w:r>
      <w:r>
        <w:rPr>
          <w:rFonts w:ascii="Times New Roman" w:hAnsi="Times New Roman" w:cs="Times New Roman" w:eastAsia="Times New Roman" w:hint="default"/>
        </w:rPr>
        <w:t>——</w:t>
      </w:r>
      <w:r>
        <w:rPr>
          <w:rFonts w:ascii="宋体" w:hAnsi="宋体" w:cs="宋体" w:eastAsia="宋体" w:hint="default"/>
        </w:rPr>
        <w:t>或有事项》确定的金额；</w:t>
      </w:r>
    </w:p>
    <w:p>
      <w:pPr>
        <w:pStyle w:val="BodyText"/>
        <w:spacing w:line="338" w:lineRule="auto" w:before="135"/>
        <w:ind w:right="229" w:firstLine="427"/>
        <w:jc w:val="both"/>
        <w:rPr>
          <w:rFonts w:ascii="宋体" w:hAnsi="宋体" w:cs="宋体" w:eastAsia="宋体" w:hint="default"/>
        </w:rPr>
      </w:pPr>
      <w:r>
        <w:rPr>
          <w:rFonts w:ascii="宋体" w:hAnsi="宋体" w:cs="宋体" w:eastAsia="宋体" w:hint="default"/>
        </w:rPr>
        <w:t>B</w:t>
      </w:r>
      <w:r>
        <w:rPr>
          <w:rFonts w:ascii="宋体" w:hAnsi="宋体" w:cs="宋体" w:eastAsia="宋体" w:hint="default"/>
        </w:rPr>
        <w:t>． 初始确认金额扣除按照《企业会计准则第</w:t>
      </w:r>
      <w:r>
        <w:rPr>
          <w:rFonts w:ascii="Times New Roman" w:hAnsi="Times New Roman" w:cs="Times New Roman" w:eastAsia="Times New Roman" w:hint="default"/>
        </w:rPr>
        <w:t>14</w:t>
      </w:r>
      <w:r>
        <w:rPr>
          <w:rFonts w:ascii="Times New Roman" w:hAnsi="Times New Roman" w:cs="Times New Roman" w:eastAsia="Times New Roman" w:hint="default"/>
          <w:spacing w:val="22"/>
        </w:rPr>
        <w:t> </w:t>
      </w:r>
      <w:r>
        <w:rPr>
          <w:rFonts w:ascii="宋体" w:hAnsi="宋体" w:cs="宋体" w:eastAsia="宋体" w:hint="default"/>
        </w:rPr>
        <w:t>号</w:t>
      </w:r>
      <w:r>
        <w:rPr>
          <w:rFonts w:ascii="Times New Roman" w:hAnsi="Times New Roman" w:cs="Times New Roman" w:eastAsia="Times New Roman" w:hint="default"/>
        </w:rPr>
        <w:t>——</w:t>
      </w:r>
      <w:r>
        <w:rPr>
          <w:rFonts w:ascii="宋体" w:hAnsi="宋体" w:cs="宋体" w:eastAsia="宋体" w:hint="default"/>
        </w:rPr>
        <w:t>收入》的原则确定的累计摊销额 后的余额。</w:t>
      </w:r>
    </w:p>
    <w:p>
      <w:pPr>
        <w:spacing w:line="768" w:lineRule="exact" w:before="21"/>
        <w:ind w:left="573" w:right="4633" w:hanging="42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）金融资产转移的确认依据和计量方法</w:t>
      </w:r>
      <w:r>
        <w:rPr>
          <w:rFonts w:ascii="宋体" w:hAnsi="宋体" w:cs="宋体" w:eastAsia="宋体" w:hint="default"/>
          <w:b/>
          <w:bCs/>
          <w:w w:val="99"/>
          <w:sz w:val="24"/>
          <w:szCs w:val="24"/>
        </w:rPr>
        <w:t> </w:t>
      </w:r>
      <w:r>
        <w:rPr>
          <w:rFonts w:ascii="宋体" w:hAnsi="宋体" w:cs="宋体" w:eastAsia="宋体" w:hint="default"/>
          <w:sz w:val="24"/>
          <w:szCs w:val="24"/>
        </w:rPr>
        <w:t>本公司的金融资产转移，包括下列两种情形：</w:t>
      </w:r>
    </w:p>
    <w:p>
      <w:pPr>
        <w:pStyle w:val="BodyText"/>
        <w:spacing w:line="240" w:lineRule="auto" w:before="34"/>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）将收取金融资产现金流量的权利转移给另一方；</w:t>
      </w:r>
    </w:p>
    <w:p>
      <w:pPr>
        <w:pStyle w:val="BodyText"/>
        <w:spacing w:line="338" w:lineRule="auto" w:before="135"/>
        <w:ind w:right="232" w:firstLine="420"/>
        <w:jc w:val="both"/>
        <w:rPr>
          <w:rFonts w:ascii="宋体" w:hAnsi="宋体" w:cs="宋体" w:eastAsia="宋体" w:hint="default"/>
        </w:rPr>
      </w:pPr>
      <w:r>
        <w:rPr>
          <w:rFonts w:ascii="宋体" w:hAnsi="宋体" w:cs="宋体" w:eastAsia="宋体" w:hint="default"/>
          <w:spacing w:val="-1"/>
        </w:rPr>
        <w:t>（</w:t>
      </w:r>
      <w:r>
        <w:rPr>
          <w:rFonts w:ascii="Times New Roman" w:hAnsi="Times New Roman" w:cs="Times New Roman" w:eastAsia="Times New Roman" w:hint="default"/>
          <w:spacing w:val="-1"/>
        </w:rPr>
        <w:t>2</w:t>
      </w:r>
      <w:r>
        <w:rPr>
          <w:rFonts w:ascii="宋体" w:hAnsi="宋体" w:cs="宋体" w:eastAsia="宋体" w:hint="default"/>
          <w:spacing w:val="-1"/>
        </w:rPr>
        <w:t>）将金融资产转移给另一方，但保留收取金融资产现金流量的权利，并承担将收取的</w:t>
      </w:r>
      <w:r>
        <w:rPr>
          <w:rFonts w:ascii="宋体" w:hAnsi="宋体" w:cs="宋体" w:eastAsia="宋体" w:hint="default"/>
        </w:rPr>
        <w:t> 现金流量支付给最终收款方的义务，同时满足下列条件：</w:t>
      </w:r>
    </w:p>
    <w:p>
      <w:pPr>
        <w:pStyle w:val="BodyText"/>
        <w:spacing w:line="348" w:lineRule="auto" w:before="55"/>
        <w:ind w:right="230" w:firstLine="420"/>
        <w:jc w:val="both"/>
        <w:rPr>
          <w:rFonts w:ascii="宋体" w:hAnsi="宋体" w:cs="宋体" w:eastAsia="宋体" w:hint="default"/>
        </w:rPr>
      </w:pPr>
      <w:r>
        <w:rPr>
          <w:rFonts w:ascii="Times New Roman" w:hAnsi="Times New Roman" w:cs="Times New Roman" w:eastAsia="Times New Roman" w:hint="default"/>
          <w:spacing w:val="-2"/>
        </w:rPr>
        <w:t>A</w:t>
      </w:r>
      <w:r>
        <w:rPr>
          <w:rFonts w:ascii="宋体" w:hAnsi="宋体" w:cs="宋体" w:eastAsia="宋体" w:hint="default"/>
          <w:spacing w:val="-2"/>
        </w:rPr>
        <w:t>．从该金融资产收到对等的现金流量时，才有义务将其支付给最终收款方。企业发生短</w:t>
      </w:r>
      <w:r>
        <w:rPr>
          <w:rFonts w:ascii="宋体" w:hAnsi="宋体" w:cs="宋体" w:eastAsia="宋体" w:hint="default"/>
        </w:rPr>
        <w:t> 期垫付款，但有权全额收回该垫付款并按照市场上同期银行贷款利率计收利息的，视同满足</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本条件。</w:t>
      </w:r>
    </w:p>
    <w:p>
      <w:pPr>
        <w:pStyle w:val="BodyText"/>
        <w:spacing w:line="338" w:lineRule="auto" w:before="46"/>
        <w:ind w:right="233" w:firstLine="420"/>
        <w:jc w:val="both"/>
        <w:rPr>
          <w:rFonts w:ascii="宋体" w:hAnsi="宋体" w:cs="宋体" w:eastAsia="宋体" w:hint="default"/>
        </w:rPr>
      </w:pPr>
      <w:r>
        <w:rPr>
          <w:rFonts w:ascii="Times New Roman" w:hAnsi="Times New Roman" w:cs="Times New Roman" w:eastAsia="Times New Roman" w:hint="default"/>
          <w:spacing w:val="-2"/>
        </w:rPr>
        <w:t>B</w:t>
      </w:r>
      <w:r>
        <w:rPr>
          <w:rFonts w:ascii="宋体" w:hAnsi="宋体" w:cs="宋体" w:eastAsia="宋体" w:hint="default"/>
          <w:spacing w:val="-2"/>
        </w:rPr>
        <w:t>．根据合同约定，不能出售该金融资产或作为担保物，但可以将其作为对最终收款方支</w:t>
      </w:r>
      <w:r>
        <w:rPr>
          <w:rFonts w:ascii="宋体" w:hAnsi="宋体" w:cs="宋体" w:eastAsia="宋体" w:hint="default"/>
        </w:rPr>
        <w:t> 付现金流量的保证。</w:t>
      </w:r>
    </w:p>
    <w:p>
      <w:pPr>
        <w:pStyle w:val="BodyText"/>
        <w:spacing w:line="348" w:lineRule="auto" w:before="55"/>
        <w:ind w:right="105" w:firstLine="420"/>
        <w:jc w:val="left"/>
        <w:rPr>
          <w:rFonts w:ascii="宋体" w:hAnsi="宋体" w:cs="宋体" w:eastAsia="宋体" w:hint="default"/>
        </w:rPr>
      </w:pPr>
      <w:r>
        <w:rPr>
          <w:rFonts w:ascii="Times New Roman" w:hAnsi="Times New Roman" w:cs="Times New Roman" w:eastAsia="Times New Roman" w:hint="default"/>
          <w:spacing w:val="-5"/>
        </w:rPr>
        <w:t>C</w:t>
      </w:r>
      <w:r>
        <w:rPr>
          <w:rFonts w:ascii="宋体" w:hAnsi="宋体" w:cs="宋体" w:eastAsia="宋体" w:hint="default"/>
          <w:spacing w:val="-5"/>
        </w:rPr>
        <w:t>．有义务将收取的现金流量及时支付给最终收款方。企业无权将该现金流量进行再投资，</w:t>
      </w:r>
      <w:r>
        <w:rPr>
          <w:rFonts w:ascii="宋体" w:hAnsi="宋体" w:cs="宋体" w:eastAsia="宋体" w:hint="default"/>
        </w:rPr>
        <w:t> 但按照合同约定在相邻两次支付间隔期内将所收到的现金流量进行现金或现金等价物投资的</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除外。企业按照合同约定进行再投资的，应当将投资收益按照合同约定支付给最终收款方。</w:t>
      </w:r>
    </w:p>
    <w:p>
      <w:pPr>
        <w:spacing w:after="0" w:line="348" w:lineRule="auto"/>
        <w:jc w:val="left"/>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233" w:firstLine="420"/>
        <w:jc w:val="both"/>
        <w:rPr>
          <w:rFonts w:ascii="宋体" w:hAnsi="宋体" w:cs="宋体" w:eastAsia="宋体" w:hint="default"/>
        </w:rPr>
      </w:pPr>
      <w:r>
        <w:rPr>
          <w:rFonts w:ascii="宋体" w:hAnsi="宋体" w:cs="宋体" w:eastAsia="宋体" w:hint="default"/>
          <w:spacing w:val="2"/>
        </w:rPr>
        <w:t>已将金融资产所有权上几乎所有的风险和报酬转移给转入方的，终止确认该金融资产； </w:t>
      </w:r>
      <w:r>
        <w:rPr>
          <w:rFonts w:ascii="宋体" w:hAnsi="宋体" w:cs="宋体" w:eastAsia="宋体" w:hint="default"/>
        </w:rPr>
        <w:t>保留了金融资产所有权上几乎所有的风险和报酬的，不终止确认该金融资产。</w:t>
      </w:r>
    </w:p>
    <w:p>
      <w:pPr>
        <w:pStyle w:val="BodyText"/>
        <w:spacing w:line="240" w:lineRule="auto"/>
        <w:ind w:left="573" w:right="0"/>
        <w:jc w:val="left"/>
        <w:rPr>
          <w:rFonts w:ascii="宋体" w:hAnsi="宋体" w:cs="宋体" w:eastAsia="宋体" w:hint="default"/>
        </w:rPr>
      </w:pPr>
      <w:r>
        <w:rPr>
          <w:rFonts w:ascii="宋体" w:hAnsi="宋体" w:cs="宋体" w:eastAsia="宋体" w:hint="default"/>
        </w:rPr>
        <w:t>既没有转移也没有保留金融资产所有权上几乎所有的风险和报酬的，分别下列情况处理：</w:t>
      </w:r>
    </w:p>
    <w:p>
      <w:pPr>
        <w:pStyle w:val="BodyText"/>
        <w:spacing w:line="240" w:lineRule="auto" w:before="154"/>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）放弃了对该金融资产控制的，终止确认该金融资产。</w:t>
      </w:r>
    </w:p>
    <w:p>
      <w:pPr>
        <w:pStyle w:val="BodyText"/>
        <w:spacing w:line="338" w:lineRule="auto" w:before="135"/>
        <w:ind w:right="235" w:firstLine="420"/>
        <w:jc w:val="both"/>
        <w:rPr>
          <w:rFonts w:ascii="宋体" w:hAnsi="宋体" w:cs="宋体" w:eastAsia="宋体" w:hint="default"/>
        </w:rPr>
      </w:pPr>
      <w:r>
        <w:rPr>
          <w:rFonts w:ascii="宋体" w:hAnsi="宋体" w:cs="宋体" w:eastAsia="宋体" w:hint="default"/>
          <w:spacing w:val="-1"/>
        </w:rPr>
        <w:t>（</w:t>
      </w:r>
      <w:r>
        <w:rPr>
          <w:rFonts w:ascii="Times New Roman" w:hAnsi="Times New Roman" w:cs="Times New Roman" w:eastAsia="Times New Roman" w:hint="default"/>
          <w:spacing w:val="-1"/>
        </w:rPr>
        <w:t>2</w:t>
      </w:r>
      <w:r>
        <w:rPr>
          <w:rFonts w:ascii="宋体" w:hAnsi="宋体" w:cs="宋体" w:eastAsia="宋体" w:hint="default"/>
          <w:spacing w:val="-1"/>
        </w:rPr>
        <w:t>）未放弃对该金融资产控制的，按照其继续涉入所转移金融资产的程度确认有关金融</w:t>
      </w:r>
      <w:r>
        <w:rPr>
          <w:rFonts w:ascii="宋体" w:hAnsi="宋体" w:cs="宋体" w:eastAsia="宋体" w:hint="default"/>
        </w:rPr>
        <w:t> 资产，并相应确认有关负债。</w:t>
      </w:r>
    </w:p>
    <w:p>
      <w:pPr>
        <w:spacing w:line="240" w:lineRule="auto" w:before="2"/>
        <w:rPr>
          <w:rFonts w:ascii="宋体" w:hAnsi="宋体" w:cs="宋体" w:eastAsia="宋体" w:hint="default"/>
          <w:sz w:val="27"/>
          <w:szCs w:val="27"/>
        </w:rPr>
      </w:pPr>
    </w:p>
    <w:p>
      <w:pPr>
        <w:pStyle w:val="Heading2"/>
        <w:spacing w:line="240" w:lineRule="auto"/>
        <w:ind w:right="105"/>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5"/>
        <w:rPr>
          <w:rFonts w:ascii="宋体" w:hAnsi="宋体" w:cs="宋体" w:eastAsia="宋体" w:hint="default"/>
          <w:b/>
          <w:bCs/>
          <w:sz w:val="33"/>
          <w:szCs w:val="33"/>
        </w:rPr>
      </w:pPr>
    </w:p>
    <w:p>
      <w:pPr>
        <w:pStyle w:val="BodyText"/>
        <w:spacing w:line="357" w:lineRule="auto" w:before="0"/>
        <w:ind w:right="231" w:firstLine="420"/>
        <w:jc w:val="both"/>
        <w:rPr>
          <w:rFonts w:ascii="宋体" w:hAnsi="宋体" w:cs="宋体" w:eastAsia="宋体" w:hint="default"/>
        </w:rPr>
      </w:pPr>
      <w:r>
        <w:rPr>
          <w:rFonts w:ascii="宋体" w:hAnsi="宋体" w:cs="宋体" w:eastAsia="宋体" w:hint="default"/>
          <w:spacing w:val="2"/>
        </w:rPr>
        <w:t>金融负债的现时义务全部或部分已经解除的，终止确认该金融负债或其一部分。金融负 </w:t>
      </w:r>
      <w:r>
        <w:rPr>
          <w:rFonts w:ascii="宋体" w:hAnsi="宋体" w:cs="宋体" w:eastAsia="宋体" w:hint="default"/>
        </w:rPr>
        <w:t>债全部或部分终止确认的，将终止确认部分的账面价值与支付的对价（包括转出的非现金资</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产或承担的新金融负债）之间的差额，计入当期损益。</w:t>
      </w:r>
    </w:p>
    <w:p>
      <w:pPr>
        <w:spacing w:line="240" w:lineRule="auto" w:before="9"/>
        <w:rPr>
          <w:rFonts w:ascii="宋体" w:hAnsi="宋体" w:cs="宋体" w:eastAsia="宋体" w:hint="default"/>
          <w:sz w:val="25"/>
          <w:szCs w:val="25"/>
        </w:rPr>
      </w:pPr>
    </w:p>
    <w:p>
      <w:pPr>
        <w:pStyle w:val="Heading2"/>
        <w:spacing w:line="240" w:lineRule="auto"/>
        <w:ind w:right="105"/>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96" w:firstLine="420"/>
        <w:jc w:val="left"/>
        <w:rPr>
          <w:rFonts w:ascii="宋体" w:hAnsi="宋体" w:cs="宋体" w:eastAsia="宋体" w:hint="default"/>
        </w:rPr>
      </w:pPr>
      <w:r>
        <w:rPr>
          <w:rFonts w:ascii="宋体" w:hAnsi="宋体" w:cs="宋体" w:eastAsia="宋体" w:hint="default"/>
          <w:spacing w:val="2"/>
        </w:rPr>
        <w:t>本公司公允价值在计量时分为三个层次，第一层次是企业在计量日能获得相同资产或负 </w:t>
      </w:r>
      <w:r>
        <w:rPr>
          <w:rFonts w:ascii="宋体" w:hAnsi="宋体" w:cs="宋体" w:eastAsia="宋体" w:hint="default"/>
        </w:rPr>
        <w:t>债在活跃市场上报价的，以该报价为依据确定公允价值；第二层次是企业在计量日能获得类</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似资产或负债在活跃市场上的报价，或相同或类似资产或负债在非活跃市场上的报价的，以</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该报价为依据做必要调整确定公允价值；第三层次是企业无法获得相同或类似资产可比市场</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2"/>
        </w:rPr>
        <w:t>交易价格的，以其他反映市场参与者对资产或负债定价时所使用的参数为依据确定公允价值。</w:t>
      </w:r>
      <w:r>
        <w:rPr>
          <w:rFonts w:ascii="宋体" w:hAnsi="宋体" w:cs="宋体" w:eastAsia="宋体" w:hint="default"/>
        </w:rPr>
        <w:t> 尽可能使用相关的可观察输入值，尽量避免使用不可观察输入值。</w:t>
      </w:r>
    </w:p>
    <w:p>
      <w:pPr>
        <w:spacing w:line="240" w:lineRule="auto" w:before="9"/>
        <w:rPr>
          <w:rFonts w:ascii="宋体" w:hAnsi="宋体" w:cs="宋体" w:eastAsia="宋体" w:hint="default"/>
          <w:sz w:val="25"/>
          <w:szCs w:val="25"/>
        </w:rPr>
      </w:pPr>
    </w:p>
    <w:p>
      <w:pPr>
        <w:pStyle w:val="Heading2"/>
        <w:spacing w:line="240" w:lineRule="auto"/>
        <w:ind w:right="105"/>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233" w:firstLine="420"/>
        <w:jc w:val="both"/>
        <w:rPr>
          <w:rFonts w:ascii="宋体" w:hAnsi="宋体" w:cs="宋体" w:eastAsia="宋体" w:hint="default"/>
        </w:rPr>
      </w:pPr>
      <w:r>
        <w:rPr>
          <w:rFonts w:ascii="宋体" w:hAnsi="宋体" w:cs="宋体" w:eastAsia="宋体" w:hint="default"/>
          <w:spacing w:val="2"/>
        </w:rPr>
        <w:t>资产负债表日，本公司对以公允价值计量且其变动计入当期损益的金融资产以外的金融 </w:t>
      </w:r>
      <w:r>
        <w:rPr>
          <w:rFonts w:ascii="宋体" w:hAnsi="宋体" w:cs="宋体" w:eastAsia="宋体" w:hint="default"/>
        </w:rPr>
        <w:t>资产的账面价值进行检查。</w:t>
      </w:r>
    </w:p>
    <w:p>
      <w:pPr>
        <w:pStyle w:val="BodyText"/>
        <w:spacing w:line="357" w:lineRule="auto" w:before="37"/>
        <w:ind w:right="233" w:firstLine="420"/>
        <w:jc w:val="both"/>
        <w:rPr>
          <w:rFonts w:ascii="宋体" w:hAnsi="宋体" w:cs="宋体" w:eastAsia="宋体" w:hint="default"/>
        </w:rPr>
      </w:pPr>
      <w:r>
        <w:rPr>
          <w:rFonts w:ascii="宋体" w:hAnsi="宋体" w:cs="宋体" w:eastAsia="宋体" w:hint="default"/>
          <w:spacing w:val="2"/>
        </w:rPr>
        <w:t>对于持有至到期投资，有客观证据表明其发生了减值的，根据其账面价值与预计未来现 </w:t>
      </w:r>
      <w:r>
        <w:rPr>
          <w:rFonts w:ascii="宋体" w:hAnsi="宋体" w:cs="宋体" w:eastAsia="宋体" w:hint="default"/>
        </w:rPr>
        <w:t>金流量现值之间差额计算确认减值损失；计提后如有证据表明其价值已恢复，原确认的减值</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损失可予以转回，记入当期损益，但该转回的账面价值不超过假定不计提减值准备情况下该</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金融资产在转回日的摊余成本。</w:t>
      </w:r>
    </w:p>
    <w:p>
      <w:pPr>
        <w:pStyle w:val="BodyText"/>
        <w:spacing w:line="240" w:lineRule="auto"/>
        <w:ind w:left="573" w:right="105"/>
        <w:jc w:val="left"/>
        <w:rPr>
          <w:rFonts w:ascii="宋体" w:hAnsi="宋体" w:cs="宋体" w:eastAsia="宋体" w:hint="default"/>
        </w:rPr>
      </w:pPr>
      <w:r>
        <w:rPr>
          <w:rFonts w:ascii="宋体" w:hAnsi="宋体" w:cs="宋体" w:eastAsia="宋体" w:hint="default"/>
          <w:spacing w:val="2"/>
        </w:rPr>
        <w:t>对于可供出售金融资产，如果其公允价值出现持续大幅度下降，且预期该下降为非暂时</w:t>
      </w:r>
      <w:r>
        <w:rPr>
          <w:rFonts w:ascii="宋体" w:hAnsi="宋体" w:cs="宋体" w:eastAsia="宋体" w:hint="default"/>
        </w:rPr>
      </w:r>
    </w:p>
    <w:p>
      <w:pPr>
        <w:spacing w:after="0" w:line="240" w:lineRule="auto"/>
        <w:jc w:val="left"/>
        <w:rPr>
          <w:rFonts w:ascii="宋体" w:hAnsi="宋体" w:cs="宋体" w:eastAsia="宋体" w:hint="default"/>
        </w:rPr>
        <w:sectPr>
          <w:footerReference w:type="default" r:id="rId39"/>
          <w:pgSz w:w="11910" w:h="16840"/>
          <w:pgMar w:footer="980" w:header="555" w:top="1100" w:bottom="1160" w:left="980" w:right="900"/>
          <w:pgNumType w:start="110"/>
        </w:sectPr>
      </w:pPr>
    </w:p>
    <w:p>
      <w:pPr>
        <w:spacing w:line="240" w:lineRule="auto" w:before="7"/>
        <w:rPr>
          <w:rFonts w:ascii="宋体" w:hAnsi="宋体" w:cs="宋体" w:eastAsia="宋体" w:hint="default"/>
          <w:sz w:val="25"/>
          <w:szCs w:val="25"/>
        </w:rPr>
      </w:pPr>
    </w:p>
    <w:p>
      <w:pPr>
        <w:pStyle w:val="BodyText"/>
        <w:spacing w:line="357" w:lineRule="auto" w:before="26"/>
        <w:ind w:right="159"/>
        <w:jc w:val="both"/>
        <w:rPr>
          <w:rFonts w:ascii="宋体" w:hAnsi="宋体" w:cs="宋体" w:eastAsia="宋体" w:hint="default"/>
        </w:rPr>
      </w:pPr>
      <w:r>
        <w:rPr>
          <w:rFonts w:ascii="宋体" w:hAnsi="宋体" w:cs="宋体" w:eastAsia="宋体" w:hint="default"/>
        </w:rPr>
        <w:t>性的，则根据其初始投资成本扣除已收回本金和已摊销金额及当期公允价值后的差额计算确</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认减值损失；在计提减值损失时将原直接计入所有者权益的公允价值下降形成的累计损失一</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并转出，计入</w:t>
      </w:r>
      <w:r>
        <w:rPr>
          <w:rFonts w:ascii="Times New Roman" w:hAnsi="Times New Roman" w:cs="Times New Roman" w:eastAsia="Times New Roman" w:hint="default"/>
        </w:rPr>
        <w:t>“</w:t>
      </w:r>
      <w:r>
        <w:rPr>
          <w:rFonts w:ascii="宋体" w:hAnsi="宋体" w:cs="宋体" w:eastAsia="宋体" w:hint="default"/>
        </w:rPr>
        <w:t>资产减值损失</w:t>
      </w:r>
      <w:r>
        <w:rPr>
          <w:rFonts w:ascii="Times New Roman" w:hAnsi="Times New Roman" w:cs="Times New Roman" w:eastAsia="Times New Roman" w:hint="default"/>
        </w:rPr>
        <w:t>”</w:t>
      </w:r>
      <w:r>
        <w:rPr>
          <w:rFonts w:ascii="宋体" w:hAnsi="宋体" w:cs="宋体" w:eastAsia="宋体" w:hint="default"/>
        </w:rPr>
        <w:t>。</w:t>
      </w:r>
    </w:p>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189" w:firstLine="425"/>
        <w:jc w:val="both"/>
        <w:rPr>
          <w:rFonts w:ascii="宋体" w:hAnsi="宋体" w:cs="宋体" w:eastAsia="宋体" w:hint="default"/>
        </w:rPr>
      </w:pPr>
      <w:r>
        <w:rPr>
          <w:rFonts w:ascii="宋体" w:hAnsi="宋体" w:cs="宋体" w:eastAsia="宋体" w:hint="default"/>
        </w:rPr>
        <w:t>公司根据实际情况按种类披露坏账准备：分单项金额重大并单项计提坏账准备的应收账 款，按照按预计未来现金流量现值低于其账面价值的差额计提坏账准备；按组合计提坏账准 备的应收账款，按照账龄分析法计提坏账准备；单项金额虽不重大但单项计提坏账准备的应 收账款，按照其未来现金流量现值低于其账面价值的差额确认减值损失，计提坏账准备。</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102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本公司将余额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万元以上（含）且占应收款项账面余额</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以上的单项应收非关联方款项，确定为单项金额重大 的应收款项。</w:t>
            </w:r>
          </w:p>
        </w:tc>
      </w:tr>
      <w:tr>
        <w:trPr>
          <w:trHeight w:val="2276"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在资产负债表日，本公司对单项金额重大的应收款项单独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进行减值测试，经测试发生了减值的，按期末未来现金流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量现值低于其账面价值的差额确定减值损失，计提坏账准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备；对单项测试未减值，汇同单项金额不重大的应收款项</w:t>
            </w:r>
          </w:p>
          <w:p>
            <w:pPr>
              <w:pStyle w:val="TableParagraph"/>
              <w:spacing w:line="316" w:lineRule="auto" w:before="17"/>
              <w:ind w:left="23" w:right="68"/>
              <w:jc w:val="left"/>
              <w:rPr>
                <w:rFonts w:ascii="宋体" w:hAnsi="宋体" w:cs="宋体" w:eastAsia="宋体" w:hint="default"/>
                <w:sz w:val="18"/>
                <w:szCs w:val="18"/>
              </w:rPr>
            </w:pPr>
            <w:r>
              <w:rPr>
                <w:rFonts w:ascii="宋体" w:hAnsi="宋体" w:cs="宋体" w:eastAsia="宋体" w:hint="default"/>
                <w:sz w:val="18"/>
                <w:szCs w:val="18"/>
              </w:rPr>
              <w:t>（剔除已计提坏账准备的单项不重大款项和应收关联方 </w:t>
            </w:r>
            <w:r>
              <w:rPr>
                <w:rFonts w:ascii="宋体" w:hAnsi="宋体" w:cs="宋体" w:eastAsia="宋体" w:hint="default"/>
                <w:spacing w:val="-4"/>
                <w:sz w:val="18"/>
                <w:szCs w:val="18"/>
              </w:rPr>
              <w:t>款项），按账龄作为判断信用风险特征的主要依据划分资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产组合，并根据公司确定的比例计提坏账准备。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33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已单独计提减值准备的应收账款、其他应收款外，公司根据 以前年度与之相同或类似的、按账龄段划分具有信用风险特 征的应收款项组合的实际损失率为基础，结合现时情况分析 法确定坏账准备计提的比例。</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spacing w:before="44"/>
        <w:ind w:left="0" w:right="159" w:firstLine="0"/>
        <w:jc w:val="right"/>
        <w:rPr>
          <w:rFonts w:ascii="宋体" w:hAnsi="宋体" w:cs="宋体" w:eastAsia="宋体" w:hint="default"/>
          <w:sz w:val="18"/>
          <w:szCs w:val="18"/>
        </w:rPr>
      </w:pPr>
      <w:r>
        <w:rPr/>
        <w:pict>
          <v:shape style="position:absolute;margin-left:56.459999pt;margin-top:-67.688293pt;width:479.2pt;height:87.6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1339"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在资产负债表日，对单项金额不重大的应收非关联方款项，如有客观证据表明 其已发生减值，按预计不可收回的金额确认减值损失，计提坏账准备；应收关 联方的款项，原则上不计提坏账准备。如有确凿证据表明不能收回或收回的可 能性不大，按其不可收回的金额计提坏账准备。</w:t>
                        </w:r>
                      </w:p>
                    </w:tc>
                  </w:tr>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2"/>
        <w:rPr>
          <w:rFonts w:ascii="宋体" w:hAnsi="宋体" w:cs="宋体" w:eastAsia="宋体" w:hint="default"/>
          <w:sz w:val="27"/>
          <w:szCs w:val="27"/>
        </w:rPr>
      </w:pPr>
    </w:p>
    <w:p>
      <w:pPr>
        <w:pStyle w:val="Heading2"/>
        <w:spacing w:line="240" w:lineRule="auto" w:before="26"/>
        <w:ind w:right="0"/>
        <w:jc w:val="left"/>
        <w:rPr>
          <w:b w:val="0"/>
          <w:bCs w:val="0"/>
        </w:rPr>
      </w:pPr>
      <w:r>
        <w:rPr>
          <w:rFonts w:ascii="Times New Roman" w:hAnsi="Times New Roman" w:cs="Times New Roman" w:eastAsia="Times New Roman" w:hint="default"/>
        </w:rPr>
        <w:t>11</w:t>
      </w:r>
      <w:r>
        <w:rPr/>
        <w:t>、存货</w:t>
      </w:r>
      <w:r>
        <w:rPr>
          <w:b w:val="0"/>
          <w:bCs w:val="0"/>
        </w:rPr>
      </w:r>
    </w:p>
    <w:p>
      <w:pPr>
        <w:pStyle w:val="BodyText"/>
        <w:spacing w:line="768" w:lineRule="exact" w:before="22"/>
        <w:ind w:left="578" w:right="228" w:hanging="426"/>
        <w:jc w:val="left"/>
        <w:rPr>
          <w:rFonts w:ascii="宋体" w:hAnsi="宋体" w:cs="宋体" w:eastAsia="宋体" w:hint="default"/>
        </w:rPr>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rFonts w:ascii="宋体" w:hAnsi="宋体" w:cs="宋体" w:eastAsia="宋体" w:hint="default"/>
        </w:rPr>
        <w:t>本公司存货分类为：原材料、在产品、库存商品（包括库存的产成品、外购商品、发出</w:t>
      </w:r>
    </w:p>
    <w:p>
      <w:pPr>
        <w:pStyle w:val="BodyText"/>
        <w:spacing w:line="240" w:lineRule="auto" w:before="34"/>
        <w:ind w:right="0"/>
        <w:jc w:val="left"/>
        <w:rPr>
          <w:rFonts w:ascii="宋体" w:hAnsi="宋体" w:cs="宋体" w:eastAsia="宋体" w:hint="default"/>
        </w:rPr>
      </w:pPr>
      <w:r>
        <w:rPr>
          <w:rFonts w:ascii="宋体" w:hAnsi="宋体" w:cs="宋体" w:eastAsia="宋体" w:hint="default"/>
        </w:rPr>
        <w:t>商品等</w:t>
      </w:r>
      <w:r>
        <w:rPr>
          <w:rFonts w:ascii="宋体" w:hAnsi="宋体" w:cs="宋体" w:eastAsia="宋体" w:hint="default"/>
          <w:spacing w:val="-120"/>
        </w:rPr>
        <w:t>）</w:t>
      </w:r>
      <w:r>
        <w:rPr>
          <w:rFonts w:ascii="宋体" w:hAnsi="宋体" w:cs="宋体" w:eastAsia="宋体" w:hint="default"/>
        </w:rPr>
        <w:t>、周转材料（包括包装物、低值易耗品</w:t>
      </w:r>
      <w:r>
        <w:rPr>
          <w:rFonts w:ascii="宋体" w:hAnsi="宋体" w:cs="宋体" w:eastAsia="宋体" w:hint="default"/>
          <w:spacing w:val="-120"/>
        </w:rPr>
        <w:t>）</w:t>
      </w:r>
      <w:r>
        <w:rPr>
          <w:rFonts w:ascii="宋体" w:hAnsi="宋体" w:cs="宋体" w:eastAsia="宋体" w:hint="default"/>
        </w:rPr>
        <w:t>、委托加工物</w:t>
      </w:r>
      <w:r>
        <w:rPr>
          <w:rFonts w:ascii="宋体" w:hAnsi="宋体" w:cs="宋体" w:eastAsia="宋体" w:hint="default"/>
          <w:spacing w:val="1"/>
        </w:rPr>
        <w:t>资</w:t>
      </w:r>
      <w:r>
        <w:rPr>
          <w:rFonts w:ascii="宋体" w:hAnsi="宋体" w:cs="宋体" w:eastAsia="宋体" w:hint="default"/>
        </w:rPr>
        <w:t>、受托加工材料等。</w:t>
      </w:r>
    </w:p>
    <w:p>
      <w:pPr>
        <w:spacing w:line="240" w:lineRule="auto" w:before="11"/>
        <w:rPr>
          <w:rFonts w:ascii="宋体" w:hAnsi="宋体" w:cs="宋体" w:eastAsia="宋体" w:hint="default"/>
          <w:sz w:val="34"/>
          <w:szCs w:val="34"/>
        </w:rPr>
      </w:pPr>
    </w:p>
    <w:p>
      <w:pPr>
        <w:pStyle w:val="Heading2"/>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2"/>
        <w:rPr>
          <w:rFonts w:ascii="宋体" w:hAnsi="宋体" w:cs="宋体" w:eastAsia="宋体" w:hint="default"/>
          <w:b/>
          <w:bCs/>
          <w:sz w:val="33"/>
          <w:szCs w:val="33"/>
        </w:rPr>
      </w:pPr>
    </w:p>
    <w:p>
      <w:pPr>
        <w:pStyle w:val="BodyText"/>
        <w:spacing w:line="388" w:lineRule="auto" w:before="0"/>
        <w:ind w:left="578" w:right="5508"/>
        <w:jc w:val="left"/>
        <w:rPr>
          <w:rFonts w:ascii="宋体" w:hAnsi="宋体" w:cs="宋体" w:eastAsia="宋体" w:hint="default"/>
        </w:rPr>
      </w:pPr>
      <w:r>
        <w:rPr>
          <w:rFonts w:ascii="宋体" w:hAnsi="宋体" w:cs="宋体" w:eastAsia="宋体" w:hint="default"/>
        </w:rPr>
        <w:t>计价方法：加权平均法 发出存货的计价方法为加权平均法。</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5"/>
        <w:rPr>
          <w:rFonts w:ascii="宋体" w:hAnsi="宋体" w:cs="宋体" w:eastAsia="宋体" w:hint="default"/>
          <w:b/>
          <w:bCs/>
          <w:sz w:val="33"/>
          <w:szCs w:val="33"/>
        </w:rPr>
      </w:pPr>
    </w:p>
    <w:p>
      <w:pPr>
        <w:pStyle w:val="BodyText"/>
        <w:spacing w:line="357" w:lineRule="auto" w:before="0"/>
        <w:ind w:right="191" w:firstLine="425"/>
        <w:jc w:val="both"/>
        <w:rPr>
          <w:rFonts w:ascii="宋体" w:hAnsi="宋体" w:cs="宋体" w:eastAsia="宋体" w:hint="default"/>
        </w:rPr>
      </w:pPr>
      <w:r>
        <w:rPr>
          <w:rFonts w:ascii="宋体" w:hAnsi="宋体" w:cs="宋体" w:eastAsia="宋体" w:hint="default"/>
        </w:rPr>
        <w:t>本公司对存货按照成本与可变现净值孰低计量。期末对存货进行全面清查后，按存货的 成本与可变现净值孰低提取或调整存货跌价准备。可变现净值，是指在日常活动中，存货的 估计售价减去至完工时估计将要发生的成本、估计的销售费用以及相关税费后的金额。本公 司存货由于遭受毁损、全部或部分陈旧过时或销售价格低于成本等原因，使存货成本高于可</w:t>
      </w:r>
    </w:p>
    <w:p>
      <w:pPr>
        <w:spacing w:after="0" w:line="357" w:lineRule="auto"/>
        <w:jc w:val="both"/>
        <w:rPr>
          <w:rFonts w:ascii="宋体" w:hAnsi="宋体" w:cs="宋体" w:eastAsia="宋体" w:hint="default"/>
        </w:rPr>
        <w:sectPr>
          <w:pgSz w:w="11910" w:h="16840"/>
          <w:pgMar w:header="555" w:footer="980"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变现净值的，按单个存货项目的可变现净值低于存货成本的部分提取存货跌价准备。</w:t>
      </w:r>
    </w:p>
    <w:p>
      <w:pPr>
        <w:pStyle w:val="BodyText"/>
        <w:spacing w:line="357" w:lineRule="auto" w:before="154"/>
        <w:ind w:right="96" w:firstLine="420"/>
        <w:jc w:val="left"/>
        <w:rPr>
          <w:rFonts w:ascii="宋体" w:hAnsi="宋体" w:cs="宋体" w:eastAsia="宋体" w:hint="default"/>
        </w:rPr>
      </w:pPr>
      <w:r>
        <w:rPr>
          <w:rFonts w:ascii="宋体" w:hAnsi="宋体" w:cs="宋体" w:eastAsia="宋体" w:hint="default"/>
          <w:spacing w:val="2"/>
        </w:rPr>
        <w:t>资产负债表日，企业应当确定存货的可变现净值。如果以前减记存货价值的影响因素已 </w:t>
      </w:r>
      <w:r>
        <w:rPr>
          <w:rFonts w:ascii="宋体" w:hAnsi="宋体" w:cs="宋体" w:eastAsia="宋体" w:hint="default"/>
          <w:spacing w:val="-2"/>
        </w:rPr>
        <w:t>经消失的，存货跌价准备在原已计提的存货跌价准备金额内转回，转回的金额计入当期损益。</w:t>
      </w: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33"/>
          <w:szCs w:val="33"/>
        </w:rPr>
      </w:pPr>
    </w:p>
    <w:p>
      <w:pPr>
        <w:pStyle w:val="BodyText"/>
        <w:spacing w:line="388" w:lineRule="auto" w:before="0"/>
        <w:ind w:left="578" w:right="6068"/>
        <w:jc w:val="left"/>
        <w:rPr>
          <w:rFonts w:ascii="宋体" w:hAnsi="宋体" w:cs="宋体" w:eastAsia="宋体" w:hint="default"/>
        </w:rPr>
      </w:pPr>
      <w:r>
        <w:rPr>
          <w:rFonts w:ascii="宋体" w:hAnsi="宋体" w:cs="宋体" w:eastAsia="宋体" w:hint="default"/>
        </w:rPr>
        <w:t>盘存制度：永续盘存制 存货的盘存制度为永续盘存制。</w:t>
      </w:r>
    </w:p>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33"/>
          <w:szCs w:val="33"/>
        </w:rPr>
      </w:pPr>
    </w:p>
    <w:p>
      <w:pPr>
        <w:pStyle w:val="BodyText"/>
        <w:spacing w:line="386" w:lineRule="auto" w:before="0"/>
        <w:ind w:left="578" w:right="7028"/>
        <w:jc w:val="left"/>
        <w:rPr>
          <w:rFonts w:ascii="宋体" w:hAnsi="宋体" w:cs="宋体" w:eastAsia="宋体" w:hint="default"/>
        </w:rPr>
      </w:pPr>
      <w:r>
        <w:rPr>
          <w:rFonts w:ascii="宋体" w:hAnsi="宋体" w:cs="宋体" w:eastAsia="宋体" w:hint="default"/>
        </w:rPr>
        <w:t>低值易耗品 摊销方法：一次摊销法</w:t>
      </w:r>
    </w:p>
    <w:p>
      <w:pPr>
        <w:pStyle w:val="BodyText"/>
        <w:spacing w:line="388" w:lineRule="auto" w:before="48"/>
        <w:ind w:left="578" w:right="5348"/>
        <w:jc w:val="left"/>
        <w:rPr>
          <w:rFonts w:ascii="宋体" w:hAnsi="宋体" w:cs="宋体" w:eastAsia="宋体" w:hint="default"/>
        </w:rPr>
      </w:pPr>
      <w:r>
        <w:rPr>
          <w:rFonts w:ascii="宋体" w:hAnsi="宋体" w:cs="宋体" w:eastAsia="宋体" w:hint="default"/>
        </w:rPr>
        <w:t>低值易耗品的摊销方法为一次摊销法。 包装物</w:t>
      </w:r>
    </w:p>
    <w:p>
      <w:pPr>
        <w:pStyle w:val="BodyText"/>
        <w:spacing w:line="388" w:lineRule="auto" w:before="43"/>
        <w:ind w:left="578" w:right="5828"/>
        <w:jc w:val="left"/>
        <w:rPr>
          <w:rFonts w:ascii="宋体" w:hAnsi="宋体" w:cs="宋体" w:eastAsia="宋体" w:hint="default"/>
        </w:rPr>
      </w:pPr>
      <w:r>
        <w:rPr>
          <w:rFonts w:ascii="宋体" w:hAnsi="宋体" w:cs="宋体" w:eastAsia="宋体" w:hint="default"/>
        </w:rPr>
        <w:t>摊销方法：一次摊销法 包装物的摊销方法为一次摊销法。</w:t>
      </w:r>
    </w:p>
    <w:p>
      <w:pPr>
        <w:spacing w:line="240" w:lineRule="auto" w:before="5"/>
        <w:rPr>
          <w:rFonts w:ascii="宋体" w:hAnsi="宋体" w:cs="宋体" w:eastAsia="宋体" w:hint="default"/>
          <w:sz w:val="23"/>
          <w:szCs w:val="23"/>
        </w:rPr>
      </w:pPr>
    </w:p>
    <w:p>
      <w:pPr>
        <w:pStyle w:val="Heading2"/>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750" w:lineRule="atLeast" w:before="18"/>
        <w:ind w:left="578" w:right="308" w:hanging="426"/>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）投资成本的确定</w:t>
      </w:r>
      <w:r>
        <w:rPr>
          <w:rFonts w:ascii="宋体" w:hAnsi="宋体" w:cs="宋体" w:eastAsia="宋体" w:hint="default"/>
          <w:b/>
          <w:bCs/>
          <w:w w:val="99"/>
          <w:sz w:val="24"/>
          <w:szCs w:val="24"/>
        </w:rPr>
        <w:t> </w:t>
      </w:r>
      <w:r>
        <w:rPr>
          <w:rFonts w:ascii="宋体" w:hAnsi="宋体" w:cs="宋体" w:eastAsia="宋体" w:hint="default"/>
          <w:sz w:val="24"/>
          <w:szCs w:val="24"/>
        </w:rPr>
        <w:t>同一控制下的企业合并，合并方以支付现金、转让非现金资产或承担债务方式作为合并</w:t>
      </w:r>
    </w:p>
    <w:p>
      <w:pPr>
        <w:pStyle w:val="BodyText"/>
        <w:spacing w:line="357" w:lineRule="auto" w:before="154"/>
        <w:ind w:right="254"/>
        <w:jc w:val="left"/>
        <w:rPr>
          <w:rFonts w:ascii="宋体" w:hAnsi="宋体" w:cs="宋体" w:eastAsia="宋体" w:hint="default"/>
        </w:rPr>
      </w:pPr>
      <w:r>
        <w:rPr>
          <w:rFonts w:ascii="宋体" w:hAnsi="宋体" w:cs="宋体" w:eastAsia="宋体" w:hint="default"/>
        </w:rPr>
        <w:t>对价的，在合并日按照取得被合并方所有者权益账面价值的份额作为长期股权投资的投资成 本。</w:t>
      </w:r>
    </w:p>
    <w:p>
      <w:pPr>
        <w:pStyle w:val="BodyText"/>
        <w:spacing w:line="240" w:lineRule="auto" w:before="77"/>
        <w:ind w:left="578" w:right="0"/>
        <w:jc w:val="left"/>
        <w:rPr>
          <w:rFonts w:ascii="宋体" w:hAnsi="宋体" w:cs="宋体" w:eastAsia="宋体" w:hint="default"/>
        </w:rPr>
      </w:pPr>
      <w:r>
        <w:rPr>
          <w:rFonts w:ascii="宋体" w:hAnsi="宋体" w:cs="宋体" w:eastAsia="宋体" w:hint="default"/>
        </w:rPr>
        <w:t>非同一控制下的企业合并，在购买日按照确定的合并成本作为长期股权投资的投资成本。</w:t>
      </w:r>
    </w:p>
    <w:p>
      <w:pPr>
        <w:pStyle w:val="BodyText"/>
        <w:spacing w:line="345" w:lineRule="auto" w:before="192"/>
        <w:ind w:right="271"/>
        <w:jc w:val="both"/>
        <w:rPr>
          <w:rFonts w:ascii="宋体" w:hAnsi="宋体" w:cs="宋体" w:eastAsia="宋体" w:hint="default"/>
        </w:rPr>
      </w:pPr>
      <w:r>
        <w:rPr>
          <w:rFonts w:ascii="宋体" w:hAnsi="宋体" w:cs="宋体" w:eastAsia="宋体" w:hint="default"/>
        </w:rPr>
        <w:t>除企业合并以外的其他方式取得的长期股权投资</w:t>
      </w:r>
      <w:r>
        <w:rPr>
          <w:rFonts w:ascii="宋体" w:hAnsi="宋体" w:cs="宋体" w:eastAsia="宋体" w:hint="default"/>
          <w:spacing w:val="-59"/>
        </w:rPr>
        <w:t> </w:t>
      </w:r>
      <w:r>
        <w:rPr>
          <w:rFonts w:ascii="Times New Roman" w:hAnsi="Times New Roman" w:cs="Times New Roman" w:eastAsia="Times New Roman" w:hint="default"/>
        </w:rPr>
        <w:t>A</w:t>
      </w:r>
      <w:r>
        <w:rPr>
          <w:rFonts w:ascii="宋体" w:hAnsi="宋体" w:cs="宋体" w:eastAsia="宋体" w:hint="default"/>
        </w:rPr>
        <w:t>．以支付现金取得的长期股权投资，按照 实际支付的购买价款作为投资成本。投资成本包括与取得长期股权投资直接相关的费用、税 金及其他必要支出。</w:t>
      </w:r>
      <w:r>
        <w:rPr>
          <w:rFonts w:ascii="Times New Roman" w:hAnsi="Times New Roman" w:cs="Times New Roman" w:eastAsia="Times New Roman" w:hint="default"/>
        </w:rPr>
        <w:t>B</w:t>
      </w:r>
      <w:r>
        <w:rPr>
          <w:rFonts w:ascii="宋体" w:hAnsi="宋体" w:cs="宋体" w:eastAsia="宋体" w:hint="default"/>
        </w:rPr>
        <w:t>．以发行权益性证券取得的长期股权投资，按照发行权益性证券的公 允价值作为投资成本。</w:t>
      </w:r>
      <w:r>
        <w:rPr>
          <w:rFonts w:ascii="Times New Roman" w:hAnsi="Times New Roman" w:cs="Times New Roman" w:eastAsia="Times New Roman" w:hint="default"/>
        </w:rPr>
        <w:t>C</w:t>
      </w:r>
      <w:r>
        <w:rPr>
          <w:rFonts w:ascii="宋体" w:hAnsi="宋体" w:cs="宋体" w:eastAsia="宋体" w:hint="default"/>
        </w:rPr>
        <w:t>．投资者投入的长期股权投资，按照投资合同或协议约定的价值作</w:t>
      </w:r>
    </w:p>
    <w:p>
      <w:pPr>
        <w:spacing w:after="0" w:line="345" w:lineRule="auto"/>
        <w:jc w:val="both"/>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352" w:lineRule="auto" w:before="26"/>
        <w:ind w:right="231"/>
        <w:jc w:val="both"/>
        <w:rPr>
          <w:rFonts w:ascii="宋体" w:hAnsi="宋体" w:cs="宋体" w:eastAsia="宋体" w:hint="default"/>
        </w:rPr>
      </w:pPr>
      <w:r>
        <w:rPr>
          <w:rFonts w:ascii="宋体" w:hAnsi="宋体" w:cs="宋体" w:eastAsia="宋体" w:hint="default"/>
        </w:rPr>
        <w:t>为投资成本，但合同或协议约定价值不公允的除外。</w:t>
      </w:r>
      <w:r>
        <w:rPr>
          <w:rFonts w:ascii="Times New Roman" w:hAnsi="Times New Roman" w:cs="Times New Roman" w:eastAsia="Times New Roman" w:hint="default"/>
        </w:rPr>
        <w:t>D</w:t>
      </w:r>
      <w:r>
        <w:rPr>
          <w:rFonts w:ascii="宋体" w:hAnsi="宋体" w:cs="宋体" w:eastAsia="宋体" w:hint="default"/>
        </w:rPr>
        <w:t>．向子公司的少数股东购买其持有的 少数股权，按照上述的规定确定其投资成本；在编制合并财务报表时，因购买少数股权新取 得的长期股权投资与按照新增持股比例计算应享有子公司自购买日（或合并日）开始持续计 </w:t>
      </w:r>
      <w:r>
        <w:rPr>
          <w:rFonts w:ascii="宋体" w:hAnsi="宋体" w:cs="宋体" w:eastAsia="宋体" w:hint="default"/>
          <w:spacing w:val="-5"/>
        </w:rPr>
        <w:t>算的净资产份额之间的差额，应当调整所有者权益（资本公积），资本公积不足冲减的，调整</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留存收益。</w:t>
      </w:r>
    </w:p>
    <w:p>
      <w:pPr>
        <w:spacing w:line="240" w:lineRule="auto" w:before="3"/>
        <w:rPr>
          <w:rFonts w:ascii="宋体" w:hAnsi="宋体" w:cs="宋体" w:eastAsia="宋体" w:hint="default"/>
          <w:sz w:val="26"/>
          <w:szCs w:val="26"/>
        </w:rPr>
      </w:pPr>
    </w:p>
    <w:p>
      <w:pPr>
        <w:pStyle w:val="Heading2"/>
        <w:spacing w:line="240" w:lineRule="auto"/>
        <w:ind w:right="105"/>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2"/>
        <w:rPr>
          <w:rFonts w:ascii="宋体" w:hAnsi="宋体" w:cs="宋体" w:eastAsia="宋体" w:hint="default"/>
          <w:b/>
          <w:bCs/>
          <w:sz w:val="33"/>
          <w:szCs w:val="33"/>
        </w:rPr>
      </w:pPr>
    </w:p>
    <w:p>
      <w:pPr>
        <w:pStyle w:val="BodyText"/>
        <w:spacing w:line="367" w:lineRule="auto" w:before="0"/>
        <w:ind w:left="719" w:right="105"/>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）成本法： </w:t>
      </w:r>
      <w:r>
        <w:rPr>
          <w:rFonts w:ascii="宋体" w:hAnsi="宋体" w:cs="宋体" w:eastAsia="宋体" w:hint="default"/>
          <w:spacing w:val="-2"/>
        </w:rPr>
        <w:t>本公司对持有的能够对被投资单位实施控制的长期股权投资，以及对被投资单位不具有</w:t>
      </w:r>
    </w:p>
    <w:p>
      <w:pPr>
        <w:pStyle w:val="BodyText"/>
        <w:spacing w:line="357" w:lineRule="auto" w:before="26"/>
        <w:ind w:right="96"/>
        <w:jc w:val="left"/>
        <w:rPr>
          <w:rFonts w:ascii="宋体" w:hAnsi="宋体" w:cs="宋体" w:eastAsia="宋体" w:hint="default"/>
        </w:rPr>
      </w:pPr>
      <w:r>
        <w:rPr>
          <w:rFonts w:ascii="宋体" w:hAnsi="宋体" w:cs="宋体" w:eastAsia="宋体" w:hint="default"/>
          <w:spacing w:val="-2"/>
        </w:rPr>
        <w:t>共同控制或重大影响，并且在活跃市场中没有报价、公允价值不能可靠计量的长期股权投资，</w:t>
      </w:r>
      <w:r>
        <w:rPr>
          <w:rFonts w:ascii="宋体" w:hAnsi="宋体" w:cs="宋体" w:eastAsia="宋体" w:hint="default"/>
        </w:rPr>
        <w:t> 采用成本法核算。本公司对能实施控制的被投资单位作为子公司，并将子公司纳入合并财务 报表的合并范围，在编制合并财务报表时按照权益法进行调整。采用成本法核算的长期股权 投资按照投资成本计价。追加或收回投资调整长期股权投资的成本。除取得投资时实际支付 的价款或对价中包含的已宣告但尚未发放的现金股利或利润外，公司按照享有被投资单位宣 告发放的现金股利或利润确认投资收益。</w:t>
      </w:r>
    </w:p>
    <w:p>
      <w:pPr>
        <w:pStyle w:val="BodyText"/>
        <w:spacing w:line="367" w:lineRule="auto" w:before="75"/>
        <w:ind w:left="719" w:right="105"/>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）权益法： </w:t>
      </w:r>
      <w:r>
        <w:rPr>
          <w:rFonts w:ascii="宋体" w:hAnsi="宋体" w:cs="宋体" w:eastAsia="宋体" w:hint="default"/>
          <w:spacing w:val="-2"/>
        </w:rPr>
        <w:t>本公司对被投资单位具有共同控制或重大影响的长期股权投资，采用权益法核算。对长</w:t>
      </w:r>
    </w:p>
    <w:p>
      <w:pPr>
        <w:pStyle w:val="BodyText"/>
        <w:spacing w:line="357" w:lineRule="auto" w:before="26"/>
        <w:ind w:right="105"/>
        <w:jc w:val="left"/>
        <w:rPr>
          <w:rFonts w:ascii="宋体" w:hAnsi="宋体" w:cs="宋体" w:eastAsia="宋体" w:hint="default"/>
        </w:rPr>
      </w:pPr>
      <w:r>
        <w:rPr>
          <w:rFonts w:ascii="宋体" w:hAnsi="宋体" w:cs="宋体" w:eastAsia="宋体" w:hint="default"/>
        </w:rPr>
        <w:t>期股权投资的投资成本大于投资时应享有被投资单位可辨认净资产公允价值份额的，不调整 长期股权投资的投资成本；对长期股权投资的投资成本小于投资时应享有被投资单位可辨认 净资产公允价值份额的，按照差额计入营业外收入，同时调整长期股权投资的成本。权益法 核算下投资收益的确认：本公司在确认应享有被投资单位净损益的份额时，以取得投资时被 投资单位各项可辨认资产等的公允价值为基础，对被投资单位的净利润进行调整后确认。被 投资单位采用的会计政策及会计期间与本公司不一致的，按照本公司的会计政策及会计期间 对被投资单位的财务报表进行调整，并据以确认投资损益。本公司确认被投资单位发生的净 亏损，以长期股权投资的账面价值以及其他实质上构成对被投资单位净投资的长期权益减记 至零为限，但本公司负有承担额外损失义务的除外。被投资单位以后实现净利润的，本公司 在其收益分享额弥补未确认的亏损分担额后，恢复确认收益分享额。确认对联营企业及合营 </w:t>
      </w:r>
      <w:r>
        <w:rPr>
          <w:rFonts w:ascii="宋体" w:hAnsi="宋体" w:cs="宋体" w:eastAsia="宋体" w:hint="default"/>
          <w:spacing w:val="-3"/>
        </w:rPr>
        <w:t>企业的投资损益时，对于发生的内部交易损益（资产减值损失除外）按照持股比例予以抵销。</w:t>
      </w:r>
    </w:p>
    <w:p>
      <w:pPr>
        <w:spacing w:after="0" w:line="357" w:lineRule="auto"/>
        <w:jc w:val="left"/>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271"/>
        <w:jc w:val="both"/>
        <w:rPr>
          <w:rFonts w:ascii="宋体" w:hAnsi="宋体" w:cs="宋体" w:eastAsia="宋体" w:hint="default"/>
        </w:rPr>
      </w:pPr>
      <w:r>
        <w:rPr>
          <w:rFonts w:ascii="宋体" w:hAnsi="宋体" w:cs="宋体" w:eastAsia="宋体" w:hint="default"/>
        </w:rPr>
        <w:t>对于首次执行日之前已经持有的对联营企业及合营企业的长期股权投资，如存在与该投资相 关的股权投资借方差额，扣除按原剩余期限直线摊销的股权投资借方差额，确认投资损益。 对于被投资单位除净损益以外所有者权益的其他变动，调整长期股权投资的账面价值并计入 资本公积。</w:t>
      </w:r>
    </w:p>
    <w:p>
      <w:pPr>
        <w:pStyle w:val="BodyText"/>
        <w:spacing w:line="357" w:lineRule="auto" w:before="77"/>
        <w:ind w:right="105" w:firstLine="566"/>
        <w:jc w:val="left"/>
        <w:rPr>
          <w:rFonts w:ascii="宋体" w:hAnsi="宋体" w:cs="宋体" w:eastAsia="宋体" w:hint="default"/>
        </w:rPr>
      </w:pPr>
      <w:r>
        <w:rPr>
          <w:rFonts w:ascii="宋体" w:hAnsi="宋体" w:cs="宋体" w:eastAsia="宋体" w:hint="default"/>
          <w:spacing w:val="-2"/>
        </w:rPr>
        <w:t>处置长期股权投资时，其账面价值与实际取得价款的差额，计入当期损益。采用权益法</w:t>
      </w:r>
      <w:r>
        <w:rPr>
          <w:rFonts w:ascii="宋体" w:hAnsi="宋体" w:cs="宋体" w:eastAsia="宋体" w:hint="default"/>
        </w:rPr>
        <w:t> 核算的长期股权投资，在处置时将原计入股东权益的部分按相应的比例转入当期损益。</w:t>
      </w: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33"/>
          <w:szCs w:val="33"/>
        </w:rPr>
      </w:pPr>
    </w:p>
    <w:p>
      <w:pPr>
        <w:pStyle w:val="BodyText"/>
        <w:spacing w:line="357" w:lineRule="auto" w:before="0"/>
        <w:ind w:right="96" w:firstLine="566"/>
        <w:jc w:val="left"/>
        <w:rPr>
          <w:rFonts w:ascii="宋体" w:hAnsi="宋体" w:cs="宋体" w:eastAsia="宋体" w:hint="default"/>
        </w:rPr>
      </w:pPr>
      <w:r>
        <w:rPr>
          <w:rFonts w:ascii="宋体" w:hAnsi="宋体" w:cs="宋体" w:eastAsia="宋体" w:hint="default"/>
        </w:rPr>
        <w:t>共同控制，是指按照合约定对某 项经济活动所共有的控制，仅在与该相关重要财务和 营决策需分享控制权的投资方一致同意时存在。投资企业与其他方对被投资单位实施共同控 </w:t>
      </w:r>
      <w:r>
        <w:rPr>
          <w:rFonts w:ascii="宋体" w:hAnsi="宋体" w:cs="宋体" w:eastAsia="宋体" w:hint="default"/>
          <w:spacing w:val="-2"/>
        </w:rPr>
        <w:t>制的，被投资单位为其合营企业。重大影响，是指对一个企业的财务和经营决策有参与权力，</w:t>
      </w:r>
      <w:r>
        <w:rPr>
          <w:rFonts w:ascii="宋体" w:hAnsi="宋体" w:cs="宋体" w:eastAsia="宋体" w:hint="default"/>
        </w:rPr>
        <w:t> 但并不能够控制或者与其他方一起共同控制这些政策的制定。投资企业能够对被投资单位施 加重大影响的，被投资单位为联营企业。</w:t>
      </w: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233" w:firstLine="420"/>
        <w:jc w:val="both"/>
        <w:rPr>
          <w:rFonts w:ascii="宋体" w:hAnsi="宋体" w:cs="宋体" w:eastAsia="宋体" w:hint="default"/>
        </w:rPr>
      </w:pPr>
      <w:r>
        <w:rPr>
          <w:rFonts w:ascii="宋体" w:hAnsi="宋体" w:cs="宋体" w:eastAsia="宋体" w:hint="default"/>
          <w:spacing w:val="2"/>
        </w:rPr>
        <w:t>成本法核算的、在活跃市场中没有报价、公允价值不能可靠计量的长期股权投资，其减 </w:t>
      </w:r>
      <w:r>
        <w:rPr>
          <w:rFonts w:ascii="宋体" w:hAnsi="宋体" w:cs="宋体" w:eastAsia="宋体" w:hint="default"/>
        </w:rPr>
        <w:t>值损失是根据其账面价值与按类似金融资产当时市场收益率对未来现金流量折现确定的现值</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之间的差额进行确定。</w:t>
      </w:r>
    </w:p>
    <w:p>
      <w:pPr>
        <w:pStyle w:val="BodyText"/>
        <w:spacing w:line="357" w:lineRule="auto"/>
        <w:ind w:right="233" w:firstLine="420"/>
        <w:jc w:val="both"/>
        <w:rPr>
          <w:rFonts w:ascii="宋体" w:hAnsi="宋体" w:cs="宋体" w:eastAsia="宋体" w:hint="default"/>
        </w:rPr>
      </w:pPr>
      <w:r>
        <w:rPr>
          <w:rFonts w:ascii="宋体" w:hAnsi="宋体" w:cs="宋体" w:eastAsia="宋体" w:hint="default"/>
          <w:spacing w:val="2"/>
        </w:rPr>
        <w:t>其他长期股权投资，如果可收回金额的计量结果表明，该长期股权投资的可收回金额低 </w:t>
      </w:r>
      <w:r>
        <w:rPr>
          <w:rFonts w:ascii="宋体" w:hAnsi="宋体" w:cs="宋体" w:eastAsia="宋体" w:hint="default"/>
        </w:rPr>
        <w:t>于其账面价值的，将差额确认为减值损失。</w:t>
      </w:r>
    </w:p>
    <w:p>
      <w:pPr>
        <w:pStyle w:val="BodyText"/>
        <w:spacing w:line="240" w:lineRule="auto"/>
        <w:ind w:left="638" w:right="105"/>
        <w:jc w:val="left"/>
        <w:rPr>
          <w:rFonts w:ascii="宋体" w:hAnsi="宋体" w:cs="宋体" w:eastAsia="宋体" w:hint="default"/>
        </w:rPr>
      </w:pPr>
      <w:r>
        <w:rPr>
          <w:rFonts w:ascii="宋体" w:hAnsi="宋体" w:cs="宋体" w:eastAsia="宋体" w:hint="default"/>
        </w:rPr>
        <w:t>长期股权投资减值损失一经确认，不得转回。</w:t>
      </w:r>
    </w:p>
    <w:p>
      <w:pPr>
        <w:spacing w:line="240" w:lineRule="auto" w:before="9"/>
        <w:rPr>
          <w:rFonts w:ascii="宋体" w:hAnsi="宋体" w:cs="宋体" w:eastAsia="宋体" w:hint="default"/>
          <w:sz w:val="34"/>
          <w:szCs w:val="34"/>
        </w:rPr>
      </w:pPr>
    </w:p>
    <w:p>
      <w:pPr>
        <w:pStyle w:val="Heading2"/>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5"/>
        <w:rPr>
          <w:rFonts w:ascii="宋体" w:hAnsi="宋体" w:cs="宋体" w:eastAsia="宋体" w:hint="default"/>
          <w:b/>
          <w:bCs/>
          <w:sz w:val="33"/>
          <w:szCs w:val="33"/>
        </w:rPr>
      </w:pPr>
    </w:p>
    <w:p>
      <w:pPr>
        <w:pStyle w:val="BodyText"/>
        <w:spacing w:line="338" w:lineRule="auto" w:before="0"/>
        <w:ind w:right="232" w:firstLine="420"/>
        <w:jc w:val="both"/>
        <w:rPr>
          <w:rFonts w:ascii="宋体" w:hAnsi="宋体" w:cs="宋体" w:eastAsia="宋体" w:hint="default"/>
        </w:rPr>
      </w:pPr>
      <w:r>
        <w:rPr>
          <w:rFonts w:ascii="Times New Roman" w:hAnsi="Times New Roman" w:cs="Times New Roman" w:eastAsia="Times New Roman" w:hint="default"/>
          <w:spacing w:val="-1"/>
        </w:rPr>
        <w:t>1</w:t>
      </w:r>
      <w:r>
        <w:rPr>
          <w:rFonts w:ascii="宋体" w:hAnsi="宋体" w:cs="宋体" w:eastAsia="宋体" w:hint="default"/>
          <w:spacing w:val="-1"/>
        </w:rPr>
        <w:t>．本公司投资性房地产是指为赚取租金或资本增值，或两者兼有而持有的房地产，主要</w:t>
      </w:r>
      <w:r>
        <w:rPr>
          <w:rFonts w:ascii="宋体" w:hAnsi="宋体" w:cs="宋体" w:eastAsia="宋体" w:hint="default"/>
        </w:rPr>
        <w:t> 包括：已出租的土地使用权、已出租的建筑物和持有并准备增值后转让的土地使用权。</w:t>
      </w:r>
    </w:p>
    <w:p>
      <w:pPr>
        <w:pStyle w:val="BodyText"/>
        <w:spacing w:line="240" w:lineRule="auto" w:before="55"/>
        <w:ind w:left="573" w:right="105"/>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．投资性房地产按照成本进行初始计量。</w:t>
      </w:r>
    </w:p>
    <w:p>
      <w:pPr>
        <w:pStyle w:val="BodyText"/>
        <w:spacing w:line="338" w:lineRule="auto" w:before="135"/>
        <w:ind w:right="235" w:firstLine="420"/>
        <w:jc w:val="both"/>
        <w:rPr>
          <w:rFonts w:ascii="宋体" w:hAnsi="宋体" w:cs="宋体" w:eastAsia="宋体" w:hint="default"/>
        </w:rPr>
      </w:pPr>
      <w:r>
        <w:rPr>
          <w:rFonts w:ascii="Times New Roman" w:hAnsi="Times New Roman" w:cs="Times New Roman" w:eastAsia="Times New Roman" w:hint="default"/>
          <w:spacing w:val="-1"/>
        </w:rPr>
        <w:t>3</w:t>
      </w:r>
      <w:r>
        <w:rPr>
          <w:rFonts w:ascii="宋体" w:hAnsi="宋体" w:cs="宋体" w:eastAsia="宋体" w:hint="default"/>
          <w:spacing w:val="-1"/>
        </w:rPr>
        <w:t>．资产负债表日公司对同时满足下列条件的投资性房地产采用公允价值模式计量外，其</w:t>
      </w:r>
      <w:r>
        <w:rPr>
          <w:rFonts w:ascii="宋体" w:hAnsi="宋体" w:cs="宋体" w:eastAsia="宋体" w:hint="default"/>
        </w:rPr>
        <w:t> 余投资性房地产采用成本模式计量：</w:t>
      </w:r>
    </w:p>
    <w:p>
      <w:pPr>
        <w:spacing w:after="0" w:line="338" w:lineRule="auto"/>
        <w:jc w:val="both"/>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left="573" w:right="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）投资性房地产所在地有活跃的房地产交易市场；</w:t>
      </w:r>
    </w:p>
    <w:p>
      <w:pPr>
        <w:pStyle w:val="BodyText"/>
        <w:spacing w:line="338" w:lineRule="auto" w:before="136"/>
        <w:ind w:right="153" w:firstLine="420"/>
        <w:jc w:val="left"/>
        <w:rPr>
          <w:rFonts w:ascii="宋体" w:hAnsi="宋体" w:cs="宋体" w:eastAsia="宋体" w:hint="default"/>
        </w:rPr>
      </w:pPr>
      <w:r>
        <w:rPr>
          <w:rFonts w:ascii="Times New Roman" w:hAnsi="Times New Roman" w:cs="Times New Roman" w:eastAsia="Times New Roman" w:hint="default"/>
          <w:spacing w:val="-1"/>
        </w:rPr>
        <w:t>2</w:t>
      </w:r>
      <w:r>
        <w:rPr>
          <w:rFonts w:ascii="宋体" w:hAnsi="宋体" w:cs="宋体" w:eastAsia="宋体" w:hint="default"/>
          <w:spacing w:val="-1"/>
        </w:rPr>
        <w:t>）能够从房地产交易市场上取得同类或类似房地产的市场价格及其他相关信息，从而对</w:t>
      </w:r>
      <w:r>
        <w:rPr>
          <w:rFonts w:ascii="宋体" w:hAnsi="宋体" w:cs="宋体" w:eastAsia="宋体" w:hint="default"/>
        </w:rPr>
        <w:t> 投资性房地产的公允价值作出合理的估计。</w:t>
      </w:r>
    </w:p>
    <w:p>
      <w:pPr>
        <w:pStyle w:val="BodyText"/>
        <w:spacing w:line="350" w:lineRule="auto" w:before="55"/>
        <w:ind w:right="156" w:firstLine="420"/>
        <w:jc w:val="both"/>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．本公司对采用成本计量的投资性房地产，按照后述</w:t>
      </w:r>
      <w:r>
        <w:rPr>
          <w:rFonts w:ascii="Times New Roman" w:hAnsi="Times New Roman" w:cs="Times New Roman" w:eastAsia="Times New Roman" w:hint="default"/>
        </w:rPr>
        <w:t>“</w:t>
      </w:r>
      <w:r>
        <w:rPr>
          <w:rFonts w:ascii="宋体" w:hAnsi="宋体" w:cs="宋体" w:eastAsia="宋体" w:hint="default"/>
        </w:rPr>
        <w:t>固定资产</w:t>
      </w:r>
      <w:r>
        <w:rPr>
          <w:rFonts w:ascii="Times New Roman" w:hAnsi="Times New Roman" w:cs="Times New Roman" w:eastAsia="Times New Roman" w:hint="default"/>
        </w:rPr>
        <w:t>”</w:t>
      </w:r>
      <w:r>
        <w:rPr>
          <w:rFonts w:ascii="宋体" w:hAnsi="宋体" w:cs="宋体" w:eastAsia="宋体" w:hint="default"/>
        </w:rPr>
        <w:t>、</w:t>
      </w:r>
      <w:r>
        <w:rPr>
          <w:rFonts w:ascii="Times New Roman" w:hAnsi="Times New Roman" w:cs="Times New Roman" w:eastAsia="Times New Roman" w:hint="default"/>
        </w:rPr>
        <w:t>“</w:t>
      </w:r>
      <w:r>
        <w:rPr>
          <w:rFonts w:ascii="宋体" w:hAnsi="宋体" w:cs="宋体" w:eastAsia="宋体" w:hint="default"/>
        </w:rPr>
        <w:t>无形资产</w:t>
      </w:r>
      <w:r>
        <w:rPr>
          <w:rFonts w:ascii="Times New Roman" w:hAnsi="Times New Roman" w:cs="Times New Roman" w:eastAsia="Times New Roman" w:hint="default"/>
        </w:rPr>
        <w:t>”</w:t>
      </w:r>
      <w:r>
        <w:rPr>
          <w:rFonts w:ascii="宋体" w:hAnsi="宋体" w:cs="宋体" w:eastAsia="宋体" w:hint="default"/>
        </w:rPr>
        <w:t>所述的方 法计提折旧或者摊销；对采用公允价值模式计量的投资性房地产不计提折旧或进行摊销，以</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资产负债表日投资性房地产的公允价值为基础调整其账面价值，将公允价值与账面价值之间</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的差额计入当期损益。</w:t>
      </w:r>
    </w:p>
    <w:p>
      <w:pPr>
        <w:pStyle w:val="BodyText"/>
        <w:spacing w:line="338" w:lineRule="auto" w:before="43"/>
        <w:ind w:right="0" w:firstLine="420"/>
        <w:jc w:val="left"/>
        <w:rPr>
          <w:rFonts w:ascii="宋体" w:hAnsi="宋体" w:cs="宋体" w:eastAsia="宋体" w:hint="default"/>
        </w:rPr>
      </w:pPr>
      <w:r>
        <w:rPr>
          <w:rFonts w:ascii="Times New Roman" w:hAnsi="Times New Roman" w:cs="Times New Roman" w:eastAsia="Times New Roman" w:hint="default"/>
          <w:spacing w:val="-1"/>
        </w:rPr>
        <w:t>5</w:t>
      </w:r>
      <w:r>
        <w:rPr>
          <w:rFonts w:ascii="宋体" w:hAnsi="宋体" w:cs="宋体" w:eastAsia="宋体" w:hint="default"/>
          <w:spacing w:val="-1"/>
        </w:rPr>
        <w:t>．投资性房地产由成本模式转为公允价值模式计量时，作为会计政策变更处理；已采用</w:t>
      </w:r>
      <w:r>
        <w:rPr>
          <w:rFonts w:ascii="宋体" w:hAnsi="宋体" w:cs="宋体" w:eastAsia="宋体" w:hint="default"/>
        </w:rPr>
        <w:t> 公允价值模式计量的投资性房地产，不得从公允价值模式转为成本模式。</w:t>
      </w:r>
    </w:p>
    <w:p>
      <w:pPr>
        <w:pStyle w:val="BodyText"/>
        <w:spacing w:line="352" w:lineRule="auto" w:before="55"/>
        <w:ind w:right="153" w:firstLine="420"/>
        <w:jc w:val="left"/>
        <w:rPr>
          <w:rFonts w:ascii="宋体" w:hAnsi="宋体" w:cs="宋体" w:eastAsia="宋体" w:hint="default"/>
        </w:rPr>
      </w:pPr>
      <w:r>
        <w:rPr>
          <w:rFonts w:ascii="Times New Roman" w:hAnsi="Times New Roman" w:cs="Times New Roman" w:eastAsia="Times New Roman" w:hint="default"/>
          <w:spacing w:val="-1"/>
        </w:rPr>
        <w:t>6</w:t>
      </w:r>
      <w:r>
        <w:rPr>
          <w:rFonts w:ascii="宋体" w:hAnsi="宋体" w:cs="宋体" w:eastAsia="宋体" w:hint="default"/>
          <w:spacing w:val="-1"/>
        </w:rPr>
        <w:t>．本公司采用公允价值模式计量的投资性房地产转换为自用房地产时，以其转换当日的</w:t>
      </w:r>
      <w:r>
        <w:rPr>
          <w:rFonts w:ascii="宋体" w:hAnsi="宋体" w:cs="宋体" w:eastAsia="宋体" w:hint="default"/>
        </w:rPr>
        <w:t> 公允价值作为自用房地产的账面价值，公允价值与原账面价值的差额计入当期损益。自用房</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地产或存货转换为采用公允价值模式计量的投资性房地产时，投资性房地产按照转换当日的</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公允价值计价，转换当日的公允价值小于原账面价值的，其差额计入当期损益；转换当日的</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公允价值大于原账面价值的，其差额计入所有者权益。 本报告期内本公司投资性房地产采用成本模式计量。</w:t>
      </w:r>
    </w:p>
    <w:p>
      <w:pPr>
        <w:spacing w:line="240" w:lineRule="auto" w:before="1"/>
        <w:rPr>
          <w:rFonts w:ascii="宋体" w:hAnsi="宋体" w:cs="宋体" w:eastAsia="宋体" w:hint="default"/>
          <w:sz w:val="26"/>
          <w:szCs w:val="26"/>
        </w:rPr>
      </w:pPr>
    </w:p>
    <w:p>
      <w:pPr>
        <w:pStyle w:val="Heading2"/>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0" w:firstLine="420"/>
        <w:jc w:val="left"/>
        <w:rPr>
          <w:rFonts w:ascii="宋体" w:hAnsi="宋体" w:cs="宋体" w:eastAsia="宋体" w:hint="default"/>
        </w:rPr>
      </w:pPr>
      <w:r>
        <w:rPr>
          <w:rFonts w:ascii="宋体" w:hAnsi="宋体" w:cs="宋体" w:eastAsia="宋体" w:hint="default"/>
          <w:spacing w:val="2"/>
        </w:rPr>
        <w:t>本公司固定资产指为生产商品、提供劳务、出租或经营管理而持有的、使用寿命超过一 </w:t>
      </w:r>
      <w:r>
        <w:rPr>
          <w:rFonts w:ascii="宋体" w:hAnsi="宋体" w:cs="宋体" w:eastAsia="宋体" w:hint="default"/>
        </w:rPr>
        <w:t>个会计年度的有形资产。</w:t>
      </w:r>
    </w:p>
    <w:p>
      <w:pPr>
        <w:spacing w:line="768" w:lineRule="exact" w:before="2"/>
        <w:ind w:left="719" w:right="0" w:hanging="567"/>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）融资租入固定资产的认定依据、计价方法</w:t>
      </w:r>
      <w:r>
        <w:rPr>
          <w:rFonts w:ascii="宋体" w:hAnsi="宋体" w:cs="宋体" w:eastAsia="宋体" w:hint="default"/>
          <w:b/>
          <w:bCs/>
          <w:w w:val="99"/>
          <w:sz w:val="24"/>
          <w:szCs w:val="24"/>
        </w:rPr>
        <w:t> </w:t>
      </w:r>
      <w:r>
        <w:rPr>
          <w:rFonts w:ascii="宋体" w:hAnsi="宋体" w:cs="宋体" w:eastAsia="宋体" w:hint="default"/>
          <w:spacing w:val="-5"/>
          <w:sz w:val="24"/>
          <w:szCs w:val="24"/>
        </w:rPr>
        <w:t>公司与租赁方所签订的协议条款中规定了下列件之一，确认为融资租入资产：（</w:t>
      </w:r>
      <w:r>
        <w:rPr>
          <w:rFonts w:ascii="Times New Roman" w:hAnsi="Times New Roman" w:cs="Times New Roman" w:eastAsia="Times New Roman" w:hint="default"/>
          <w:spacing w:val="-5"/>
          <w:sz w:val="24"/>
          <w:szCs w:val="24"/>
        </w:rPr>
        <w:t>1</w:t>
      </w:r>
      <w:r>
        <w:rPr>
          <w:rFonts w:ascii="宋体" w:hAnsi="宋体" w:cs="宋体" w:eastAsia="宋体" w:hint="default"/>
          <w:spacing w:val="-5"/>
          <w:sz w:val="24"/>
          <w:szCs w:val="24"/>
        </w:rPr>
        <w:t>）租赁</w:t>
      </w:r>
    </w:p>
    <w:p>
      <w:pPr>
        <w:pStyle w:val="BodyText"/>
        <w:spacing w:line="338" w:lineRule="auto" w:before="34"/>
        <w:ind w:right="189"/>
        <w:jc w:val="both"/>
        <w:rPr>
          <w:rFonts w:ascii="宋体" w:hAnsi="宋体" w:cs="宋体" w:eastAsia="宋体" w:hint="default"/>
        </w:rPr>
      </w:pPr>
      <w:r>
        <w:rPr>
          <w:rFonts w:ascii="宋体" w:hAnsi="宋体" w:cs="宋体" w:eastAsia="宋体" w:hint="default"/>
          <w:spacing w:val="-3"/>
        </w:rPr>
        <w:t>期满后资产的所有权归属于本公司；（</w:t>
      </w:r>
      <w:r>
        <w:rPr>
          <w:rFonts w:ascii="Times New Roman" w:hAnsi="Times New Roman" w:cs="Times New Roman" w:eastAsia="Times New Roman" w:hint="default"/>
          <w:spacing w:val="-3"/>
        </w:rPr>
        <w:t>2</w:t>
      </w:r>
      <w:r>
        <w:rPr>
          <w:rFonts w:ascii="宋体" w:hAnsi="宋体" w:cs="宋体" w:eastAsia="宋体" w:hint="default"/>
          <w:spacing w:val="-3"/>
        </w:rPr>
        <w:t>）公司具有购买资产的选择权，购买价款远低于行使</w:t>
      </w:r>
      <w:r>
        <w:rPr>
          <w:rFonts w:ascii="宋体" w:hAnsi="宋体" w:cs="宋体" w:eastAsia="宋体" w:hint="default"/>
          <w:spacing w:val="-116"/>
        </w:rPr>
        <w:t> </w:t>
      </w:r>
      <w:r>
        <w:rPr>
          <w:rFonts w:ascii="宋体" w:hAnsi="宋体" w:cs="宋体" w:eastAsia="宋体" w:hint="default"/>
          <w:spacing w:val="-6"/>
        </w:rPr>
        <w:t>选择权时该资产的允值价值；（</w:t>
      </w:r>
      <w:r>
        <w:rPr>
          <w:rFonts w:ascii="Times New Roman" w:hAnsi="Times New Roman" w:cs="Times New Roman" w:eastAsia="Times New Roman" w:hint="default"/>
          <w:spacing w:val="-6"/>
        </w:rPr>
        <w:t>3</w:t>
      </w:r>
      <w:r>
        <w:rPr>
          <w:rFonts w:ascii="宋体" w:hAnsi="宋体" w:cs="宋体" w:eastAsia="宋体" w:hint="default"/>
          <w:spacing w:val="-6"/>
        </w:rPr>
        <w:t>）租赁期占所租赁资产使用寿命的大部分；（</w:t>
      </w:r>
      <w:r>
        <w:rPr>
          <w:rFonts w:ascii="Times New Roman" w:hAnsi="Times New Roman" w:cs="Times New Roman" w:eastAsia="Times New Roman" w:hint="default"/>
          <w:spacing w:val="-6"/>
        </w:rPr>
        <w:t>4</w:t>
      </w:r>
      <w:r>
        <w:rPr>
          <w:rFonts w:ascii="宋体" w:hAnsi="宋体" w:cs="宋体" w:eastAsia="宋体" w:hint="default"/>
          <w:spacing w:val="-6"/>
        </w:rPr>
        <w:t>）租赁开始日</w:t>
      </w:r>
      <w:r>
        <w:rPr>
          <w:rFonts w:ascii="宋体" w:hAnsi="宋体" w:cs="宋体" w:eastAsia="宋体" w:hint="default"/>
          <w:spacing w:val="-106"/>
        </w:rPr>
        <w:t> </w:t>
      </w:r>
      <w:r>
        <w:rPr>
          <w:rFonts w:ascii="宋体" w:hAnsi="宋体" w:cs="宋体" w:eastAsia="宋体" w:hint="default"/>
        </w:rPr>
        <w:t>的最低付款额现值，与该资产的公允价值不存在较大差异。</w:t>
      </w:r>
    </w:p>
    <w:p>
      <w:pPr>
        <w:pStyle w:val="BodyText"/>
        <w:spacing w:line="240" w:lineRule="auto" w:before="96"/>
        <w:ind w:left="719" w:right="0"/>
        <w:jc w:val="left"/>
        <w:rPr>
          <w:rFonts w:ascii="宋体" w:hAnsi="宋体" w:cs="宋体" w:eastAsia="宋体" w:hint="default"/>
        </w:rPr>
      </w:pPr>
      <w:r>
        <w:rPr>
          <w:rFonts w:ascii="宋体" w:hAnsi="宋体" w:cs="宋体" w:eastAsia="宋体" w:hint="default"/>
        </w:rPr>
        <w:t>融资租入的固定资产，在租赁期开始日，按照租入固定资产公允价值与最低租赁付款额</w:t>
      </w:r>
    </w:p>
    <w:p>
      <w:pPr>
        <w:spacing w:after="0" w:line="240" w:lineRule="auto"/>
        <w:jc w:val="left"/>
        <w:rPr>
          <w:rFonts w:ascii="宋体" w:hAnsi="宋体" w:cs="宋体" w:eastAsia="宋体" w:hint="default"/>
        </w:rPr>
        <w:sectPr>
          <w:pgSz w:w="11910" w:h="16840"/>
          <w:pgMar w:header="555" w:footer="980" w:top="1100" w:bottom="1160" w:left="980" w:right="980"/>
        </w:sectPr>
      </w:pPr>
    </w:p>
    <w:p>
      <w:pPr>
        <w:spacing w:line="240" w:lineRule="auto" w:before="7"/>
        <w:rPr>
          <w:rFonts w:ascii="宋体" w:hAnsi="宋体" w:cs="宋体" w:eastAsia="宋体" w:hint="default"/>
          <w:sz w:val="25"/>
          <w:szCs w:val="25"/>
        </w:rPr>
      </w:pPr>
    </w:p>
    <w:p>
      <w:pPr>
        <w:pStyle w:val="BodyText"/>
        <w:spacing w:line="357" w:lineRule="auto" w:before="26"/>
        <w:ind w:right="254"/>
        <w:jc w:val="left"/>
        <w:rPr>
          <w:rFonts w:ascii="宋体" w:hAnsi="宋体" w:cs="宋体" w:eastAsia="宋体" w:hint="default"/>
        </w:rPr>
      </w:pPr>
      <w:r>
        <w:rPr>
          <w:rFonts w:ascii="宋体" w:hAnsi="宋体" w:cs="宋体" w:eastAsia="宋体" w:hint="default"/>
        </w:rPr>
        <w:t>现值两者中较低者加上可归属于租赁项目的手续费、律师费、差旅费、印花税等初始直接费 用之和，作为租入资产的入账价值。</w:t>
      </w:r>
    </w:p>
    <w:p>
      <w:pPr>
        <w:spacing w:line="240" w:lineRule="auto" w:before="12"/>
        <w:rPr>
          <w:rFonts w:ascii="宋体" w:hAnsi="宋体" w:cs="宋体" w:eastAsia="宋体" w:hint="default"/>
          <w:sz w:val="25"/>
          <w:szCs w:val="25"/>
        </w:rPr>
      </w:pPr>
    </w:p>
    <w:p>
      <w:pPr>
        <w:pStyle w:val="Heading2"/>
        <w:spacing w:line="240" w:lineRule="auto"/>
        <w:ind w:right="105"/>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2"/>
        <w:rPr>
          <w:rFonts w:ascii="宋体" w:hAnsi="宋体" w:cs="宋体" w:eastAsia="宋体" w:hint="default"/>
          <w:b/>
          <w:bCs/>
          <w:sz w:val="33"/>
          <w:szCs w:val="33"/>
        </w:rPr>
      </w:pPr>
    </w:p>
    <w:p>
      <w:pPr>
        <w:pStyle w:val="BodyText"/>
        <w:spacing w:line="357" w:lineRule="auto" w:before="0"/>
        <w:ind w:right="96" w:firstLine="420"/>
        <w:jc w:val="left"/>
        <w:rPr>
          <w:rFonts w:ascii="宋体" w:hAnsi="宋体" w:cs="宋体" w:eastAsia="宋体" w:hint="default"/>
        </w:rPr>
      </w:pPr>
      <w:r>
        <w:rPr/>
        <w:pict>
          <v:shape style="position:absolute;margin-left:57pt;margin-top:91.655617pt;width:478.7pt;height:140.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5"/>
                    <w:gridCol w:w="2116"/>
                    <w:gridCol w:w="2220"/>
                    <w:gridCol w:w="2727"/>
                  </w:tblGrid>
                  <w:tr>
                    <w:trPr>
                      <w:trHeight w:val="55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新宋体" w:hAnsi="新宋体" w:cs="新宋体" w:eastAsia="新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新宋体" w:hAnsi="新宋体" w:cs="新宋体" w:eastAsia="新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新宋体" w:hAnsi="新宋体" w:cs="新宋体" w:eastAsia="新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4.75-2.375%</w:t>
                        </w:r>
                      </w:p>
                    </w:tc>
                  </w:tr>
                  <w:tr>
                    <w:trPr>
                      <w:trHeight w:val="55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新宋体" w:hAnsi="新宋体" w:cs="新宋体" w:eastAsia="新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新宋体" w:hAnsi="新宋体" w:cs="新宋体" w:eastAsia="新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新宋体" w:hAnsi="新宋体" w:cs="新宋体" w:eastAsia="新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新宋体" w:hAnsi="新宋体" w:cs="新宋体" w:eastAsia="新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新宋体" w:hAnsi="新宋体" w:cs="新宋体" w:eastAsia="新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新宋体" w:hAnsi="新宋体" w:cs="新宋体" w:eastAsia="新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w:t>
                        </w:r>
                      </w:p>
                    </w:tc>
                  </w:tr>
                  <w:tr>
                    <w:trPr>
                      <w:trHeight w:val="559"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新宋体" w:hAnsi="新宋体" w:cs="新宋体" w:eastAsia="新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新宋体" w:hAnsi="新宋体" w:cs="新宋体" w:eastAsia="新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新宋体" w:hAnsi="新宋体" w:cs="新宋体" w:eastAsia="新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w:t>
                        </w:r>
                      </w:p>
                    </w:tc>
                  </w:tr>
                </w:tbl>
                <w:p>
                  <w:pPr/>
                </w:p>
              </w:txbxContent>
            </v:textbox>
            <w10:wrap type="none"/>
          </v:shape>
        </w:pict>
      </w:r>
      <w:r>
        <w:rPr>
          <w:rFonts w:ascii="宋体" w:hAnsi="宋体" w:cs="宋体" w:eastAsia="宋体" w:hint="default"/>
          <w:spacing w:val="2"/>
        </w:rPr>
        <w:t>固定资产折旧采用年限平均法在固定资产使用寿命内，对应计折旧额进行系统分摊。应</w:t>
      </w:r>
      <w:r>
        <w:rPr>
          <w:rFonts w:ascii="宋体" w:hAnsi="宋体" w:cs="宋体" w:eastAsia="宋体" w:hint="default"/>
        </w:rPr>
        <w:t> 计折旧额是指应当计提折旧的固定资产的原价扣除其预计净残值后的金额。已计提减值准备</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2"/>
        </w:rPr>
        <w:t>的固定资产，还应当扣除已计提的固定资产减值准备累计金额。在不考虑减值准备的情况下，</w:t>
      </w:r>
      <w:r>
        <w:rPr>
          <w:rFonts w:ascii="宋体" w:hAnsi="宋体" w:cs="宋体" w:eastAsia="宋体" w:hint="default"/>
        </w:rPr>
        <w:t> 按固定资产的类别、使用寿命和预计净残值率（</w:t>
      </w:r>
      <w:r>
        <w:rPr>
          <w:rFonts w:ascii="Times New Roman" w:hAnsi="Times New Roman" w:cs="Times New Roman" w:eastAsia="Times New Roman" w:hint="default"/>
        </w:rPr>
        <w:t>5%</w:t>
      </w:r>
      <w:r>
        <w:rPr>
          <w:rFonts w:ascii="宋体" w:hAnsi="宋体" w:cs="宋体" w:eastAsia="宋体" w:hint="default"/>
        </w:rPr>
        <w:t>）确定的折旧年限和年折旧率如下：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26"/>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4</w:t>
      </w:r>
      <w:r>
        <w:rPr>
          <w:rFonts w:ascii="新宋体" w:hAnsi="新宋体" w:cs="新宋体" w:eastAsia="新宋体" w:hint="default"/>
        </w:rPr>
        <w:t>）固定资产的减值测试方法、减值准备计提方法</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105" w:firstLine="420"/>
        <w:jc w:val="left"/>
      </w:pPr>
      <w:r>
        <w:rPr>
          <w:spacing w:val="2"/>
        </w:rPr>
        <w:t>公司在资产负债表日判断固定资产是否存在可能发生减值的迹象。对于存在减值迹象的 </w:t>
      </w:r>
      <w:r>
        <w:rPr/>
        <w:t>固定资产，估计其可收回金额。</w:t>
      </w:r>
    </w:p>
    <w:p>
      <w:pPr>
        <w:pStyle w:val="BodyText"/>
        <w:spacing w:line="357" w:lineRule="auto"/>
        <w:ind w:right="233" w:firstLine="420"/>
        <w:jc w:val="both"/>
      </w:pPr>
      <w:r>
        <w:rPr>
          <w:spacing w:val="2"/>
        </w:rPr>
        <w:t>固定资产减值准备的确认标准及计提方法为：期末按固定资产账面净值与可收回金额孰 </w:t>
      </w:r>
      <w:r>
        <w:rPr/>
        <w:t>低计价，对由于市价持续下跌，或技术陈旧、损坏、长期闲置等原因导致其可收回金额低于</w:t>
      </w:r>
      <w:r>
        <w:rPr>
          <w:spacing w:val="-91"/>
        </w:rPr>
        <w:t> </w:t>
      </w:r>
      <w:r>
        <w:rPr>
          <w:spacing w:val="-91"/>
        </w:rPr>
      </w:r>
      <w:r>
        <w:rPr/>
        <w:t>账面价值的，将可收回金额低于其账面价值的差额作为固定资产减值准备，计入当期损益。</w:t>
      </w:r>
      <w:r>
        <w:rPr>
          <w:spacing w:val="-91"/>
        </w:rPr>
        <w:t> </w:t>
      </w:r>
      <w:r>
        <w:rPr>
          <w:spacing w:val="-91"/>
        </w:rPr>
      </w:r>
      <w:r>
        <w:rPr/>
        <w:t>对存在下列情况之一的固定资产，全额计提减值准备：</w:t>
      </w:r>
    </w:p>
    <w:p>
      <w:pPr>
        <w:pStyle w:val="BodyText"/>
        <w:spacing w:line="240" w:lineRule="auto"/>
        <w:ind w:left="573" w:right="105"/>
        <w:jc w:val="left"/>
      </w:pPr>
      <w:r>
        <w:rPr>
          <w:rFonts w:ascii="新宋体" w:hAnsi="新宋体" w:cs="新宋体" w:eastAsia="新宋体" w:hint="default"/>
        </w:rPr>
        <w:t>1</w:t>
      </w:r>
      <w:r>
        <w:rPr/>
        <w:t>）长期闲置不用，在可预见的将来不会再使用，且已无转让价值的固定资产。</w:t>
      </w:r>
    </w:p>
    <w:p>
      <w:pPr>
        <w:pStyle w:val="BodyText"/>
        <w:spacing w:line="240" w:lineRule="auto" w:before="154"/>
        <w:ind w:left="573" w:right="105"/>
        <w:jc w:val="left"/>
      </w:pPr>
      <w:r>
        <w:rPr>
          <w:rFonts w:ascii="新宋体" w:hAnsi="新宋体" w:cs="新宋体" w:eastAsia="新宋体" w:hint="default"/>
        </w:rPr>
        <w:t>2</w:t>
      </w:r>
      <w:r>
        <w:rPr/>
        <w:t>）由于技术进步等原因，已不可使用的固定资产。</w:t>
      </w:r>
    </w:p>
    <w:p>
      <w:pPr>
        <w:pStyle w:val="BodyText"/>
        <w:spacing w:line="240" w:lineRule="auto" w:before="154"/>
        <w:ind w:left="573" w:right="105"/>
        <w:jc w:val="left"/>
      </w:pPr>
      <w:r>
        <w:rPr>
          <w:rFonts w:ascii="新宋体" w:hAnsi="新宋体" w:cs="新宋体" w:eastAsia="新宋体" w:hint="default"/>
        </w:rPr>
        <w:t>3</w:t>
      </w:r>
      <w:r>
        <w:rPr/>
        <w:t>）虽然尚可使用，但使用后产生大量不合格品的固定资产。</w:t>
      </w:r>
    </w:p>
    <w:p>
      <w:pPr>
        <w:pStyle w:val="BodyText"/>
        <w:spacing w:line="240" w:lineRule="auto" w:before="154"/>
        <w:ind w:left="573" w:right="105"/>
        <w:jc w:val="left"/>
      </w:pPr>
      <w:r>
        <w:rPr>
          <w:rFonts w:ascii="新宋体" w:hAnsi="新宋体" w:cs="新宋体" w:eastAsia="新宋体" w:hint="default"/>
        </w:rPr>
        <w:t>4</w:t>
      </w:r>
      <w:r>
        <w:rPr/>
        <w:t>）已遭毁损，以致于不再具有使用价值和转让价值的固定资产。</w:t>
      </w:r>
    </w:p>
    <w:p>
      <w:pPr>
        <w:pStyle w:val="BodyText"/>
        <w:spacing w:line="357" w:lineRule="auto" w:before="154"/>
        <w:ind w:left="573" w:right="1513"/>
        <w:jc w:val="left"/>
      </w:pPr>
      <w:r>
        <w:rPr>
          <w:rFonts w:ascii="新宋体" w:hAnsi="新宋体" w:cs="新宋体" w:eastAsia="新宋体" w:hint="default"/>
        </w:rPr>
        <w:t>5</w:t>
      </w:r>
      <w:r>
        <w:rPr/>
        <w:t>）其他实质上已经不能给公司带来经济利益的固定资产。 固定资产减值损失按单项资产计提，一经确认，在以后会计期间不得转回。</w:t>
      </w:r>
    </w:p>
    <w:p>
      <w:pPr>
        <w:spacing w:after="0" w:line="357"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Heading2"/>
        <w:spacing w:line="240" w:lineRule="auto" w:before="26"/>
        <w:ind w:right="105"/>
        <w:jc w:val="left"/>
        <w:rPr>
          <w:rFonts w:ascii="新宋体" w:hAnsi="新宋体" w:cs="新宋体" w:eastAsia="新宋体" w:hint="default"/>
          <w:b w:val="0"/>
          <w:bCs w:val="0"/>
        </w:rPr>
      </w:pPr>
      <w:r>
        <w:rPr>
          <w:rFonts w:ascii="新宋体" w:hAnsi="新宋体" w:cs="新宋体" w:eastAsia="新宋体" w:hint="default"/>
        </w:rPr>
        <w:t>15</w:t>
      </w:r>
      <w:r>
        <w:rPr>
          <w:rFonts w:ascii="新宋体" w:hAnsi="新宋体" w:cs="新宋体" w:eastAsia="新宋体" w:hint="default"/>
        </w:rPr>
        <w:t>、在建工程</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spacing w:line="588" w:lineRule="auto" w:before="0"/>
        <w:ind w:left="578" w:right="308" w:hanging="426"/>
        <w:jc w:val="left"/>
        <w:rPr>
          <w:rFonts w:ascii="新宋体" w:hAnsi="新宋体" w:cs="新宋体" w:eastAsia="新宋体" w:hint="default"/>
          <w:sz w:val="24"/>
          <w:szCs w:val="24"/>
        </w:rPr>
      </w:pPr>
      <w:r>
        <w:rPr>
          <w:rFonts w:ascii="新宋体" w:hAnsi="新宋体" w:cs="新宋体" w:eastAsia="新宋体" w:hint="default"/>
          <w:b/>
          <w:bCs/>
          <w:sz w:val="24"/>
          <w:szCs w:val="24"/>
        </w:rPr>
        <w:t>（</w:t>
      </w:r>
      <w:r>
        <w:rPr>
          <w:rFonts w:ascii="新宋体" w:hAnsi="新宋体" w:cs="新宋体" w:eastAsia="新宋体" w:hint="default"/>
          <w:b/>
          <w:bCs/>
          <w:sz w:val="24"/>
          <w:szCs w:val="24"/>
        </w:rPr>
        <w:t>1</w:t>
      </w:r>
      <w:r>
        <w:rPr>
          <w:rFonts w:ascii="新宋体" w:hAnsi="新宋体" w:cs="新宋体" w:eastAsia="新宋体" w:hint="default"/>
          <w:b/>
          <w:bCs/>
          <w:sz w:val="24"/>
          <w:szCs w:val="24"/>
        </w:rPr>
        <w:t>）在建工程的类别</w:t>
      </w:r>
      <w:r>
        <w:rPr>
          <w:rFonts w:ascii="新宋体" w:hAnsi="新宋体" w:cs="新宋体" w:eastAsia="新宋体" w:hint="default"/>
          <w:b/>
          <w:bCs/>
          <w:w w:val="99"/>
          <w:sz w:val="24"/>
          <w:szCs w:val="24"/>
        </w:rPr>
        <w:t> </w:t>
      </w:r>
      <w:r>
        <w:rPr>
          <w:rFonts w:ascii="新宋体" w:hAnsi="新宋体" w:cs="新宋体" w:eastAsia="新宋体" w:hint="default"/>
          <w:sz w:val="24"/>
          <w:szCs w:val="24"/>
        </w:rPr>
        <w:t>在建工程主要包括自营工程、出包工程、设备安装工程，及应当资本化的借款费用等。</w:t>
      </w:r>
    </w:p>
    <w:p>
      <w:pPr>
        <w:pStyle w:val="Heading2"/>
        <w:spacing w:line="240" w:lineRule="auto" w:before="108"/>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2</w:t>
      </w:r>
      <w:r>
        <w:rPr>
          <w:rFonts w:ascii="新宋体" w:hAnsi="新宋体" w:cs="新宋体" w:eastAsia="新宋体" w:hint="default"/>
        </w:rPr>
        <w:t>）在建工程结转为固定资产的标准和时点</w:t>
      </w:r>
      <w:r>
        <w:rPr>
          <w:rFonts w:ascii="新宋体" w:hAnsi="新宋体" w:cs="新宋体" w:eastAsia="新宋体" w:hint="default"/>
          <w:b w:val="0"/>
          <w:bCs w:val="0"/>
        </w:rPr>
      </w:r>
    </w:p>
    <w:p>
      <w:pPr>
        <w:spacing w:line="240" w:lineRule="auto" w:before="7"/>
        <w:rPr>
          <w:rFonts w:ascii="新宋体" w:hAnsi="新宋体" w:cs="新宋体" w:eastAsia="新宋体" w:hint="default"/>
          <w:b/>
          <w:bCs/>
          <w:sz w:val="34"/>
          <w:szCs w:val="34"/>
        </w:rPr>
      </w:pPr>
    </w:p>
    <w:p>
      <w:pPr>
        <w:pStyle w:val="BodyText"/>
        <w:spacing w:line="357" w:lineRule="auto" w:before="0"/>
        <w:ind w:right="271" w:firstLine="425"/>
        <w:jc w:val="both"/>
      </w:pPr>
      <w:r>
        <w:rPr/>
        <w:t>在建工程按各项工程实际发生的必要支出分项目核算，并在该工程项目达到预定可使用 状态时，按工程决算价结转固定资产，或者交付使用时按工程实际发生的必要成本估价转入 固定资产。</w:t>
      </w:r>
    </w:p>
    <w:p>
      <w:pPr>
        <w:spacing w:line="240" w:lineRule="auto" w:before="12"/>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3</w:t>
      </w:r>
      <w:r>
        <w:rPr>
          <w:rFonts w:ascii="新宋体" w:hAnsi="新宋体" w:cs="新宋体" w:eastAsia="新宋体" w:hint="default"/>
        </w:rPr>
        <w:t>）在建工程的减值测试方法、减值准备计提方法</w:t>
      </w:r>
      <w:r>
        <w:rPr>
          <w:rFonts w:ascii="新宋体" w:hAnsi="新宋体" w:cs="新宋体" w:eastAsia="新宋体" w:hint="default"/>
          <w:b w:val="0"/>
          <w:bCs w:val="0"/>
        </w:rPr>
      </w:r>
    </w:p>
    <w:p>
      <w:pPr>
        <w:spacing w:line="240" w:lineRule="auto" w:before="7"/>
        <w:rPr>
          <w:rFonts w:ascii="新宋体" w:hAnsi="新宋体" w:cs="新宋体" w:eastAsia="新宋体" w:hint="default"/>
          <w:b/>
          <w:bCs/>
          <w:sz w:val="34"/>
          <w:szCs w:val="34"/>
        </w:rPr>
      </w:pPr>
    </w:p>
    <w:p>
      <w:pPr>
        <w:pStyle w:val="BodyText"/>
        <w:spacing w:line="357" w:lineRule="auto" w:before="0"/>
        <w:ind w:right="233" w:firstLine="420"/>
        <w:jc w:val="both"/>
      </w:pPr>
      <w:r>
        <w:rPr>
          <w:spacing w:val="2"/>
        </w:rPr>
        <w:t>期末对在建工程按照账面价值与可收回金额孰低计量，对可收回金额低于账面价值的差 </w:t>
      </w:r>
      <w:r>
        <w:rPr/>
        <w:t>额，计提在建工程减值准备。在建工程减值准备按单项工程可收回金额低于账面价值的差额</w:t>
      </w:r>
      <w:r>
        <w:rPr>
          <w:spacing w:val="-91"/>
        </w:rPr>
        <w:t> </w:t>
      </w:r>
      <w:r>
        <w:rPr>
          <w:spacing w:val="-91"/>
        </w:rPr>
      </w:r>
      <w:r>
        <w:rPr/>
        <w:t>计提。</w:t>
      </w:r>
    </w:p>
    <w:p>
      <w:pPr>
        <w:pStyle w:val="BodyText"/>
        <w:spacing w:line="357" w:lineRule="auto"/>
        <w:ind w:right="233" w:firstLine="420"/>
        <w:jc w:val="both"/>
      </w:pPr>
      <w:r>
        <w:rPr>
          <w:spacing w:val="2"/>
        </w:rPr>
        <w:t>期末对在建工程进行全面检查，如果有证据表明在建工程已经发生了减值，则对其计提 </w:t>
      </w:r>
      <w:r>
        <w:rPr/>
        <w:t>在建工程减值准备。当存在下列一项或若干项情况时，对在建工程计提在建工程减值准备：</w:t>
      </w:r>
    </w:p>
    <w:p>
      <w:pPr>
        <w:pStyle w:val="BodyText"/>
        <w:spacing w:line="240" w:lineRule="auto"/>
        <w:ind w:left="573" w:right="105"/>
        <w:jc w:val="left"/>
      </w:pPr>
      <w:r>
        <w:rPr/>
        <w:t>（</w:t>
      </w:r>
      <w:r>
        <w:rPr>
          <w:rFonts w:ascii="新宋体" w:hAnsi="新宋体" w:cs="新宋体" w:eastAsia="新宋体" w:hint="default"/>
        </w:rPr>
        <w:t>1</w:t>
      </w:r>
      <w:r>
        <w:rPr/>
        <w:t>）长期停建并且预计在未来</w:t>
      </w:r>
      <w:r>
        <w:rPr>
          <w:rFonts w:ascii="新宋体" w:hAnsi="新宋体" w:cs="新宋体" w:eastAsia="新宋体" w:hint="default"/>
        </w:rPr>
        <w:t>3</w:t>
      </w:r>
      <w:r>
        <w:rPr/>
        <w:t>年内不会重新开工的在建工程。</w:t>
      </w:r>
    </w:p>
    <w:p>
      <w:pPr>
        <w:pStyle w:val="BodyText"/>
        <w:spacing w:line="357" w:lineRule="auto" w:before="154"/>
        <w:ind w:right="232" w:firstLine="420"/>
        <w:jc w:val="both"/>
      </w:pPr>
      <w:r>
        <w:rPr>
          <w:spacing w:val="-1"/>
        </w:rPr>
        <w:t>（</w:t>
      </w:r>
      <w:r>
        <w:rPr>
          <w:rFonts w:ascii="新宋体" w:hAnsi="新宋体" w:cs="新宋体" w:eastAsia="新宋体" w:hint="default"/>
          <w:spacing w:val="-1"/>
        </w:rPr>
        <w:t>2</w:t>
      </w:r>
      <w:r>
        <w:rPr>
          <w:spacing w:val="-1"/>
        </w:rPr>
        <w:t>）所建项目无论在性能上，还是在技术上已经落后，并且给企业带来的经济效益具有</w:t>
      </w:r>
      <w:r>
        <w:rPr/>
        <w:t> 很大的不确定性。</w:t>
      </w:r>
    </w:p>
    <w:p>
      <w:pPr>
        <w:pStyle w:val="BodyText"/>
        <w:spacing w:line="357" w:lineRule="auto"/>
        <w:ind w:left="573" w:right="1513"/>
        <w:jc w:val="left"/>
      </w:pPr>
      <w:r>
        <w:rPr/>
        <w:t>（</w:t>
      </w:r>
      <w:r>
        <w:rPr>
          <w:rFonts w:ascii="新宋体" w:hAnsi="新宋体" w:cs="新宋体" w:eastAsia="新宋体" w:hint="default"/>
        </w:rPr>
        <w:t>3</w:t>
      </w:r>
      <w:r>
        <w:rPr/>
        <w:t>）其他足以证明在建工程已经发生了减值的情形。 在建工程减值准备按单项工程计提，一经确认，在以后会计期间不得转回。</w:t>
      </w:r>
    </w:p>
    <w:p>
      <w:pPr>
        <w:spacing w:line="240" w:lineRule="auto" w:before="9"/>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16</w:t>
      </w:r>
      <w:r>
        <w:rPr>
          <w:rFonts w:ascii="新宋体" w:hAnsi="新宋体" w:cs="新宋体" w:eastAsia="新宋体" w:hint="default"/>
        </w:rPr>
        <w:t>、借款费用</w:t>
      </w:r>
      <w:r>
        <w:rPr>
          <w:rFonts w:ascii="新宋体" w:hAnsi="新宋体" w:cs="新宋体" w:eastAsia="新宋体" w:hint="default"/>
          <w:b w:val="0"/>
          <w:bCs w:val="0"/>
        </w:rPr>
      </w:r>
    </w:p>
    <w:p>
      <w:pPr>
        <w:spacing w:line="240" w:lineRule="auto" w:before="10"/>
        <w:rPr>
          <w:rFonts w:ascii="新宋体" w:hAnsi="新宋体" w:cs="新宋体" w:eastAsia="新宋体" w:hint="default"/>
          <w:b/>
          <w:bCs/>
          <w:sz w:val="34"/>
          <w:szCs w:val="34"/>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1</w:t>
      </w:r>
      <w:r>
        <w:rPr>
          <w:rFonts w:ascii="新宋体" w:hAnsi="新宋体" w:cs="新宋体" w:eastAsia="新宋体" w:hint="default"/>
        </w:rPr>
        <w:t>）借款费用资本化的确认原则</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96" w:firstLine="420"/>
        <w:jc w:val="left"/>
      </w:pPr>
      <w:r>
        <w:rPr>
          <w:spacing w:val="2"/>
        </w:rPr>
        <w:t>为购建或者生产符合资本化条件的资产而借入专门借款利息费用及辅助费用和占用一般 </w:t>
      </w:r>
      <w:r>
        <w:rPr>
          <w:spacing w:val="-2"/>
        </w:rPr>
        <w:t>借款的利息费用、折价或溢价的摊销、以及外币专门借款汇兑差额，在同时满足下述条件时，</w:t>
      </w:r>
      <w:r>
        <w:rPr/>
        <w:t> 予以资本化，计入相关资产成本：</w:t>
      </w:r>
    </w:p>
    <w:p>
      <w:pPr>
        <w:spacing w:after="0" w:line="357"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240" w:lineRule="auto" w:before="26"/>
        <w:ind w:left="573" w:right="105"/>
        <w:jc w:val="left"/>
      </w:pPr>
      <w:r>
        <w:rPr/>
        <w:t>（</w:t>
      </w:r>
      <w:r>
        <w:rPr>
          <w:rFonts w:ascii="新宋体" w:hAnsi="新宋体" w:cs="新宋体" w:eastAsia="新宋体" w:hint="default"/>
        </w:rPr>
        <w:t>1</w:t>
      </w:r>
      <w:r>
        <w:rPr/>
        <w:t>）资产支出已经发生；</w:t>
      </w:r>
    </w:p>
    <w:p>
      <w:pPr>
        <w:pStyle w:val="BodyText"/>
        <w:spacing w:line="240" w:lineRule="auto" w:before="154"/>
        <w:ind w:left="573" w:right="105"/>
        <w:jc w:val="left"/>
      </w:pPr>
      <w:r>
        <w:rPr/>
        <w:t>（</w:t>
      </w:r>
      <w:r>
        <w:rPr>
          <w:rFonts w:ascii="新宋体" w:hAnsi="新宋体" w:cs="新宋体" w:eastAsia="新宋体" w:hint="default"/>
        </w:rPr>
        <w:t>2</w:t>
      </w:r>
      <w:r>
        <w:rPr/>
        <w:t>）借款费用已经发生；</w:t>
      </w:r>
    </w:p>
    <w:p>
      <w:pPr>
        <w:pStyle w:val="BodyText"/>
        <w:spacing w:line="357" w:lineRule="auto" w:before="154"/>
        <w:ind w:left="573" w:right="433"/>
        <w:jc w:val="left"/>
      </w:pPr>
      <w:r>
        <w:rPr/>
        <w:t>（</w:t>
      </w:r>
      <w:r>
        <w:rPr>
          <w:rFonts w:ascii="新宋体" w:hAnsi="新宋体" w:cs="新宋体" w:eastAsia="新宋体" w:hint="default"/>
        </w:rPr>
        <w:t>3</w:t>
      </w:r>
      <w:r>
        <w:rPr/>
        <w:t>）为使资产达到预定可使用或者可销售状态所必要的购建或者生产活动已经开始。 一般借款发生的辅助费用，在发生时根据其发生额确认为费用，计入当期损益。</w:t>
      </w:r>
    </w:p>
    <w:p>
      <w:pPr>
        <w:spacing w:line="240" w:lineRule="auto" w:before="9"/>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2</w:t>
      </w:r>
      <w:r>
        <w:rPr>
          <w:rFonts w:ascii="新宋体" w:hAnsi="新宋体" w:cs="新宋体" w:eastAsia="新宋体" w:hint="default"/>
        </w:rPr>
        <w:t>）借款费用资本化期间</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96" w:firstLine="420"/>
        <w:jc w:val="left"/>
      </w:pPr>
      <w:r>
        <w:rPr>
          <w:spacing w:val="2"/>
        </w:rPr>
        <w:t>指从借款费用开始资本化时点到停止资本化时点的期间。借款费用暂停资本化的期间不 </w:t>
      </w:r>
      <w:r>
        <w:rPr/>
        <w:t>包括在内。为购建或者生产资产所借入的专门借款，其所发生的借款费用，在所购建或者生</w:t>
      </w:r>
      <w:r>
        <w:rPr>
          <w:spacing w:val="-91"/>
        </w:rPr>
        <w:t> </w:t>
      </w:r>
      <w:r>
        <w:rPr>
          <w:spacing w:val="-91"/>
        </w:rPr>
      </w:r>
      <w:r>
        <w:rPr>
          <w:spacing w:val="-2"/>
        </w:rPr>
        <w:t>产符合资本化条件的资产达到预定可使用或者可销售状态之前发生的，在发生时予以资本化；</w:t>
      </w:r>
      <w:r>
        <w:rPr/>
        <w:t> 以后发生的借款费用，在发生时根据其发生额确认为费用，计入当期损益。</w:t>
      </w:r>
    </w:p>
    <w:p>
      <w:pPr>
        <w:spacing w:line="240" w:lineRule="auto" w:before="9"/>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3</w:t>
      </w:r>
      <w:r>
        <w:rPr>
          <w:rFonts w:ascii="新宋体" w:hAnsi="新宋体" w:cs="新宋体" w:eastAsia="新宋体" w:hint="default"/>
        </w:rPr>
        <w:t>）暂停资本化期间</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309" w:firstLine="425"/>
        <w:jc w:val="left"/>
      </w:pPr>
      <w:r>
        <w:rPr/>
        <w:t>在购建或生产过程中发生非正常中断、且中断时间连续超过</w:t>
      </w:r>
      <w:r>
        <w:rPr>
          <w:rFonts w:ascii="新宋体" w:hAnsi="新宋体" w:cs="新宋体" w:eastAsia="新宋体" w:hint="default"/>
        </w:rPr>
        <w:t>3 </w:t>
      </w:r>
      <w:r>
        <w:rPr/>
        <w:t>个月的，应当暂停借款费 用的资本化。</w:t>
      </w:r>
    </w:p>
    <w:p>
      <w:pPr>
        <w:spacing w:line="240" w:lineRule="auto" w:before="9"/>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4</w:t>
      </w:r>
      <w:r>
        <w:rPr>
          <w:rFonts w:ascii="新宋体" w:hAnsi="新宋体" w:cs="新宋体" w:eastAsia="新宋体" w:hint="default"/>
        </w:rPr>
        <w:t>）借款费用资本化金额的计算方法</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235" w:firstLine="420"/>
        <w:jc w:val="both"/>
      </w:pPr>
      <w:r>
        <w:rPr>
          <w:spacing w:val="-1"/>
        </w:rPr>
        <w:t>（</w:t>
      </w:r>
      <w:r>
        <w:rPr>
          <w:rFonts w:ascii="新宋体" w:hAnsi="新宋体" w:cs="新宋体" w:eastAsia="新宋体" w:hint="default"/>
          <w:spacing w:val="-1"/>
        </w:rPr>
        <w:t>1</w:t>
      </w:r>
      <w:r>
        <w:rPr>
          <w:spacing w:val="-1"/>
        </w:rPr>
        <w:t>）为购建或者生产符合资本化条件的资产而借入专门借款的，以专门借款实际发生的</w:t>
      </w:r>
      <w:r>
        <w:rPr/>
        <w:t> 利息费用，减去将尚未动用借款资金存入银行取得的利息收入或进行暂时性投资取得的投资</w:t>
      </w:r>
      <w:r>
        <w:rPr>
          <w:spacing w:val="-91"/>
        </w:rPr>
        <w:t> </w:t>
      </w:r>
      <w:r>
        <w:rPr>
          <w:spacing w:val="-91"/>
        </w:rPr>
      </w:r>
      <w:r>
        <w:rPr/>
        <w:t>收益后的金额确定。</w:t>
      </w:r>
    </w:p>
    <w:p>
      <w:pPr>
        <w:pStyle w:val="BodyText"/>
        <w:spacing w:line="357" w:lineRule="auto"/>
        <w:ind w:right="233" w:firstLine="420"/>
        <w:jc w:val="left"/>
      </w:pPr>
      <w:r>
        <w:rPr>
          <w:spacing w:val="-1"/>
        </w:rPr>
        <w:t>（</w:t>
      </w:r>
      <w:r>
        <w:rPr>
          <w:rFonts w:ascii="新宋体" w:hAnsi="新宋体" w:cs="新宋体" w:eastAsia="新宋体" w:hint="default"/>
          <w:spacing w:val="-1"/>
        </w:rPr>
        <w:t>2</w:t>
      </w:r>
      <w:r>
        <w:rPr>
          <w:spacing w:val="-1"/>
        </w:rPr>
        <w:t>）在借款费用资本化期间内，为购建或者生产符合资本化条件的资产占用了一般借款</w:t>
      </w:r>
      <w:r>
        <w:rPr/>
        <w:t> 的，一般借款应予资本化的利息金额按照下列公式计算：</w:t>
      </w:r>
    </w:p>
    <w:p>
      <w:pPr>
        <w:pStyle w:val="BodyText"/>
        <w:spacing w:line="240" w:lineRule="auto"/>
        <w:ind w:left="573" w:right="105"/>
        <w:jc w:val="left"/>
      </w:pPr>
      <w:r>
        <w:rPr>
          <w:spacing w:val="2"/>
        </w:rPr>
        <w:t>一般借款利息费用资本化金额＝累计资产支出超过专门借款部分的资产支出加权平均数</w:t>
      </w:r>
      <w:r>
        <w:rPr/>
      </w:r>
    </w:p>
    <w:p>
      <w:pPr>
        <w:pStyle w:val="BodyText"/>
        <w:spacing w:line="240" w:lineRule="auto" w:before="154"/>
        <w:ind w:right="105"/>
        <w:jc w:val="left"/>
      </w:pPr>
      <w:r>
        <w:rPr/>
        <w:t>×所占用一般借款的资本化率</w:t>
      </w:r>
    </w:p>
    <w:p>
      <w:pPr>
        <w:pStyle w:val="BodyText"/>
        <w:spacing w:line="357" w:lineRule="auto" w:before="154"/>
        <w:ind w:right="105" w:firstLine="420"/>
        <w:jc w:val="left"/>
      </w:pPr>
      <w:r>
        <w:rPr>
          <w:spacing w:val="2"/>
        </w:rPr>
        <w:t>所占用一般借款的资本化率＝所占用一般借款加权平均利率＝所占用一般借款当期实际 </w:t>
      </w:r>
      <w:r>
        <w:rPr/>
        <w:t>发生的利息之和÷所占用一般借款本金加权平均数</w:t>
      </w:r>
    </w:p>
    <w:p>
      <w:pPr>
        <w:pStyle w:val="BodyText"/>
        <w:spacing w:line="357" w:lineRule="auto"/>
        <w:ind w:right="105" w:firstLine="420"/>
        <w:jc w:val="left"/>
      </w:pPr>
      <w:r>
        <w:rPr>
          <w:spacing w:val="2"/>
        </w:rPr>
        <w:t>所占用一般借款本金加权平均数＝Σ（所占用每笔一般借款本金×每笔一般借款在当期</w:t>
      </w:r>
      <w:r>
        <w:rPr/>
        <w:t> 所占用的天数</w:t>
      </w:r>
      <w:r>
        <w:rPr>
          <w:rFonts w:ascii="新宋体" w:hAnsi="新宋体" w:cs="新宋体" w:eastAsia="新宋体" w:hint="default"/>
        </w:rPr>
        <w:t>/</w:t>
      </w:r>
      <w:r>
        <w:rPr/>
        <w:t>当期天数）</w:t>
      </w:r>
    </w:p>
    <w:p>
      <w:pPr>
        <w:pStyle w:val="BodyText"/>
        <w:spacing w:line="240" w:lineRule="auto"/>
        <w:ind w:left="573" w:right="105"/>
        <w:jc w:val="left"/>
      </w:pPr>
      <w:r>
        <w:rPr/>
        <w:t>（</w:t>
      </w:r>
      <w:r>
        <w:rPr>
          <w:rFonts w:ascii="新宋体" w:hAnsi="新宋体" w:cs="新宋体" w:eastAsia="新宋体" w:hint="default"/>
        </w:rPr>
        <w:t>3</w:t>
      </w:r>
      <w:r>
        <w:rPr/>
        <w:t>）借款存在折价或者溢价的，按照实际利率法确定每一会计期间应摊销的折价或者溢</w:t>
      </w:r>
    </w:p>
    <w:p>
      <w:pPr>
        <w:spacing w:after="0" w:line="240"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240" w:lineRule="auto" w:before="26"/>
        <w:ind w:right="105"/>
        <w:jc w:val="left"/>
      </w:pPr>
      <w:r>
        <w:rPr/>
        <w:t>价金额，调整每期利息金额。</w:t>
      </w:r>
    </w:p>
    <w:p>
      <w:pPr>
        <w:pStyle w:val="BodyText"/>
        <w:spacing w:line="357" w:lineRule="auto" w:before="154"/>
        <w:ind w:right="232" w:firstLine="420"/>
        <w:jc w:val="both"/>
      </w:pPr>
      <w:r>
        <w:rPr>
          <w:spacing w:val="-1"/>
        </w:rPr>
        <w:t>（</w:t>
      </w:r>
      <w:r>
        <w:rPr>
          <w:rFonts w:ascii="新宋体" w:hAnsi="新宋体" w:cs="新宋体" w:eastAsia="新宋体" w:hint="default"/>
          <w:spacing w:val="-1"/>
        </w:rPr>
        <w:t>4</w:t>
      </w:r>
      <w:r>
        <w:rPr>
          <w:spacing w:val="-1"/>
        </w:rPr>
        <w:t>）在资本化期间内，每一会计期间的利息资本化金额，不超过当期相关借款实际发生</w:t>
      </w:r>
      <w:r>
        <w:rPr/>
        <w:t> 的利息金额。</w:t>
      </w:r>
    </w:p>
    <w:p>
      <w:pPr>
        <w:spacing w:line="240" w:lineRule="auto" w:before="9"/>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17</w:t>
      </w:r>
      <w:r>
        <w:rPr>
          <w:rFonts w:ascii="新宋体" w:hAnsi="新宋体" w:cs="新宋体" w:eastAsia="新宋体" w:hint="default"/>
        </w:rPr>
        <w:t>、无形资产</w:t>
      </w:r>
      <w:r>
        <w:rPr>
          <w:rFonts w:ascii="新宋体" w:hAnsi="新宋体" w:cs="新宋体" w:eastAsia="新宋体" w:hint="default"/>
          <w:b w:val="0"/>
          <w:bCs w:val="0"/>
        </w:rPr>
      </w:r>
    </w:p>
    <w:p>
      <w:pPr>
        <w:spacing w:line="770" w:lineRule="atLeast" w:before="0"/>
        <w:ind w:left="573" w:right="3433" w:hanging="421"/>
        <w:jc w:val="left"/>
        <w:rPr>
          <w:rFonts w:ascii="新宋体" w:hAnsi="新宋体" w:cs="新宋体" w:eastAsia="新宋体" w:hint="default"/>
          <w:sz w:val="24"/>
          <w:szCs w:val="24"/>
        </w:rPr>
      </w:pPr>
      <w:r>
        <w:rPr>
          <w:rFonts w:ascii="新宋体" w:hAnsi="新宋体" w:cs="新宋体" w:eastAsia="新宋体" w:hint="default"/>
          <w:b/>
          <w:bCs/>
          <w:sz w:val="24"/>
          <w:szCs w:val="24"/>
        </w:rPr>
        <w:t>（</w:t>
      </w:r>
      <w:r>
        <w:rPr>
          <w:rFonts w:ascii="新宋体" w:hAnsi="新宋体" w:cs="新宋体" w:eastAsia="新宋体" w:hint="default"/>
          <w:b/>
          <w:bCs/>
          <w:sz w:val="24"/>
          <w:szCs w:val="24"/>
        </w:rPr>
        <w:t>1</w:t>
      </w:r>
      <w:r>
        <w:rPr>
          <w:rFonts w:ascii="新宋体" w:hAnsi="新宋体" w:cs="新宋体" w:eastAsia="新宋体" w:hint="default"/>
          <w:b/>
          <w:bCs/>
          <w:sz w:val="24"/>
          <w:szCs w:val="24"/>
        </w:rPr>
        <w:t>）无形资产的计价方法</w:t>
      </w:r>
      <w:r>
        <w:rPr>
          <w:rFonts w:ascii="新宋体" w:hAnsi="新宋体" w:cs="新宋体" w:eastAsia="新宋体" w:hint="default"/>
          <w:b/>
          <w:bCs/>
          <w:w w:val="99"/>
          <w:sz w:val="24"/>
          <w:szCs w:val="24"/>
        </w:rPr>
        <w:t> </w:t>
      </w:r>
      <w:r>
        <w:rPr>
          <w:rFonts w:ascii="新宋体" w:hAnsi="新宋体" w:cs="新宋体" w:eastAsia="新宋体" w:hint="default"/>
          <w:sz w:val="24"/>
          <w:szCs w:val="24"/>
        </w:rPr>
        <w:t>无形资产按照成本进行初始计量，成本按以下原则确定：</w:t>
      </w:r>
    </w:p>
    <w:p>
      <w:pPr>
        <w:pStyle w:val="BodyText"/>
        <w:spacing w:line="357" w:lineRule="auto" w:before="154"/>
        <w:ind w:right="232" w:firstLine="420"/>
        <w:jc w:val="both"/>
      </w:pPr>
      <w:r>
        <w:rPr>
          <w:spacing w:val="-1"/>
        </w:rPr>
        <w:t>（</w:t>
      </w:r>
      <w:r>
        <w:rPr>
          <w:rFonts w:ascii="新宋体" w:hAnsi="新宋体" w:cs="新宋体" w:eastAsia="新宋体" w:hint="default"/>
          <w:spacing w:val="-1"/>
        </w:rPr>
        <w:t>1</w:t>
      </w:r>
      <w:r>
        <w:rPr>
          <w:spacing w:val="-1"/>
        </w:rPr>
        <w:t>）外购无形资产的成本，包括购买价款、相关税费以及直接归属于使该项资产达到预</w:t>
      </w:r>
      <w:r>
        <w:rPr/>
        <w:t> 定用途所发生的其他支出。购买无形资产的价款超过正常信用条件延期支付，实质上具有融</w:t>
      </w:r>
      <w:r>
        <w:rPr>
          <w:spacing w:val="-91"/>
        </w:rPr>
        <w:t> </w:t>
      </w:r>
      <w:r>
        <w:rPr>
          <w:spacing w:val="-91"/>
        </w:rPr>
      </w:r>
      <w:r>
        <w:rPr/>
        <w:t>资性质的，无形资产的成本以购买价款的现值为基础确定。实际支付的价款与购买价款的现</w:t>
      </w:r>
      <w:r>
        <w:rPr>
          <w:spacing w:val="-91"/>
        </w:rPr>
        <w:t> </w:t>
      </w:r>
      <w:r>
        <w:rPr>
          <w:spacing w:val="-91"/>
        </w:rPr>
      </w:r>
      <w:r>
        <w:rPr/>
        <w:t>值之间的差额，除符合条件应予资本化的以外，在信用期间内计入当期损益。</w:t>
      </w:r>
    </w:p>
    <w:p>
      <w:pPr>
        <w:pStyle w:val="BodyText"/>
        <w:spacing w:line="357" w:lineRule="auto"/>
        <w:ind w:left="573" w:right="113"/>
        <w:jc w:val="left"/>
      </w:pPr>
      <w:r>
        <w:rPr>
          <w:spacing w:val="-4"/>
        </w:rPr>
        <w:t>（</w:t>
      </w:r>
      <w:r>
        <w:rPr>
          <w:rFonts w:ascii="新宋体" w:hAnsi="新宋体" w:cs="新宋体" w:eastAsia="新宋体" w:hint="default"/>
          <w:spacing w:val="-4"/>
        </w:rPr>
        <w:t>2</w:t>
      </w:r>
      <w:r>
        <w:rPr>
          <w:spacing w:val="-4"/>
        </w:rPr>
        <w:t>）本公司内部研究开发项目开发阶段的支出，同时满足下列条件的，确认为无形资产：</w:t>
      </w:r>
      <w:r>
        <w:rPr>
          <w:spacing w:val="-104"/>
        </w:rPr>
        <w:t> </w:t>
      </w:r>
      <w:r>
        <w:rPr>
          <w:spacing w:val="-104"/>
        </w:rPr>
      </w:r>
      <w:r>
        <w:rPr>
          <w:rFonts w:ascii="新宋体" w:hAnsi="新宋体" w:cs="新宋体" w:eastAsia="新宋体" w:hint="default"/>
        </w:rPr>
        <w:t>A</w:t>
      </w:r>
      <w:r>
        <w:rPr/>
        <w:t>．完成该无形资产以使其能够使用或出售在技术上具有可行性； </w:t>
      </w:r>
      <w:r>
        <w:rPr>
          <w:rFonts w:ascii="新宋体" w:hAnsi="新宋体" w:cs="新宋体" w:eastAsia="新宋体" w:hint="default"/>
        </w:rPr>
        <w:t>B</w:t>
      </w:r>
      <w:r>
        <w:rPr/>
        <w:t>．具有完成该无形资产并使用或出售的意图； </w:t>
      </w:r>
      <w:r>
        <w:rPr>
          <w:rFonts w:ascii="新宋体" w:hAnsi="新宋体" w:cs="新宋体" w:eastAsia="新宋体" w:hint="default"/>
        </w:rPr>
        <w:t>C</w:t>
      </w:r>
      <w:r>
        <w:rPr/>
        <w:t>．无形资产产生经济利益的方式，包括能够证明运用该无形资产生产的产品存在市场或</w:t>
      </w:r>
    </w:p>
    <w:p>
      <w:pPr>
        <w:pStyle w:val="BodyText"/>
        <w:spacing w:line="357" w:lineRule="auto"/>
        <w:ind w:left="573" w:right="105" w:hanging="421"/>
        <w:jc w:val="left"/>
      </w:pPr>
      <w:r>
        <w:rPr/>
        <w:t>无形资产自身存在市场，无形资产将在内部使用的，能证明其有用性； </w:t>
      </w:r>
      <w:r>
        <w:rPr>
          <w:rFonts w:ascii="新宋体" w:hAnsi="新宋体" w:cs="新宋体" w:eastAsia="新宋体" w:hint="default"/>
          <w:spacing w:val="-1"/>
        </w:rPr>
        <w:t>D</w:t>
      </w:r>
      <w:r>
        <w:rPr>
          <w:spacing w:val="-1"/>
        </w:rPr>
        <w:t>．有足够的技术、财务资源和其他资源支持，以完成该无形资产的开发，并有能力使用</w:t>
      </w:r>
    </w:p>
    <w:p>
      <w:pPr>
        <w:pStyle w:val="BodyText"/>
        <w:spacing w:line="357" w:lineRule="auto"/>
        <w:ind w:left="573" w:right="3553" w:hanging="421"/>
        <w:jc w:val="left"/>
      </w:pPr>
      <w:r>
        <w:rPr/>
        <w:t>或出售该无形资产； </w:t>
      </w:r>
      <w:r>
        <w:rPr>
          <w:rFonts w:ascii="新宋体" w:hAnsi="新宋体" w:cs="新宋体" w:eastAsia="新宋体" w:hint="default"/>
        </w:rPr>
        <w:t>E</w:t>
      </w:r>
      <w:r>
        <w:rPr/>
        <w:t>．归属于该无形资产开发阶段的支出能够可靠地计量。</w:t>
      </w:r>
    </w:p>
    <w:p>
      <w:pPr>
        <w:pStyle w:val="BodyText"/>
        <w:spacing w:line="357" w:lineRule="auto"/>
        <w:ind w:right="232" w:firstLine="420"/>
        <w:jc w:val="both"/>
      </w:pPr>
      <w:r>
        <w:rPr>
          <w:spacing w:val="-1"/>
        </w:rPr>
        <w:t>（</w:t>
      </w:r>
      <w:r>
        <w:rPr>
          <w:rFonts w:ascii="新宋体" w:hAnsi="新宋体" w:cs="新宋体" w:eastAsia="新宋体" w:hint="default"/>
          <w:spacing w:val="-1"/>
        </w:rPr>
        <w:t>3</w:t>
      </w:r>
      <w:r>
        <w:rPr>
          <w:spacing w:val="-1"/>
        </w:rPr>
        <w:t>）投资者投入无形资产的成本，按照投资合同或协议约定的价值确定，但合同或协议</w:t>
      </w:r>
      <w:r>
        <w:rPr/>
        <w:t> 约定价值不公允的除外。</w:t>
      </w:r>
    </w:p>
    <w:p>
      <w:pPr>
        <w:spacing w:line="768" w:lineRule="exact" w:before="2"/>
        <w:ind w:left="573" w:right="4153" w:hanging="421"/>
        <w:jc w:val="left"/>
        <w:rPr>
          <w:rFonts w:ascii="新宋体" w:hAnsi="新宋体" w:cs="新宋体" w:eastAsia="新宋体" w:hint="default"/>
          <w:sz w:val="24"/>
          <w:szCs w:val="24"/>
        </w:rPr>
      </w:pPr>
      <w:r>
        <w:rPr>
          <w:rFonts w:ascii="新宋体" w:hAnsi="新宋体" w:cs="新宋体" w:eastAsia="新宋体" w:hint="default"/>
          <w:b/>
          <w:bCs/>
          <w:sz w:val="24"/>
          <w:szCs w:val="24"/>
        </w:rPr>
        <w:t>（</w:t>
      </w:r>
      <w:r>
        <w:rPr>
          <w:rFonts w:ascii="新宋体" w:hAnsi="新宋体" w:cs="新宋体" w:eastAsia="新宋体" w:hint="default"/>
          <w:b/>
          <w:bCs/>
          <w:sz w:val="24"/>
          <w:szCs w:val="24"/>
        </w:rPr>
        <w:t>2</w:t>
      </w:r>
      <w:r>
        <w:rPr>
          <w:rFonts w:ascii="新宋体" w:hAnsi="新宋体" w:cs="新宋体" w:eastAsia="新宋体" w:hint="default"/>
          <w:b/>
          <w:bCs/>
          <w:sz w:val="24"/>
          <w:szCs w:val="24"/>
        </w:rPr>
        <w:t>）使用寿命有限的无形资产的使用寿命估计情况</w:t>
      </w:r>
      <w:r>
        <w:rPr>
          <w:rFonts w:ascii="新宋体" w:hAnsi="新宋体" w:cs="新宋体" w:eastAsia="新宋体" w:hint="default"/>
          <w:b/>
          <w:bCs/>
          <w:w w:val="99"/>
          <w:sz w:val="24"/>
          <w:szCs w:val="24"/>
        </w:rPr>
        <w:t> </w:t>
      </w:r>
      <w:r>
        <w:rPr>
          <w:rFonts w:ascii="新宋体" w:hAnsi="新宋体" w:cs="新宋体" w:eastAsia="新宋体" w:hint="default"/>
          <w:sz w:val="24"/>
          <w:szCs w:val="24"/>
        </w:rPr>
        <w:t>使用寿命有限的无形资产的使用寿命的确定原则：</w:t>
      </w:r>
    </w:p>
    <w:p>
      <w:pPr>
        <w:pStyle w:val="BodyText"/>
        <w:spacing w:line="357" w:lineRule="auto" w:before="34"/>
        <w:ind w:right="234" w:firstLine="420"/>
        <w:jc w:val="both"/>
      </w:pPr>
      <w:r>
        <w:rPr>
          <w:spacing w:val="-1"/>
        </w:rPr>
        <w:t>（</w:t>
      </w:r>
      <w:r>
        <w:rPr>
          <w:rFonts w:ascii="新宋体" w:hAnsi="新宋体" w:cs="新宋体" w:eastAsia="新宋体" w:hint="default"/>
          <w:spacing w:val="-1"/>
        </w:rPr>
        <w:t>1</w:t>
      </w:r>
      <w:r>
        <w:rPr>
          <w:spacing w:val="-1"/>
        </w:rPr>
        <w:t>）来源于合同性权利或者其他法定权利的无形资产，其使用寿命按不超过合同性权利</w:t>
      </w:r>
      <w:r>
        <w:rPr/>
        <w:t> 或者其他法定权利的期限；</w:t>
      </w:r>
    </w:p>
    <w:p>
      <w:pPr>
        <w:pStyle w:val="BodyText"/>
        <w:spacing w:line="240" w:lineRule="auto"/>
        <w:ind w:left="573" w:right="105"/>
        <w:jc w:val="left"/>
      </w:pPr>
      <w:r>
        <w:rPr/>
        <w:t>（</w:t>
      </w:r>
      <w:r>
        <w:rPr>
          <w:rFonts w:ascii="新宋体" w:hAnsi="新宋体" w:cs="新宋体" w:eastAsia="新宋体" w:hint="default"/>
        </w:rPr>
        <w:t>2</w:t>
      </w:r>
      <w:r>
        <w:rPr/>
        <w:t>）合同性权利或者其他法定权利到期时因续约等延续、且有证据表明延续不需要付出</w:t>
      </w:r>
    </w:p>
    <w:p>
      <w:pPr>
        <w:spacing w:after="0" w:line="240" w:lineRule="auto"/>
        <w:jc w:val="left"/>
        <w:sectPr>
          <w:footerReference w:type="default" r:id="rId40"/>
          <w:pgSz w:w="11910" w:h="16840"/>
          <w:pgMar w:footer="980" w:header="555" w:top="1100" w:bottom="1160" w:left="980" w:right="900"/>
          <w:pgNumType w:start="120"/>
        </w:sectPr>
      </w:pPr>
    </w:p>
    <w:p>
      <w:pPr>
        <w:spacing w:line="240" w:lineRule="auto" w:before="7"/>
        <w:rPr>
          <w:rFonts w:ascii="新宋体" w:hAnsi="新宋体" w:cs="新宋体" w:eastAsia="新宋体" w:hint="default"/>
          <w:sz w:val="25"/>
          <w:szCs w:val="25"/>
        </w:rPr>
      </w:pPr>
    </w:p>
    <w:p>
      <w:pPr>
        <w:pStyle w:val="BodyText"/>
        <w:spacing w:line="240" w:lineRule="auto" w:before="26"/>
        <w:ind w:right="105"/>
        <w:jc w:val="left"/>
      </w:pPr>
      <w:r>
        <w:rPr/>
        <w:t>大额成本的，续约期一并记入使用寿命；</w:t>
      </w:r>
    </w:p>
    <w:p>
      <w:pPr>
        <w:pStyle w:val="BodyText"/>
        <w:spacing w:line="357" w:lineRule="auto" w:before="154"/>
        <w:ind w:right="96" w:firstLine="420"/>
        <w:jc w:val="left"/>
      </w:pPr>
      <w:r>
        <w:rPr/>
        <w:t>（</w:t>
      </w:r>
      <w:r>
        <w:rPr>
          <w:rFonts w:ascii="新宋体" w:hAnsi="新宋体" w:cs="新宋体" w:eastAsia="新宋体" w:hint="default"/>
        </w:rPr>
        <w:t>3</w:t>
      </w:r>
      <w:r>
        <w:rPr/>
        <w:t>）合同或者法律没有使用寿命的，综合各方面情况判断，如与同行业情况进行比较、 </w:t>
      </w:r>
      <w:r>
        <w:rPr>
          <w:spacing w:val="-2"/>
        </w:rPr>
        <w:t>参考历史经验、聘请专家论证等，以无形资产能为本公司带来经济利益的期限确定使用寿命；</w:t>
      </w:r>
    </w:p>
    <w:tbl>
      <w:tblPr>
        <w:tblW w:w="0" w:type="auto"/>
        <w:jc w:val="left"/>
        <w:tblInd w:w="119" w:type="dxa"/>
        <w:tblLayout w:type="fixed"/>
        <w:tblCellMar>
          <w:top w:w="0" w:type="dxa"/>
          <w:left w:w="0" w:type="dxa"/>
          <w:bottom w:w="0" w:type="dxa"/>
          <w:right w:w="0" w:type="dxa"/>
        </w:tblCellMar>
        <w:tblLook w:val="01E0"/>
      </w:tblPr>
      <w:tblGrid>
        <w:gridCol w:w="2280"/>
        <w:gridCol w:w="1577"/>
        <w:gridCol w:w="5672"/>
      </w:tblGrid>
      <w:tr>
        <w:trPr>
          <w:trHeight w:val="557"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55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新宋体" w:hAnsi="新宋体" w:cs="新宋体" w:eastAsia="新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使用权取得日至使用权终止日</w:t>
            </w:r>
          </w:p>
        </w:tc>
      </w:tr>
      <w:tr>
        <w:trPr>
          <w:trHeight w:val="557"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新宋体" w:hAnsi="新宋体" w:cs="新宋体" w:eastAsia="新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预计使用年限、合同规定的受益年限和法律规定的有效年限三者中最短</w:t>
            </w:r>
          </w:p>
        </w:tc>
      </w:tr>
      <w:tr>
        <w:trPr>
          <w:trHeight w:val="55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技术使用权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新宋体" w:hAnsi="新宋体" w:cs="新宋体" w:eastAsia="新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8-10</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预计使用年限、合同规定的受益年限和法律规定的有效年限三者中最短</w:t>
            </w:r>
          </w:p>
        </w:tc>
      </w:tr>
      <w:tr>
        <w:trPr>
          <w:trHeight w:val="560"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新宋体" w:hAnsi="新宋体" w:cs="新宋体" w:eastAsia="新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预计使用年限、合同规定的受益年限和法律规定的有效年限三者中最短</w:t>
            </w:r>
          </w:p>
        </w:tc>
      </w:tr>
    </w:tbl>
    <w:p>
      <w:pPr>
        <w:spacing w:line="240" w:lineRule="auto" w:before="9"/>
        <w:rPr>
          <w:rFonts w:ascii="新宋体" w:hAnsi="新宋体" w:cs="新宋体" w:eastAsia="新宋体" w:hint="default"/>
          <w:sz w:val="23"/>
          <w:szCs w:val="23"/>
        </w:rPr>
      </w:pPr>
    </w:p>
    <w:p>
      <w:pPr>
        <w:pStyle w:val="Heading2"/>
        <w:spacing w:line="240" w:lineRule="auto" w:before="26"/>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3</w:t>
      </w:r>
      <w:r>
        <w:rPr>
          <w:rFonts w:ascii="新宋体" w:hAnsi="新宋体" w:cs="新宋体" w:eastAsia="新宋体" w:hint="default"/>
        </w:rPr>
        <w:t>）使用寿命不确定的无形资产的判断依据</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233" w:firstLine="420"/>
        <w:jc w:val="both"/>
      </w:pPr>
      <w:r>
        <w:rPr>
          <w:spacing w:val="2"/>
        </w:rPr>
        <w:t>按照上述方法仍无法确定无形资产为本公司带来经济利益期限的，作为使用寿命不确定 </w:t>
      </w:r>
      <w:r>
        <w:rPr/>
        <w:t>的无形资产。</w:t>
      </w:r>
    </w:p>
    <w:p>
      <w:pPr>
        <w:spacing w:line="240" w:lineRule="auto" w:before="9"/>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4</w:t>
      </w:r>
      <w:r>
        <w:rPr>
          <w:rFonts w:ascii="新宋体" w:hAnsi="新宋体" w:cs="新宋体" w:eastAsia="新宋体" w:hint="default"/>
        </w:rPr>
        <w:t>）无形资产减值准备的计提</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233" w:firstLine="420"/>
        <w:jc w:val="both"/>
      </w:pPr>
      <w:r>
        <w:rPr>
          <w:spacing w:val="2"/>
        </w:rPr>
        <w:t>公司在资产负债表日判断无形资产是否存在可能发生减值的迹象，对于存在减值迹象的 </w:t>
      </w:r>
      <w:r>
        <w:rPr/>
        <w:t>无形资产，估计其可收回金额。</w:t>
      </w:r>
    </w:p>
    <w:p>
      <w:pPr>
        <w:pStyle w:val="BodyText"/>
        <w:spacing w:line="357" w:lineRule="auto"/>
        <w:ind w:right="231" w:firstLine="420"/>
        <w:jc w:val="both"/>
      </w:pPr>
      <w:r>
        <w:rPr>
          <w:spacing w:val="2"/>
        </w:rPr>
        <w:t>可收回金额的计量结果表明，无形资产的可收回金额低于其账面价值的，将无形资产的 </w:t>
      </w:r>
      <w:r>
        <w:rPr/>
        <w:t>账面价值减记至可收回金额，减记的金额确认为无形资产减值损失，计入当期损益，同时计</w:t>
      </w:r>
      <w:r>
        <w:rPr>
          <w:spacing w:val="-91"/>
        </w:rPr>
        <w:t> </w:t>
      </w:r>
      <w:r>
        <w:rPr>
          <w:spacing w:val="-91"/>
        </w:rPr>
      </w:r>
      <w:r>
        <w:rPr/>
        <w:t>提相应的无形资产减值准备。</w:t>
      </w:r>
    </w:p>
    <w:p>
      <w:pPr>
        <w:pStyle w:val="BodyText"/>
        <w:spacing w:line="357" w:lineRule="auto"/>
        <w:ind w:right="233" w:firstLine="420"/>
        <w:jc w:val="both"/>
      </w:pPr>
      <w:r>
        <w:rPr>
          <w:spacing w:val="2"/>
        </w:rPr>
        <w:t>无形资产减值损失确认后，减值无形资产的摊销费用在未来期间作相应调整，以使该无 </w:t>
      </w:r>
      <w:r>
        <w:rPr/>
        <w:t>形资产在剩余使用寿命内，系统地分摊调整后的无形资产账面价值。无形资产减值损失按单</w:t>
      </w:r>
      <w:r>
        <w:rPr>
          <w:spacing w:val="-91"/>
        </w:rPr>
        <w:t> </w:t>
      </w:r>
      <w:r>
        <w:rPr>
          <w:spacing w:val="-91"/>
        </w:rPr>
      </w:r>
      <w:r>
        <w:rPr/>
        <w:t>项资产计提，一经确认，在以后会计期间不得转回。</w:t>
      </w:r>
    </w:p>
    <w:p>
      <w:pPr>
        <w:spacing w:line="240" w:lineRule="auto" w:before="10"/>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5</w:t>
      </w:r>
      <w:r>
        <w:rPr>
          <w:rFonts w:ascii="新宋体" w:hAnsi="新宋体" w:cs="新宋体" w:eastAsia="新宋体" w:hint="default"/>
        </w:rPr>
        <w:t>）划分公司内部研究开发项目的研究阶段和开发阶段具体标准</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left="578" w:right="107"/>
        <w:jc w:val="left"/>
      </w:pPr>
      <w:r>
        <w:rPr/>
        <w:t>研究阶段：为获取并理解新的科学或技术知识而进行的独创性的有计划调查。 </w:t>
      </w:r>
      <w:r>
        <w:rPr>
          <w:spacing w:val="-1"/>
        </w:rPr>
        <w:t>开发阶段：在进行商业性生产或使用前，将研究成果或其他知识应用于某项计划或设计，</w:t>
      </w:r>
    </w:p>
    <w:p>
      <w:pPr>
        <w:pStyle w:val="BodyText"/>
        <w:spacing w:line="240" w:lineRule="auto"/>
        <w:ind w:right="105"/>
        <w:jc w:val="left"/>
      </w:pPr>
      <w:r>
        <w:rPr/>
        <w:t>以生产出新的或具有实质性改进的材料、装置、产品等。</w:t>
      </w:r>
    </w:p>
    <w:p>
      <w:pPr>
        <w:spacing w:after="0" w:line="240" w:lineRule="auto"/>
        <w:jc w:val="left"/>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Heading2"/>
        <w:spacing w:line="240" w:lineRule="auto" w:before="26"/>
        <w:ind w:right="10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6</w:t>
      </w:r>
      <w:r>
        <w:rPr>
          <w:rFonts w:ascii="新宋体" w:hAnsi="新宋体" w:cs="新宋体" w:eastAsia="新宋体" w:hint="default"/>
        </w:rPr>
        <w:t>）内部研究开发项目支出的核算</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213" w:firstLine="425"/>
        <w:jc w:val="left"/>
      </w:pPr>
      <w:r>
        <w:rPr/>
        <w:t>内部研究开发项目研究阶段的支出，于发生时计入当期损益；开发阶段的支出，同时满 足下列条件的，</w:t>
      </w:r>
      <w:r>
        <w:rPr>
          <w:spacing w:val="-79"/>
        </w:rPr>
        <w:t> </w:t>
      </w:r>
      <w:r>
        <w:rPr/>
        <w:t>确认为无形资产：①完成该无形资产以使其能够使用或出售在技术上具有可</w:t>
      </w:r>
      <w:r>
        <w:rPr/>
        <w:t> 行性；②具有完成该无形资产并使用或出售的意图；③无形资产产生经济利益的方式，包括 能够证明运用该无形资产生产的产品存在市场或无形资产自身存在市场，无形资产将在内部 使用的，能证明其有用性；④有足够的技术、财务资源和其他资源支持，以完成该无形资产 的开发，并有能力使用或出售该无形资产；⑤归属于该无形资产开发阶段的支出能够可靠地 计量。</w:t>
      </w:r>
    </w:p>
    <w:p>
      <w:pPr>
        <w:spacing w:line="240" w:lineRule="auto" w:before="10"/>
        <w:rPr>
          <w:rFonts w:ascii="新宋体" w:hAnsi="新宋体" w:cs="新宋体" w:eastAsia="新宋体" w:hint="default"/>
          <w:sz w:val="25"/>
          <w:szCs w:val="25"/>
        </w:rPr>
      </w:pPr>
    </w:p>
    <w:p>
      <w:pPr>
        <w:pStyle w:val="Heading2"/>
        <w:spacing w:line="240" w:lineRule="auto"/>
        <w:ind w:right="105"/>
        <w:jc w:val="left"/>
        <w:rPr>
          <w:rFonts w:ascii="新宋体" w:hAnsi="新宋体" w:cs="新宋体" w:eastAsia="新宋体" w:hint="default"/>
          <w:b w:val="0"/>
          <w:bCs w:val="0"/>
        </w:rPr>
      </w:pPr>
      <w:r>
        <w:rPr>
          <w:rFonts w:ascii="新宋体" w:hAnsi="新宋体" w:cs="新宋体" w:eastAsia="新宋体" w:hint="default"/>
        </w:rPr>
        <w:t>18</w:t>
      </w:r>
      <w:r>
        <w:rPr>
          <w:rFonts w:ascii="新宋体" w:hAnsi="新宋体" w:cs="新宋体" w:eastAsia="新宋体" w:hint="default"/>
        </w:rPr>
        <w:t>、长期待摊费用</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113" w:firstLine="420"/>
        <w:jc w:val="both"/>
      </w:pPr>
      <w:r>
        <w:rPr>
          <w:spacing w:val="2"/>
        </w:rPr>
        <w:t>长期待摊费用主要为预计受益期在一年以上（不含一年）的费用，按照预计受益期间分 </w:t>
      </w:r>
      <w:r>
        <w:rPr/>
        <w:t>期平均摊销。长期待摊费用按实际支出入账，在其预计受益期内分期平均摊销。如果预计某</w:t>
      </w:r>
      <w:r>
        <w:rPr>
          <w:spacing w:val="-91"/>
        </w:rPr>
        <w:t> </w:t>
      </w:r>
      <w:r>
        <w:rPr>
          <w:spacing w:val="-91"/>
        </w:rPr>
      </w:r>
      <w:r>
        <w:rPr>
          <w:spacing w:val="-2"/>
        </w:rPr>
        <w:t>项长期待摊费用已不能为公司带来未来经济利益的，将该项长期待摊费用全部转入当期损益。</w:t>
      </w:r>
    </w:p>
    <w:p>
      <w:pPr>
        <w:pStyle w:val="BodyText"/>
        <w:spacing w:line="240" w:lineRule="auto"/>
        <w:ind w:left="573" w:right="105"/>
        <w:jc w:val="left"/>
      </w:pPr>
      <w:r>
        <w:rPr/>
        <w:t>公司摊销方法、摊销年限如下：</w:t>
      </w:r>
    </w:p>
    <w:p>
      <w:pPr>
        <w:spacing w:line="240" w:lineRule="auto" w:before="10"/>
        <w:rPr>
          <w:rFonts w:ascii="新宋体" w:hAnsi="新宋体" w:cs="新宋体" w:eastAsia="新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656"/>
        <w:gridCol w:w="1985"/>
        <w:gridCol w:w="1987"/>
        <w:gridCol w:w="1985"/>
      </w:tblGrid>
      <w:tr>
        <w:trPr>
          <w:trHeight w:val="504"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摊销年限（年）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02"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3</w:t>
            </w: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04"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宋体" w:hAnsi="宋体" w:cs="宋体" w:eastAsia="宋体" w:hint="default"/>
                <w:sz w:val="20"/>
                <w:szCs w:val="20"/>
              </w:rPr>
            </w:pPr>
            <w:r>
              <w:rPr>
                <w:rFonts w:ascii="宋体" w:hAnsi="宋体" w:cs="宋体" w:eastAsia="宋体" w:hint="default"/>
                <w:sz w:val="20"/>
                <w:szCs w:val="20"/>
              </w:rPr>
              <w:t>系统煤安检测费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5</w:t>
            </w:r>
          </w:p>
        </w:tc>
        <w:tc>
          <w:tcPr>
            <w:tcW w:w="19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新宋体" w:hAnsi="新宋体" w:cs="新宋体" w:eastAsia="新宋体" w:hint="default"/>
          <w:sz w:val="23"/>
          <w:szCs w:val="23"/>
        </w:rPr>
      </w:pPr>
    </w:p>
    <w:p>
      <w:pPr>
        <w:pStyle w:val="Heading2"/>
        <w:spacing w:line="240" w:lineRule="auto" w:before="26"/>
        <w:ind w:right="105"/>
        <w:jc w:val="left"/>
        <w:rPr>
          <w:b w:val="0"/>
          <w:bCs w:val="0"/>
        </w:rPr>
      </w:pPr>
      <w:r>
        <w:rPr>
          <w:rFonts w:ascii="Times New Roman" w:hAnsi="Times New Roman" w:cs="Times New Roman" w:eastAsia="Times New Roman" w:hint="default"/>
        </w:rPr>
        <w:t>19</w:t>
      </w:r>
      <w:r>
        <w:rPr/>
        <w:t>、股份支付及权益工具</w:t>
      </w:r>
      <w:r>
        <w:rPr>
          <w:b w:val="0"/>
          <w:bCs w:val="0"/>
        </w:rPr>
      </w:r>
    </w:p>
    <w:p>
      <w:pPr>
        <w:spacing w:line="750" w:lineRule="atLeast" w:before="18"/>
        <w:ind w:left="578" w:right="308" w:hanging="426"/>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）股份支付的种类</w:t>
      </w:r>
      <w:r>
        <w:rPr>
          <w:rFonts w:ascii="宋体" w:hAnsi="宋体" w:cs="宋体" w:eastAsia="宋体" w:hint="default"/>
          <w:b/>
          <w:bCs/>
          <w:w w:val="99"/>
          <w:sz w:val="24"/>
          <w:szCs w:val="24"/>
        </w:rPr>
        <w:t> </w:t>
      </w:r>
      <w:r>
        <w:rPr>
          <w:rFonts w:ascii="宋体" w:hAnsi="宋体" w:cs="宋体" w:eastAsia="宋体" w:hint="default"/>
          <w:sz w:val="24"/>
          <w:szCs w:val="24"/>
        </w:rPr>
        <w:t>股份支付是指为了获取职工或其他方提供服务而授予权益工具或者承担以权益工具为基</w:t>
      </w:r>
    </w:p>
    <w:p>
      <w:pPr>
        <w:pStyle w:val="BodyText"/>
        <w:spacing w:line="240" w:lineRule="auto" w:before="154"/>
        <w:ind w:right="105"/>
        <w:jc w:val="left"/>
        <w:rPr>
          <w:rFonts w:ascii="宋体" w:hAnsi="宋体" w:cs="宋体" w:eastAsia="宋体" w:hint="default"/>
        </w:rPr>
      </w:pPr>
      <w:r>
        <w:rPr>
          <w:rFonts w:ascii="宋体" w:hAnsi="宋体" w:cs="宋体" w:eastAsia="宋体" w:hint="default"/>
        </w:rPr>
        <w:t>础确定的负债的交易。股份支付分为以权益结算的股份支付和以现金结算的股份支付。</w:t>
      </w:r>
    </w:p>
    <w:p>
      <w:pPr>
        <w:spacing w:line="240" w:lineRule="auto" w:before="11"/>
        <w:rPr>
          <w:rFonts w:ascii="宋体" w:hAnsi="宋体" w:cs="宋体" w:eastAsia="宋体" w:hint="default"/>
          <w:sz w:val="34"/>
          <w:szCs w:val="34"/>
        </w:rPr>
      </w:pPr>
    </w:p>
    <w:p>
      <w:pPr>
        <w:pStyle w:val="Heading2"/>
        <w:spacing w:line="240" w:lineRule="auto"/>
        <w:ind w:right="105"/>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2"/>
        <w:rPr>
          <w:rFonts w:ascii="宋体" w:hAnsi="宋体" w:cs="宋体" w:eastAsia="宋体" w:hint="default"/>
          <w:b/>
          <w:bCs/>
          <w:sz w:val="33"/>
          <w:szCs w:val="33"/>
        </w:rPr>
      </w:pPr>
    </w:p>
    <w:p>
      <w:pPr>
        <w:pStyle w:val="BodyText"/>
        <w:spacing w:line="357" w:lineRule="auto" w:before="0"/>
        <w:ind w:right="105" w:firstLine="420"/>
        <w:jc w:val="left"/>
        <w:rPr>
          <w:rFonts w:ascii="宋体" w:hAnsi="宋体" w:cs="宋体" w:eastAsia="宋体" w:hint="default"/>
        </w:rPr>
      </w:pPr>
      <w:r>
        <w:rPr>
          <w:rFonts w:ascii="宋体" w:hAnsi="宋体" w:cs="宋体" w:eastAsia="宋体" w:hint="default"/>
          <w:spacing w:val="2"/>
        </w:rPr>
        <w:t>对于授予职工的股份，其公允价值应按企业股份的市场价格计量，同时考虑授予股份所 </w:t>
      </w:r>
      <w:r>
        <w:rPr>
          <w:rFonts w:ascii="宋体" w:hAnsi="宋体" w:cs="宋体" w:eastAsia="宋体" w:hint="default"/>
        </w:rPr>
        <w:t>依据的条款和条件（不包括市场条件之外的可行权条件）进行调整。如果企业股份未公开交</w:t>
      </w:r>
    </w:p>
    <w:p>
      <w:pPr>
        <w:spacing w:after="0" w:line="357" w:lineRule="auto"/>
        <w:jc w:val="left"/>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right="105"/>
        <w:jc w:val="left"/>
        <w:rPr>
          <w:rFonts w:ascii="宋体" w:hAnsi="宋体" w:cs="宋体" w:eastAsia="宋体" w:hint="default"/>
        </w:rPr>
      </w:pPr>
      <w:r>
        <w:rPr>
          <w:rFonts w:ascii="宋体" w:hAnsi="宋体" w:cs="宋体" w:eastAsia="宋体" w:hint="default"/>
        </w:rPr>
        <w:t>易，则应按估计的市场价格计量，并考虑授予股份所依据的条款和条件进行调整。</w:t>
      </w:r>
    </w:p>
    <w:p>
      <w:pPr>
        <w:pStyle w:val="BodyText"/>
        <w:spacing w:line="357" w:lineRule="auto" w:before="154"/>
        <w:ind w:right="233" w:firstLine="420"/>
        <w:jc w:val="both"/>
        <w:rPr>
          <w:rFonts w:ascii="宋体" w:hAnsi="宋体" w:cs="宋体" w:eastAsia="宋体" w:hint="default"/>
        </w:rPr>
      </w:pPr>
      <w:r>
        <w:rPr>
          <w:rFonts w:ascii="宋体" w:hAnsi="宋体" w:cs="宋体" w:eastAsia="宋体" w:hint="default"/>
          <w:spacing w:val="2"/>
        </w:rPr>
        <w:t>对于授予职工的股票期权，因其通常受到一些不同于交易期权的条款和条件的限制，因 </w:t>
      </w:r>
      <w:r>
        <w:rPr>
          <w:rFonts w:ascii="宋体" w:hAnsi="宋体" w:cs="宋体" w:eastAsia="宋体" w:hint="default"/>
        </w:rPr>
        <w:t>而在许多情况下难以获得其市场价格。如果不存在条款和条件相似的交易期权，就应通过期</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权定价模型估计所授予的期权的公允价值。</w:t>
      </w:r>
    </w:p>
    <w:p>
      <w:pPr>
        <w:spacing w:line="768" w:lineRule="exact" w:before="2"/>
        <w:ind w:left="578" w:right="308" w:hanging="426"/>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）确认可行权权益工具最佳估计的依据</w:t>
      </w:r>
      <w:r>
        <w:rPr>
          <w:rFonts w:ascii="宋体" w:hAnsi="宋体" w:cs="宋体" w:eastAsia="宋体" w:hint="default"/>
          <w:b/>
          <w:bCs/>
          <w:w w:val="99"/>
          <w:sz w:val="24"/>
          <w:szCs w:val="24"/>
        </w:rPr>
        <w:t> </w:t>
      </w:r>
      <w:r>
        <w:rPr>
          <w:rFonts w:ascii="宋体" w:hAnsi="宋体" w:cs="宋体" w:eastAsia="宋体" w:hint="default"/>
          <w:sz w:val="24"/>
          <w:szCs w:val="24"/>
        </w:rPr>
        <w:t>在等待期内每个资产负债表日，根据最新取得的可行权职工人数变动等后续信息做出最</w:t>
      </w:r>
    </w:p>
    <w:p>
      <w:pPr>
        <w:pStyle w:val="BodyText"/>
        <w:spacing w:line="240" w:lineRule="auto" w:before="34"/>
        <w:ind w:right="105"/>
        <w:jc w:val="left"/>
        <w:rPr>
          <w:rFonts w:ascii="宋体" w:hAnsi="宋体" w:cs="宋体" w:eastAsia="宋体" w:hint="default"/>
        </w:rPr>
      </w:pPr>
      <w:r>
        <w:rPr>
          <w:rFonts w:ascii="宋体" w:hAnsi="宋体" w:cs="宋体" w:eastAsia="宋体" w:hint="default"/>
        </w:rPr>
        <w:t>佳估计，修正预计可行权的权益工具数量。</w:t>
      </w:r>
    </w:p>
    <w:p>
      <w:pPr>
        <w:spacing w:line="740" w:lineRule="atLeast" w:before="49"/>
        <w:ind w:left="578" w:right="4192" w:hanging="426"/>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）实施、修改、终止股份支付计划的相关会计处理</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、实施股份支付的会计处理：</w:t>
      </w:r>
    </w:p>
    <w:p>
      <w:pPr>
        <w:pStyle w:val="BodyText"/>
        <w:spacing w:line="357" w:lineRule="auto" w:before="154"/>
        <w:ind w:right="96" w:firstLine="425"/>
        <w:jc w:val="left"/>
        <w:rPr>
          <w:rFonts w:ascii="宋体" w:hAnsi="宋体" w:cs="宋体" w:eastAsia="宋体" w:hint="default"/>
        </w:rPr>
      </w:pPr>
      <w:r>
        <w:rPr>
          <w:rFonts w:ascii="宋体" w:hAnsi="宋体" w:cs="宋体" w:eastAsia="宋体" w:hint="default"/>
        </w:rPr>
        <w:t>用以换取职工提供服务的以权益结算的股份支付，以授予职工权益工具在授予日的公允 </w:t>
      </w:r>
      <w:r>
        <w:rPr>
          <w:rFonts w:ascii="宋体" w:hAnsi="宋体" w:cs="宋体" w:eastAsia="宋体" w:hint="default"/>
          <w:spacing w:val="-2"/>
        </w:rPr>
        <w:t>价值计量。该公允价值的金额在完成等待期内的服务或达到规定业绩条件才可行权的情况下，</w:t>
      </w:r>
      <w:r>
        <w:rPr>
          <w:rFonts w:ascii="宋体" w:hAnsi="宋体" w:cs="宋体" w:eastAsia="宋体" w:hint="default"/>
        </w:rPr>
        <w:t> </w:t>
      </w:r>
      <w:r>
        <w:rPr>
          <w:rFonts w:ascii="宋体" w:hAnsi="宋体" w:cs="宋体" w:eastAsia="宋体" w:hint="default"/>
          <w:spacing w:val="-2"/>
        </w:rPr>
        <w:t>在等待期内以对可行权权益工具数量的最佳估计为基础，按直线法计算计入相关成本或费用，</w:t>
      </w:r>
      <w:r>
        <w:rPr>
          <w:rFonts w:ascii="宋体" w:hAnsi="宋体" w:cs="宋体" w:eastAsia="宋体" w:hint="default"/>
        </w:rPr>
        <w:t> 相应增加资本公积。</w:t>
      </w:r>
    </w:p>
    <w:p>
      <w:pPr>
        <w:pStyle w:val="BodyText"/>
        <w:spacing w:line="357" w:lineRule="auto"/>
        <w:ind w:right="96" w:firstLine="425"/>
        <w:jc w:val="left"/>
        <w:rPr>
          <w:rFonts w:ascii="宋体" w:hAnsi="宋体" w:cs="宋体" w:eastAsia="宋体" w:hint="default"/>
        </w:rPr>
      </w:pPr>
      <w:r>
        <w:rPr>
          <w:rFonts w:ascii="宋体" w:hAnsi="宋体" w:cs="宋体" w:eastAsia="宋体" w:hint="default"/>
        </w:rPr>
        <w:t>以现金结算的股份支付，按照本公司承担的以股份或其他权益工具为基础确定的负债的 </w:t>
      </w:r>
      <w:r>
        <w:rPr>
          <w:rFonts w:ascii="宋体" w:hAnsi="宋体" w:cs="宋体" w:eastAsia="宋体" w:hint="default"/>
          <w:spacing w:val="-2"/>
        </w:rPr>
        <w:t>公允价值计量。如授予后立即可行权，在授予日以承担负债的公允价值计入相关成本或费用，</w:t>
      </w:r>
      <w:r>
        <w:rPr>
          <w:rFonts w:ascii="宋体" w:hAnsi="宋体" w:cs="宋体" w:eastAsia="宋体" w:hint="default"/>
        </w:rPr>
        <w:t> 相应增加负债；如需完成等待期内的服务或达到规定业绩条件以后才可行权，在等待期的每 </w:t>
      </w:r>
      <w:r>
        <w:rPr>
          <w:rFonts w:ascii="宋体" w:hAnsi="宋体" w:cs="宋体" w:eastAsia="宋体" w:hint="default"/>
          <w:spacing w:val="-2"/>
        </w:rPr>
        <w:t>个资产负债表日，以对可行权情况的最佳估计为基础，按照本公司承担负债的公允价值金额，</w:t>
      </w:r>
      <w:r>
        <w:rPr>
          <w:rFonts w:ascii="宋体" w:hAnsi="宋体" w:cs="宋体" w:eastAsia="宋体" w:hint="default"/>
        </w:rPr>
        <w:t> 将当期取得的服务计入成本或费用，相应调整负债。</w:t>
      </w:r>
    </w:p>
    <w:p>
      <w:pPr>
        <w:pStyle w:val="BodyText"/>
        <w:spacing w:line="357" w:lineRule="auto"/>
        <w:ind w:right="309" w:firstLine="425"/>
        <w:jc w:val="left"/>
        <w:rPr>
          <w:rFonts w:ascii="宋体" w:hAnsi="宋体" w:cs="宋体" w:eastAsia="宋体" w:hint="default"/>
        </w:rPr>
      </w:pPr>
      <w:r>
        <w:rPr>
          <w:rFonts w:ascii="宋体" w:hAnsi="宋体" w:cs="宋体" w:eastAsia="宋体" w:hint="default"/>
        </w:rPr>
        <w:t>在相关负债结算前的每个资产负债表日以及结算日，对负债的公允价值重新计量，其变 动计入当期损益。</w:t>
      </w:r>
    </w:p>
    <w:p>
      <w:pPr>
        <w:pStyle w:val="BodyText"/>
        <w:spacing w:line="240" w:lineRule="auto"/>
        <w:ind w:left="578" w:right="105"/>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、修改股份支付计划的会计处理</w:t>
      </w:r>
    </w:p>
    <w:p>
      <w:pPr>
        <w:pStyle w:val="BodyText"/>
        <w:spacing w:line="357" w:lineRule="auto" w:before="154"/>
        <w:ind w:right="271" w:firstLine="48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rPr>
        <w:t>如果修改增加了所授予的权益工具的公允价值，企业应按照权益工具公允价值的增加 相应地确认取得服务的增加。权益工具公允价值的增加是指，修改前后的权益工具在修改日 的公允价值之间的差额。</w:t>
      </w:r>
    </w:p>
    <w:p>
      <w:pPr>
        <w:pStyle w:val="BodyText"/>
        <w:spacing w:line="357" w:lineRule="auto"/>
        <w:ind w:right="309" w:firstLine="425"/>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如果修改增加了所授予的权益工具的数量，企业应将增加的权益工具的公允价值相应 地确认为取得服务的增加。</w:t>
      </w:r>
    </w:p>
    <w:p>
      <w:pPr>
        <w:spacing w:after="0" w:line="357" w:lineRule="auto"/>
        <w:jc w:val="left"/>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246" w:firstLine="425"/>
        <w:jc w:val="both"/>
        <w:rPr>
          <w:rFonts w:ascii="宋体" w:hAnsi="宋体" w:cs="宋体" w:eastAsia="宋体" w:hint="default"/>
        </w:rPr>
      </w:pPr>
      <w:r>
        <w:rPr>
          <w:rFonts w:ascii="宋体" w:hAnsi="宋体" w:cs="宋体" w:eastAsia="宋体" w:hint="default"/>
        </w:rPr>
        <w:t>3.</w:t>
      </w:r>
      <w:r>
        <w:rPr>
          <w:rFonts w:ascii="宋体" w:hAnsi="宋体" w:cs="宋体" w:eastAsia="宋体" w:hint="default"/>
        </w:rPr>
        <w:t>如果企业按照有利于职工的方式修改可行权条件，如缩短等待期、变更或取消业绩条 件（而非市场条件），企业在处理可行权条件时，应当考虑修改后的可行权条件。</w:t>
      </w:r>
    </w:p>
    <w:p>
      <w:pPr>
        <w:pStyle w:val="BodyText"/>
        <w:spacing w:line="357" w:lineRule="auto"/>
        <w:ind w:right="191" w:firstLine="48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rPr>
        <w:t>如果修改减少了所授予的权益工具的公允价值，企业应当继续以权益工具在授予日的 公允价值为基础，确认取得服务的金额，而不应考虑权益工具公允价值的减少。</w:t>
      </w:r>
    </w:p>
    <w:p>
      <w:pPr>
        <w:pStyle w:val="BodyText"/>
        <w:spacing w:line="357" w:lineRule="auto"/>
        <w:ind w:right="191" w:firstLine="48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rPr>
        <w:t>如果修改减少了授予的权益工具的数量，企业应当将减少部分作为已授予的权益工具 的取消来进行处理。</w:t>
      </w:r>
    </w:p>
    <w:p>
      <w:pPr>
        <w:pStyle w:val="BodyText"/>
        <w:spacing w:line="357" w:lineRule="auto"/>
        <w:ind w:right="191" w:firstLine="480"/>
        <w:jc w:val="both"/>
        <w:rPr>
          <w:rFonts w:ascii="宋体" w:hAnsi="宋体" w:cs="宋体" w:eastAsia="宋体" w:hint="default"/>
        </w:rPr>
      </w:pPr>
      <w:r>
        <w:rPr>
          <w:rFonts w:ascii="宋体" w:hAnsi="宋体" w:cs="宋体" w:eastAsia="宋体" w:hint="default"/>
        </w:rPr>
        <w:t>6.</w:t>
      </w:r>
      <w:r>
        <w:rPr>
          <w:rFonts w:ascii="宋体" w:hAnsi="宋体" w:cs="宋体" w:eastAsia="宋体" w:hint="default"/>
        </w:rPr>
        <w:t>如果企业以不利于职工的方式修改了可行权条件，如延长等待期、增加或变更业绩条 件（而非市场条件），企业在处理可行权条件时，不应当考虑修改后的可行权条件。</w:t>
      </w:r>
    </w:p>
    <w:p>
      <w:pPr>
        <w:pStyle w:val="BodyText"/>
        <w:spacing w:line="357" w:lineRule="auto" w:before="37"/>
        <w:ind w:left="578" w:right="22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、终止股份支付计划的会计处理 如果企业在等待期内取消了所授予的权益工具或结算了所授予的权益工具（因未满足可</w:t>
      </w:r>
    </w:p>
    <w:p>
      <w:pPr>
        <w:pStyle w:val="BodyText"/>
        <w:spacing w:line="240" w:lineRule="auto"/>
        <w:ind w:right="0"/>
        <w:jc w:val="left"/>
        <w:rPr>
          <w:rFonts w:ascii="宋体" w:hAnsi="宋体" w:cs="宋体" w:eastAsia="宋体" w:hint="default"/>
        </w:rPr>
      </w:pPr>
      <w:r>
        <w:rPr>
          <w:rFonts w:ascii="宋体" w:hAnsi="宋体" w:cs="宋体" w:eastAsia="宋体" w:hint="default"/>
        </w:rPr>
        <w:t>行权条件而被取消的除外），企业应当：</w:t>
      </w:r>
    </w:p>
    <w:p>
      <w:pPr>
        <w:pStyle w:val="BodyText"/>
        <w:spacing w:line="240" w:lineRule="auto" w:before="154"/>
        <w:ind w:left="578"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）将取消或结算作为加速可行权处理，立即确认原本应在剩余等待期内确认的金额。</w:t>
      </w:r>
    </w:p>
    <w:p>
      <w:pPr>
        <w:pStyle w:val="BodyText"/>
        <w:spacing w:line="357" w:lineRule="auto" w:before="154"/>
        <w:ind w:right="155" w:firstLine="425"/>
        <w:jc w:val="both"/>
        <w:rPr>
          <w:rFonts w:ascii="宋体" w:hAnsi="宋体" w:cs="宋体" w:eastAsia="宋体" w:hint="default"/>
        </w:rPr>
      </w:pPr>
      <w:r>
        <w:rPr>
          <w:rFonts w:ascii="宋体" w:hAnsi="宋体" w:cs="宋体" w:eastAsia="宋体" w:hint="default"/>
          <w:spacing w:val="-1"/>
        </w:rPr>
        <w:t>（</w:t>
      </w:r>
      <w:r>
        <w:rPr>
          <w:rFonts w:ascii="宋体" w:hAnsi="宋体" w:cs="宋体" w:eastAsia="宋体" w:hint="default"/>
          <w:spacing w:val="-1"/>
        </w:rPr>
        <w:t>2</w:t>
      </w:r>
      <w:r>
        <w:rPr>
          <w:rFonts w:ascii="宋体" w:hAnsi="宋体" w:cs="宋体" w:eastAsia="宋体" w:hint="default"/>
          <w:spacing w:val="-1"/>
        </w:rPr>
        <w:t>）在取消或结算时支付给职工的所有款项均应作为权益的回购处理，回购支付的金额</w:t>
      </w:r>
      <w:r>
        <w:rPr>
          <w:rFonts w:ascii="宋体" w:hAnsi="宋体" w:cs="宋体" w:eastAsia="宋体" w:hint="default"/>
        </w:rPr>
        <w:t> 高于该权益工具在回购日公允价值的部分，计入当期费用。</w:t>
      </w:r>
    </w:p>
    <w:p>
      <w:pPr>
        <w:pStyle w:val="BodyText"/>
        <w:spacing w:line="357" w:lineRule="auto"/>
        <w:ind w:right="155" w:firstLine="425"/>
        <w:jc w:val="both"/>
        <w:rPr>
          <w:rFonts w:ascii="宋体" w:hAnsi="宋体" w:cs="宋体" w:eastAsia="宋体" w:hint="default"/>
        </w:rPr>
      </w:pPr>
      <w:r>
        <w:rPr>
          <w:rFonts w:ascii="宋体" w:hAnsi="宋体" w:cs="宋体" w:eastAsia="宋体" w:hint="default"/>
          <w:spacing w:val="-1"/>
        </w:rPr>
        <w:t>（</w:t>
      </w:r>
      <w:r>
        <w:rPr>
          <w:rFonts w:ascii="宋体" w:hAnsi="宋体" w:cs="宋体" w:eastAsia="宋体" w:hint="default"/>
          <w:spacing w:val="-1"/>
        </w:rPr>
        <w:t>3</w:t>
      </w:r>
      <w:r>
        <w:rPr>
          <w:rFonts w:ascii="宋体" w:hAnsi="宋体" w:cs="宋体" w:eastAsia="宋体" w:hint="default"/>
          <w:spacing w:val="-1"/>
        </w:rPr>
        <w:t>）如果向职工授予新的权益工具，并在新权益工具授予日认定所授予的新权益工具是</w:t>
      </w:r>
      <w:r>
        <w:rPr>
          <w:rFonts w:ascii="宋体" w:hAnsi="宋体" w:cs="宋体" w:eastAsia="宋体" w:hint="default"/>
        </w:rPr>
        <w:t> 用于替代被取消的权益工具的，企业应以处理原权益工具条款和条件修改相同的方式，对所 授予的替代权益工具进行处理。权益工具公允价值的增加是指，在替代权益工具的授予日， 替代权益工具公允价值与被取消的权益工具净公允价值之间的差额。被取消的权益工具净公 允价值是指，其在取消前立即计量的公允价值减去因取消原权益工具而作为权益回购支付给 职工的款项，如果企业未将新授予的权益工具认定为替代权益工具，则应将其作为一项新新 授予的股份支付进行处理。</w:t>
      </w:r>
    </w:p>
    <w:p>
      <w:pPr>
        <w:pStyle w:val="BodyText"/>
        <w:spacing w:line="357" w:lineRule="auto"/>
        <w:ind w:right="246" w:firstLine="425"/>
        <w:jc w:val="both"/>
        <w:rPr>
          <w:rFonts w:ascii="宋体" w:hAnsi="宋体" w:cs="宋体" w:eastAsia="宋体" w:hint="default"/>
        </w:rPr>
      </w:pPr>
      <w:r>
        <w:rPr>
          <w:rFonts w:ascii="宋体" w:hAnsi="宋体" w:cs="宋体" w:eastAsia="宋体" w:hint="default"/>
        </w:rPr>
        <w:t>企业如果购其职工已可行权的权益工具，应当借记所有者权益，回购支付的金额高于该 权益工具在回购日公允价值的部分，计入当期费用。</w:t>
      </w:r>
    </w:p>
    <w:p>
      <w:pPr>
        <w:spacing w:line="240" w:lineRule="auto" w:before="10"/>
        <w:rPr>
          <w:rFonts w:ascii="宋体" w:hAnsi="宋体" w:cs="宋体" w:eastAsia="宋体" w:hint="default"/>
          <w:sz w:val="25"/>
          <w:szCs w:val="25"/>
        </w:rPr>
      </w:pPr>
    </w:p>
    <w:p>
      <w:pPr>
        <w:pStyle w:val="Heading2"/>
        <w:spacing w:line="240" w:lineRule="auto"/>
        <w:ind w:right="0"/>
        <w:jc w:val="left"/>
        <w:rPr>
          <w:b w:val="0"/>
          <w:bCs w:val="0"/>
        </w:rPr>
      </w:pPr>
      <w:r>
        <w:rPr>
          <w:rFonts w:ascii="Times New Roman" w:hAnsi="Times New Roman" w:cs="Times New Roman" w:eastAsia="Times New Roman" w:hint="default"/>
        </w:rPr>
        <w:t>20</w:t>
      </w:r>
      <w:r>
        <w:rPr/>
        <w:t>、收入</w:t>
      </w:r>
      <w:r>
        <w:rPr>
          <w:b w:val="0"/>
          <w:bCs w:val="0"/>
        </w:rPr>
      </w:r>
    </w:p>
    <w:p>
      <w:pPr>
        <w:spacing w:line="760" w:lineRule="atLeast" w:before="8"/>
        <w:ind w:left="753" w:right="173" w:hanging="60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）销售商品收入确认时间的具体判断标准</w:t>
      </w:r>
      <w:r>
        <w:rPr>
          <w:rFonts w:ascii="宋体" w:hAnsi="宋体" w:cs="宋体" w:eastAsia="宋体" w:hint="default"/>
          <w:b/>
          <w:bCs/>
          <w:w w:val="99"/>
          <w:sz w:val="24"/>
          <w:szCs w:val="24"/>
        </w:rPr>
        <w:t> </w:t>
      </w:r>
      <w:r>
        <w:rPr>
          <w:rFonts w:ascii="宋体" w:hAnsi="宋体" w:cs="宋体" w:eastAsia="宋体" w:hint="default"/>
          <w:sz w:val="24"/>
          <w:szCs w:val="24"/>
        </w:rPr>
        <w:t>销售商品收入同时满足下列条件的，才能予以确认：</w:t>
      </w:r>
      <w:r>
        <w:rPr>
          <w:rFonts w:ascii="Times New Roman" w:hAnsi="Times New Roman" w:cs="Times New Roman" w:eastAsia="Times New Roman" w:hint="default"/>
          <w:sz w:val="24"/>
          <w:szCs w:val="24"/>
        </w:rPr>
        <w:t>1</w:t>
      </w:r>
      <w:r>
        <w:rPr>
          <w:rFonts w:ascii="宋体" w:hAnsi="宋体" w:cs="宋体" w:eastAsia="宋体" w:hint="default"/>
          <w:sz w:val="24"/>
          <w:szCs w:val="24"/>
        </w:rPr>
        <w:t>）公司已将商品所有权上的主要</w:t>
      </w:r>
    </w:p>
    <w:p>
      <w:pPr>
        <w:pStyle w:val="BodyText"/>
        <w:spacing w:line="240" w:lineRule="auto" w:before="135"/>
        <w:ind w:right="0"/>
        <w:jc w:val="left"/>
        <w:rPr>
          <w:rFonts w:ascii="宋体" w:hAnsi="宋体" w:cs="宋体" w:eastAsia="宋体" w:hint="default"/>
        </w:rPr>
      </w:pPr>
      <w:r>
        <w:rPr>
          <w:rFonts w:ascii="宋体" w:hAnsi="宋体" w:cs="宋体" w:eastAsia="宋体" w:hint="default"/>
          <w:spacing w:val="-3"/>
        </w:rPr>
        <w:t>风险和报酬转移给购货方；</w:t>
      </w:r>
      <w:r>
        <w:rPr>
          <w:rFonts w:ascii="Times New Roman" w:hAnsi="Times New Roman" w:cs="Times New Roman" w:eastAsia="Times New Roman" w:hint="default"/>
          <w:spacing w:val="-3"/>
        </w:rPr>
        <w:t>2</w:t>
      </w:r>
      <w:r>
        <w:rPr>
          <w:rFonts w:ascii="宋体" w:hAnsi="宋体" w:cs="宋体" w:eastAsia="宋体" w:hint="default"/>
          <w:spacing w:val="-3"/>
        </w:rPr>
        <w:t>）公司既没有保留通常与所有权相联系的继续管理权，也没有对</w:t>
      </w:r>
    </w:p>
    <w:p>
      <w:pPr>
        <w:spacing w:after="0" w:line="240" w:lineRule="auto"/>
        <w:jc w:val="left"/>
        <w:rPr>
          <w:rFonts w:ascii="宋体" w:hAnsi="宋体" w:cs="宋体" w:eastAsia="宋体" w:hint="default"/>
        </w:rPr>
        <w:sectPr>
          <w:pgSz w:w="11910" w:h="16840"/>
          <w:pgMar w:header="555" w:footer="980" w:top="1100" w:bottom="1160" w:left="980" w:right="980"/>
        </w:sectPr>
      </w:pPr>
    </w:p>
    <w:p>
      <w:pPr>
        <w:spacing w:line="240" w:lineRule="auto" w:before="7"/>
        <w:rPr>
          <w:rFonts w:ascii="宋体" w:hAnsi="宋体" w:cs="宋体" w:eastAsia="宋体" w:hint="default"/>
          <w:sz w:val="25"/>
          <w:szCs w:val="25"/>
        </w:rPr>
      </w:pPr>
    </w:p>
    <w:p>
      <w:pPr>
        <w:pStyle w:val="BodyText"/>
        <w:spacing w:line="338" w:lineRule="auto" w:before="26"/>
        <w:ind w:right="113"/>
        <w:jc w:val="both"/>
        <w:rPr>
          <w:rFonts w:ascii="宋体" w:hAnsi="宋体" w:cs="宋体" w:eastAsia="宋体" w:hint="default"/>
        </w:rPr>
      </w:pPr>
      <w:r>
        <w:rPr>
          <w:rFonts w:ascii="宋体" w:hAnsi="宋体" w:cs="宋体" w:eastAsia="宋体" w:hint="default"/>
        </w:rPr>
        <w:t>已售出的商品实施有效控制；</w:t>
      </w:r>
      <w:r>
        <w:rPr>
          <w:rFonts w:ascii="Times New Roman" w:hAnsi="Times New Roman" w:cs="Times New Roman" w:eastAsia="Times New Roman" w:hint="default"/>
        </w:rPr>
        <w:t>3</w:t>
      </w:r>
      <w:r>
        <w:rPr>
          <w:rFonts w:ascii="宋体" w:hAnsi="宋体" w:cs="宋体" w:eastAsia="宋体" w:hint="default"/>
        </w:rPr>
        <w:t>）收入的金额能够可靠地计量；</w:t>
      </w:r>
      <w:r>
        <w:rPr>
          <w:rFonts w:ascii="Times New Roman" w:hAnsi="Times New Roman" w:cs="Times New Roman" w:eastAsia="Times New Roman" w:hint="default"/>
        </w:rPr>
        <w:t>4</w:t>
      </w:r>
      <w:r>
        <w:rPr>
          <w:rFonts w:ascii="宋体" w:hAnsi="宋体" w:cs="宋体" w:eastAsia="宋体" w:hint="default"/>
        </w:rPr>
        <w:t>）相关的经济利益很可能流 </w:t>
      </w:r>
      <w:r>
        <w:rPr>
          <w:rFonts w:ascii="宋体" w:hAnsi="宋体" w:cs="宋体" w:eastAsia="宋体" w:hint="default"/>
          <w:spacing w:val="-3"/>
        </w:rPr>
        <w:t>入本公司；</w:t>
      </w:r>
      <w:r>
        <w:rPr>
          <w:rFonts w:ascii="Times New Roman" w:hAnsi="Times New Roman" w:cs="Times New Roman" w:eastAsia="Times New Roman" w:hint="default"/>
          <w:spacing w:val="-3"/>
        </w:rPr>
        <w:t>5</w:t>
      </w:r>
      <w:r>
        <w:rPr>
          <w:rFonts w:ascii="宋体" w:hAnsi="宋体" w:cs="宋体" w:eastAsia="宋体" w:hint="default"/>
          <w:spacing w:val="-3"/>
        </w:rPr>
        <w:t>）相关的已发生或将发生的成本能够可靠地计量。公司销售的产品分为系统产品</w:t>
      </w:r>
      <w:r>
        <w:rPr>
          <w:rFonts w:ascii="宋体" w:hAnsi="宋体" w:cs="宋体" w:eastAsia="宋体" w:hint="default"/>
          <w:spacing w:val="-80"/>
        </w:rPr>
        <w:t> </w:t>
      </w:r>
      <w:r>
        <w:rPr>
          <w:rFonts w:ascii="宋体" w:hAnsi="宋体" w:cs="宋体" w:eastAsia="宋体" w:hint="default"/>
          <w:spacing w:val="-80"/>
        </w:rPr>
      </w:r>
      <w:r>
        <w:rPr>
          <w:rFonts w:ascii="宋体" w:hAnsi="宋体" w:cs="宋体" w:eastAsia="宋体" w:hint="default"/>
          <w:spacing w:val="-2"/>
        </w:rPr>
        <w:t>销售业务和其他产品销售业务两种类型。根据销售产品的不同，公司收入确认的具体原则为：</w:t>
      </w:r>
    </w:p>
    <w:p>
      <w:pPr>
        <w:pStyle w:val="BodyText"/>
        <w:spacing w:line="357" w:lineRule="auto" w:before="55"/>
        <w:ind w:right="96"/>
        <w:jc w:val="left"/>
        <w:rPr>
          <w:rFonts w:ascii="宋体" w:hAnsi="宋体" w:cs="宋体" w:eastAsia="宋体" w:hint="default"/>
        </w:rPr>
      </w:pPr>
      <w:r>
        <w:rPr>
          <w:rFonts w:ascii="宋体" w:hAnsi="宋体" w:cs="宋体" w:eastAsia="宋体" w:hint="default"/>
        </w:rPr>
        <w:t>①系统产品销售的收入确认原则公司对需要安装的监控系统等，根据和客户签订的系统产品 销售合同组织发货，项目安装完毕，客户验收后出具安装调试报告或验收报告，公司根据合 同、销售出库单、货物回单、安装调试报告或验收报告确认收入。②其他产品销售的确认原 </w:t>
      </w:r>
      <w:r>
        <w:rPr>
          <w:rFonts w:ascii="宋体" w:hAnsi="宋体" w:cs="宋体" w:eastAsia="宋体" w:hint="default"/>
          <w:spacing w:val="-2"/>
        </w:rPr>
        <w:t>则其他产品销售业务，根据和客户签订的产品销售合同组织发货，产品送达客户指定地点后，</w:t>
      </w:r>
      <w:r>
        <w:rPr>
          <w:rFonts w:ascii="宋体" w:hAnsi="宋体" w:cs="宋体" w:eastAsia="宋体" w:hint="default"/>
        </w:rPr>
        <w:t> </w:t>
      </w:r>
      <w:r>
        <w:rPr>
          <w:rFonts w:ascii="宋体" w:hAnsi="宋体" w:cs="宋体" w:eastAsia="宋体" w:hint="default"/>
          <w:spacing w:val="-5"/>
        </w:rPr>
        <w:t>由客户检验核对无误，验收后出具《收货或验收确认单》，公司根据合同、销售出库单、货物</w:t>
      </w:r>
      <w:r>
        <w:rPr>
          <w:rFonts w:ascii="宋体" w:hAnsi="宋体" w:cs="宋体" w:eastAsia="宋体" w:hint="default"/>
        </w:rPr>
        <w:t> 回单、收货或验收确认单确认收入。</w:t>
      </w:r>
    </w:p>
    <w:p>
      <w:pPr>
        <w:spacing w:line="240" w:lineRule="auto" w:before="12"/>
        <w:rPr>
          <w:rFonts w:ascii="宋体" w:hAnsi="宋体" w:cs="宋体" w:eastAsia="宋体" w:hint="default"/>
          <w:sz w:val="25"/>
          <w:szCs w:val="25"/>
        </w:rPr>
      </w:pPr>
    </w:p>
    <w:p>
      <w:pPr>
        <w:pStyle w:val="Heading2"/>
        <w:spacing w:line="240" w:lineRule="auto"/>
        <w:ind w:right="105"/>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2"/>
        <w:rPr>
          <w:rFonts w:ascii="宋体" w:hAnsi="宋体" w:cs="宋体" w:eastAsia="宋体" w:hint="default"/>
          <w:b/>
          <w:bCs/>
          <w:sz w:val="33"/>
          <w:szCs w:val="33"/>
        </w:rPr>
      </w:pPr>
    </w:p>
    <w:p>
      <w:pPr>
        <w:pStyle w:val="BodyText"/>
        <w:spacing w:line="357" w:lineRule="auto" w:before="0"/>
        <w:ind w:right="105" w:firstLine="420"/>
        <w:jc w:val="left"/>
        <w:rPr>
          <w:rFonts w:ascii="宋体" w:hAnsi="宋体" w:cs="宋体" w:eastAsia="宋体" w:hint="default"/>
        </w:rPr>
      </w:pPr>
      <w:r>
        <w:rPr>
          <w:rFonts w:ascii="宋体" w:hAnsi="宋体" w:cs="宋体" w:eastAsia="宋体" w:hint="default"/>
          <w:spacing w:val="2"/>
        </w:rPr>
        <w:t>让渡资产使用权收入包括利息收入、使用费收入等。让渡资产使用权收入同时满足下列 </w:t>
      </w:r>
      <w:r>
        <w:rPr>
          <w:rFonts w:ascii="宋体" w:hAnsi="宋体" w:cs="宋体" w:eastAsia="宋体" w:hint="default"/>
        </w:rPr>
        <w:t>条件的，才能予以确认：</w:t>
      </w:r>
    </w:p>
    <w:p>
      <w:pPr>
        <w:pStyle w:val="BodyText"/>
        <w:spacing w:line="240" w:lineRule="auto"/>
        <w:ind w:left="573" w:right="105"/>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）相关的经济利益很可能流入企业；</w:t>
      </w:r>
    </w:p>
    <w:p>
      <w:pPr>
        <w:pStyle w:val="BodyText"/>
        <w:spacing w:line="240" w:lineRule="auto" w:before="135"/>
        <w:ind w:left="573" w:right="105"/>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）收入的金额能够可靠地计量。</w:t>
      </w:r>
    </w:p>
    <w:p>
      <w:pPr>
        <w:spacing w:line="240" w:lineRule="auto" w:before="4"/>
        <w:rPr>
          <w:rFonts w:ascii="宋体" w:hAnsi="宋体" w:cs="宋体" w:eastAsia="宋体" w:hint="default"/>
          <w:sz w:val="33"/>
          <w:szCs w:val="33"/>
        </w:rPr>
      </w:pPr>
    </w:p>
    <w:p>
      <w:pPr>
        <w:pStyle w:val="Heading2"/>
        <w:spacing w:line="240" w:lineRule="auto"/>
        <w:ind w:right="105"/>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238" w:firstLine="420"/>
        <w:jc w:val="left"/>
        <w:rPr>
          <w:rFonts w:ascii="宋体" w:hAnsi="宋体" w:cs="宋体" w:eastAsia="宋体" w:hint="default"/>
        </w:rPr>
      </w:pPr>
      <w:r>
        <w:rPr>
          <w:rFonts w:ascii="宋体" w:hAnsi="宋体" w:cs="宋体" w:eastAsia="宋体" w:hint="default"/>
          <w:spacing w:val="2"/>
        </w:rPr>
        <w:t>本公司在资产负债表日提供劳务交易的结果能够可靠估计的，采用完工百分比法确认提</w:t>
      </w:r>
      <w:r>
        <w:rPr>
          <w:rFonts w:ascii="宋体" w:hAnsi="宋体" w:cs="宋体" w:eastAsia="宋体" w:hint="default"/>
        </w:rPr>
        <w:t> 供劳务收入，即按照提供劳务交易的完工进度确认收入与费用。</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提供劳务交易的结果能够可靠估计，应同时满足下列条件：</w:t>
      </w:r>
    </w:p>
    <w:p>
      <w:pPr>
        <w:pStyle w:val="BodyText"/>
        <w:spacing w:line="240" w:lineRule="auto" w:before="154"/>
        <w:ind w:left="573" w:right="105"/>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）收入的金额能够可靠地计量；</w:t>
      </w:r>
    </w:p>
    <w:p>
      <w:pPr>
        <w:pStyle w:val="BodyText"/>
        <w:spacing w:line="240" w:lineRule="auto" w:before="135"/>
        <w:ind w:left="573" w:right="105"/>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）相关的经济利益很可能流入企业；</w:t>
      </w:r>
    </w:p>
    <w:p>
      <w:pPr>
        <w:pStyle w:val="BodyText"/>
        <w:spacing w:line="240" w:lineRule="auto" w:before="135"/>
        <w:ind w:left="573" w:right="105"/>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）交易的完工进度能够可靠地确定；</w:t>
      </w:r>
    </w:p>
    <w:p>
      <w:pPr>
        <w:pStyle w:val="BodyText"/>
        <w:spacing w:line="240" w:lineRule="auto" w:before="136"/>
        <w:ind w:left="573" w:right="105"/>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）交易中已发生和将发生的成本能够可靠地计量。</w:t>
      </w:r>
    </w:p>
    <w:p>
      <w:pPr>
        <w:pStyle w:val="BodyText"/>
        <w:spacing w:line="357" w:lineRule="auto" w:before="135"/>
        <w:ind w:right="105" w:firstLine="420"/>
        <w:jc w:val="left"/>
        <w:rPr>
          <w:rFonts w:ascii="宋体" w:hAnsi="宋体" w:cs="宋体" w:eastAsia="宋体" w:hint="default"/>
        </w:rPr>
      </w:pPr>
      <w:r>
        <w:rPr>
          <w:rFonts w:ascii="宋体" w:hAnsi="宋体" w:cs="宋体" w:eastAsia="宋体" w:hint="default"/>
          <w:spacing w:val="2"/>
        </w:rPr>
        <w:t>在同一会计年度内开始并完成的劳务，在劳务完成时确认收入，确认的金额为合同或协 </w:t>
      </w:r>
      <w:r>
        <w:rPr>
          <w:rFonts w:ascii="宋体" w:hAnsi="宋体" w:cs="宋体" w:eastAsia="宋体" w:hint="default"/>
        </w:rPr>
        <w:t>议总金额。</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资产负债表日提供劳务交易结果不能够可靠估计的，分别下列情况处理：</w:t>
      </w:r>
    </w:p>
    <w:p>
      <w:pPr>
        <w:pStyle w:val="BodyText"/>
        <w:spacing w:line="240" w:lineRule="auto" w:before="154"/>
        <w:ind w:left="573" w:right="105"/>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）已经发生的劳务成本预计能够得到补偿的，按照已经发生的劳务成本金额确认提供劳</w:t>
      </w:r>
    </w:p>
    <w:p>
      <w:pPr>
        <w:spacing w:after="0" w:line="240" w:lineRule="auto"/>
        <w:jc w:val="left"/>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240" w:lineRule="auto" w:before="26"/>
        <w:ind w:right="105"/>
        <w:jc w:val="left"/>
        <w:rPr>
          <w:rFonts w:ascii="宋体" w:hAnsi="宋体" w:cs="宋体" w:eastAsia="宋体" w:hint="default"/>
        </w:rPr>
      </w:pPr>
      <w:r>
        <w:rPr>
          <w:rFonts w:ascii="宋体" w:hAnsi="宋体" w:cs="宋体" w:eastAsia="宋体" w:hint="default"/>
        </w:rPr>
        <w:t>务收入，并按相同金额结转劳务成本；</w:t>
      </w:r>
    </w:p>
    <w:p>
      <w:pPr>
        <w:pStyle w:val="BodyText"/>
        <w:spacing w:line="338" w:lineRule="auto" w:before="154"/>
        <w:ind w:right="194" w:firstLine="42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）已经发生的劳务成本预计不能够得到补偿的，将已经发生的劳务成本计入当期损益， 不确认提供劳务收入。</w:t>
      </w:r>
    </w:p>
    <w:p>
      <w:pPr>
        <w:spacing w:line="240" w:lineRule="auto" w:before="2"/>
        <w:rPr>
          <w:rFonts w:ascii="宋体" w:hAnsi="宋体" w:cs="宋体" w:eastAsia="宋体" w:hint="default"/>
          <w:sz w:val="27"/>
          <w:szCs w:val="27"/>
        </w:rPr>
      </w:pPr>
    </w:p>
    <w:p>
      <w:pPr>
        <w:pStyle w:val="Heading2"/>
        <w:spacing w:line="338" w:lineRule="auto"/>
        <w:ind w:right="219"/>
        <w:jc w:val="left"/>
        <w:rPr>
          <w:b w:val="0"/>
          <w:bCs w:val="0"/>
        </w:rPr>
      </w:pPr>
      <w:r>
        <w:rPr>
          <w:spacing w:val="-3"/>
        </w:rPr>
        <w:t>（</w:t>
      </w:r>
      <w:r>
        <w:rPr>
          <w:rFonts w:ascii="Times New Roman" w:hAnsi="Times New Roman" w:cs="Times New Roman" w:eastAsia="Times New Roman" w:hint="default"/>
          <w:spacing w:val="-3"/>
        </w:rPr>
        <w:t>4</w:t>
      </w:r>
      <w:r>
        <w:rPr>
          <w:spacing w:val="-3"/>
        </w:rPr>
        <w:t>）按完工百分比法确认提供劳务的收入和建造合同收入时，确定合同完工进度的依据和方</w:t>
      </w:r>
      <w:r>
        <w:rPr>
          <w:w w:val="99"/>
        </w:rPr>
        <w:t> </w:t>
      </w:r>
      <w:r>
        <w:rPr/>
        <w:t>法</w:t>
      </w:r>
      <w:r>
        <w:rPr>
          <w:b w:val="0"/>
          <w:bCs w:val="0"/>
        </w:rPr>
      </w:r>
    </w:p>
    <w:p>
      <w:pPr>
        <w:spacing w:line="240" w:lineRule="auto" w:before="2"/>
        <w:rPr>
          <w:rFonts w:ascii="宋体" w:hAnsi="宋体" w:cs="宋体" w:eastAsia="宋体" w:hint="default"/>
          <w:b/>
          <w:bCs/>
          <w:sz w:val="21"/>
          <w:szCs w:val="21"/>
        </w:rPr>
      </w:pPr>
    </w:p>
    <w:p>
      <w:pPr>
        <w:pStyle w:val="BodyText"/>
        <w:spacing w:line="240" w:lineRule="auto" w:before="0"/>
        <w:ind w:left="578" w:right="105"/>
        <w:jc w:val="left"/>
        <w:rPr>
          <w:rFonts w:ascii="宋体" w:hAnsi="宋体" w:cs="宋体" w:eastAsia="宋体" w:hint="default"/>
        </w:rPr>
      </w:pPr>
      <w:r>
        <w:rPr>
          <w:rFonts w:ascii="宋体" w:hAnsi="宋体" w:cs="宋体" w:eastAsia="宋体" w:hint="default"/>
        </w:rPr>
        <w:t>不适用</w:t>
      </w:r>
    </w:p>
    <w:p>
      <w:pPr>
        <w:spacing w:line="240" w:lineRule="auto" w:before="0"/>
        <w:rPr>
          <w:rFonts w:ascii="宋体" w:hAnsi="宋体" w:cs="宋体" w:eastAsia="宋体" w:hint="default"/>
          <w:sz w:val="29"/>
          <w:szCs w:val="29"/>
        </w:rPr>
      </w:pPr>
    </w:p>
    <w:p>
      <w:pPr>
        <w:pStyle w:val="Heading2"/>
        <w:spacing w:line="240" w:lineRule="auto"/>
        <w:ind w:right="105"/>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2"/>
        <w:rPr>
          <w:rFonts w:ascii="宋体" w:hAnsi="宋体" w:cs="宋体" w:eastAsia="宋体" w:hint="default"/>
          <w:b/>
          <w:bCs/>
          <w:sz w:val="33"/>
          <w:szCs w:val="33"/>
        </w:rPr>
      </w:pPr>
    </w:p>
    <w:p>
      <w:pPr>
        <w:pStyle w:val="Heading2"/>
        <w:spacing w:line="240" w:lineRule="auto"/>
        <w:ind w:right="105"/>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309" w:firstLine="425"/>
        <w:jc w:val="left"/>
        <w:rPr>
          <w:rFonts w:ascii="宋体" w:hAnsi="宋体" w:cs="宋体" w:eastAsia="宋体" w:hint="default"/>
        </w:rPr>
      </w:pPr>
      <w:r>
        <w:rPr>
          <w:rFonts w:ascii="宋体" w:hAnsi="宋体" w:cs="宋体" w:eastAsia="宋体" w:hint="default"/>
        </w:rPr>
        <w:t>政府补助，是指本公司从政府无偿取得货币性资产或非货币性资产，但不包括政府作为 企业所有者投入的资本。</w:t>
      </w:r>
    </w:p>
    <w:p>
      <w:pPr>
        <w:spacing w:line="240" w:lineRule="auto" w:before="12"/>
        <w:rPr>
          <w:rFonts w:ascii="宋体" w:hAnsi="宋体" w:cs="宋体" w:eastAsia="宋体" w:hint="default"/>
          <w:sz w:val="25"/>
          <w:szCs w:val="25"/>
        </w:rPr>
      </w:pPr>
    </w:p>
    <w:p>
      <w:pPr>
        <w:pStyle w:val="Heading2"/>
        <w:spacing w:line="240" w:lineRule="auto"/>
        <w:ind w:right="105"/>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2"/>
        <w:rPr>
          <w:rFonts w:ascii="宋体" w:hAnsi="宋体" w:cs="宋体" w:eastAsia="宋体" w:hint="default"/>
          <w:b/>
          <w:bCs/>
          <w:sz w:val="33"/>
          <w:szCs w:val="33"/>
        </w:rPr>
      </w:pPr>
    </w:p>
    <w:p>
      <w:pPr>
        <w:pStyle w:val="BodyText"/>
        <w:spacing w:line="357" w:lineRule="auto" w:before="0"/>
        <w:ind w:right="233" w:firstLine="420"/>
        <w:jc w:val="both"/>
        <w:rPr>
          <w:rFonts w:ascii="宋体" w:hAnsi="宋体" w:cs="宋体" w:eastAsia="宋体" w:hint="default"/>
        </w:rPr>
      </w:pPr>
      <w:r>
        <w:rPr>
          <w:rFonts w:ascii="宋体" w:hAnsi="宋体" w:cs="宋体" w:eastAsia="宋体" w:hint="default"/>
          <w:spacing w:val="2"/>
        </w:rPr>
        <w:t>本公司取得的、用于购建或以其他方式形成长期资产的政府补助，按照公允价值计量； </w:t>
      </w:r>
      <w:r>
        <w:rPr>
          <w:rFonts w:ascii="宋体" w:hAnsi="宋体" w:cs="宋体" w:eastAsia="宋体" w:hint="default"/>
        </w:rPr>
        <w:t>公允价值不能可靠取得的，按照名义金额计量。与资产相关的政府补助，确认为递延收益，</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并在相关资产使用寿命内平均分配，计入当期损益。但是，按照名义金额计量的政府补助，</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直接计入当期损益。</w:t>
      </w:r>
    </w:p>
    <w:p>
      <w:pPr>
        <w:pStyle w:val="BodyText"/>
        <w:spacing w:line="357" w:lineRule="auto"/>
        <w:ind w:right="96" w:firstLine="420"/>
        <w:jc w:val="left"/>
        <w:rPr>
          <w:rFonts w:ascii="宋体" w:hAnsi="宋体" w:cs="宋体" w:eastAsia="宋体" w:hint="default"/>
        </w:rPr>
      </w:pPr>
      <w:r>
        <w:rPr>
          <w:rFonts w:ascii="宋体" w:hAnsi="宋体" w:cs="宋体" w:eastAsia="宋体" w:hint="default"/>
          <w:spacing w:val="2"/>
        </w:rPr>
        <w:t>本公司取得的除与资产相关的政府补助之外的政府补助，按照收到或应收的金额计量。 </w:t>
      </w:r>
      <w:r>
        <w:rPr>
          <w:rFonts w:ascii="宋体" w:hAnsi="宋体" w:cs="宋体" w:eastAsia="宋体" w:hint="default"/>
          <w:spacing w:val="-2"/>
        </w:rPr>
        <w:t>用于补偿本公司以后期间的相关费用或损失的，确认为递延收益，并在确认相关费用的期间，</w:t>
      </w:r>
      <w:r>
        <w:rPr>
          <w:rFonts w:ascii="宋体" w:hAnsi="宋体" w:cs="宋体" w:eastAsia="宋体" w:hint="default"/>
        </w:rPr>
        <w:t> 计入当期损益。用于补偿企业已发生的相关费用或损失的，直接计入当期损益。</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本公司已确认的政府补助需要返还的，分别下列情况处理：</w:t>
      </w:r>
    </w:p>
    <w:p>
      <w:pPr>
        <w:pStyle w:val="BodyText"/>
        <w:spacing w:line="240" w:lineRule="auto" w:before="154"/>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）存在相关递延收益的，冲减相关递延收益账面余额，超出部分计入当期损益。</w:t>
      </w:r>
    </w:p>
    <w:p>
      <w:pPr>
        <w:pStyle w:val="BodyText"/>
        <w:spacing w:line="240" w:lineRule="auto" w:before="135"/>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）不存在相关递延收益的，直接计入当期损益。</w:t>
      </w:r>
    </w:p>
    <w:p>
      <w:pPr>
        <w:spacing w:after="0" w:line="240" w:lineRule="auto"/>
        <w:jc w:val="left"/>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4"/>
        <w:rPr>
          <w:rFonts w:ascii="宋体" w:hAnsi="宋体" w:cs="宋体" w:eastAsia="宋体" w:hint="default"/>
          <w:b/>
          <w:bCs/>
          <w:sz w:val="33"/>
          <w:szCs w:val="33"/>
        </w:rPr>
      </w:pPr>
    </w:p>
    <w:p>
      <w:pPr>
        <w:pStyle w:val="BodyText"/>
        <w:spacing w:line="357" w:lineRule="auto" w:before="0"/>
        <w:ind w:right="191" w:firstLine="425"/>
        <w:jc w:val="both"/>
        <w:rPr>
          <w:rFonts w:ascii="宋体" w:hAnsi="宋体" w:cs="宋体" w:eastAsia="宋体" w:hint="default"/>
        </w:rPr>
      </w:pPr>
      <w:r>
        <w:rPr>
          <w:rFonts w:ascii="宋体" w:hAnsi="宋体" w:cs="宋体" w:eastAsia="宋体" w:hint="default"/>
        </w:rPr>
        <w:t>①对于可抵扣暂时性差异、能够结转以后年度的可抵扣亏损和税款抵减，本公司以很可 能取得用来抵扣可抵扣暂时性差异、可抵扣亏损和税款抵减的未来应纳税所得额为限，确认 由此产生的递延所得税资产。</w:t>
      </w:r>
    </w:p>
    <w:p>
      <w:pPr>
        <w:pStyle w:val="BodyText"/>
        <w:spacing w:line="348" w:lineRule="auto" w:before="77"/>
        <w:ind w:right="140" w:firstLine="425"/>
        <w:jc w:val="left"/>
        <w:rPr>
          <w:rFonts w:ascii="宋体" w:hAnsi="宋体" w:cs="宋体" w:eastAsia="宋体" w:hint="default"/>
        </w:rPr>
      </w:pPr>
      <w:r>
        <w:rPr>
          <w:rFonts w:ascii="宋体" w:hAnsi="宋体" w:cs="宋体" w:eastAsia="宋体" w:hint="default"/>
        </w:rPr>
        <w:t>②同时具有下列特征的交易中因资产或负债的初始确认所产生的递延所得税资产不予确 认：</w:t>
      </w:r>
      <w:r>
        <w:rPr>
          <w:rFonts w:ascii="宋体" w:hAnsi="宋体" w:cs="宋体" w:eastAsia="宋体" w:hint="default"/>
          <w:spacing w:val="-49"/>
        </w:rPr>
        <w:t> </w:t>
      </w:r>
      <w:r>
        <w:rPr>
          <w:rFonts w:ascii="Times New Roman" w:hAnsi="Times New Roman" w:cs="Times New Roman" w:eastAsia="Times New Roman" w:hint="default"/>
        </w:rPr>
        <w:t>A.</w:t>
      </w:r>
      <w:r>
        <w:rPr>
          <w:rFonts w:ascii="宋体" w:hAnsi="宋体" w:cs="宋体" w:eastAsia="宋体" w:hint="default"/>
        </w:rPr>
        <w:t>该项交易不是企业合并；</w:t>
      </w:r>
      <w:r>
        <w:rPr>
          <w:rFonts w:ascii="宋体" w:hAnsi="宋体" w:cs="宋体" w:eastAsia="宋体" w:hint="default"/>
          <w:spacing w:val="-49"/>
        </w:rPr>
        <w:t> </w:t>
      </w:r>
      <w:r>
        <w:rPr>
          <w:rFonts w:ascii="Times New Roman" w:hAnsi="Times New Roman" w:cs="Times New Roman" w:eastAsia="Times New Roman" w:hint="default"/>
          <w:spacing w:val="-3"/>
        </w:rPr>
        <w:t>B.</w:t>
      </w:r>
      <w:r>
        <w:rPr>
          <w:rFonts w:ascii="宋体" w:hAnsi="宋体" w:cs="宋体" w:eastAsia="宋体" w:hint="default"/>
          <w:spacing w:val="-3"/>
        </w:rPr>
        <w:t>交易发生时既不影响会计利润也不影响应纳税所得额（或</w:t>
      </w:r>
      <w:r>
        <w:rPr>
          <w:rFonts w:ascii="宋体" w:hAnsi="宋体" w:cs="宋体" w:eastAsia="宋体" w:hint="default"/>
        </w:rPr>
        <w:t> </w:t>
      </w:r>
      <w:r>
        <w:rPr>
          <w:rFonts w:ascii="宋体" w:hAnsi="宋体" w:cs="宋体" w:eastAsia="宋体" w:hint="default"/>
          <w:spacing w:val="-18"/>
        </w:rPr>
        <w:t>可抵扣亏损）。</w:t>
      </w:r>
    </w:p>
    <w:p>
      <w:pPr>
        <w:pStyle w:val="BodyText"/>
        <w:spacing w:line="348" w:lineRule="auto" w:before="84"/>
        <w:ind w:right="191" w:firstLine="425"/>
        <w:jc w:val="both"/>
        <w:rPr>
          <w:rFonts w:ascii="宋体" w:hAnsi="宋体" w:cs="宋体" w:eastAsia="宋体" w:hint="default"/>
        </w:rPr>
      </w:pPr>
      <w:r>
        <w:rPr>
          <w:rFonts w:ascii="宋体" w:hAnsi="宋体" w:cs="宋体" w:eastAsia="宋体" w:hint="default"/>
        </w:rPr>
        <w:t>③本公司对与子公司、联营公司及合营企业投资相关的可抵扣暂时性差异，同时满足下 列条件的，确认相应的递延所得税资产： </w:t>
      </w:r>
      <w:r>
        <w:rPr>
          <w:rFonts w:ascii="Times New Roman" w:hAnsi="Times New Roman" w:cs="Times New Roman" w:eastAsia="Times New Roman" w:hint="default"/>
        </w:rPr>
        <w:t>A.</w:t>
      </w:r>
      <w:r>
        <w:rPr>
          <w:rFonts w:ascii="宋体" w:hAnsi="宋体" w:cs="宋体" w:eastAsia="宋体" w:hint="default"/>
        </w:rPr>
        <w:t>暂时性差异在可预见的未来可能转回；</w:t>
      </w:r>
      <w:r>
        <w:rPr>
          <w:rFonts w:ascii="宋体" w:hAnsi="宋体" w:cs="宋体" w:eastAsia="宋体" w:hint="default"/>
          <w:spacing w:val="2"/>
        </w:rPr>
        <w:t> </w:t>
      </w:r>
      <w:r>
        <w:rPr>
          <w:rFonts w:ascii="Times New Roman" w:hAnsi="Times New Roman" w:cs="Times New Roman" w:eastAsia="Times New Roman" w:hint="default"/>
        </w:rPr>
        <w:t>B.</w:t>
      </w:r>
      <w:r>
        <w:rPr>
          <w:rFonts w:ascii="宋体" w:hAnsi="宋体" w:cs="宋体" w:eastAsia="宋体" w:hint="default"/>
        </w:rPr>
        <w:t>未来</w:t>
      </w:r>
      <w:r>
        <w:rPr>
          <w:rFonts w:ascii="宋体" w:hAnsi="宋体" w:cs="宋体" w:eastAsia="宋体" w:hint="default"/>
          <w:spacing w:val="2"/>
        </w:rPr>
        <w:t> </w:t>
      </w:r>
      <w:r>
        <w:rPr>
          <w:rFonts w:ascii="宋体" w:hAnsi="宋体" w:cs="宋体" w:eastAsia="宋体" w:hint="default"/>
        </w:rPr>
        <w:t>很可能获得用来抵扣暂时性差异的应纳税所得额。</w:t>
      </w:r>
      <w:r>
        <w:rPr>
          <w:rFonts w:ascii="Times New Roman" w:hAnsi="Times New Roman" w:cs="Times New Roman" w:eastAsia="Times New Roman" w:hint="default"/>
        </w:rPr>
        <w:t>C.</w:t>
      </w:r>
      <w:r>
        <w:rPr>
          <w:rFonts w:ascii="宋体" w:hAnsi="宋体" w:cs="宋体" w:eastAsia="宋体" w:hint="default"/>
        </w:rPr>
        <w:t>本公司对于能够结转以后年度的可抵扣 亏损和税款抵减，以很可能获得用来抵扣可抵扣亏损和税款抵减的未来应纳税所得额为限， 确认相应的递延所得税资产。</w:t>
      </w:r>
    </w:p>
    <w:p>
      <w:pPr>
        <w:pStyle w:val="BodyText"/>
        <w:spacing w:line="357" w:lineRule="auto" w:before="86"/>
        <w:ind w:right="191" w:firstLine="425"/>
        <w:jc w:val="both"/>
        <w:rPr>
          <w:rFonts w:ascii="宋体" w:hAnsi="宋体" w:cs="宋体" w:eastAsia="宋体" w:hint="default"/>
        </w:rPr>
      </w:pPr>
      <w:r>
        <w:rPr>
          <w:rFonts w:ascii="宋体" w:hAnsi="宋体" w:cs="宋体" w:eastAsia="宋体" w:hint="default"/>
        </w:rPr>
        <w:t>④于资产负债表日，本公司对递延所得税资产的账面价值进行复核。如果未来期间很可 能无法获得足够的应纳税所得额用以抵扣递延所得税资产的利益，减记递延所得税资产的账 面价值。在很可能获得足够的应纳税所得额时，减记的金额予以转回。</w:t>
      </w:r>
    </w:p>
    <w:p>
      <w:pPr>
        <w:spacing w:line="766" w:lineRule="exact" w:before="6"/>
        <w:ind w:left="578" w:right="228" w:hanging="426"/>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）确认递延所得税负债的依据</w:t>
      </w:r>
      <w:r>
        <w:rPr>
          <w:rFonts w:ascii="宋体" w:hAnsi="宋体" w:cs="宋体" w:eastAsia="宋体" w:hint="default"/>
          <w:b/>
          <w:bCs/>
          <w:w w:val="99"/>
          <w:sz w:val="24"/>
          <w:szCs w:val="24"/>
        </w:rPr>
        <w:t> </w:t>
      </w:r>
      <w:r>
        <w:rPr>
          <w:rFonts w:ascii="宋体" w:hAnsi="宋体" w:cs="宋体" w:eastAsia="宋体" w:hint="default"/>
          <w:sz w:val="24"/>
          <w:szCs w:val="24"/>
        </w:rPr>
        <w:t>递延所得税负债应按各种应纳税暂时性差异确认，同时具有下列特征的交易中因资产或</w:t>
      </w:r>
    </w:p>
    <w:p>
      <w:pPr>
        <w:pStyle w:val="BodyText"/>
        <w:spacing w:line="240" w:lineRule="auto" w:before="34"/>
        <w:ind w:right="0"/>
        <w:jc w:val="left"/>
        <w:rPr>
          <w:rFonts w:ascii="宋体" w:hAnsi="宋体" w:cs="宋体" w:eastAsia="宋体" w:hint="default"/>
        </w:rPr>
      </w:pPr>
      <w:r>
        <w:rPr>
          <w:rFonts w:ascii="宋体" w:hAnsi="宋体" w:cs="宋体" w:eastAsia="宋体" w:hint="default"/>
        </w:rPr>
        <w:t>负债的初始确认所产生的递延所得税负债不予确认：</w:t>
      </w:r>
    </w:p>
    <w:p>
      <w:pPr>
        <w:pStyle w:val="BodyText"/>
        <w:spacing w:line="348" w:lineRule="auto" w:before="194"/>
        <w:ind w:right="153" w:firstLine="545"/>
        <w:jc w:val="both"/>
        <w:rPr>
          <w:rFonts w:ascii="宋体" w:hAnsi="宋体" w:cs="宋体" w:eastAsia="宋体" w:hint="default"/>
        </w:rPr>
      </w:pPr>
      <w:r>
        <w:rPr>
          <w:rFonts w:ascii="宋体" w:hAnsi="宋体" w:cs="宋体" w:eastAsia="宋体" w:hint="default"/>
        </w:rPr>
        <w:t>①应纳税暂时性差异是在以下交易中产生的： </w:t>
      </w:r>
      <w:r>
        <w:rPr>
          <w:rFonts w:ascii="Times New Roman" w:hAnsi="Times New Roman" w:cs="Times New Roman" w:eastAsia="Times New Roman" w:hint="default"/>
        </w:rPr>
        <w:t>A.</w:t>
      </w:r>
      <w:r>
        <w:rPr>
          <w:rFonts w:ascii="宋体" w:hAnsi="宋体" w:cs="宋体" w:eastAsia="宋体" w:hint="default"/>
        </w:rPr>
        <w:t>商誉的初始确认；</w:t>
      </w:r>
      <w:r>
        <w:rPr>
          <w:rFonts w:ascii="宋体" w:hAnsi="宋体" w:cs="宋体" w:eastAsia="宋体" w:hint="default"/>
          <w:spacing w:val="-3"/>
        </w:rPr>
        <w:t> </w:t>
      </w:r>
      <w:r>
        <w:rPr>
          <w:rFonts w:ascii="Times New Roman" w:hAnsi="Times New Roman" w:cs="Times New Roman" w:eastAsia="Times New Roman" w:hint="default"/>
        </w:rPr>
        <w:t>B.</w:t>
      </w:r>
      <w:r>
        <w:rPr>
          <w:rFonts w:ascii="宋体" w:hAnsi="宋体" w:cs="宋体" w:eastAsia="宋体" w:hint="default"/>
        </w:rPr>
        <w:t>具有以下特征的 交易中产生的资产或负债的初始确认：该交易不是企业合并，并且交易发生时既不影响会计 利润也不影响应纳税所得额或可抵扣亏损。</w:t>
      </w:r>
    </w:p>
    <w:p>
      <w:pPr>
        <w:pStyle w:val="BodyText"/>
        <w:spacing w:line="357" w:lineRule="auto" w:before="84"/>
        <w:ind w:right="246" w:firstLine="425"/>
        <w:jc w:val="both"/>
        <w:rPr>
          <w:rFonts w:ascii="宋体" w:hAnsi="宋体" w:cs="宋体" w:eastAsia="宋体" w:hint="default"/>
        </w:rPr>
      </w:pPr>
      <w:r>
        <w:rPr>
          <w:rFonts w:ascii="宋体" w:hAnsi="宋体" w:cs="宋体" w:eastAsia="宋体" w:hint="default"/>
        </w:rPr>
        <w:t>②对于与子公司、合营企业及联营企业投资相关的应纳税暂时性差异，该暂时性差异转 回的时间能够控制并且该暂时性差异在可预见的未来很可能不会转回。</w:t>
      </w:r>
    </w:p>
    <w:p>
      <w:pPr>
        <w:spacing w:after="0" w:line="357" w:lineRule="auto"/>
        <w:jc w:val="both"/>
        <w:rPr>
          <w:rFonts w:ascii="宋体" w:hAnsi="宋体" w:cs="宋体" w:eastAsia="宋体" w:hint="default"/>
        </w:rPr>
        <w:sectPr>
          <w:pgSz w:w="11910" w:h="16840"/>
          <w:pgMar w:header="555" w:footer="980" w:top="1100" w:bottom="1160" w:left="980" w:right="980"/>
        </w:sectPr>
      </w:pPr>
    </w:p>
    <w:p>
      <w:pPr>
        <w:spacing w:line="240" w:lineRule="auto" w:before="10"/>
        <w:rPr>
          <w:rFonts w:ascii="宋体" w:hAnsi="宋体" w:cs="宋体" w:eastAsia="宋体" w:hint="default"/>
          <w:sz w:val="25"/>
          <w:szCs w:val="25"/>
        </w:rPr>
      </w:pPr>
    </w:p>
    <w:p>
      <w:pPr>
        <w:pStyle w:val="Heading2"/>
        <w:spacing w:line="240" w:lineRule="auto" w:before="26"/>
        <w:ind w:right="105"/>
        <w:jc w:val="left"/>
        <w:rPr>
          <w:b w:val="0"/>
          <w:bCs w:val="0"/>
        </w:rPr>
      </w:pPr>
      <w:r>
        <w:rPr>
          <w:rFonts w:ascii="Times New Roman" w:hAnsi="Times New Roman" w:cs="Times New Roman" w:eastAsia="Times New Roman" w:hint="default"/>
        </w:rPr>
        <w:t>23</w:t>
      </w:r>
      <w:r>
        <w:rPr/>
        <w:t>、经营租赁、融资租赁</w:t>
      </w:r>
      <w:r>
        <w:rPr>
          <w:b w:val="0"/>
          <w:bCs w:val="0"/>
        </w:rPr>
      </w:r>
    </w:p>
    <w:p>
      <w:pPr>
        <w:spacing w:line="240" w:lineRule="auto" w:before="2"/>
        <w:rPr>
          <w:rFonts w:ascii="宋体" w:hAnsi="宋体" w:cs="宋体" w:eastAsia="宋体" w:hint="default"/>
          <w:b/>
          <w:bCs/>
          <w:sz w:val="33"/>
          <w:szCs w:val="33"/>
        </w:rPr>
      </w:pPr>
    </w:p>
    <w:p>
      <w:pPr>
        <w:pStyle w:val="Heading2"/>
        <w:spacing w:line="240" w:lineRule="auto"/>
        <w:ind w:right="105"/>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）经营租赁租入资产</w:t>
      </w:r>
    </w:p>
    <w:p>
      <w:pPr>
        <w:pStyle w:val="BodyText"/>
        <w:spacing w:line="357" w:lineRule="auto" w:before="135"/>
        <w:ind w:right="105" w:firstLine="420"/>
        <w:jc w:val="left"/>
        <w:rPr>
          <w:rFonts w:ascii="宋体" w:hAnsi="宋体" w:cs="宋体" w:eastAsia="宋体" w:hint="default"/>
        </w:rPr>
      </w:pPr>
      <w:r>
        <w:rPr>
          <w:rFonts w:ascii="宋体" w:hAnsi="宋体" w:cs="宋体" w:eastAsia="宋体" w:hint="default"/>
          <w:spacing w:val="2"/>
        </w:rPr>
        <w:t>对于经营租赁的租金，本公司在租赁期内各个期间按照直线法计入相关资产成本或当期 </w:t>
      </w:r>
      <w:r>
        <w:rPr>
          <w:rFonts w:ascii="宋体" w:hAnsi="宋体" w:cs="宋体" w:eastAsia="宋体" w:hint="default"/>
        </w:rPr>
        <w:t>损益。本公司发生的初始直接费用，计入当期损益。</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或有租金在实际发生时计入当期损益。</w:t>
      </w:r>
    </w:p>
    <w:p>
      <w:pPr>
        <w:pStyle w:val="BodyText"/>
        <w:spacing w:line="240" w:lineRule="auto" w:before="154"/>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）经营租赁租出资产</w:t>
      </w:r>
    </w:p>
    <w:p>
      <w:pPr>
        <w:pStyle w:val="BodyText"/>
        <w:spacing w:line="357" w:lineRule="auto" w:before="136"/>
        <w:ind w:right="105" w:firstLine="420"/>
        <w:jc w:val="left"/>
        <w:rPr>
          <w:rFonts w:ascii="宋体" w:hAnsi="宋体" w:cs="宋体" w:eastAsia="宋体" w:hint="default"/>
        </w:rPr>
      </w:pPr>
      <w:r>
        <w:rPr>
          <w:rFonts w:ascii="宋体" w:hAnsi="宋体" w:cs="宋体" w:eastAsia="宋体" w:hint="default"/>
          <w:spacing w:val="2"/>
        </w:rPr>
        <w:t>对于经营租赁的租金，本公司在租赁期内各个期间按照直线法确认为当期损益。本公司 </w:t>
      </w:r>
      <w:r>
        <w:rPr>
          <w:rFonts w:ascii="宋体" w:hAnsi="宋体" w:cs="宋体" w:eastAsia="宋体" w:hint="default"/>
        </w:rPr>
        <w:t>发生的初始直接费用，计入当期损益。</w:t>
      </w:r>
    </w:p>
    <w:p>
      <w:pPr>
        <w:pStyle w:val="BodyText"/>
        <w:spacing w:line="357" w:lineRule="auto"/>
        <w:ind w:right="105" w:firstLine="420"/>
        <w:jc w:val="left"/>
        <w:rPr>
          <w:rFonts w:ascii="宋体" w:hAnsi="宋体" w:cs="宋体" w:eastAsia="宋体" w:hint="default"/>
        </w:rPr>
      </w:pPr>
      <w:r>
        <w:rPr>
          <w:rFonts w:ascii="宋体" w:hAnsi="宋体" w:cs="宋体" w:eastAsia="宋体" w:hint="default"/>
          <w:spacing w:val="2"/>
        </w:rPr>
        <w:t>对于经营租赁资产中的固定资产，本公司采用类似资产的折旧政策计提折旧；对于其他 </w:t>
      </w:r>
      <w:r>
        <w:rPr>
          <w:rFonts w:ascii="宋体" w:hAnsi="宋体" w:cs="宋体" w:eastAsia="宋体" w:hint="default"/>
        </w:rPr>
        <w:t>经营租赁资产，采用系统合理的方法进行摊销。</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或有租金在实际发生时计入当期损益。</w:t>
      </w:r>
    </w:p>
    <w:p>
      <w:pPr>
        <w:spacing w:line="240" w:lineRule="auto" w:before="9"/>
        <w:rPr>
          <w:rFonts w:ascii="宋体" w:hAnsi="宋体" w:cs="宋体" w:eastAsia="宋体" w:hint="default"/>
          <w:sz w:val="34"/>
          <w:szCs w:val="34"/>
        </w:rPr>
      </w:pPr>
    </w:p>
    <w:p>
      <w:pPr>
        <w:pStyle w:val="Heading2"/>
        <w:spacing w:line="240" w:lineRule="auto"/>
        <w:ind w:right="105"/>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）融资租赁租入资产</w:t>
      </w:r>
    </w:p>
    <w:p>
      <w:pPr>
        <w:pStyle w:val="BodyText"/>
        <w:spacing w:line="357" w:lineRule="auto" w:before="135"/>
        <w:ind w:right="233" w:firstLine="420"/>
        <w:jc w:val="both"/>
        <w:rPr>
          <w:rFonts w:ascii="宋体" w:hAnsi="宋体" w:cs="宋体" w:eastAsia="宋体" w:hint="default"/>
        </w:rPr>
      </w:pPr>
      <w:r>
        <w:rPr>
          <w:rFonts w:ascii="宋体" w:hAnsi="宋体" w:cs="宋体" w:eastAsia="宋体" w:hint="default"/>
          <w:spacing w:val="2"/>
        </w:rPr>
        <w:t>在租赁期开始日，本公司将租赁开始日租赁资产公允价值与最低租赁付款额现值两者中 </w:t>
      </w:r>
      <w:r>
        <w:rPr>
          <w:rFonts w:ascii="宋体" w:hAnsi="宋体" w:cs="宋体" w:eastAsia="宋体" w:hint="default"/>
        </w:rPr>
        <w:t>较低者作为租入资产的入账价值，将最低租赁付款额作为长期应付款的入账价值，其差额作</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为未确认融资费用。公司在租赁谈判和签订租赁合同过程中发生的，可归属于租赁项目的手</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续费、律师费、差旅费、印花税等初始直接费用，计入租入资产价值。</w:t>
      </w:r>
    </w:p>
    <w:p>
      <w:pPr>
        <w:pStyle w:val="BodyText"/>
        <w:spacing w:line="350" w:lineRule="auto"/>
        <w:ind w:left="573" w:right="100"/>
        <w:jc w:val="left"/>
        <w:rPr>
          <w:rFonts w:ascii="宋体" w:hAnsi="宋体" w:cs="宋体" w:eastAsia="宋体" w:hint="default"/>
        </w:rPr>
      </w:pPr>
      <w:r>
        <w:rPr>
          <w:rFonts w:ascii="宋体" w:hAnsi="宋体" w:cs="宋体" w:eastAsia="宋体" w:hint="default"/>
        </w:rPr>
        <w:t>未确认融资费用在租赁期内各个期间采用实际利率法进行分摊计入当期融资费用。 本公司采用与自有固定资产相一致的折旧政策计提融资租赁租入资产折旧： </w:t>
      </w:r>
      <w:r>
        <w:rPr>
          <w:rFonts w:ascii="Times New Roman" w:hAnsi="Times New Roman" w:cs="Times New Roman" w:eastAsia="Times New Roman" w:hint="default"/>
          <w:spacing w:val="-5"/>
          <w:w w:val="99"/>
        </w:rPr>
        <w:t>A</w:t>
      </w:r>
      <w:r>
        <w:rPr>
          <w:rFonts w:ascii="宋体" w:hAnsi="宋体" w:cs="宋体" w:eastAsia="宋体" w:hint="default"/>
          <w:spacing w:val="-5"/>
          <w:w w:val="99"/>
        </w:rPr>
        <w:t>．能够合理确定租赁期届满时取得租赁资产所有权的，在租赁资产使用寿命内计提折旧；</w:t>
      </w:r>
      <w:r>
        <w:rPr>
          <w:rFonts w:ascii="宋体" w:hAnsi="宋体" w:cs="宋体" w:eastAsia="宋体" w:hint="default"/>
          <w:spacing w:val="-117"/>
          <w:w w:val="99"/>
        </w:rPr>
        <w:t> </w:t>
      </w:r>
      <w:r>
        <w:rPr>
          <w:rFonts w:ascii="宋体" w:hAnsi="宋体" w:cs="宋体" w:eastAsia="宋体" w:hint="default"/>
          <w:spacing w:val="-117"/>
          <w:w w:val="99"/>
        </w:rPr>
      </w:r>
      <w:r>
        <w:rPr>
          <w:rFonts w:ascii="Times New Roman" w:hAnsi="Times New Roman" w:cs="Times New Roman" w:eastAsia="Times New Roman" w:hint="default"/>
        </w:rPr>
        <w:t>B</w:t>
      </w:r>
      <w:r>
        <w:rPr>
          <w:rFonts w:ascii="宋体" w:hAnsi="宋体" w:cs="宋体" w:eastAsia="宋体" w:hint="default"/>
        </w:rPr>
        <w:t>．无法合理确定租赁期届满时能够取得租赁资产所有权的，在租赁期与租赁资产使用寿</w:t>
      </w:r>
    </w:p>
    <w:p>
      <w:pPr>
        <w:pStyle w:val="BodyText"/>
        <w:spacing w:line="357" w:lineRule="auto" w:before="13"/>
        <w:ind w:left="573" w:right="5353" w:hanging="421"/>
        <w:jc w:val="left"/>
        <w:rPr>
          <w:rFonts w:ascii="宋体" w:hAnsi="宋体" w:cs="宋体" w:eastAsia="宋体" w:hint="default"/>
        </w:rPr>
      </w:pPr>
      <w:r>
        <w:rPr>
          <w:rFonts w:ascii="宋体" w:hAnsi="宋体" w:cs="宋体" w:eastAsia="宋体" w:hint="default"/>
        </w:rPr>
        <w:t>命两者中较短的期间内计提折旧。 或有租金在实际发生时计入当期损益。</w:t>
      </w:r>
    </w:p>
    <w:p>
      <w:pPr>
        <w:pStyle w:val="BodyText"/>
        <w:spacing w:line="240" w:lineRule="auto"/>
        <w:ind w:left="573" w:right="105"/>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）融资租赁租出资产</w:t>
      </w:r>
    </w:p>
    <w:p>
      <w:pPr>
        <w:pStyle w:val="BodyText"/>
        <w:spacing w:line="240" w:lineRule="auto" w:before="135"/>
        <w:ind w:left="573" w:right="105"/>
        <w:jc w:val="left"/>
        <w:rPr>
          <w:rFonts w:ascii="宋体" w:hAnsi="宋体" w:cs="宋体" w:eastAsia="宋体" w:hint="default"/>
        </w:rPr>
      </w:pPr>
      <w:r>
        <w:rPr>
          <w:rFonts w:ascii="宋体" w:hAnsi="宋体" w:cs="宋体" w:eastAsia="宋体" w:hint="default"/>
          <w:spacing w:val="2"/>
        </w:rPr>
        <w:t>在租赁期开始日，本公司将租赁开始日最低租赁收款额与初始直接费用之和作为应收融</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555" w:footer="980" w:top="1100" w:bottom="1160" w:left="980" w:right="900"/>
        </w:sectPr>
      </w:pPr>
    </w:p>
    <w:p>
      <w:pPr>
        <w:spacing w:line="240" w:lineRule="auto" w:before="7"/>
        <w:rPr>
          <w:rFonts w:ascii="宋体" w:hAnsi="宋体" w:cs="宋体" w:eastAsia="宋体" w:hint="default"/>
          <w:sz w:val="25"/>
          <w:szCs w:val="25"/>
        </w:rPr>
      </w:pPr>
    </w:p>
    <w:p>
      <w:pPr>
        <w:pStyle w:val="BodyText"/>
        <w:spacing w:line="357" w:lineRule="auto" w:before="26"/>
        <w:ind w:right="0"/>
        <w:jc w:val="left"/>
        <w:rPr>
          <w:rFonts w:ascii="宋体" w:hAnsi="宋体" w:cs="宋体" w:eastAsia="宋体" w:hint="default"/>
        </w:rPr>
      </w:pPr>
      <w:r>
        <w:rPr>
          <w:rFonts w:ascii="宋体" w:hAnsi="宋体" w:cs="宋体" w:eastAsia="宋体" w:hint="default"/>
        </w:rPr>
        <w:t>资租赁款的入账价值，同时记录未担保余值；将最低租赁收款额、初始直接费用及未担保余</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值之和与其现值之和的差额确认为未实现融资收益。</w:t>
      </w:r>
    </w:p>
    <w:p>
      <w:pPr>
        <w:pStyle w:val="BodyText"/>
        <w:spacing w:line="357" w:lineRule="auto"/>
        <w:ind w:left="573" w:right="233"/>
        <w:jc w:val="left"/>
        <w:rPr>
          <w:rFonts w:ascii="宋体" w:hAnsi="宋体" w:cs="宋体" w:eastAsia="宋体" w:hint="default"/>
        </w:rPr>
      </w:pPr>
      <w:r>
        <w:rPr>
          <w:rFonts w:ascii="宋体" w:hAnsi="宋体" w:cs="宋体" w:eastAsia="宋体" w:hint="default"/>
        </w:rPr>
        <w:t>未实现融资收益在租赁期内各个期间采用实际利率法进行分配并计入当期的融资收入。 或有租金在实际发生时计入当期损益。</w:t>
      </w:r>
    </w:p>
    <w:p>
      <w:pPr>
        <w:spacing w:line="768" w:lineRule="exact" w:before="2"/>
        <w:ind w:left="573" w:right="2153" w:hanging="42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）售后租回的会计处理</w:t>
      </w:r>
      <w:r>
        <w:rPr>
          <w:rFonts w:ascii="宋体" w:hAnsi="宋体" w:cs="宋体" w:eastAsia="宋体" w:hint="default"/>
          <w:b/>
          <w:bCs/>
          <w:w w:val="99"/>
          <w:sz w:val="24"/>
          <w:szCs w:val="24"/>
        </w:rPr>
        <w:t> </w:t>
      </w:r>
      <w:r>
        <w:rPr>
          <w:rFonts w:ascii="宋体" w:hAnsi="宋体" w:cs="宋体" w:eastAsia="宋体" w:hint="default"/>
          <w:sz w:val="24"/>
          <w:szCs w:val="24"/>
        </w:rPr>
        <w:t>根据交易实质，本公司将售后租回交易认定为融资租赁或经营租赁。</w:t>
      </w:r>
    </w:p>
    <w:p>
      <w:pPr>
        <w:pStyle w:val="BodyText"/>
        <w:spacing w:line="357" w:lineRule="auto" w:before="34"/>
        <w:ind w:right="153" w:firstLine="420"/>
        <w:jc w:val="both"/>
        <w:rPr>
          <w:rFonts w:ascii="宋体" w:hAnsi="宋体" w:cs="宋体" w:eastAsia="宋体" w:hint="default"/>
        </w:rPr>
      </w:pPr>
      <w:r>
        <w:rPr>
          <w:rFonts w:ascii="宋体" w:hAnsi="宋体" w:cs="宋体" w:eastAsia="宋体" w:hint="default"/>
          <w:spacing w:val="2"/>
        </w:rPr>
        <w:t>售后租回交易认定为融资租赁的，售价与资产账面价值之间的差额予以递延，并按照该 </w:t>
      </w:r>
      <w:r>
        <w:rPr>
          <w:rFonts w:ascii="宋体" w:hAnsi="宋体" w:cs="宋体" w:eastAsia="宋体" w:hint="default"/>
        </w:rPr>
        <w:t>项租赁资产的折旧进度进行分摊，作为折旧费用的调整。</w:t>
      </w:r>
    </w:p>
    <w:p>
      <w:pPr>
        <w:pStyle w:val="BodyText"/>
        <w:spacing w:line="357" w:lineRule="auto"/>
        <w:ind w:right="153" w:firstLine="420"/>
        <w:jc w:val="both"/>
        <w:rPr>
          <w:rFonts w:ascii="宋体" w:hAnsi="宋体" w:cs="宋体" w:eastAsia="宋体" w:hint="default"/>
        </w:rPr>
      </w:pPr>
      <w:r>
        <w:rPr>
          <w:rFonts w:ascii="宋体" w:hAnsi="宋体" w:cs="宋体" w:eastAsia="宋体" w:hint="default"/>
          <w:spacing w:val="2"/>
        </w:rPr>
        <w:t>售后租回交易认定为经营租赁的，售价与资产账面价值之间的差额予以递延，并在租赁 </w:t>
      </w:r>
      <w:r>
        <w:rPr>
          <w:rFonts w:ascii="宋体" w:hAnsi="宋体" w:cs="宋体" w:eastAsia="宋体" w:hint="default"/>
        </w:rPr>
        <w:t>期内按照与确认租金费用相一致的方法进行分摊，作为租金费用的调整。但是，有确凿证据</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表明售后租回交易是按照公允价值达成的，售价与资产账面价值之间的差额计入当期损益。</w:t>
      </w:r>
    </w:p>
    <w:p>
      <w:pPr>
        <w:spacing w:line="240" w:lineRule="auto" w:before="9"/>
        <w:rPr>
          <w:rFonts w:ascii="宋体" w:hAnsi="宋体" w:cs="宋体" w:eastAsia="宋体" w:hint="default"/>
          <w:sz w:val="25"/>
          <w:szCs w:val="25"/>
        </w:rPr>
      </w:pPr>
    </w:p>
    <w:p>
      <w:pPr>
        <w:spacing w:line="554" w:lineRule="auto" w:before="0"/>
        <w:ind w:left="578" w:right="1428" w:hanging="42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w:t>
      </w:r>
      <w:r>
        <w:rPr>
          <w:rFonts w:ascii="宋体" w:hAnsi="宋体" w:cs="宋体" w:eastAsia="宋体" w:hint="default"/>
          <w:b/>
          <w:bCs/>
          <w:sz w:val="24"/>
          <w:szCs w:val="24"/>
        </w:rPr>
        <w:t>、其他主要会计政策、会计估计和财务报表编制方法</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报告期内，公司不存在其他主要会计政策、会计估计和财务报表编制方法。</w:t>
      </w:r>
    </w:p>
    <w:p>
      <w:pPr>
        <w:pStyle w:val="Heading2"/>
        <w:spacing w:line="240" w:lineRule="auto" w:before="140"/>
        <w:ind w:right="0"/>
        <w:jc w:val="left"/>
        <w:rPr>
          <w:b w:val="0"/>
          <w:bCs w:val="0"/>
        </w:rPr>
      </w:pPr>
      <w:r>
        <w:rPr/>
        <w:t>五、税项</w:t>
      </w:r>
      <w:r>
        <w:rPr>
          <w:b w:val="0"/>
          <w:bCs w:val="0"/>
        </w:rPr>
      </w:r>
    </w:p>
    <w:p>
      <w:pPr>
        <w:spacing w:line="240" w:lineRule="auto" w:before="9"/>
        <w:rPr>
          <w:rFonts w:ascii="宋体" w:hAnsi="宋体" w:cs="宋体" w:eastAsia="宋体" w:hint="default"/>
          <w:b/>
          <w:bCs/>
          <w:sz w:val="34"/>
          <w:szCs w:val="34"/>
        </w:rPr>
      </w:pPr>
    </w:p>
    <w:p>
      <w:pPr>
        <w:pStyle w:val="Heading2"/>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60" w:type="dxa"/>
        <w:tblLayout w:type="fixed"/>
        <w:tblCellMar>
          <w:top w:w="0" w:type="dxa"/>
          <w:left w:w="0" w:type="dxa"/>
          <w:bottom w:w="0" w:type="dxa"/>
          <w:right w:w="0" w:type="dxa"/>
        </w:tblCellMar>
        <w:tblLook w:val="01E0"/>
      </w:tblPr>
      <w:tblGrid>
        <w:gridCol w:w="3493"/>
        <w:gridCol w:w="3584"/>
        <w:gridCol w:w="2533"/>
      </w:tblGrid>
      <w:tr>
        <w:trPr>
          <w:trHeight w:val="557"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5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17%</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对租赁</w:t>
            </w:r>
            <w:r>
              <w:rPr>
                <w:rFonts w:ascii="宋体" w:hAnsi="宋体" w:cs="宋体" w:eastAsia="宋体" w:hint="default"/>
                <w:spacing w:val="-85"/>
                <w:sz w:val="18"/>
                <w:szCs w:val="18"/>
              </w:rPr>
              <w:t>、</w:t>
            </w:r>
            <w:r>
              <w:rPr>
                <w:rFonts w:ascii="宋体" w:hAnsi="宋体" w:cs="宋体" w:eastAsia="宋体" w:hint="default"/>
                <w:sz w:val="18"/>
                <w:szCs w:val="18"/>
              </w:rPr>
              <w:t>服务等业务所取得的营业税应税收入</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r>
      <w:tr>
        <w:trPr>
          <w:trHeight w:val="560"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应交增值税、营业税和出口免抵增值税额</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55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详见说明</w:t>
            </w:r>
          </w:p>
        </w:tc>
      </w:tr>
    </w:tbl>
    <w:p>
      <w:pPr>
        <w:pStyle w:val="BodyText"/>
        <w:spacing w:line="386" w:lineRule="auto" w:before="79"/>
        <w:ind w:left="638" w:right="168" w:hanging="486"/>
        <w:jc w:val="left"/>
        <w:rPr>
          <w:rFonts w:ascii="宋体" w:hAnsi="宋体" w:cs="宋体" w:eastAsia="宋体" w:hint="default"/>
        </w:rPr>
      </w:pPr>
      <w:r>
        <w:rPr>
          <w:rFonts w:ascii="宋体" w:hAnsi="宋体" w:cs="宋体" w:eastAsia="宋体" w:hint="default"/>
        </w:rPr>
        <w:t>各分公司、分厂执行的所得税税率 本公司和子公司炜盛电子、郑州春泉为高新技术企业，享受高新技术企业税收优惠，适</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用所得税税率</w:t>
      </w:r>
      <w:r>
        <w:rPr>
          <w:rFonts w:ascii="Times New Roman" w:hAnsi="Times New Roman" w:cs="Times New Roman" w:eastAsia="Times New Roman" w:hint="default"/>
        </w:rPr>
        <w:t>15%</w:t>
      </w:r>
      <w:r>
        <w:rPr>
          <w:rFonts w:ascii="宋体" w:hAnsi="宋体" w:cs="宋体" w:eastAsia="宋体" w:hint="default"/>
        </w:rPr>
        <w:t>；子公司沈阳汉威、智威宇讯、哈尔滨盈江适用所得税税率</w:t>
      </w:r>
      <w:r>
        <w:rPr>
          <w:rFonts w:ascii="Times New Roman" w:hAnsi="Times New Roman" w:cs="Times New Roman" w:eastAsia="Times New Roman" w:hint="default"/>
        </w:rPr>
        <w:t>25%</w:t>
      </w:r>
      <w:r>
        <w:rPr>
          <w:rFonts w:ascii="宋体" w:hAnsi="宋体" w:cs="宋体" w:eastAsia="宋体" w:hint="default"/>
        </w:rPr>
        <w:t>。子公司</w:t>
      </w:r>
    </w:p>
    <w:p>
      <w:pPr>
        <w:spacing w:after="0" w:line="240" w:lineRule="auto"/>
        <w:jc w:val="left"/>
        <w:rPr>
          <w:rFonts w:ascii="宋体" w:hAnsi="宋体" w:cs="宋体" w:eastAsia="宋体" w:hint="default"/>
        </w:rPr>
        <w:sectPr>
          <w:pgSz w:w="11910" w:h="16840"/>
          <w:pgMar w:header="555" w:footer="980" w:top="1100" w:bottom="1160" w:left="980" w:right="980"/>
        </w:sectPr>
      </w:pPr>
    </w:p>
    <w:p>
      <w:pPr>
        <w:spacing w:line="240" w:lineRule="auto" w:before="7"/>
        <w:rPr>
          <w:rFonts w:ascii="宋体" w:hAnsi="宋体" w:cs="宋体" w:eastAsia="宋体" w:hint="default"/>
          <w:sz w:val="25"/>
          <w:szCs w:val="25"/>
        </w:rPr>
      </w:pPr>
    </w:p>
    <w:p>
      <w:pPr>
        <w:pStyle w:val="BodyText"/>
        <w:spacing w:line="338" w:lineRule="auto" w:before="26"/>
        <w:ind w:left="772" w:right="838"/>
        <w:jc w:val="both"/>
        <w:rPr>
          <w:rFonts w:ascii="宋体" w:hAnsi="宋体" w:cs="宋体" w:eastAsia="宋体" w:hint="default"/>
        </w:rPr>
      </w:pPr>
      <w:r>
        <w:rPr>
          <w:rFonts w:ascii="宋体" w:hAnsi="宋体" w:cs="宋体" w:eastAsia="宋体" w:hint="default"/>
        </w:rPr>
        <w:t>创威煤安自</w:t>
      </w:r>
      <w:r>
        <w:rPr>
          <w:rFonts w:ascii="Times New Roman" w:hAnsi="Times New Roman" w:cs="Times New Roman" w:eastAsia="Times New Roman" w:hint="default"/>
        </w:rPr>
        <w:t>2011</w:t>
      </w:r>
      <w:r>
        <w:rPr>
          <w:rFonts w:ascii="宋体" w:hAnsi="宋体" w:cs="宋体" w:eastAsia="宋体" w:hint="default"/>
        </w:rPr>
        <w:t>年认定为软件企业，享受软件企业所得税</w:t>
      </w:r>
      <w:r>
        <w:rPr>
          <w:rFonts w:ascii="Times New Roman" w:hAnsi="Times New Roman" w:cs="Times New Roman" w:eastAsia="Times New Roman" w:hint="default"/>
        </w:rPr>
        <w:t>“</w:t>
      </w:r>
      <w:r>
        <w:rPr>
          <w:rFonts w:ascii="宋体" w:hAnsi="宋体" w:cs="宋体" w:eastAsia="宋体" w:hint="default"/>
        </w:rPr>
        <w:t>两免三减半</w:t>
      </w:r>
      <w:r>
        <w:rPr>
          <w:rFonts w:ascii="Times New Roman" w:hAnsi="Times New Roman" w:cs="Times New Roman" w:eastAsia="Times New Roman" w:hint="default"/>
        </w:rPr>
        <w:t>”</w:t>
      </w:r>
      <w:r>
        <w:rPr>
          <w:rFonts w:ascii="宋体" w:hAnsi="宋体" w:cs="宋体" w:eastAsia="宋体" w:hint="default"/>
        </w:rPr>
        <w:t>税收优惠，自</w:t>
      </w:r>
      <w:r>
        <w:rPr>
          <w:rFonts w:ascii="Times New Roman" w:hAnsi="Times New Roman" w:cs="Times New Roman" w:eastAsia="Times New Roman" w:hint="default"/>
        </w:rPr>
        <w:t>2011</w:t>
      </w:r>
      <w:r>
        <w:rPr>
          <w:rFonts w:ascii="宋体" w:hAnsi="宋体" w:cs="宋体" w:eastAsia="宋体" w:hint="default"/>
        </w:rPr>
        <w:t>年 至</w:t>
      </w:r>
      <w:r>
        <w:rPr>
          <w:rFonts w:ascii="Times New Roman" w:hAnsi="Times New Roman" w:cs="Times New Roman" w:eastAsia="Times New Roman" w:hint="default"/>
        </w:rPr>
        <w:t>2012</w:t>
      </w:r>
      <w:r>
        <w:rPr>
          <w:rFonts w:ascii="宋体" w:hAnsi="宋体" w:cs="宋体" w:eastAsia="宋体" w:hint="default"/>
        </w:rPr>
        <w:t>年享受免税，</w:t>
      </w:r>
      <w:r>
        <w:rPr>
          <w:rFonts w:ascii="Times New Roman" w:hAnsi="Times New Roman" w:cs="Times New Roman" w:eastAsia="Times New Roman" w:hint="default"/>
        </w:rPr>
        <w:t>2013</w:t>
      </w:r>
      <w:r>
        <w:rPr>
          <w:rFonts w:ascii="宋体" w:hAnsi="宋体" w:cs="宋体" w:eastAsia="宋体" w:hint="default"/>
        </w:rPr>
        <w:t>年至</w:t>
      </w:r>
      <w:r>
        <w:rPr>
          <w:rFonts w:ascii="Times New Roman" w:hAnsi="Times New Roman" w:cs="Times New Roman" w:eastAsia="Times New Roman" w:hint="default"/>
        </w:rPr>
        <w:t>2015</w:t>
      </w:r>
      <w:r>
        <w:rPr>
          <w:rFonts w:ascii="宋体" w:hAnsi="宋体" w:cs="宋体" w:eastAsia="宋体" w:hint="default"/>
        </w:rPr>
        <w:t>年适用所得税税率按</w:t>
      </w:r>
      <w:r>
        <w:rPr>
          <w:rFonts w:ascii="Times New Roman" w:hAnsi="Times New Roman" w:cs="Times New Roman" w:eastAsia="Times New Roman" w:hint="default"/>
        </w:rPr>
        <w:t>25%</w:t>
      </w:r>
      <w:r>
        <w:rPr>
          <w:rFonts w:ascii="宋体" w:hAnsi="宋体" w:cs="宋体" w:eastAsia="宋体" w:hint="default"/>
        </w:rPr>
        <w:t>减半征收。子公司上海中威</w:t>
      </w:r>
      <w:r>
        <w:rPr>
          <w:rFonts w:ascii="Times New Roman" w:hAnsi="Times New Roman" w:cs="Times New Roman" w:eastAsia="Times New Roman" w:hint="default"/>
        </w:rPr>
        <w:t>2012 </w:t>
      </w:r>
      <w:r>
        <w:rPr>
          <w:rFonts w:ascii="宋体" w:hAnsi="宋体" w:cs="宋体" w:eastAsia="宋体" w:hint="default"/>
        </w:rPr>
        <w:t>年认定为软件企业，享受软件企业所得税</w:t>
      </w:r>
      <w:r>
        <w:rPr>
          <w:rFonts w:ascii="Times New Roman" w:hAnsi="Times New Roman" w:cs="Times New Roman" w:eastAsia="Times New Roman" w:hint="default"/>
        </w:rPr>
        <w:t>“</w:t>
      </w:r>
      <w:r>
        <w:rPr>
          <w:rFonts w:ascii="宋体" w:hAnsi="宋体" w:cs="宋体" w:eastAsia="宋体" w:hint="default"/>
        </w:rPr>
        <w:t>两免三减半</w:t>
      </w:r>
      <w:r>
        <w:rPr>
          <w:rFonts w:ascii="Times New Roman" w:hAnsi="Times New Roman" w:cs="Times New Roman" w:eastAsia="Times New Roman" w:hint="default"/>
        </w:rPr>
        <w:t>”</w:t>
      </w:r>
      <w:r>
        <w:rPr>
          <w:rFonts w:ascii="宋体" w:hAnsi="宋体" w:cs="宋体" w:eastAsia="宋体" w:hint="default"/>
        </w:rPr>
        <w:t>税收优惠，</w:t>
      </w:r>
      <w:r>
        <w:rPr>
          <w:rFonts w:ascii="Times New Roman" w:hAnsi="Times New Roman" w:cs="Times New Roman" w:eastAsia="Times New Roman" w:hint="default"/>
        </w:rPr>
        <w:t>2012</w:t>
      </w:r>
      <w:r>
        <w:rPr>
          <w:rFonts w:ascii="宋体" w:hAnsi="宋体" w:cs="宋体" w:eastAsia="宋体" w:hint="default"/>
        </w:rPr>
        <w:t>年为免税期。</w:t>
      </w:r>
    </w:p>
    <w:p>
      <w:pPr>
        <w:spacing w:line="240" w:lineRule="auto" w:before="13"/>
        <w:rPr>
          <w:rFonts w:ascii="宋体" w:hAnsi="宋体" w:cs="宋体" w:eastAsia="宋体" w:hint="default"/>
          <w:sz w:val="24"/>
          <w:szCs w:val="24"/>
        </w:rPr>
      </w:pPr>
    </w:p>
    <w:p>
      <w:pPr>
        <w:pStyle w:val="Heading2"/>
        <w:spacing w:line="240" w:lineRule="auto"/>
        <w:ind w:left="772"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宋体" w:hAnsi="宋体" w:cs="宋体" w:eastAsia="宋体" w:hint="default"/>
          <w:b/>
          <w:bCs/>
          <w:sz w:val="33"/>
          <w:szCs w:val="33"/>
        </w:rPr>
      </w:pPr>
    </w:p>
    <w:p>
      <w:pPr>
        <w:pStyle w:val="BodyText"/>
        <w:spacing w:line="338" w:lineRule="auto" w:before="0"/>
        <w:ind w:left="772" w:right="770" w:firstLine="420"/>
        <w:jc w:val="both"/>
        <w:rPr>
          <w:rFonts w:ascii="宋体" w:hAnsi="宋体" w:cs="宋体" w:eastAsia="宋体" w:hint="default"/>
        </w:rPr>
      </w:pPr>
      <w:r>
        <w:rPr>
          <w:rFonts w:ascii="宋体" w:hAnsi="宋体" w:cs="宋体" w:eastAsia="宋体" w:hint="default"/>
          <w:spacing w:val="-1"/>
        </w:rPr>
        <w:t>公司的软件收入的增值税根据财税（</w:t>
      </w:r>
      <w:r>
        <w:rPr>
          <w:rFonts w:ascii="Times New Roman" w:hAnsi="Times New Roman" w:cs="Times New Roman" w:eastAsia="Times New Roman" w:hint="default"/>
          <w:spacing w:val="-1"/>
        </w:rPr>
        <w:t>2011</w:t>
      </w:r>
      <w:r>
        <w:rPr>
          <w:rFonts w:ascii="宋体" w:hAnsi="宋体" w:cs="宋体" w:eastAsia="宋体" w:hint="default"/>
          <w:spacing w:val="-1"/>
        </w:rPr>
        <w:t>）</w:t>
      </w:r>
      <w:r>
        <w:rPr>
          <w:rFonts w:ascii="Times New Roman" w:hAnsi="Times New Roman" w:cs="Times New Roman" w:eastAsia="Times New Roman" w:hint="default"/>
          <w:spacing w:val="-1"/>
        </w:rPr>
        <w:t>100</w:t>
      </w:r>
      <w:r>
        <w:rPr>
          <w:rFonts w:ascii="宋体" w:hAnsi="宋体" w:cs="宋体" w:eastAsia="宋体" w:hint="default"/>
          <w:spacing w:val="-1"/>
        </w:rPr>
        <w:t>号文的规定，公司自</w:t>
      </w:r>
      <w:r>
        <w:rPr>
          <w:rFonts w:ascii="Times New Roman" w:hAnsi="Times New Roman" w:cs="Times New Roman" w:eastAsia="Times New Roman" w:hint="default"/>
          <w:spacing w:val="-1"/>
        </w:rPr>
        <w:t>2011</w:t>
      </w:r>
      <w:r>
        <w:rPr>
          <w:rFonts w:ascii="宋体" w:hAnsi="宋体" w:cs="宋体" w:eastAsia="宋体" w:hint="default"/>
          <w:spacing w:val="-1"/>
        </w:rPr>
        <w:t>年</w:t>
      </w:r>
      <w:r>
        <w:rPr>
          <w:rFonts w:ascii="Times New Roman" w:hAnsi="Times New Roman" w:cs="Times New Roman" w:eastAsia="Times New Roman" w:hint="default"/>
          <w:spacing w:val="-1"/>
        </w:rPr>
        <w:t>1</w:t>
      </w:r>
      <w:r>
        <w:rPr>
          <w:rFonts w:ascii="宋体" w:hAnsi="宋体" w:cs="宋体" w:eastAsia="宋体" w:hint="default"/>
          <w:spacing w:val="-1"/>
        </w:rPr>
        <w:t>月</w:t>
      </w:r>
      <w:r>
        <w:rPr>
          <w:rFonts w:ascii="Times New Roman" w:hAnsi="Times New Roman" w:cs="Times New Roman" w:eastAsia="Times New Roman" w:hint="default"/>
          <w:spacing w:val="-1"/>
        </w:rPr>
        <w:t>1</w:t>
      </w:r>
      <w:r>
        <w:rPr>
          <w:rFonts w:ascii="宋体" w:hAnsi="宋体" w:cs="宋体" w:eastAsia="宋体" w:hint="default"/>
          <w:spacing w:val="-1"/>
        </w:rPr>
        <w:t>日起对增</w:t>
      </w:r>
      <w:r>
        <w:rPr>
          <w:rFonts w:ascii="宋体" w:hAnsi="宋体" w:cs="宋体" w:eastAsia="宋体" w:hint="default"/>
        </w:rPr>
        <w:t> 值税一般纳税人销售其自行开发生产的软件产品，按</w:t>
      </w:r>
      <w:r>
        <w:rPr>
          <w:rFonts w:ascii="Times New Roman" w:hAnsi="Times New Roman" w:cs="Times New Roman" w:eastAsia="Times New Roman" w:hint="default"/>
        </w:rPr>
        <w:t>17%</w:t>
      </w:r>
      <w:r>
        <w:rPr>
          <w:rFonts w:ascii="宋体" w:hAnsi="宋体" w:cs="宋体" w:eastAsia="宋体" w:hint="default"/>
        </w:rPr>
        <w:t>的法定税率征收增值税后，对其增</w:t>
      </w:r>
      <w:r>
        <w:rPr>
          <w:rFonts w:ascii="宋体" w:hAnsi="宋体" w:cs="宋体" w:eastAsia="宋体" w:hint="default"/>
          <w:spacing w:val="-51"/>
        </w:rPr>
        <w:t> </w:t>
      </w:r>
      <w:r>
        <w:rPr>
          <w:rFonts w:ascii="宋体" w:hAnsi="宋体" w:cs="宋体" w:eastAsia="宋体" w:hint="default"/>
          <w:spacing w:val="-51"/>
        </w:rPr>
      </w:r>
      <w:r>
        <w:rPr>
          <w:rFonts w:ascii="宋体" w:hAnsi="宋体" w:cs="宋体" w:eastAsia="宋体" w:hint="default"/>
        </w:rPr>
        <w:t>值税实际税负超过</w:t>
      </w:r>
      <w:r>
        <w:rPr>
          <w:rFonts w:ascii="Times New Roman" w:hAnsi="Times New Roman" w:cs="Times New Roman" w:eastAsia="Times New Roman" w:hint="default"/>
        </w:rPr>
        <w:t>3%</w:t>
      </w:r>
      <w:r>
        <w:rPr>
          <w:rFonts w:ascii="宋体" w:hAnsi="宋体" w:cs="宋体" w:eastAsia="宋体" w:hint="default"/>
        </w:rPr>
        <w:t>的部分实行即征即退政策。</w:t>
      </w:r>
    </w:p>
    <w:p>
      <w:pPr>
        <w:spacing w:line="554" w:lineRule="auto" w:before="27"/>
        <w:ind w:left="772" w:right="2641" w:firstLine="420"/>
        <w:jc w:val="left"/>
        <w:rPr>
          <w:rFonts w:ascii="宋体" w:hAnsi="宋体" w:cs="宋体" w:eastAsia="宋体" w:hint="default"/>
          <w:sz w:val="24"/>
          <w:szCs w:val="24"/>
        </w:rPr>
      </w:pPr>
      <w:r>
        <w:rPr>
          <w:rFonts w:ascii="宋体" w:hAnsi="宋体" w:cs="宋体" w:eastAsia="宋体" w:hint="default"/>
          <w:sz w:val="24"/>
          <w:szCs w:val="24"/>
        </w:rPr>
        <w:t>自营出口产品销售采用</w:t>
      </w:r>
      <w:r>
        <w:rPr>
          <w:rFonts w:ascii="Times New Roman" w:hAnsi="Times New Roman" w:cs="Times New Roman" w:eastAsia="Times New Roman" w:hint="default"/>
          <w:sz w:val="24"/>
          <w:szCs w:val="24"/>
        </w:rPr>
        <w:t>“</w:t>
      </w:r>
      <w:r>
        <w:rPr>
          <w:rFonts w:ascii="宋体" w:hAnsi="宋体" w:cs="宋体" w:eastAsia="宋体" w:hint="default"/>
          <w:sz w:val="24"/>
          <w:szCs w:val="24"/>
        </w:rPr>
        <w:t>免、抵、退</w:t>
      </w:r>
      <w:r>
        <w:rPr>
          <w:rFonts w:ascii="Times New Roman" w:hAnsi="Times New Roman" w:cs="Times New Roman" w:eastAsia="Times New Roman" w:hint="default"/>
          <w:sz w:val="24"/>
          <w:szCs w:val="24"/>
        </w:rPr>
        <w:t>”</w:t>
      </w:r>
      <w:r>
        <w:rPr>
          <w:rFonts w:ascii="宋体" w:hAnsi="宋体" w:cs="宋体" w:eastAsia="宋体" w:hint="default"/>
          <w:sz w:val="24"/>
          <w:szCs w:val="24"/>
        </w:rPr>
        <w:t>办法，本期退税率为</w:t>
      </w:r>
      <w:r>
        <w:rPr>
          <w:rFonts w:ascii="Times New Roman" w:hAnsi="Times New Roman" w:cs="Times New Roman" w:eastAsia="Times New Roman" w:hint="default"/>
          <w:sz w:val="24"/>
          <w:szCs w:val="24"/>
        </w:rPr>
        <w:t>15%</w:t>
      </w:r>
      <w:r>
        <w:rPr>
          <w:rFonts w:ascii="宋体" w:hAnsi="宋体" w:cs="宋体" w:eastAsia="宋体" w:hint="default"/>
          <w:sz w:val="24"/>
          <w:szCs w:val="24"/>
        </w:rPr>
        <w:t>或</w:t>
      </w:r>
      <w:r>
        <w:rPr>
          <w:rFonts w:ascii="Times New Roman" w:hAnsi="Times New Roman" w:cs="Times New Roman" w:eastAsia="Times New Roman" w:hint="default"/>
          <w:sz w:val="24"/>
          <w:szCs w:val="24"/>
        </w:rPr>
        <w:t>17%</w:t>
      </w:r>
      <w:r>
        <w:rPr>
          <w:rFonts w:ascii="宋体" w:hAnsi="宋体" w:cs="宋体" w:eastAsia="宋体" w:hint="default"/>
          <w:sz w:val="24"/>
          <w:szCs w:val="24"/>
        </w:rPr>
        <w:t>。 </w:t>
      </w:r>
      <w:r>
        <w:rPr>
          <w:rFonts w:ascii="宋体" w:hAnsi="宋体" w:cs="宋体" w:eastAsia="宋体" w:hint="default"/>
          <w:b/>
          <w:bCs/>
          <w:sz w:val="24"/>
          <w:szCs w:val="24"/>
        </w:rPr>
        <w:t>六、企业合并及合并财务报表</w:t>
      </w:r>
      <w:r>
        <w:rPr>
          <w:rFonts w:ascii="宋体" w:hAnsi="宋体" w:cs="宋体" w:eastAsia="宋体" w:hint="default"/>
          <w:sz w:val="24"/>
          <w:szCs w:val="24"/>
        </w:rPr>
      </w:r>
    </w:p>
    <w:p>
      <w:pPr>
        <w:pStyle w:val="Heading2"/>
        <w:spacing w:line="240" w:lineRule="auto" w:before="139"/>
        <w:ind w:left="772" w:right="0"/>
        <w:jc w:val="both"/>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left="772" w:right="0"/>
        <w:jc w:val="both"/>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2"/>
        <w:rPr>
          <w:rFonts w:ascii="宋体" w:hAnsi="宋体" w:cs="宋体" w:eastAsia="宋体" w:hint="default"/>
          <w:b/>
          <w:bCs/>
          <w:sz w:val="30"/>
          <w:szCs w:val="30"/>
        </w:rPr>
      </w:pPr>
    </w:p>
    <w:p>
      <w:pPr>
        <w:spacing w:before="0"/>
        <w:ind w:left="0" w:right="7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146"/>
        <w:gridCol w:w="684"/>
        <w:gridCol w:w="682"/>
        <w:gridCol w:w="610"/>
        <w:gridCol w:w="951"/>
        <w:gridCol w:w="1406"/>
        <w:gridCol w:w="682"/>
        <w:gridCol w:w="684"/>
        <w:gridCol w:w="684"/>
        <w:gridCol w:w="682"/>
        <w:gridCol w:w="685"/>
        <w:gridCol w:w="682"/>
        <w:gridCol w:w="684"/>
        <w:gridCol w:w="684"/>
      </w:tblGrid>
      <w:tr>
        <w:trPr>
          <w:trHeight w:val="5706" w:hRule="exact"/>
        </w:trPr>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3"/>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9" w:right="62"/>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12"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03"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
              <w:jc w:val="center"/>
              <w:rPr>
                <w:rFonts w:ascii="宋体" w:hAnsi="宋体" w:cs="宋体" w:eastAsia="宋体" w:hint="default"/>
                <w:sz w:val="18"/>
                <w:szCs w:val="18"/>
              </w:rPr>
            </w:pPr>
            <w:r>
              <w:rPr>
                <w:rFonts w:ascii="宋体" w:hAnsi="宋体" w:cs="宋体" w:eastAsia="宋体" w:hint="default"/>
                <w:sz w:val="18"/>
                <w:szCs w:val="18"/>
              </w:rPr>
              <w:t>郑州炜盛电子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83"/>
              <w:jc w:val="center"/>
              <w:rPr>
                <w:rFonts w:ascii="宋体" w:hAnsi="宋体" w:cs="宋体" w:eastAsia="宋体" w:hint="default"/>
                <w:sz w:val="18"/>
                <w:szCs w:val="18"/>
              </w:rPr>
            </w:pPr>
            <w:r>
              <w:rPr>
                <w:rFonts w:ascii="宋体" w:hAnsi="宋体" w:cs="宋体" w:eastAsia="宋体" w:hint="default"/>
                <w:sz w:val="18"/>
                <w:szCs w:val="18"/>
              </w:rPr>
              <w:t>气敏元件等的开</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0" w:right="0"/>
              <w:jc w:val="left"/>
              <w:rPr>
                <w:rFonts w:ascii="Times New Roman" w:hAnsi="Times New Roman" w:cs="Times New Roman" w:eastAsia="Times New Roman" w:hint="default"/>
                <w:sz w:val="18"/>
                <w:szCs w:val="18"/>
              </w:rPr>
            </w:pPr>
            <w:r>
              <w:rPr>
                <w:rFonts w:ascii="Times New Roman"/>
                <w:sz w:val="18"/>
              </w:rPr>
              <w:t>8,238,7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360" w:right="3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148"/>
        <w:gridCol w:w="684"/>
        <w:gridCol w:w="682"/>
        <w:gridCol w:w="610"/>
        <w:gridCol w:w="951"/>
        <w:gridCol w:w="1406"/>
        <w:gridCol w:w="682"/>
        <w:gridCol w:w="684"/>
        <w:gridCol w:w="684"/>
        <w:gridCol w:w="682"/>
        <w:gridCol w:w="685"/>
        <w:gridCol w:w="682"/>
        <w:gridCol w:w="684"/>
        <w:gridCol w:w="684"/>
      </w:tblGrid>
      <w:tr>
        <w:trPr>
          <w:trHeight w:val="363"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发、生产、销售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4" w:right="0"/>
              <w:jc w:val="left"/>
              <w:rPr>
                <w:rFonts w:ascii="Times New Roman" w:hAnsi="Times New Roman" w:cs="Times New Roman" w:eastAsia="Times New Roman" w:hint="default"/>
                <w:sz w:val="18"/>
                <w:szCs w:val="18"/>
              </w:rPr>
            </w:pPr>
            <w:r>
              <w:rPr>
                <w:rFonts w:ascii="Times New Roman"/>
                <w:sz w:val="18"/>
              </w:rPr>
              <w:t>15.82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郑州创威煤安 科技有限公司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z w:val="18"/>
                <w:szCs w:val="18"/>
              </w:rPr>
              <w:t>监控、检测仪表 的生产、销售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41,686,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910.38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32"/>
              <w:jc w:val="left"/>
              <w:rPr>
                <w:rFonts w:ascii="宋体" w:hAnsi="宋体" w:cs="宋体" w:eastAsia="宋体" w:hint="default"/>
                <w:sz w:val="18"/>
                <w:szCs w:val="18"/>
              </w:rPr>
            </w:pPr>
            <w:r>
              <w:rPr>
                <w:rFonts w:ascii="宋体" w:hAnsi="宋体" w:cs="宋体" w:eastAsia="宋体" w:hint="default"/>
                <w:sz w:val="18"/>
                <w:szCs w:val="18"/>
              </w:rPr>
              <w:t>沈阳汉威科技 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流通业</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both"/>
              <w:rPr>
                <w:rFonts w:ascii="宋体" w:hAnsi="宋体" w:cs="宋体" w:eastAsia="宋体" w:hint="default"/>
                <w:sz w:val="18"/>
                <w:szCs w:val="18"/>
              </w:rPr>
            </w:pPr>
            <w:r>
              <w:rPr>
                <w:rFonts w:ascii="宋体" w:hAnsi="宋体" w:cs="宋体" w:eastAsia="宋体" w:hint="default"/>
                <w:sz w:val="18"/>
                <w:szCs w:val="18"/>
              </w:rPr>
              <w:t>报警器材、红外 测温仪的研发与 销售；节能监测 系统、红外测温 系统的销售、安 装、调试、技术 咨询、技术服务 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2,383,5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69.08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北京智威宇讯 科技有限公司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2"/>
              <w:jc w:val="both"/>
              <w:rPr>
                <w:rFonts w:ascii="宋体" w:hAnsi="宋体" w:cs="宋体" w:eastAsia="宋体" w:hint="default"/>
                <w:sz w:val="18"/>
                <w:szCs w:val="18"/>
              </w:rPr>
            </w:pPr>
            <w:r>
              <w:rPr>
                <w:rFonts w:ascii="宋体" w:hAnsi="宋体" w:cs="宋体" w:eastAsia="宋体" w:hint="default"/>
                <w:sz w:val="18"/>
                <w:szCs w:val="18"/>
              </w:rPr>
              <w:t>上海中威天安 公共安全科技 有限公司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z w:val="18"/>
                <w:szCs w:val="18"/>
              </w:rPr>
              <w:t>公共安全设备及 器材的研发销 售；计算机软件 的开发、设计、 制作、销售等。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10,750,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16,696,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399.10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left="772" w:right="2641"/>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9"/>
        <w:rPr>
          <w:rFonts w:ascii="宋体" w:hAnsi="宋体" w:cs="宋体" w:eastAsia="宋体" w:hint="default"/>
          <w:b/>
          <w:bCs/>
          <w:sz w:val="21"/>
          <w:szCs w:val="21"/>
        </w:rPr>
      </w:pPr>
    </w:p>
    <w:p>
      <w:pPr>
        <w:spacing w:before="44"/>
        <w:ind w:left="0" w:right="7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442" w:type="dxa"/>
        <w:tblLayout w:type="fixed"/>
        <w:tblCellMar>
          <w:top w:w="0" w:type="dxa"/>
          <w:left w:w="0" w:type="dxa"/>
          <w:bottom w:w="0" w:type="dxa"/>
          <w:right w:w="0" w:type="dxa"/>
        </w:tblCellMar>
        <w:tblLook w:val="01E0"/>
      </w:tblPr>
      <w:tblGrid>
        <w:gridCol w:w="957"/>
        <w:gridCol w:w="682"/>
        <w:gridCol w:w="684"/>
        <w:gridCol w:w="682"/>
        <w:gridCol w:w="780"/>
        <w:gridCol w:w="1042"/>
        <w:gridCol w:w="682"/>
        <w:gridCol w:w="684"/>
        <w:gridCol w:w="682"/>
        <w:gridCol w:w="684"/>
        <w:gridCol w:w="685"/>
        <w:gridCol w:w="682"/>
        <w:gridCol w:w="684"/>
        <w:gridCol w:w="682"/>
      </w:tblGrid>
      <w:tr>
        <w:trPr>
          <w:trHeight w:val="570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3"/>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郑州春泉暖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3"/>
              <w:jc w:val="center"/>
              <w:rPr>
                <w:rFonts w:ascii="宋体" w:hAnsi="宋体" w:cs="宋体" w:eastAsia="宋体" w:hint="default"/>
                <w:sz w:val="18"/>
                <w:szCs w:val="18"/>
              </w:rPr>
            </w:pPr>
            <w:r>
              <w:rPr>
                <w:rFonts w:ascii="宋体" w:hAnsi="宋体" w:cs="宋体" w:eastAsia="宋体" w:hint="default"/>
                <w:sz w:val="18"/>
                <w:szCs w:val="18"/>
              </w:rPr>
              <w:t>中央空调计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12,000,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57.14%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57.14%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10,777,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360" w:right="36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958"/>
        <w:gridCol w:w="682"/>
        <w:gridCol w:w="684"/>
        <w:gridCol w:w="682"/>
        <w:gridCol w:w="780"/>
        <w:gridCol w:w="1042"/>
        <w:gridCol w:w="682"/>
        <w:gridCol w:w="684"/>
        <w:gridCol w:w="682"/>
        <w:gridCol w:w="684"/>
        <w:gridCol w:w="685"/>
        <w:gridCol w:w="682"/>
        <w:gridCol w:w="684"/>
        <w:gridCol w:w="682"/>
      </w:tblGrid>
      <w:tr>
        <w:trPr>
          <w:trHeight w:val="192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通节能设备 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费系统、节 能自控管理 系统等的研 发、生产、 销售及技术 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6" w:right="0"/>
              <w:jc w:val="left"/>
              <w:rPr>
                <w:rFonts w:ascii="Times New Roman" w:hAnsi="Times New Roman" w:cs="Times New Roman" w:eastAsia="Times New Roman" w:hint="default"/>
                <w:sz w:val="18"/>
                <w:szCs w:val="18"/>
              </w:rPr>
            </w:pPr>
            <w:r>
              <w:rPr>
                <w:rFonts w:ascii="Times New Roman"/>
                <w:sz w:val="18"/>
              </w:rPr>
              <w:t>439.15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both"/>
              <w:rPr>
                <w:rFonts w:ascii="宋体" w:hAnsi="宋体" w:cs="宋体" w:eastAsia="宋体" w:hint="default"/>
                <w:sz w:val="18"/>
                <w:szCs w:val="18"/>
              </w:rPr>
            </w:pPr>
            <w:r>
              <w:rPr>
                <w:rFonts w:ascii="宋体" w:hAnsi="宋体" w:cs="宋体" w:eastAsia="宋体" w:hint="default"/>
                <w:sz w:val="18"/>
                <w:szCs w:val="18"/>
              </w:rPr>
              <w:t>哈尔滨盈江 科技有限公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哈尔滨 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412.24 </w:t>
            </w:r>
            <w:r>
              <w:rPr>
                <w:rFonts w:ascii="宋体" w:hAnsi="宋体" w:cs="宋体" w:eastAsia="宋体" w:hint="default"/>
                <w:sz w:val="18"/>
                <w:szCs w:val="18"/>
              </w:rPr>
              <w:t>万 元</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传感器的技 术开发、技 术服务、技 术转让及销 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3,020,0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3,735,0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95.40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3"/>
          <w:szCs w:val="23"/>
        </w:rPr>
      </w:pPr>
    </w:p>
    <w:p>
      <w:pPr>
        <w:spacing w:line="554" w:lineRule="auto" w:before="26"/>
        <w:ind w:left="853" w:right="2213" w:hanging="4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、特殊目的主体或通过受托经营或承租等方式形成控制权的经营实体</w:t>
      </w:r>
      <w:r>
        <w:rPr>
          <w:rFonts w:ascii="宋体" w:hAnsi="宋体" w:cs="宋体" w:eastAsia="宋体" w:hint="default"/>
          <w:b/>
          <w:bCs/>
          <w:w w:val="99"/>
          <w:sz w:val="24"/>
          <w:szCs w:val="24"/>
        </w:rPr>
        <w:t> </w:t>
      </w:r>
      <w:r>
        <w:rPr>
          <w:rFonts w:ascii="宋体" w:hAnsi="宋体" w:cs="宋体" w:eastAsia="宋体" w:hint="default"/>
          <w:sz w:val="24"/>
          <w:szCs w:val="24"/>
        </w:rPr>
        <w:t>本公司无特殊目的或通过受托经营或承租等方式形成控制的经营实体。</w:t>
      </w:r>
    </w:p>
    <w:p>
      <w:pPr>
        <w:pStyle w:val="Heading2"/>
        <w:spacing w:line="240" w:lineRule="auto" w:before="139"/>
        <w:ind w:left="432" w:right="585"/>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33"/>
          <w:szCs w:val="33"/>
        </w:rPr>
      </w:pPr>
    </w:p>
    <w:p>
      <w:pPr>
        <w:pStyle w:val="BodyText"/>
        <w:spacing w:line="240" w:lineRule="auto" w:before="0"/>
        <w:ind w:left="858" w:right="585"/>
        <w:jc w:val="left"/>
      </w:pPr>
      <w:r>
        <w:rPr/>
        <w:t>合并报表范围发生变更说明</w:t>
      </w:r>
    </w:p>
    <w:p>
      <w:pPr>
        <w:pStyle w:val="BodyText"/>
        <w:spacing w:line="240" w:lineRule="auto" w:before="194"/>
        <w:ind w:left="432" w:right="585"/>
        <w:jc w:val="left"/>
      </w:pPr>
      <w:r>
        <w:rPr/>
        <w:t>√ 适用 □</w:t>
      </w:r>
      <w:r>
        <w:rPr>
          <w:spacing w:val="-1"/>
        </w:rPr>
        <w:t> </w:t>
      </w:r>
      <w:r>
        <w:rPr/>
        <w:t>不适用</w:t>
      </w:r>
    </w:p>
    <w:p>
      <w:pPr>
        <w:pStyle w:val="BodyText"/>
        <w:spacing w:line="386" w:lineRule="auto" w:before="195"/>
        <w:ind w:left="877" w:right="326" w:hanging="20"/>
        <w:jc w:val="left"/>
      </w:pPr>
      <w:r>
        <w:rPr/>
        <w:t>与上年相比本年（期）新增合并单位</w:t>
      </w:r>
      <w:r>
        <w:rPr>
          <w:spacing w:val="-60"/>
        </w:rPr>
        <w:t> </w:t>
      </w:r>
      <w:r>
        <w:rPr>
          <w:rFonts w:ascii="新宋体" w:hAnsi="新宋体" w:cs="新宋体" w:eastAsia="新宋体" w:hint="default"/>
        </w:rPr>
        <w:t>1</w:t>
      </w:r>
      <w:r>
        <w:rPr>
          <w:rFonts w:ascii="新宋体" w:hAnsi="新宋体" w:cs="新宋体" w:eastAsia="新宋体" w:hint="default"/>
          <w:spacing w:val="-60"/>
        </w:rPr>
        <w:t> </w:t>
      </w:r>
      <w:r>
        <w:rPr/>
        <w:t>家，原因为： </w:t>
      </w:r>
      <w:r>
        <w:rPr>
          <w:spacing w:val="-2"/>
        </w:rPr>
        <w:t>本公司以货币</w:t>
      </w:r>
      <w:r>
        <w:rPr>
          <w:rFonts w:ascii="新宋体" w:hAnsi="新宋体" w:cs="新宋体" w:eastAsia="新宋体" w:hint="default"/>
          <w:spacing w:val="-2"/>
        </w:rPr>
        <w:t>302</w:t>
      </w:r>
      <w:r>
        <w:rPr>
          <w:spacing w:val="-2"/>
        </w:rPr>
        <w:t>万元认缴哈尔滨盈江传感器工程技术中心有限公司新增出资，</w:t>
      </w:r>
      <w:r>
        <w:rPr>
          <w:rFonts w:ascii="新宋体" w:hAnsi="新宋体" w:cs="新宋体" w:eastAsia="新宋体" w:hint="default"/>
          <w:spacing w:val="-2"/>
        </w:rPr>
        <w:t>5</w:t>
      </w:r>
      <w:r>
        <w:rPr>
          <w:spacing w:val="-2"/>
        </w:rPr>
        <w:t>月</w:t>
      </w:r>
      <w:r>
        <w:rPr>
          <w:rFonts w:ascii="新宋体" w:hAnsi="新宋体" w:cs="新宋体" w:eastAsia="新宋体" w:hint="default"/>
          <w:spacing w:val="-2"/>
        </w:rPr>
        <w:t>3</w:t>
      </w:r>
      <w:r>
        <w:rPr>
          <w:spacing w:val="-2"/>
        </w:rPr>
        <w:t>日增</w:t>
      </w:r>
    </w:p>
    <w:p>
      <w:pPr>
        <w:pStyle w:val="BodyText"/>
        <w:spacing w:line="357" w:lineRule="auto" w:before="7"/>
        <w:ind w:left="432" w:right="326"/>
        <w:jc w:val="left"/>
      </w:pPr>
      <w:r>
        <w:rPr>
          <w:spacing w:val="-2"/>
        </w:rPr>
        <w:t>资完成后，本公司持有哈尔滨盈江传感器工程技术中心有限公司</w:t>
      </w:r>
      <w:r>
        <w:rPr>
          <w:rFonts w:ascii="新宋体" w:hAnsi="新宋体" w:cs="新宋体" w:eastAsia="新宋体" w:hint="default"/>
          <w:spacing w:val="-2"/>
        </w:rPr>
        <w:t>51%</w:t>
      </w:r>
      <w:r>
        <w:rPr>
          <w:spacing w:val="-2"/>
        </w:rPr>
        <w:t>的股权。</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8</w:t>
      </w:r>
      <w:r>
        <w:rPr>
          <w:spacing w:val="-2"/>
        </w:rPr>
        <w:t>月</w:t>
      </w:r>
      <w:r>
        <w:rPr>
          <w:rFonts w:ascii="新宋体" w:hAnsi="新宋体" w:cs="新宋体" w:eastAsia="新宋体" w:hint="default"/>
          <w:spacing w:val="-2"/>
        </w:rPr>
        <w:t>10</w:t>
      </w:r>
      <w:r>
        <w:rPr>
          <w:spacing w:val="-2"/>
        </w:rPr>
        <w:t>日，</w:t>
      </w:r>
      <w:r>
        <w:rPr>
          <w:spacing w:val="-109"/>
        </w:rPr>
        <w:t> </w:t>
      </w:r>
      <w:r>
        <w:rPr/>
        <w:t>经股东会决议，哈尔滨盈江名称变更为“哈尔滨盈江科技有限公司”。</w:t>
      </w:r>
    </w:p>
    <w:p>
      <w:pPr>
        <w:spacing w:line="768" w:lineRule="exact" w:before="2"/>
        <w:ind w:left="858" w:right="528" w:hanging="42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、报告期内新纳入合并范围的主体和报告期内不再纳入合并范围的主体</w:t>
      </w:r>
      <w:r>
        <w:rPr>
          <w:rFonts w:ascii="宋体" w:hAnsi="宋体" w:cs="宋体" w:eastAsia="宋体" w:hint="default"/>
          <w:b/>
          <w:bCs/>
          <w:w w:val="99"/>
          <w:sz w:val="24"/>
          <w:szCs w:val="24"/>
        </w:rPr>
        <w:t> </w:t>
      </w:r>
      <w:r>
        <w:rPr>
          <w:rFonts w:ascii="宋体" w:hAnsi="宋体" w:cs="宋体" w:eastAsia="宋体" w:hint="default"/>
          <w:sz w:val="24"/>
          <w:szCs w:val="24"/>
        </w:rPr>
        <w:t>本期新纳入合并范围的子公司、特殊目的主体、通过受托经营或承租等方式形成控制权</w:t>
      </w:r>
    </w:p>
    <w:p>
      <w:pPr>
        <w:pStyle w:val="BodyText"/>
        <w:spacing w:line="240" w:lineRule="auto" w:before="34"/>
        <w:ind w:left="432" w:right="585"/>
        <w:jc w:val="left"/>
        <w:rPr>
          <w:rFonts w:ascii="宋体" w:hAnsi="宋体" w:cs="宋体" w:eastAsia="宋体" w:hint="default"/>
        </w:rPr>
      </w:pPr>
      <w:r>
        <w:rPr>
          <w:rFonts w:ascii="宋体" w:hAnsi="宋体" w:cs="宋体" w:eastAsia="宋体" w:hint="default"/>
        </w:rPr>
        <w:t>的经营实体</w:t>
      </w:r>
    </w:p>
    <w:p>
      <w:pPr>
        <w:spacing w:before="16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2" w:right="0"/>
              <w:jc w:val="left"/>
              <w:rPr>
                <w:rFonts w:ascii="Times New Roman" w:hAnsi="Times New Roman" w:cs="Times New Roman" w:eastAsia="Times New Roman" w:hint="default"/>
                <w:sz w:val="18"/>
                <w:szCs w:val="18"/>
              </w:rPr>
            </w:pPr>
            <w:r>
              <w:rPr>
                <w:rFonts w:ascii="Times New Roman"/>
                <w:sz w:val="18"/>
              </w:rPr>
              <w:t>7,622,643.71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8" w:right="0"/>
              <w:jc w:val="left"/>
              <w:rPr>
                <w:rFonts w:ascii="Times New Roman" w:hAnsi="Times New Roman" w:cs="Times New Roman" w:eastAsia="Times New Roman" w:hint="default"/>
                <w:sz w:val="18"/>
                <w:szCs w:val="18"/>
              </w:rPr>
            </w:pPr>
            <w:r>
              <w:rPr>
                <w:rFonts w:ascii="Times New Roman"/>
                <w:sz w:val="18"/>
              </w:rPr>
              <w:t>1,066,432.06</w:t>
            </w:r>
          </w:p>
        </w:tc>
      </w:tr>
    </w:tbl>
    <w:p>
      <w:pPr>
        <w:pStyle w:val="BodyText"/>
        <w:spacing w:line="240" w:lineRule="auto" w:before="39"/>
        <w:ind w:left="858" w:right="585"/>
        <w:jc w:val="left"/>
        <w:rPr>
          <w:rFonts w:ascii="宋体" w:hAnsi="宋体" w:cs="宋体" w:eastAsia="宋体" w:hint="default"/>
        </w:rPr>
      </w:pPr>
      <w:r>
        <w:rPr>
          <w:rFonts w:ascii="宋体" w:hAnsi="宋体" w:cs="宋体" w:eastAsia="宋体" w:hint="default"/>
        </w:rPr>
        <w:t>上表中本期净利润为盈江公司本期实现的归属于母公司的净利润。</w:t>
      </w:r>
    </w:p>
    <w:p>
      <w:pPr>
        <w:spacing w:after="0" w:line="240" w:lineRule="auto"/>
        <w:jc w:val="left"/>
        <w:rPr>
          <w:rFonts w:ascii="宋体" w:hAnsi="宋体" w:cs="宋体" w:eastAsia="宋体" w:hint="default"/>
        </w:rPr>
        <w:sectPr>
          <w:pgSz w:w="11910" w:h="16840"/>
          <w:pgMar w:header="555" w:footer="980" w:top="1100" w:bottom="1160" w:left="700" w:right="680"/>
        </w:sectPr>
      </w:pPr>
    </w:p>
    <w:p>
      <w:pPr>
        <w:spacing w:line="240" w:lineRule="auto" w:before="9"/>
        <w:rPr>
          <w:rFonts w:ascii="宋体" w:hAnsi="宋体" w:cs="宋体" w:eastAsia="宋体" w:hint="default"/>
          <w:sz w:val="19"/>
          <w:szCs w:val="19"/>
        </w:rPr>
      </w:pPr>
    </w:p>
    <w:p>
      <w:pPr>
        <w:pStyle w:val="Heading2"/>
        <w:spacing w:line="468" w:lineRule="auto" w:before="26"/>
        <w:ind w:right="5317"/>
        <w:jc w:val="left"/>
        <w:rPr>
          <w:b w:val="0"/>
          <w:bCs w:val="0"/>
        </w:rPr>
      </w:pPr>
      <w:r>
        <w:rPr>
          <w:rFonts w:ascii="新宋体" w:hAnsi="新宋体" w:cs="新宋体" w:eastAsia="新宋体" w:hint="default"/>
        </w:rPr>
        <w:t>1</w:t>
      </w:r>
      <w:r>
        <w:rPr>
          <w:rFonts w:ascii="新宋体" w:hAnsi="新宋体" w:cs="新宋体" w:eastAsia="新宋体" w:hint="default"/>
        </w:rPr>
        <w:t>、</w:t>
      </w:r>
      <w:r>
        <w:rPr/>
        <w:t>报告期内发生的同一控制下企业合并</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6</w:t>
      </w:r>
      <w:r>
        <w:rPr/>
        <w:t>、报告期内发生的非同一控制下企业合并</w:t>
      </w:r>
      <w:r>
        <w:rPr>
          <w:b w:val="0"/>
          <w:bCs w:val="0"/>
        </w:rPr>
      </w:r>
    </w:p>
    <w:p>
      <w:pPr>
        <w:spacing w:before="7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59" w:type="dxa"/>
        <w:tblLayout w:type="fixed"/>
        <w:tblCellMar>
          <w:top w:w="0" w:type="dxa"/>
          <w:left w:w="0" w:type="dxa"/>
          <w:bottom w:w="0" w:type="dxa"/>
          <w:right w:w="0" w:type="dxa"/>
        </w:tblCellMar>
        <w:tblLook w:val="01E0"/>
      </w:tblPr>
      <w:tblGrid>
        <w:gridCol w:w="2679"/>
        <w:gridCol w:w="2002"/>
        <w:gridCol w:w="4537"/>
      </w:tblGrid>
      <w:tr>
        <w:trPr>
          <w:trHeight w:val="401"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商誉金额</w:t>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5"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6" w:right="0"/>
              <w:jc w:val="left"/>
              <w:rPr>
                <w:rFonts w:ascii="Times New Roman" w:hAnsi="Times New Roman" w:cs="Times New Roman" w:eastAsia="Times New Roman" w:hint="default"/>
                <w:sz w:val="18"/>
                <w:szCs w:val="18"/>
              </w:rPr>
            </w:pPr>
            <w:r>
              <w:rPr>
                <w:rFonts w:ascii="Times New Roman"/>
                <w:sz w:val="18"/>
              </w:rPr>
              <w:t>198,883.77</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1"/>
              <w:jc w:val="left"/>
              <w:rPr>
                <w:rFonts w:ascii="宋体" w:hAnsi="宋体" w:cs="宋体" w:eastAsia="宋体" w:hint="default"/>
                <w:sz w:val="18"/>
                <w:szCs w:val="18"/>
              </w:rPr>
            </w:pPr>
            <w:r>
              <w:rPr>
                <w:rFonts w:ascii="宋体" w:hAnsi="宋体" w:cs="宋体" w:eastAsia="宋体" w:hint="default"/>
                <w:sz w:val="18"/>
                <w:szCs w:val="18"/>
              </w:rPr>
              <w:t>按照合并成本超过合并中取得的被购买方可辨认净资产 于购买日的公允价值份额的差额确认商誉。</w:t>
            </w:r>
          </w:p>
        </w:tc>
      </w:tr>
    </w:tbl>
    <w:p>
      <w:pPr>
        <w:spacing w:line="240" w:lineRule="auto" w:before="1"/>
        <w:rPr>
          <w:rFonts w:ascii="宋体" w:hAnsi="宋体" w:cs="宋体" w:eastAsia="宋体" w:hint="default"/>
          <w:sz w:val="18"/>
          <w:szCs w:val="18"/>
        </w:rPr>
      </w:pPr>
    </w:p>
    <w:p>
      <w:pPr>
        <w:pStyle w:val="Heading2"/>
        <w:spacing w:line="441" w:lineRule="auto" w:before="26"/>
        <w:ind w:right="4594"/>
        <w:jc w:val="left"/>
        <w:rPr>
          <w:rFonts w:ascii="宋体" w:hAnsi="宋体" w:cs="宋体" w:eastAsia="宋体" w:hint="default"/>
          <w:b w:val="0"/>
          <w:bCs w:val="0"/>
        </w:rPr>
      </w:pPr>
      <w:r>
        <w:rPr>
          <w:rFonts w:ascii="Times New Roman" w:hAnsi="Times New Roman" w:cs="Times New Roman" w:eastAsia="Times New Roman" w:hint="default"/>
        </w:rPr>
        <w:t>7</w:t>
      </w:r>
      <w:r>
        <w:rPr/>
        <w:t>、报告期内出售丧失控制权的股权而减少子公司</w:t>
      </w:r>
      <w:r>
        <w:rPr>
          <w:w w:val="99"/>
        </w:rPr>
        <w:t> </w:t>
      </w:r>
      <w:r>
        <w:rPr>
          <w:rFonts w:ascii="宋体" w:hAnsi="宋体" w:cs="宋体" w:eastAsia="宋体" w:hint="default"/>
          <w:b w:val="0"/>
          <w:bCs w:val="0"/>
        </w:rPr>
        <w:t>不适用</w:t>
      </w:r>
    </w:p>
    <w:p>
      <w:pPr>
        <w:pStyle w:val="Heading2"/>
        <w:spacing w:line="451" w:lineRule="auto" w:before="98"/>
        <w:ind w:right="6763"/>
        <w:jc w:val="left"/>
        <w:rPr>
          <w:rFonts w:ascii="宋体" w:hAnsi="宋体" w:cs="宋体" w:eastAsia="宋体" w:hint="default"/>
          <w:b w:val="0"/>
          <w:bCs w:val="0"/>
        </w:rPr>
      </w:pPr>
      <w:r>
        <w:rPr>
          <w:rFonts w:ascii="Times New Roman" w:hAnsi="Times New Roman" w:cs="Times New Roman" w:eastAsia="Times New Roman" w:hint="default"/>
        </w:rPr>
        <w:t>8</w:t>
      </w:r>
      <w:r>
        <w:rPr/>
        <w:t>、报告期内发生的反向购买</w:t>
      </w:r>
      <w:r>
        <w:rPr>
          <w:w w:val="99"/>
        </w:rPr>
        <w:t> </w:t>
      </w:r>
      <w:r>
        <w:rPr>
          <w:rFonts w:ascii="宋体" w:hAnsi="宋体" w:cs="宋体" w:eastAsia="宋体" w:hint="default"/>
          <w:b w:val="0"/>
          <w:bCs w:val="0"/>
        </w:rPr>
        <w:t>不适用 </w:t>
      </w:r>
      <w:r>
        <w:rPr>
          <w:rFonts w:ascii="Times New Roman" w:hAnsi="Times New Roman" w:cs="Times New Roman" w:eastAsia="Times New Roman" w:hint="default"/>
        </w:rPr>
        <w:t>9</w:t>
      </w:r>
      <w:r>
        <w:rPr/>
        <w:t>、本报告期发生的吸收合并</w:t>
      </w:r>
      <w:r>
        <w:rPr>
          <w:w w:val="99"/>
        </w:rPr>
        <w:t> </w:t>
      </w:r>
      <w:r>
        <w:rPr>
          <w:rFonts w:ascii="宋体" w:hAnsi="宋体" w:cs="宋体" w:eastAsia="宋体" w:hint="default"/>
          <w:b w:val="0"/>
          <w:bCs w:val="0"/>
        </w:rPr>
        <w:t>不适用</w:t>
      </w:r>
    </w:p>
    <w:p>
      <w:pPr>
        <w:pStyle w:val="Heading2"/>
        <w:spacing w:line="441" w:lineRule="auto" w:before="87"/>
        <w:ind w:right="5197"/>
        <w:jc w:val="left"/>
        <w:rPr>
          <w:rFonts w:ascii="宋体" w:hAnsi="宋体" w:cs="宋体" w:eastAsia="宋体" w:hint="default"/>
          <w:b w:val="0"/>
          <w:bCs w:val="0"/>
        </w:rPr>
      </w:pPr>
      <w:r>
        <w:rPr>
          <w:rFonts w:ascii="Times New Roman" w:hAnsi="Times New Roman" w:cs="Times New Roman" w:eastAsia="Times New Roman" w:hint="default"/>
        </w:rPr>
        <w:t>10</w:t>
      </w:r>
      <w:r>
        <w:rPr/>
        <w:t>、境外经营实体主要报表项目的折算汇率</w:t>
      </w:r>
      <w:r>
        <w:rPr>
          <w:w w:val="99"/>
        </w:rPr>
        <w:t> </w:t>
      </w:r>
      <w:r>
        <w:rPr>
          <w:rFonts w:ascii="宋体" w:hAnsi="宋体" w:cs="宋体" w:eastAsia="宋体" w:hint="default"/>
          <w:b w:val="0"/>
          <w:bCs w:val="0"/>
        </w:rPr>
        <w:t>不适用</w:t>
      </w:r>
    </w:p>
    <w:p>
      <w:pPr>
        <w:pStyle w:val="Heading2"/>
        <w:spacing w:line="240" w:lineRule="auto" w:before="98"/>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487,969.82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335,735.83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457,761.80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307,727.88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4,564.35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28,689.22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2,608.00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16,432.75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1,518.80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2,603.84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澳币</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8,800.07</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212,849,963.79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259,811,628.80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212,455,386.22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258,342,521.63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5" w:right="0"/>
              <w:jc w:val="left"/>
              <w:rPr>
                <w:rFonts w:ascii="Times New Roman" w:hAnsi="Times New Roman" w:cs="Times New Roman" w:eastAsia="Times New Roman" w:hint="default"/>
                <w:sz w:val="18"/>
                <w:szCs w:val="18"/>
              </w:rPr>
            </w:pPr>
            <w:r>
              <w:rPr>
                <w:rFonts w:ascii="Times New Roman"/>
                <w:sz w:val="18"/>
              </w:rPr>
              <w:t>27,496.49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172,829.19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168,651.88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1,062,658.63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26,660.14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221,748.38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49,662.02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405,366.24</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1,335.02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1,082.30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213,337,933.61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260,147,364.63</w:t>
            </w:r>
          </w:p>
        </w:tc>
      </w:tr>
    </w:tbl>
    <w:p>
      <w:pPr>
        <w:pStyle w:val="BodyText"/>
        <w:spacing w:line="355" w:lineRule="auto" w:before="79"/>
        <w:ind w:right="229" w:firstLine="425"/>
        <w:jc w:val="left"/>
        <w:rPr>
          <w:rFonts w:ascii="宋体" w:hAnsi="宋体" w:cs="宋体" w:eastAsia="宋体" w:hint="default"/>
        </w:rPr>
      </w:pPr>
      <w:r>
        <w:rPr>
          <w:rFonts w:ascii="宋体" w:hAnsi="宋体" w:cs="宋体" w:eastAsia="宋体" w:hint="default"/>
        </w:rPr>
        <w:t>如有因抵押、质押或冻结等对使用有限制、存放在境外、有潜在回收风险的款项应单独 说明</w:t>
      </w:r>
    </w:p>
    <w:p>
      <w:pPr>
        <w:pStyle w:val="BodyText"/>
        <w:spacing w:line="338" w:lineRule="auto" w:before="80"/>
        <w:ind w:right="0" w:firstLine="425"/>
        <w:jc w:val="left"/>
        <w:rPr>
          <w:rFonts w:ascii="宋体" w:hAnsi="宋体" w:cs="宋体" w:eastAsia="宋体" w:hint="default"/>
        </w:rPr>
      </w:pPr>
      <w:r>
        <w:rPr>
          <w:rFonts w:ascii="宋体" w:hAnsi="宋体" w:cs="宋体" w:eastAsia="宋体" w:hint="default"/>
          <w:spacing w:val="-1"/>
        </w:rPr>
        <w:t>期末货币资金较期初减少</w:t>
      </w:r>
      <w:r>
        <w:rPr>
          <w:rFonts w:ascii="Times New Roman" w:hAnsi="Times New Roman" w:cs="Times New Roman" w:eastAsia="Times New Roman" w:hint="default"/>
          <w:spacing w:val="-1"/>
        </w:rPr>
        <w:t>46,809,431.02</w:t>
      </w:r>
      <w:r>
        <w:rPr>
          <w:rFonts w:ascii="宋体" w:hAnsi="宋体" w:cs="宋体" w:eastAsia="宋体" w:hint="default"/>
          <w:spacing w:val="-1"/>
        </w:rPr>
        <w:t>元，主要因本期发放普通股现金股利</w:t>
      </w:r>
      <w:r>
        <w:rPr>
          <w:rFonts w:ascii="Times New Roman" w:hAnsi="Times New Roman" w:cs="Times New Roman" w:eastAsia="Times New Roman" w:hint="default"/>
          <w:spacing w:val="-1"/>
        </w:rPr>
        <w:t>11,800,000.00</w:t>
      </w:r>
      <w:r>
        <w:rPr>
          <w:rFonts w:ascii="Times New Roman" w:hAnsi="Times New Roman" w:cs="Times New Roman" w:eastAsia="Times New Roman" w:hint="default"/>
        </w:rPr>
        <w:t> </w:t>
      </w:r>
      <w:r>
        <w:rPr>
          <w:rFonts w:ascii="宋体" w:hAnsi="宋体" w:cs="宋体" w:eastAsia="宋体" w:hint="default"/>
        </w:rPr>
        <w:t>元及在建工程大额支付影响所致。</w:t>
      </w:r>
    </w:p>
    <w:p>
      <w:pPr>
        <w:spacing w:line="240" w:lineRule="auto" w:before="3"/>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5,175,126.17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4,637,858.50</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5,175,126.17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4,637,858.50</w:t>
            </w:r>
          </w:p>
        </w:tc>
      </w:tr>
    </w:tbl>
    <w:p>
      <w:pPr>
        <w:spacing w:line="240" w:lineRule="auto" w:before="1"/>
        <w:rPr>
          <w:rFonts w:ascii="宋体" w:hAnsi="宋体" w:cs="宋体" w:eastAsia="宋体" w:hint="default"/>
          <w:sz w:val="18"/>
          <w:szCs w:val="18"/>
        </w:rPr>
      </w:pPr>
    </w:p>
    <w:p>
      <w:pPr>
        <w:pStyle w:val="Heading2"/>
        <w:spacing w:line="439" w:lineRule="auto" w:before="26"/>
        <w:ind w:right="6281"/>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）期末已质押的应收票据情况</w:t>
      </w:r>
      <w:r>
        <w:rPr>
          <w:w w:val="99"/>
        </w:rPr>
        <w:t> </w:t>
      </w:r>
      <w:r>
        <w:rPr>
          <w:rFonts w:ascii="宋体" w:hAnsi="宋体" w:cs="宋体" w:eastAsia="宋体" w:hint="default"/>
          <w:b w:val="0"/>
          <w:bCs w:val="0"/>
        </w:rPr>
        <w:t>不适用</w:t>
      </w:r>
    </w:p>
    <w:p>
      <w:pPr>
        <w:pStyle w:val="Heading2"/>
        <w:spacing w:line="314" w:lineRule="exact" w:before="130"/>
        <w:ind w:right="139"/>
        <w:jc w:val="left"/>
        <w:rPr>
          <w:b w:val="0"/>
          <w:bCs w:val="0"/>
        </w:rPr>
      </w:pPr>
      <w:r>
        <w:rPr>
          <w:spacing w:val="-3"/>
        </w:rPr>
        <w:t>（</w:t>
      </w:r>
      <w:r>
        <w:rPr>
          <w:rFonts w:ascii="Times New Roman" w:hAnsi="Times New Roman" w:cs="Times New Roman" w:eastAsia="Times New Roman" w:hint="default"/>
          <w:spacing w:val="-3"/>
        </w:rPr>
        <w:t>3</w:t>
      </w:r>
      <w:r>
        <w:rPr>
          <w:spacing w:val="-3"/>
        </w:rPr>
        <w:t>）因出票人无力履约而将票据转为应收账款的票据，以及期末公司已经背书给他方但尚未</w:t>
      </w:r>
      <w:r>
        <w:rPr>
          <w:w w:val="99"/>
        </w:rPr>
        <w:t> </w:t>
      </w:r>
      <w:r>
        <w:rPr/>
        <w:t>到期的票据情况</w:t>
      </w:r>
      <w:r>
        <w:rPr>
          <w:b w:val="0"/>
          <w:bCs w:val="0"/>
        </w:rPr>
      </w:r>
    </w:p>
    <w:p>
      <w:pPr>
        <w:spacing w:line="240" w:lineRule="auto" w:before="8"/>
        <w:rPr>
          <w:rFonts w:ascii="宋体" w:hAnsi="宋体" w:cs="宋体" w:eastAsia="宋体" w:hint="default"/>
          <w:b/>
          <w:bCs/>
          <w:sz w:val="26"/>
          <w:szCs w:val="26"/>
        </w:rPr>
      </w:pPr>
    </w:p>
    <w:p>
      <w:pPr>
        <w:pStyle w:val="BodyText"/>
        <w:spacing w:line="386" w:lineRule="auto" w:before="0"/>
        <w:ind w:right="4734"/>
        <w:jc w:val="left"/>
        <w:rPr>
          <w:rFonts w:ascii="宋体" w:hAnsi="宋体" w:cs="宋体" w:eastAsia="宋体" w:hint="default"/>
        </w:rPr>
      </w:pPr>
      <w:r>
        <w:rPr>
          <w:rFonts w:ascii="宋体" w:hAnsi="宋体" w:cs="宋体" w:eastAsia="宋体" w:hint="default"/>
        </w:rPr>
        <w:t>因出票人无力履约而将票据转为应收账款的票据 不适用</w:t>
      </w:r>
    </w:p>
    <w:p>
      <w:pPr>
        <w:pStyle w:val="BodyText"/>
        <w:spacing w:line="240" w:lineRule="auto" w:before="48"/>
        <w:ind w:right="0"/>
        <w:jc w:val="left"/>
        <w:rPr>
          <w:rFonts w:ascii="宋体" w:hAnsi="宋体" w:cs="宋体" w:eastAsia="宋体" w:hint="default"/>
        </w:rPr>
      </w:pPr>
      <w:r>
        <w:rPr>
          <w:rFonts w:ascii="宋体" w:hAnsi="宋体" w:cs="宋体" w:eastAsia="宋体" w:hint="default"/>
        </w:rPr>
        <w:t>公司已经背书给其他方但尚未到期的票据（截止报告期末前五名情况）</w:t>
      </w:r>
    </w:p>
    <w:p>
      <w:pPr>
        <w:spacing w:before="16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3"/>
              <w:jc w:val="center"/>
              <w:rPr>
                <w:rFonts w:ascii="宋体" w:hAnsi="宋体" w:cs="宋体" w:eastAsia="宋体" w:hint="default"/>
                <w:sz w:val="18"/>
                <w:szCs w:val="18"/>
              </w:rPr>
            </w:pPr>
            <w:r>
              <w:rPr>
                <w:rFonts w:ascii="宋体" w:hAnsi="宋体" w:cs="宋体" w:eastAsia="宋体" w:hint="default"/>
                <w:sz w:val="18"/>
                <w:szCs w:val="18"/>
              </w:rPr>
              <w:t>四川省富地建设有限公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贵阳颐丰物资贸易有限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贵阳颐丰物资贸易有限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平顶山煤矿机械有限责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临汾市城燃天燃气有限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481,760.00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2,981,760.00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124,046,86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9,644,664.2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117,532,5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7,331,625.52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124,046,86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9,644,664.2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117,532,5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7,331,625.52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124,046,86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6.41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9,644,664.2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117,532,5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27.59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7,331,625.52</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spacing w:line="496" w:lineRule="auto" w:before="44"/>
        <w:ind w:left="152" w:right="94"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本报告期公司无单项金额重大并单项计提坏账准备的应收账款，也没有单项金额虽不重大但单项计提坏账准备的应收账款， 本报告期账龄组合中按照账龄分析法计提坏账准备。</w:t>
      </w:r>
    </w:p>
    <w:p>
      <w:pPr>
        <w:spacing w:before="81"/>
        <w:ind w:left="152" w:right="94"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40" w:lineRule="auto" w:before="12"/>
        <w:rPr>
          <w:rFonts w:ascii="宋体" w:hAnsi="宋体" w:cs="宋体" w:eastAsia="宋体" w:hint="default"/>
          <w:sz w:val="20"/>
          <w:szCs w:val="20"/>
        </w:rPr>
      </w:pPr>
    </w:p>
    <w:p>
      <w:pPr>
        <w:spacing w:line="487" w:lineRule="auto" w:before="0"/>
        <w:ind w:left="152" w:right="6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88"/>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555" w:footer="980"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2"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88,369,840.37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71.23%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4,418,492.02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101,191,666.88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5,059,583.34</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88,369,840.37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71.23%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4,418,492.02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101,191,666.88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5,059,583.34</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26,280,124.26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21.19%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2,628,012.43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12,084,597.79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1,208,459.78</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5,676,655.38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1,135,331.08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2,852,972.30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570,594.46</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3,720,246.40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1,462,828.69</w:t>
            </w:r>
          </w:p>
        </w:tc>
        <w:tc>
          <w:tcPr>
            <w:tcW w:w="145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2,402,376.30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720,712.89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1,198,808.12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359,642.44</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1,151,508.60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575,754.30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142,274.00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71,137.00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166,361.50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166,361.50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62,208.50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62,208.50</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124,046,866.41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9,644,664.23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117,532,527.59</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7,331,625.52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38" w:lineRule="auto" w:before="41"/>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468" w:lineRule="auto"/>
        <w:ind w:left="578" w:right="5316" w:hanging="426"/>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2</w:t>
      </w:r>
      <w:r>
        <w:rPr>
          <w:rFonts w:ascii="新宋体" w:hAnsi="新宋体" w:cs="新宋体" w:eastAsia="新宋体" w:hint="default"/>
        </w:rPr>
        <w:t>）本报告期转回或收回的应收账款情况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tabs>
          <w:tab w:pos="1413" w:val="left" w:leader="none"/>
        </w:tabs>
        <w:spacing w:line="468" w:lineRule="auto" w:before="70"/>
        <w:ind w:left="578" w:right="4918" w:firstLine="2"/>
        <w:jc w:val="left"/>
        <w:rPr>
          <w:rFonts w:ascii="新宋体" w:hAnsi="新宋体" w:cs="新宋体" w:eastAsia="新宋体" w:hint="default"/>
          <w:b w:val="0"/>
          <w:bCs w:val="0"/>
        </w:rPr>
      </w:pPr>
      <w:r>
        <w:rPr>
          <w:rFonts w:ascii="新宋体" w:hAnsi="新宋体" w:cs="新宋体" w:eastAsia="新宋体" w:hint="default"/>
          <w:w w:val="95"/>
        </w:rPr>
        <w:t>（</w:t>
      </w:r>
      <w:r>
        <w:rPr>
          <w:rFonts w:ascii="新宋体" w:hAnsi="新宋体" w:cs="新宋体" w:eastAsia="新宋体" w:hint="default"/>
          <w:w w:val="95"/>
        </w:rPr>
        <w:t>1</w:t>
      </w:r>
      <w:r>
        <w:rPr>
          <w:rFonts w:ascii="新宋体" w:hAnsi="新宋体" w:cs="新宋体" w:eastAsia="新宋体" w:hint="default"/>
          <w:w w:val="95"/>
        </w:rPr>
        <w:t>）</w:t>
        <w:tab/>
      </w:r>
      <w:r>
        <w:rPr>
          <w:rFonts w:ascii="新宋体" w:hAnsi="新宋体" w:cs="新宋体" w:eastAsia="新宋体" w:hint="default"/>
        </w:rPr>
        <w:t>本报告期实际核销的应收账款情况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tabs>
          <w:tab w:pos="1413" w:val="left" w:leader="none"/>
        </w:tabs>
        <w:spacing w:line="468" w:lineRule="auto" w:before="72"/>
        <w:ind w:left="578" w:right="458" w:firstLine="2"/>
        <w:jc w:val="left"/>
        <w:rPr>
          <w:rFonts w:ascii="新宋体" w:hAnsi="新宋体" w:cs="新宋体" w:eastAsia="新宋体" w:hint="default"/>
          <w:b w:val="0"/>
          <w:bCs w:val="0"/>
        </w:rPr>
      </w:pPr>
      <w:r>
        <w:rPr>
          <w:rFonts w:ascii="新宋体" w:hAnsi="新宋体" w:cs="新宋体" w:eastAsia="新宋体" w:hint="default"/>
          <w:w w:val="95"/>
        </w:rPr>
        <w:t>（</w:t>
      </w:r>
      <w:r>
        <w:rPr>
          <w:rFonts w:ascii="新宋体" w:hAnsi="新宋体" w:cs="新宋体" w:eastAsia="新宋体" w:hint="default"/>
          <w:w w:val="95"/>
        </w:rPr>
        <w:t>2</w:t>
      </w:r>
      <w:r>
        <w:rPr>
          <w:rFonts w:ascii="新宋体" w:hAnsi="新宋体" w:cs="新宋体" w:eastAsia="新宋体" w:hint="default"/>
          <w:w w:val="95"/>
        </w:rPr>
        <w:t>）</w:t>
        <w:tab/>
      </w:r>
      <w:r>
        <w:rPr>
          <w:rFonts w:ascii="新宋体" w:hAnsi="新宋体" w:cs="新宋体" w:eastAsia="新宋体" w:hint="default"/>
        </w:rPr>
        <w:t>本报告期应收账款中持有公司</w:t>
      </w:r>
      <w:r>
        <w:rPr>
          <w:rFonts w:ascii="新宋体" w:hAnsi="新宋体" w:cs="新宋体" w:eastAsia="新宋体" w:hint="default"/>
          <w:spacing w:val="-61"/>
        </w:rPr>
        <w:t> </w:t>
      </w:r>
      <w:r>
        <w:rPr>
          <w:rFonts w:ascii="新宋体" w:hAnsi="新宋体" w:cs="新宋体" w:eastAsia="新宋体" w:hint="default"/>
        </w:rPr>
        <w:t>5</w:t>
      </w:r>
      <w:r>
        <w:rPr>
          <w:rFonts w:ascii="新宋体" w:hAnsi="新宋体" w:cs="新宋体" w:eastAsia="新宋体" w:hint="default"/>
        </w:rPr>
        <w:t>％（含</w:t>
      </w:r>
      <w:r>
        <w:rPr>
          <w:rFonts w:ascii="新宋体" w:hAnsi="新宋体" w:cs="新宋体" w:eastAsia="新宋体" w:hint="default"/>
          <w:spacing w:val="-64"/>
        </w:rPr>
        <w:t> </w:t>
      </w:r>
      <w:r>
        <w:rPr>
          <w:rFonts w:ascii="新宋体" w:hAnsi="新宋体" w:cs="新宋体" w:eastAsia="新宋体" w:hint="default"/>
        </w:rPr>
        <w:t>5</w:t>
      </w:r>
      <w:r>
        <w:rPr>
          <w:rFonts w:ascii="新宋体" w:hAnsi="新宋体" w:cs="新宋体" w:eastAsia="新宋体" w:hint="default"/>
        </w:rPr>
        <w:t>％）以上表决权股份的股东单位情况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240" w:lineRule="auto" w:before="70"/>
        <w:ind w:right="0"/>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5</w:t>
      </w:r>
      <w:r>
        <w:rPr>
          <w:rFonts w:ascii="新宋体" w:hAnsi="新宋体" w:cs="新宋体" w:eastAsia="新宋体" w:hint="default"/>
        </w:rPr>
        <w:t>）应收账款中金额前五名单位情况</w:t>
      </w:r>
      <w:r>
        <w:rPr>
          <w:rFonts w:ascii="新宋体" w:hAnsi="新宋体" w:cs="新宋体" w:eastAsia="新宋体" w:hint="default"/>
          <w:b w:val="0"/>
          <w:bCs w:val="0"/>
        </w:rPr>
      </w:r>
    </w:p>
    <w:p>
      <w:pPr>
        <w:spacing w:line="240" w:lineRule="auto" w:before="6"/>
        <w:rPr>
          <w:rFonts w:ascii="新宋体" w:hAnsi="新宋体" w:cs="新宋体" w:eastAsia="新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121"/>
        <w:gridCol w:w="1416"/>
        <w:gridCol w:w="1560"/>
        <w:gridCol w:w="1344"/>
        <w:gridCol w:w="226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北京顺义义源商贸公司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0" w:right="0"/>
              <w:jc w:val="left"/>
              <w:rPr>
                <w:rFonts w:ascii="Times New Roman" w:hAnsi="Times New Roman" w:cs="Times New Roman" w:eastAsia="Times New Roman" w:hint="default"/>
                <w:sz w:val="18"/>
                <w:szCs w:val="18"/>
              </w:rPr>
            </w:pPr>
            <w:r>
              <w:rPr>
                <w:rFonts w:ascii="Times New Roman"/>
                <w:sz w:val="18"/>
              </w:rPr>
              <w:t>4,583,160.00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3.69%</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121"/>
        <w:gridCol w:w="1416"/>
        <w:gridCol w:w="1560"/>
        <w:gridCol w:w="1344"/>
        <w:gridCol w:w="226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五矿邯邢矿业有限公司西石门铁矿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4,463,675.00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3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sc</w:t>
            </w:r>
            <w:r>
              <w:rPr>
                <w:rFonts w:ascii="Times New Roman"/>
                <w:spacing w:val="-5"/>
                <w:sz w:val="18"/>
              </w:rPr>
              <w:t> </w:t>
            </w:r>
            <w:r>
              <w:rPr>
                <w:rFonts w:ascii="Times New Roman"/>
                <w:sz w:val="18"/>
              </w:rPr>
              <w:t>hydropower</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4,317,781.94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3.48%</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上海诗远贸易有限公司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3,456,000.00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3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吉林石油集团有限责任公司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2,829,875.00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2.28%</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4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19,650,491.94</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15.84%</w:t>
            </w:r>
          </w:p>
        </w:tc>
      </w:tr>
    </w:tbl>
    <w:p>
      <w:pPr>
        <w:spacing w:line="240" w:lineRule="auto" w:before="1"/>
        <w:rPr>
          <w:rFonts w:ascii="宋体" w:hAnsi="宋体" w:cs="宋体" w:eastAsia="宋体" w:hint="default"/>
          <w:sz w:val="18"/>
          <w:szCs w:val="18"/>
        </w:rPr>
      </w:pPr>
    </w:p>
    <w:p>
      <w:pPr>
        <w:pStyle w:val="Heading2"/>
        <w:spacing w:line="465" w:lineRule="auto" w:before="26"/>
        <w:ind w:left="578" w:right="6347" w:firstLine="144"/>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3</w:t>
      </w:r>
      <w:r>
        <w:rPr>
          <w:rFonts w:ascii="新宋体" w:hAnsi="新宋体" w:cs="新宋体" w:eastAsia="新宋体" w:hint="default"/>
        </w:rPr>
        <w:t>）</w:t>
      </w:r>
      <w:r>
        <w:rPr>
          <w:rFonts w:ascii="新宋体" w:hAnsi="新宋体" w:cs="新宋体" w:eastAsia="新宋体" w:hint="default"/>
          <w:spacing w:val="-35"/>
        </w:rPr>
        <w:t> </w:t>
      </w:r>
      <w:r>
        <w:rPr>
          <w:rFonts w:ascii="新宋体" w:hAnsi="新宋体" w:cs="新宋体" w:eastAsia="新宋体" w:hint="default"/>
        </w:rPr>
        <w:t>应收关联方账款情况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468" w:lineRule="auto" w:before="74"/>
        <w:ind w:left="578" w:right="5866" w:firstLine="144"/>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4</w:t>
      </w:r>
      <w:r>
        <w:rPr>
          <w:rFonts w:ascii="新宋体" w:hAnsi="新宋体" w:cs="新宋体" w:eastAsia="新宋体" w:hint="default"/>
        </w:rPr>
        <w:t>）</w:t>
      </w:r>
      <w:r>
        <w:rPr>
          <w:rFonts w:ascii="新宋体" w:hAnsi="新宋体" w:cs="新宋体" w:eastAsia="新宋体" w:hint="default"/>
          <w:spacing w:val="-36"/>
        </w:rPr>
        <w:t> </w:t>
      </w:r>
      <w:r>
        <w:rPr>
          <w:rFonts w:ascii="新宋体" w:hAnsi="新宋体" w:cs="新宋体" w:eastAsia="新宋体" w:hint="default"/>
        </w:rPr>
        <w:t>终止确认的应收款项情况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468" w:lineRule="auto" w:before="70"/>
        <w:ind w:left="578" w:right="808" w:firstLine="144"/>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5</w:t>
      </w:r>
      <w:r>
        <w:rPr>
          <w:rFonts w:ascii="新宋体" w:hAnsi="新宋体" w:cs="新宋体" w:eastAsia="新宋体" w:hint="default"/>
        </w:rPr>
        <w:t>）</w:t>
      </w:r>
      <w:r>
        <w:rPr>
          <w:rFonts w:ascii="新宋体" w:hAnsi="新宋体" w:cs="新宋体" w:eastAsia="新宋体" w:hint="default"/>
          <w:spacing w:val="-38"/>
        </w:rPr>
        <w:t> </w:t>
      </w:r>
      <w:r>
        <w:rPr>
          <w:rFonts w:ascii="新宋体" w:hAnsi="新宋体" w:cs="新宋体" w:eastAsia="新宋体" w:hint="default"/>
        </w:rPr>
        <w:t>以应收款项为标的进行证券化的，列示继续涉入形成的资产、负债的金额</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240" w:lineRule="auto" w:before="72"/>
        <w:ind w:right="0"/>
        <w:jc w:val="left"/>
        <w:rPr>
          <w:rFonts w:ascii="新宋体" w:hAnsi="新宋体" w:cs="新宋体" w:eastAsia="新宋体" w:hint="default"/>
          <w:b w:val="0"/>
          <w:bCs w:val="0"/>
        </w:rPr>
      </w:pPr>
      <w:r>
        <w:rPr>
          <w:rFonts w:ascii="新宋体" w:hAnsi="新宋体" w:cs="新宋体" w:eastAsia="新宋体" w:hint="default"/>
        </w:rPr>
        <w:t>4</w:t>
      </w:r>
      <w:r>
        <w:rPr>
          <w:rFonts w:ascii="新宋体" w:hAnsi="新宋体" w:cs="新宋体" w:eastAsia="新宋体" w:hint="default"/>
        </w:rPr>
        <w:t>、其他应收款</w:t>
      </w:r>
      <w:r>
        <w:rPr>
          <w:rFonts w:ascii="新宋体" w:hAnsi="新宋体" w:cs="新宋体" w:eastAsia="新宋体" w:hint="default"/>
          <w:b w:val="0"/>
          <w:bCs w:val="0"/>
        </w:rPr>
      </w:r>
    </w:p>
    <w:p>
      <w:pPr>
        <w:spacing w:line="240" w:lineRule="auto" w:before="12"/>
        <w:rPr>
          <w:rFonts w:ascii="新宋体" w:hAnsi="新宋体" w:cs="新宋体" w:eastAsia="新宋体" w:hint="default"/>
          <w:b/>
          <w:bCs/>
          <w:sz w:val="22"/>
          <w:szCs w:val="22"/>
        </w:rPr>
      </w:pPr>
    </w:p>
    <w:p>
      <w:pPr>
        <w:pStyle w:val="Heading2"/>
        <w:spacing w:line="240" w:lineRule="auto"/>
        <w:ind w:right="0"/>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1</w:t>
      </w:r>
      <w:r>
        <w:rPr>
          <w:rFonts w:ascii="新宋体" w:hAnsi="新宋体" w:cs="新宋体" w:eastAsia="新宋体" w:hint="default"/>
        </w:rPr>
        <w:t>）其他应收款按种类披露</w:t>
      </w:r>
      <w:r>
        <w:rPr>
          <w:rFonts w:ascii="新宋体" w:hAnsi="新宋体" w:cs="新宋体" w:eastAsia="新宋体" w:hint="default"/>
          <w:b w:val="0"/>
          <w:bCs w:val="0"/>
        </w:rPr>
      </w:r>
    </w:p>
    <w:p>
      <w:pPr>
        <w:spacing w:line="240" w:lineRule="auto" w:before="4"/>
        <w:rPr>
          <w:rFonts w:ascii="新宋体" w:hAnsi="新宋体" w:cs="新宋体" w:eastAsia="新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6,009,661.25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402,877.86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5,055,270.15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284,243.51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6,009,661.25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402,877.86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5,055,270.15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284,243.51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6,009,661.25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402,877.86</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5,055,270.15</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284,243.51</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w:t>
      </w:r>
      <w:r>
        <w:rPr>
          <w:rFonts w:ascii="宋体" w:hAnsi="宋体" w:cs="宋体" w:eastAsia="宋体" w:hint="default"/>
          <w:spacing w:val="-2"/>
          <w:sz w:val="18"/>
          <w:szCs w:val="18"/>
        </w:rPr>
        <w:t>期末按照账龄分析法计提坏帐准备。期末无单项金额重大并单项计提还账准备的其他应收款，也无单项金额不重大但单项计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提坏账准备的其他应收款。</w:t>
      </w:r>
    </w:p>
    <w:p>
      <w:pPr>
        <w:spacing w:before="43"/>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36"/>
        <w:gridCol w:w="1847"/>
        <w:gridCol w:w="652"/>
        <w:gridCol w:w="1453"/>
        <w:gridCol w:w="1450"/>
        <w:gridCol w:w="652"/>
        <w:gridCol w:w="1668"/>
      </w:tblGrid>
      <w:tr>
        <w:trPr>
          <w:trHeight w:val="402" w:hRule="exact"/>
        </w:trPr>
        <w:tc>
          <w:tcPr>
            <w:tcW w:w="1836" w:type="dxa"/>
            <w:vMerge w:val="restart"/>
            <w:tcBorders>
              <w:top w:val="single" w:sz="4" w:space="0" w:color="000000"/>
              <w:left w:val="single" w:sz="4" w:space="0" w:color="000000"/>
              <w:right w:val="single" w:sz="4" w:space="0" w:color="000000"/>
            </w:tcBorders>
            <w:shd w:val="clear" w:color="auto" w:fill="D2D2D2"/>
          </w:tcPr>
          <w:p>
            <w:pPr/>
          </w:p>
        </w:tc>
        <w:tc>
          <w:tcPr>
            <w:tcW w:w="39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836"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3" w:type="dxa"/>
            <w:vMerge w:val="restart"/>
            <w:tcBorders>
              <w:top w:val="single" w:sz="4" w:space="0" w:color="000000"/>
              <w:left w:val="single" w:sz="4" w:space="0" w:color="000000"/>
              <w:right w:val="single" w:sz="4" w:space="0" w:color="000000"/>
            </w:tcBorders>
            <w:shd w:val="clear" w:color="auto" w:fill="D2D2D2"/>
          </w:tcPr>
          <w:p>
            <w:pPr/>
          </w:p>
        </w:tc>
        <w:tc>
          <w:tcPr>
            <w:tcW w:w="21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2102" w:type="dxa"/>
            <w:gridSpan w:val="2"/>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6" w:type="dxa"/>
            <w:vMerge/>
            <w:tcBorders>
              <w:left w:val="single" w:sz="4" w:space="0" w:color="000000"/>
              <w:bottom w:val="single" w:sz="4" w:space="0" w:color="FFFFFF"/>
              <w:right w:val="single" w:sz="4" w:space="0" w:color="000000"/>
            </w:tcBorders>
            <w:shd w:val="clear" w:color="auto" w:fill="D2D2D2"/>
          </w:tcPr>
          <w:p>
            <w:pPr/>
          </w:p>
        </w:tc>
        <w:tc>
          <w:tcPr>
            <w:tcW w:w="184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36" w:type="dxa"/>
            <w:vMerge w:val="restart"/>
            <w:tcBorders>
              <w:top w:val="single" w:sz="4" w:space="0" w:color="FFFFFF"/>
              <w:left w:val="single" w:sz="4" w:space="0" w:color="000000"/>
              <w:right w:val="single" w:sz="4" w:space="0" w:color="000000"/>
            </w:tcBorders>
            <w:shd w:val="clear" w:color="auto" w:fill="D2D2D2"/>
          </w:tcPr>
          <w:p>
            <w:pPr/>
          </w:p>
        </w:tc>
        <w:tc>
          <w:tcPr>
            <w:tcW w:w="184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836" w:type="dxa"/>
            <w:vMerge/>
            <w:tcBorders>
              <w:left w:val="single" w:sz="4" w:space="0" w:color="000000"/>
              <w:right w:val="single" w:sz="4" w:space="0" w:color="000000"/>
            </w:tcBorders>
            <w:shd w:val="clear" w:color="auto" w:fill="D2D2D2"/>
          </w:tcPr>
          <w:p>
            <w:pPr/>
          </w:p>
        </w:tc>
        <w:tc>
          <w:tcPr>
            <w:tcW w:w="1847"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668"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836" w:type="dxa"/>
            <w:vMerge/>
            <w:tcBorders>
              <w:left w:val="single" w:sz="4" w:space="0" w:color="000000"/>
              <w:bottom w:val="single" w:sz="5" w:space="0" w:color="FFFFFF"/>
              <w:right w:val="single" w:sz="4" w:space="0" w:color="000000"/>
            </w:tcBorders>
            <w:shd w:val="clear" w:color="auto" w:fill="D2D2D2"/>
          </w:tcPr>
          <w:p>
            <w:pPr/>
          </w:p>
        </w:tc>
        <w:tc>
          <w:tcPr>
            <w:tcW w:w="1847" w:type="dxa"/>
            <w:tcBorders>
              <w:top w:val="nil" w:sz="6" w:space="0" w:color="auto"/>
              <w:left w:val="single" w:sz="4" w:space="0" w:color="000000"/>
              <w:bottom w:val="single" w:sz="5" w:space="0" w:color="FFFFFF"/>
              <w:right w:val="single" w:sz="4" w:space="0" w:color="000000"/>
            </w:tcBorders>
            <w:shd w:val="clear" w:color="auto" w:fill="D2D2D2"/>
          </w:tcPr>
          <w:p>
            <w:pPr/>
          </w:p>
        </w:tc>
        <w:tc>
          <w:tcPr>
            <w:tcW w:w="652" w:type="dxa"/>
            <w:vMerge/>
            <w:tcBorders>
              <w:left w:val="single" w:sz="4" w:space="0" w:color="000000"/>
              <w:bottom w:val="single" w:sz="5" w:space="0" w:color="FFFFFF"/>
              <w:right w:val="single" w:sz="4" w:space="0" w:color="000000"/>
            </w:tcBorders>
            <w:shd w:val="clear" w:color="auto" w:fill="D2D2D2"/>
          </w:tcPr>
          <w:p>
            <w:pPr/>
          </w:p>
        </w:tc>
        <w:tc>
          <w:tcPr>
            <w:tcW w:w="1453" w:type="dxa"/>
            <w:vMerge/>
            <w:tcBorders>
              <w:left w:val="single" w:sz="4" w:space="0" w:color="000000"/>
              <w:bottom w:val="single" w:sz="5" w:space="0" w:color="FFFFFF"/>
              <w:right w:val="single" w:sz="4" w:space="0" w:color="000000"/>
            </w:tcBorders>
            <w:shd w:val="clear" w:color="auto" w:fill="D2D2D2"/>
          </w:tcPr>
          <w:p>
            <w:pPr/>
          </w:p>
        </w:tc>
        <w:tc>
          <w:tcPr>
            <w:tcW w:w="1450" w:type="dxa"/>
            <w:tcBorders>
              <w:top w:val="nil" w:sz="6" w:space="0" w:color="auto"/>
              <w:left w:val="single" w:sz="4" w:space="0" w:color="000000"/>
              <w:bottom w:val="single" w:sz="5" w:space="0" w:color="FFFFFF"/>
              <w:right w:val="single" w:sz="4" w:space="0" w:color="000000"/>
            </w:tcBorders>
            <w:shd w:val="clear" w:color="auto" w:fill="D2D2D2"/>
          </w:tcPr>
          <w:p>
            <w:pPr/>
          </w:p>
        </w:tc>
        <w:tc>
          <w:tcPr>
            <w:tcW w:w="652" w:type="dxa"/>
            <w:vMerge/>
            <w:tcBorders>
              <w:left w:val="single" w:sz="4" w:space="0" w:color="000000"/>
              <w:bottom w:val="single" w:sz="5" w:space="0" w:color="FFFFFF"/>
              <w:right w:val="single" w:sz="4" w:space="0" w:color="000000"/>
            </w:tcBorders>
            <w:shd w:val="clear" w:color="auto" w:fill="D2D2D2"/>
          </w:tcPr>
          <w:p>
            <w:pPr/>
          </w:p>
        </w:tc>
        <w:tc>
          <w:tcPr>
            <w:tcW w:w="1668"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59"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4,848,075.25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80.67%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242,403.76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4,725,670.15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236,283.51</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868,431.00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86,843.10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179,600.00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17,960.00</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143,155.00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28,631.00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150,000.00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150,000.00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150,000.00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45,000.00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6,009,661.25</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402,877.86</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5,055,270.15</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284,243.51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39"/>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468" w:lineRule="auto"/>
        <w:ind w:right="5075"/>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2</w:t>
      </w:r>
      <w:r>
        <w:rPr>
          <w:rFonts w:ascii="新宋体" w:hAnsi="新宋体" w:cs="新宋体" w:eastAsia="新宋体" w:hint="default"/>
        </w:rPr>
        <w:t>）本报告期转回或收回的其他应收款情况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468" w:lineRule="auto" w:before="72"/>
        <w:ind w:right="5316"/>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3</w:t>
      </w:r>
      <w:r>
        <w:rPr>
          <w:rFonts w:ascii="新宋体" w:hAnsi="新宋体" w:cs="新宋体" w:eastAsia="新宋体" w:hint="default"/>
        </w:rPr>
        <w:t>）本报告期实际核销的其他应收款情况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468" w:lineRule="auto" w:before="70"/>
        <w:ind w:right="862"/>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4</w:t>
      </w:r>
      <w:r>
        <w:rPr>
          <w:rFonts w:ascii="新宋体" w:hAnsi="新宋体" w:cs="新宋体" w:eastAsia="新宋体" w:hint="default"/>
        </w:rPr>
        <w:t>）本报告期其他应收款中持有公司</w:t>
      </w:r>
      <w:r>
        <w:rPr>
          <w:rFonts w:ascii="新宋体" w:hAnsi="新宋体" w:cs="新宋体" w:eastAsia="新宋体" w:hint="default"/>
          <w:spacing w:val="-63"/>
        </w:rPr>
        <w:t> </w:t>
      </w:r>
      <w:r>
        <w:rPr>
          <w:rFonts w:ascii="新宋体" w:hAnsi="新宋体" w:cs="新宋体" w:eastAsia="新宋体" w:hint="default"/>
        </w:rPr>
        <w:t>5</w:t>
      </w:r>
      <w:r>
        <w:rPr>
          <w:rFonts w:ascii="新宋体" w:hAnsi="新宋体" w:cs="新宋体" w:eastAsia="新宋体" w:hint="default"/>
        </w:rPr>
        <w:t>％（含</w:t>
      </w:r>
      <w:r>
        <w:rPr>
          <w:rFonts w:ascii="新宋体" w:hAnsi="新宋体" w:cs="新宋体" w:eastAsia="新宋体" w:hint="default"/>
          <w:spacing w:val="-63"/>
        </w:rPr>
        <w:t> </w:t>
      </w:r>
      <w:r>
        <w:rPr>
          <w:rFonts w:ascii="新宋体" w:hAnsi="新宋体" w:cs="新宋体" w:eastAsia="新宋体" w:hint="default"/>
        </w:rPr>
        <w:t>5</w:t>
      </w:r>
      <w:r>
        <w:rPr>
          <w:rFonts w:ascii="新宋体" w:hAnsi="新宋体" w:cs="新宋体" w:eastAsia="新宋体" w:hint="default"/>
        </w:rPr>
        <w:t>％）以上表决权股份的股东单位情况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468" w:lineRule="auto" w:before="73"/>
        <w:ind w:right="5316"/>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5</w:t>
      </w:r>
      <w:r>
        <w:rPr>
          <w:rFonts w:ascii="新宋体" w:hAnsi="新宋体" w:cs="新宋体" w:eastAsia="新宋体" w:hint="default"/>
        </w:rPr>
        <w:t>）金额较大的其他应收款的性质或内容</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240" w:lineRule="auto" w:before="70"/>
        <w:ind w:right="0"/>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6</w:t>
      </w:r>
      <w:r>
        <w:rPr>
          <w:rFonts w:ascii="新宋体" w:hAnsi="新宋体" w:cs="新宋体" w:eastAsia="新宋体" w:hint="default"/>
        </w:rPr>
        <w:t>）其他应收款金额前五名单位情况</w:t>
      </w:r>
      <w:r>
        <w:rPr>
          <w:rFonts w:ascii="新宋体" w:hAnsi="新宋体" w:cs="新宋体" w:eastAsia="新宋体" w:hint="default"/>
          <w:b w:val="0"/>
          <w:bCs w:val="0"/>
        </w:rPr>
      </w:r>
    </w:p>
    <w:p>
      <w:pPr>
        <w:spacing w:after="0" w:line="240" w:lineRule="auto"/>
        <w:jc w:val="left"/>
        <w:rPr>
          <w:rFonts w:ascii="新宋体" w:hAnsi="新宋体" w:cs="新宋体" w:eastAsia="新宋体" w:hint="default"/>
        </w:rPr>
        <w:sectPr>
          <w:pgSz w:w="11910" w:h="16840"/>
          <w:pgMar w:header="555" w:footer="980" w:top="1100" w:bottom="1160" w:left="980" w:right="980"/>
        </w:sectPr>
      </w:pPr>
    </w:p>
    <w:p>
      <w:pPr>
        <w:spacing w:line="240" w:lineRule="auto" w:before="11"/>
        <w:rPr>
          <w:rFonts w:ascii="新宋体" w:hAnsi="新宋体" w:cs="新宋体" w:eastAsia="新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301,045.27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郑州高新区技术产业开 发区政府采购办公室</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268,982.00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孙孝聪</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238,152.30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时学瑞</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w:t>
            </w:r>
          </w:p>
        </w:tc>
      </w:tr>
    </w:tbl>
    <w:p>
      <w:pPr>
        <w:spacing w:line="240" w:lineRule="auto" w:before="1"/>
        <w:rPr>
          <w:rFonts w:ascii="宋体" w:hAnsi="宋体" w:cs="宋体" w:eastAsia="宋体" w:hint="default"/>
          <w:sz w:val="18"/>
          <w:szCs w:val="18"/>
        </w:rPr>
      </w:pPr>
    </w:p>
    <w:p>
      <w:pPr>
        <w:pStyle w:val="Heading2"/>
        <w:spacing w:line="439" w:lineRule="auto" w:before="26"/>
        <w:ind w:left="578" w:right="5867" w:firstLine="144"/>
        <w:jc w:val="left"/>
        <w:rPr>
          <w:rFonts w:ascii="宋体" w:hAnsi="宋体" w:cs="宋体" w:eastAsia="宋体" w:hint="default"/>
          <w:b w:val="0"/>
          <w:bCs w:val="0"/>
        </w:rPr>
      </w:pPr>
      <w:r>
        <w:rPr/>
        <w:t>（</w:t>
      </w:r>
      <w:r>
        <w:rPr>
          <w:rFonts w:ascii="Times New Roman" w:hAnsi="Times New Roman" w:cs="Times New Roman" w:eastAsia="Times New Roman" w:hint="default"/>
        </w:rPr>
        <w:t>6</w:t>
      </w:r>
      <w:r>
        <w:rPr/>
        <w:t>）</w:t>
      </w:r>
      <w:r>
        <w:rPr>
          <w:spacing w:val="-36"/>
        </w:rPr>
        <w:t> </w:t>
      </w:r>
      <w:r>
        <w:rPr/>
        <w:t>其他应收关联方账款情况</w:t>
      </w:r>
      <w:r>
        <w:rPr>
          <w:w w:val="99"/>
        </w:rPr>
        <w:t> </w:t>
      </w:r>
      <w:r>
        <w:rPr>
          <w:rFonts w:ascii="宋体" w:hAnsi="宋体" w:cs="宋体" w:eastAsia="宋体" w:hint="default"/>
          <w:b w:val="0"/>
          <w:bCs w:val="0"/>
        </w:rPr>
        <w:t>不适用</w:t>
      </w:r>
    </w:p>
    <w:p>
      <w:pPr>
        <w:pStyle w:val="Heading2"/>
        <w:spacing w:line="441" w:lineRule="auto" w:before="101"/>
        <w:ind w:left="578" w:right="5384" w:firstLine="144"/>
        <w:jc w:val="left"/>
        <w:rPr>
          <w:rFonts w:ascii="宋体" w:hAnsi="宋体" w:cs="宋体" w:eastAsia="宋体" w:hint="default"/>
          <w:b w:val="0"/>
          <w:bCs w:val="0"/>
        </w:rPr>
      </w:pPr>
      <w:r>
        <w:rPr/>
        <w:t>（</w:t>
      </w:r>
      <w:r>
        <w:rPr>
          <w:rFonts w:ascii="Times New Roman" w:hAnsi="Times New Roman" w:cs="Times New Roman" w:eastAsia="Times New Roman" w:hint="default"/>
        </w:rPr>
        <w:t>7</w:t>
      </w:r>
      <w:r>
        <w:rPr/>
        <w:t>）</w:t>
      </w:r>
      <w:r>
        <w:rPr>
          <w:spacing w:val="-35"/>
        </w:rPr>
        <w:t> </w:t>
      </w:r>
      <w:r>
        <w:rPr/>
        <w:t>终止确认的其他应收款项情况</w:t>
      </w:r>
      <w:r>
        <w:rPr>
          <w:w w:val="99"/>
        </w:rPr>
        <w:t> </w:t>
      </w:r>
      <w:r>
        <w:rPr>
          <w:rFonts w:ascii="宋体" w:hAnsi="宋体" w:cs="宋体" w:eastAsia="宋体" w:hint="default"/>
          <w:b w:val="0"/>
          <w:bCs w:val="0"/>
        </w:rPr>
        <w:t>不适用</w:t>
      </w:r>
    </w:p>
    <w:p>
      <w:pPr>
        <w:pStyle w:val="Heading2"/>
        <w:spacing w:line="439" w:lineRule="auto" w:before="98"/>
        <w:ind w:left="578" w:right="568" w:firstLine="144"/>
        <w:jc w:val="left"/>
        <w:rPr>
          <w:rFonts w:ascii="宋体" w:hAnsi="宋体" w:cs="宋体" w:eastAsia="宋体" w:hint="default"/>
          <w:b w:val="0"/>
          <w:bCs w:val="0"/>
        </w:rPr>
      </w:pPr>
      <w:r>
        <w:rPr/>
        <w:t>（</w:t>
      </w:r>
      <w:r>
        <w:rPr>
          <w:rFonts w:ascii="Times New Roman" w:hAnsi="Times New Roman" w:cs="Times New Roman" w:eastAsia="Times New Roman" w:hint="default"/>
        </w:rPr>
        <w:t>8</w:t>
      </w:r>
      <w:r>
        <w:rPr/>
        <w:t>）</w:t>
      </w:r>
      <w:r>
        <w:rPr>
          <w:spacing w:val="-38"/>
        </w:rPr>
        <w:t> </w:t>
      </w:r>
      <w:r>
        <w:rPr/>
        <w:t>以其他应收款为标的进行证券化的，列示继续涉入形成的资产、负债的金额</w:t>
      </w:r>
      <w:r>
        <w:rPr>
          <w:w w:val="99"/>
        </w:rPr>
        <w:t> </w:t>
      </w:r>
      <w:r>
        <w:rPr>
          <w:rFonts w:ascii="宋体" w:hAnsi="宋体" w:cs="宋体" w:eastAsia="宋体" w:hint="default"/>
          <w:b w:val="0"/>
          <w:bCs w:val="0"/>
        </w:rPr>
        <w:t>不适用</w:t>
      </w:r>
    </w:p>
    <w:p>
      <w:pPr>
        <w:pStyle w:val="Heading2"/>
        <w:spacing w:line="240" w:lineRule="auto" w:before="101"/>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w:t>
      </w:r>
      <w:r>
        <w:rPr>
          <w:spacing w:val="-2"/>
        </w:rPr>
        <w:t> </w:t>
      </w:r>
      <w:r>
        <w:rPr/>
        <w:t>预付款项按账龄列示</w:t>
      </w:r>
      <w:r>
        <w:rPr>
          <w:b w:val="0"/>
          <w:bCs w:val="0"/>
        </w:rPr>
      </w:r>
    </w:p>
    <w:p>
      <w:pPr>
        <w:spacing w:line="240" w:lineRule="auto" w:before="1"/>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28,156,652.27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19,285,787.75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2,055,003.11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26,691,323.83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57.98%</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1,134,256.53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31,519.47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52,828.47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31,398,740.38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46,029,940.05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before="115"/>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）报告期末预付款项较上期末减少</w:t>
      </w:r>
      <w:r>
        <w:rPr>
          <w:rFonts w:ascii="Times New Roman" w:hAnsi="Times New Roman" w:cs="Times New Roman" w:eastAsia="Times New Roman" w:hint="default"/>
          <w:sz w:val="18"/>
          <w:szCs w:val="18"/>
        </w:rPr>
        <w:t>14,631,199.67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元，主要原因系子公司北京智威购地款退回</w:t>
      </w:r>
      <w:r>
        <w:rPr>
          <w:rFonts w:ascii="Times New Roman" w:hAnsi="Times New Roman" w:cs="Times New Roman" w:eastAsia="Times New Roman" w:hint="default"/>
          <w:sz w:val="18"/>
          <w:szCs w:val="18"/>
        </w:rPr>
        <w:t>2500</w:t>
      </w:r>
      <w:r>
        <w:rPr>
          <w:rFonts w:ascii="宋体" w:hAnsi="宋体" w:cs="宋体" w:eastAsia="宋体" w:hint="default"/>
          <w:sz w:val="18"/>
          <w:szCs w:val="18"/>
        </w:rPr>
        <w:t>万元所致；</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）报告期末预付款项中无预付持本公司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after="0"/>
        <w:jc w:val="left"/>
        <w:rPr>
          <w:rFonts w:ascii="宋体" w:hAnsi="宋体" w:cs="宋体" w:eastAsia="宋体" w:hint="default"/>
          <w:sz w:val="18"/>
          <w:szCs w:val="18"/>
        </w:rPr>
        <w:sectPr>
          <w:pgSz w:w="11910" w:h="16840"/>
          <w:pgMar w:header="555"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spacing w:line="240" w:lineRule="auto" w:before="9"/>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253" w:type="dxa"/>
        <w:tblLayout w:type="fixed"/>
        <w:tblCellMar>
          <w:top w:w="0" w:type="dxa"/>
          <w:left w:w="0" w:type="dxa"/>
          <w:bottom w:w="0" w:type="dxa"/>
          <w:right w:w="0" w:type="dxa"/>
        </w:tblCellMar>
        <w:tblLook w:val="01E0"/>
      </w:tblPr>
      <w:tblGrid>
        <w:gridCol w:w="2694"/>
        <w:gridCol w:w="1915"/>
        <w:gridCol w:w="1488"/>
        <w:gridCol w:w="1416"/>
        <w:gridCol w:w="1916"/>
      </w:tblGrid>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郑州乐枫装饰工程有限公司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工程未达到结算条件</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河南宏宇设备安装有限公司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4,655,614.41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工程未达到结算条件</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上海中科高等研究院</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未达到约定结算条件</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许能多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预付购房款，手续尚未 完结</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汉中市润阳商贸有限公司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1,441,440.00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采购商品尚未交付</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17,097,054.41</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439" w:lineRule="auto" w:before="26"/>
        <w:ind w:right="863"/>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）本报告期预付款项中持有本公司</w:t>
      </w:r>
      <w:r>
        <w:rPr>
          <w:spacing w:val="-61"/>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不适用</w:t>
      </w:r>
    </w:p>
    <w:p>
      <w:pPr>
        <w:spacing w:line="441" w:lineRule="auto" w:before="101"/>
        <w:ind w:left="152" w:right="748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）预付款项的说明</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2"/>
        <w:spacing w:line="240" w:lineRule="auto" w:before="98"/>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5"/>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586"/>
        <w:gridCol w:w="1473"/>
        <w:gridCol w:w="1195"/>
        <w:gridCol w:w="1328"/>
        <w:gridCol w:w="1330"/>
        <w:gridCol w:w="1330"/>
        <w:gridCol w:w="1327"/>
      </w:tblGrid>
      <w:tr>
        <w:trPr>
          <w:trHeight w:val="206" w:hRule="exact"/>
        </w:trPr>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8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21,205,058.43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21,205,058.43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25,601,636.14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25,601,636.14</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11,075,748.70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11,075,748.70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11,497,752.74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11,497,752.74</w:t>
            </w: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35,388,364.01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35,388,364.01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17,877,171.78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17,877,171.78</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244,100.63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244,100.63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206,401.46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206,401.46</w:t>
            </w: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717,626.74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717,626.74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1,011,586.01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1,011,586.01</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68,630,898.51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68,630,898.51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56,194,548.13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56,194,548.13</w:t>
            </w:r>
          </w:p>
        </w:tc>
      </w:tr>
    </w:tbl>
    <w:p>
      <w:pPr>
        <w:spacing w:line="240" w:lineRule="auto" w:before="12"/>
        <w:rPr>
          <w:rFonts w:ascii="宋体" w:hAnsi="宋体" w:cs="宋体" w:eastAsia="宋体" w:hint="default"/>
          <w:sz w:val="23"/>
          <w:szCs w:val="23"/>
        </w:rPr>
      </w:pPr>
    </w:p>
    <w:p>
      <w:pPr>
        <w:spacing w:line="588" w:lineRule="auto" w:before="26"/>
        <w:ind w:left="578" w:right="7725" w:hanging="426"/>
        <w:jc w:val="left"/>
        <w:rPr>
          <w:rFonts w:ascii="新宋体" w:hAnsi="新宋体" w:cs="新宋体" w:eastAsia="新宋体" w:hint="default"/>
          <w:sz w:val="24"/>
          <w:szCs w:val="24"/>
        </w:rPr>
      </w:pPr>
      <w:r>
        <w:rPr>
          <w:rFonts w:ascii="新宋体" w:hAnsi="新宋体" w:cs="新宋体" w:eastAsia="新宋体" w:hint="default"/>
          <w:b/>
          <w:bCs/>
          <w:sz w:val="24"/>
          <w:szCs w:val="24"/>
        </w:rPr>
        <w:t>（</w:t>
      </w:r>
      <w:r>
        <w:rPr>
          <w:rFonts w:ascii="新宋体" w:hAnsi="新宋体" w:cs="新宋体" w:eastAsia="新宋体" w:hint="default"/>
          <w:b/>
          <w:bCs/>
          <w:sz w:val="24"/>
          <w:szCs w:val="24"/>
        </w:rPr>
        <w:t>2</w:t>
      </w:r>
      <w:r>
        <w:rPr>
          <w:rFonts w:ascii="新宋体" w:hAnsi="新宋体" w:cs="新宋体" w:eastAsia="新宋体" w:hint="default"/>
          <w:b/>
          <w:bCs/>
          <w:sz w:val="24"/>
          <w:szCs w:val="24"/>
        </w:rPr>
        <w:t>）存货跌价准备</w:t>
      </w:r>
      <w:r>
        <w:rPr>
          <w:rFonts w:ascii="新宋体" w:hAnsi="新宋体" w:cs="新宋体" w:eastAsia="新宋体" w:hint="default"/>
          <w:b/>
          <w:bCs/>
          <w:w w:val="99"/>
          <w:sz w:val="24"/>
          <w:szCs w:val="24"/>
        </w:rPr>
        <w:t> </w:t>
      </w:r>
      <w:r>
        <w:rPr>
          <w:rFonts w:ascii="新宋体" w:hAnsi="新宋体" w:cs="新宋体" w:eastAsia="新宋体" w:hint="default"/>
          <w:sz w:val="24"/>
          <w:szCs w:val="24"/>
        </w:rPr>
        <w:t>不适用</w:t>
      </w:r>
    </w:p>
    <w:p>
      <w:pPr>
        <w:spacing w:after="0" w:line="588" w:lineRule="auto"/>
        <w:jc w:val="left"/>
        <w:rPr>
          <w:rFonts w:ascii="新宋体" w:hAnsi="新宋体" w:cs="新宋体" w:eastAsia="新宋体" w:hint="default"/>
          <w:sz w:val="24"/>
          <w:szCs w:val="24"/>
        </w:rPr>
        <w:sectPr>
          <w:pgSz w:w="11910" w:h="16840"/>
          <w:pgMar w:header="555" w:footer="980" w:top="1100" w:bottom="1160" w:left="980" w:right="980"/>
        </w:sectPr>
      </w:pPr>
    </w:p>
    <w:p>
      <w:pPr>
        <w:spacing w:line="240" w:lineRule="auto" w:before="10"/>
        <w:rPr>
          <w:rFonts w:ascii="新宋体" w:hAnsi="新宋体" w:cs="新宋体" w:eastAsia="新宋体" w:hint="default"/>
          <w:sz w:val="25"/>
          <w:szCs w:val="25"/>
        </w:rPr>
      </w:pPr>
    </w:p>
    <w:p>
      <w:pPr>
        <w:pStyle w:val="Heading2"/>
        <w:spacing w:line="240" w:lineRule="auto" w:before="26"/>
        <w:ind w:right="0"/>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3</w:t>
      </w:r>
      <w:r>
        <w:rPr>
          <w:rFonts w:ascii="新宋体" w:hAnsi="新宋体" w:cs="新宋体" w:eastAsia="新宋体" w:hint="default"/>
        </w:rPr>
        <w:t>）存货跌价准备情况</w:t>
      </w:r>
      <w:r>
        <w:rPr>
          <w:rFonts w:ascii="新宋体" w:hAnsi="新宋体" w:cs="新宋体" w:eastAsia="新宋体" w:hint="default"/>
          <w:b w:val="0"/>
          <w:bCs w:val="0"/>
        </w:rPr>
      </w:r>
    </w:p>
    <w:p>
      <w:pPr>
        <w:spacing w:line="240" w:lineRule="auto" w:before="7"/>
        <w:rPr>
          <w:rFonts w:ascii="新宋体" w:hAnsi="新宋体" w:cs="新宋体" w:eastAsia="新宋体" w:hint="default"/>
          <w:b/>
          <w:bCs/>
          <w:sz w:val="34"/>
          <w:szCs w:val="34"/>
        </w:rPr>
      </w:pPr>
    </w:p>
    <w:p>
      <w:pPr>
        <w:pStyle w:val="BodyText"/>
        <w:spacing w:line="388" w:lineRule="auto" w:before="0"/>
        <w:ind w:left="513" w:right="3653" w:firstLine="64"/>
        <w:jc w:val="left"/>
      </w:pPr>
      <w:r>
        <w:rPr/>
        <w:t>存货的说明： 报告期末本公司存货无用于抵押、担保等受限的存货；</w:t>
      </w:r>
    </w:p>
    <w:p>
      <w:pPr>
        <w:pStyle w:val="BodyText"/>
        <w:spacing w:line="357" w:lineRule="auto" w:before="5"/>
        <w:ind w:right="0" w:firstLine="360"/>
        <w:jc w:val="left"/>
      </w:pPr>
      <w:r>
        <w:rPr>
          <w:spacing w:val="-3"/>
        </w:rPr>
        <w:t>经对报告期末存货进行减值测试未发现账面价值低于可变现净值的情形，无需对期末存货</w:t>
      </w:r>
      <w:r>
        <w:rPr/>
        <w:t> 计提存货跌价准备。</w:t>
      </w:r>
    </w:p>
    <w:p>
      <w:pPr>
        <w:spacing w:line="240" w:lineRule="auto" w:before="9"/>
        <w:rPr>
          <w:rFonts w:ascii="新宋体" w:hAnsi="新宋体" w:cs="新宋体" w:eastAsia="新宋体" w:hint="default"/>
          <w:sz w:val="25"/>
          <w:szCs w:val="25"/>
        </w:rPr>
      </w:pPr>
    </w:p>
    <w:p>
      <w:pPr>
        <w:spacing w:line="588" w:lineRule="auto" w:before="0"/>
        <w:ind w:left="578" w:right="8207" w:hanging="426"/>
        <w:jc w:val="left"/>
        <w:rPr>
          <w:rFonts w:ascii="新宋体" w:hAnsi="新宋体" w:cs="新宋体" w:eastAsia="新宋体" w:hint="default"/>
          <w:sz w:val="24"/>
          <w:szCs w:val="24"/>
        </w:rPr>
      </w:pPr>
      <w:r>
        <w:rPr>
          <w:rFonts w:ascii="新宋体" w:hAnsi="新宋体" w:cs="新宋体" w:eastAsia="新宋体" w:hint="default"/>
          <w:b/>
          <w:bCs/>
          <w:sz w:val="24"/>
          <w:szCs w:val="24"/>
        </w:rPr>
        <w:t>7</w:t>
      </w:r>
      <w:r>
        <w:rPr>
          <w:rFonts w:ascii="新宋体" w:hAnsi="新宋体" w:cs="新宋体" w:eastAsia="新宋体" w:hint="default"/>
          <w:b/>
          <w:bCs/>
          <w:sz w:val="24"/>
          <w:szCs w:val="24"/>
        </w:rPr>
        <w:t>、长期应收款</w:t>
      </w:r>
      <w:r>
        <w:rPr>
          <w:rFonts w:ascii="新宋体" w:hAnsi="新宋体" w:cs="新宋体" w:eastAsia="新宋体" w:hint="default"/>
          <w:b/>
          <w:bCs/>
          <w:w w:val="99"/>
          <w:sz w:val="24"/>
          <w:szCs w:val="24"/>
        </w:rPr>
        <w:t> </w:t>
      </w:r>
      <w:r>
        <w:rPr>
          <w:rFonts w:ascii="新宋体" w:hAnsi="新宋体" w:cs="新宋体" w:eastAsia="新宋体" w:hint="default"/>
          <w:sz w:val="24"/>
          <w:szCs w:val="24"/>
        </w:rPr>
        <w:t>不适用。</w:t>
      </w:r>
    </w:p>
    <w:p>
      <w:pPr>
        <w:pStyle w:val="Heading2"/>
        <w:spacing w:line="240" w:lineRule="auto" w:before="106"/>
        <w:ind w:right="0"/>
        <w:jc w:val="left"/>
        <w:rPr>
          <w:rFonts w:ascii="新宋体" w:hAnsi="新宋体" w:cs="新宋体" w:eastAsia="新宋体" w:hint="default"/>
          <w:b w:val="0"/>
          <w:bCs w:val="0"/>
        </w:rPr>
      </w:pPr>
      <w:r>
        <w:rPr>
          <w:rFonts w:ascii="新宋体" w:hAnsi="新宋体" w:cs="新宋体" w:eastAsia="新宋体" w:hint="default"/>
        </w:rPr>
        <w:t>8</w:t>
      </w:r>
      <w:r>
        <w:rPr>
          <w:rFonts w:ascii="新宋体" w:hAnsi="新宋体" w:cs="新宋体" w:eastAsia="新宋体" w:hint="default"/>
        </w:rPr>
        <w:t>、固定资产</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Heading2"/>
        <w:spacing w:line="240" w:lineRule="auto"/>
        <w:ind w:right="0"/>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1</w:t>
      </w:r>
      <w:r>
        <w:rPr>
          <w:rFonts w:ascii="新宋体" w:hAnsi="新宋体" w:cs="新宋体" w:eastAsia="新宋体" w:hint="default"/>
        </w:rPr>
        <w:t>）固定资产情况</w:t>
      </w:r>
      <w:r>
        <w:rPr>
          <w:rFonts w:ascii="新宋体" w:hAnsi="新宋体" w:cs="新宋体" w:eastAsia="新宋体" w:hint="default"/>
          <w:b w:val="0"/>
          <w:bCs w:val="0"/>
        </w:rPr>
      </w:r>
    </w:p>
    <w:p>
      <w:pPr>
        <w:spacing w:line="240" w:lineRule="auto" w:before="4"/>
        <w:rPr>
          <w:rFonts w:ascii="新宋体" w:hAnsi="新宋体" w:cs="新宋体" w:eastAsia="新宋体" w:hint="default"/>
          <w:b/>
          <w:bCs/>
          <w:sz w:val="32"/>
          <w:szCs w:val="32"/>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129"/>
        <w:gridCol w:w="1460"/>
        <w:gridCol w:w="1330"/>
        <w:gridCol w:w="1594"/>
        <w:gridCol w:w="1594"/>
        <w:gridCol w:w="1462"/>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86,245,845.05</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7" w:right="0"/>
              <w:jc w:val="left"/>
              <w:rPr>
                <w:rFonts w:ascii="Times New Roman" w:hAnsi="Times New Roman" w:cs="Times New Roman" w:eastAsia="Times New Roman" w:hint="default"/>
                <w:sz w:val="18"/>
                <w:szCs w:val="18"/>
              </w:rPr>
            </w:pPr>
            <w:r>
              <w:rPr>
                <w:rFonts w:ascii="Times New Roman"/>
                <w:sz w:val="18"/>
              </w:rPr>
              <w:t>17,273,428.84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370,475.78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103,148,798.11</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51,196,770.19</w:t>
            </w:r>
          </w:p>
        </w:tc>
        <w:tc>
          <w:tcPr>
            <w:tcW w:w="2924"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51,196,770.19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22,701,467.61</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7" w:right="0"/>
              <w:jc w:val="left"/>
              <w:rPr>
                <w:rFonts w:ascii="Times New Roman" w:hAnsi="Times New Roman" w:cs="Times New Roman" w:eastAsia="Times New Roman" w:hint="default"/>
                <w:sz w:val="18"/>
                <w:szCs w:val="18"/>
              </w:rPr>
            </w:pPr>
            <w:r>
              <w:rPr>
                <w:rFonts w:ascii="Times New Roman"/>
                <w:sz w:val="18"/>
              </w:rPr>
              <w:t>15,226,682.96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37,928,150.57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7,777,111.41</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1,282,722.75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344,654.21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8,715,179.95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电子及其他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4,570,495.84</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764,023.13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25,821.57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5,308,697.40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12,648,707.03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82,618.49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5,829,212.75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170,760.59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18,389,777.68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4,028,351.78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1,723,914.35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5,752,266.13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4,601,803.69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2,543,703.91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7,206,057.83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1,843,806.67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802,942.01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162,339.47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2,501,939.17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电子及其他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2,174,744.89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4,538.30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758,652.48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8,421.12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2,929,514.55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73,597,138.02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84,759,020.43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47,168,418.41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45,444,504.06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18,099,663.92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30,722,092.74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5,933,304.74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6,213,240.78</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2129"/>
        <w:gridCol w:w="1461"/>
        <w:gridCol w:w="4517"/>
        <w:gridCol w:w="1462"/>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电子及其他</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2,395,750.95</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2,379,182.85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1"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1"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1"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1"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电子及其他</w:t>
            </w:r>
          </w:p>
        </w:tc>
        <w:tc>
          <w:tcPr>
            <w:tcW w:w="1461"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73,597,138.02</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84,759,020.43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47,168,418.41</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45,444,504.06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18,099,663.92</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30,722,092.74</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5,933,304.74</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6,213,240.78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电子及其他</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2,395,750.95</w:t>
            </w:r>
          </w:p>
        </w:tc>
        <w:tc>
          <w:tcPr>
            <w:tcW w:w="4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2,379,182.85</w:t>
            </w:r>
          </w:p>
        </w:tc>
      </w:tr>
    </w:tbl>
    <w:p>
      <w:pPr>
        <w:pStyle w:val="BodyText"/>
        <w:spacing w:line="240" w:lineRule="auto" w:before="79"/>
        <w:ind w:left="578" w:right="0"/>
        <w:jc w:val="left"/>
      </w:pPr>
      <w:r>
        <w:rPr/>
        <w:t>本期折旧额</w:t>
      </w:r>
      <w:r>
        <w:rPr>
          <w:spacing w:val="-61"/>
        </w:rPr>
        <w:t> </w:t>
      </w:r>
      <w:r>
        <w:rPr>
          <w:rFonts w:ascii="新宋体" w:hAnsi="新宋体" w:cs="新宋体" w:eastAsia="新宋体" w:hint="default"/>
        </w:rPr>
        <w:t>5,829,212.75</w:t>
      </w:r>
      <w:r>
        <w:rPr>
          <w:rFonts w:ascii="新宋体" w:hAnsi="新宋体" w:cs="新宋体" w:eastAsia="新宋体" w:hint="default"/>
          <w:spacing w:val="-60"/>
        </w:rPr>
        <w:t> </w:t>
      </w:r>
      <w:r>
        <w:rPr/>
        <w:t>元；本期由在建工程转入固定资产原价为</w:t>
      </w:r>
      <w:r>
        <w:rPr>
          <w:spacing w:val="-60"/>
        </w:rPr>
        <w:t> </w:t>
      </w:r>
      <w:r>
        <w:rPr>
          <w:rFonts w:ascii="新宋体" w:hAnsi="新宋体" w:cs="新宋体" w:eastAsia="新宋体" w:hint="default"/>
        </w:rPr>
        <w:t>7,920,762.24</w:t>
      </w:r>
      <w:r>
        <w:rPr>
          <w:rFonts w:ascii="新宋体" w:hAnsi="新宋体" w:cs="新宋体" w:eastAsia="新宋体" w:hint="default"/>
          <w:spacing w:val="-60"/>
        </w:rPr>
        <w:t> </w:t>
      </w:r>
      <w:r>
        <w:rPr/>
        <w:t>元。</w:t>
      </w:r>
    </w:p>
    <w:p>
      <w:pPr>
        <w:spacing w:line="240" w:lineRule="auto" w:before="9"/>
        <w:rPr>
          <w:rFonts w:ascii="新宋体" w:hAnsi="新宋体" w:cs="新宋体" w:eastAsia="新宋体" w:hint="default"/>
          <w:sz w:val="34"/>
          <w:szCs w:val="34"/>
        </w:rPr>
      </w:pPr>
    </w:p>
    <w:p>
      <w:pPr>
        <w:pStyle w:val="Heading2"/>
        <w:spacing w:line="585" w:lineRule="auto"/>
        <w:ind w:right="6521"/>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2</w:t>
      </w:r>
      <w:r>
        <w:rPr>
          <w:rFonts w:ascii="新宋体" w:hAnsi="新宋体" w:cs="新宋体" w:eastAsia="新宋体" w:hint="default"/>
        </w:rPr>
        <w:t>）暂时闲置的固定资产情况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585" w:lineRule="auto" w:before="110"/>
        <w:ind w:right="6039"/>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3</w:t>
      </w:r>
      <w:r>
        <w:rPr>
          <w:rFonts w:ascii="新宋体" w:hAnsi="新宋体" w:cs="新宋体" w:eastAsia="新宋体" w:hint="default"/>
        </w:rPr>
        <w:t>）通过融资租赁租入的固定资产</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585" w:lineRule="auto" w:before="110"/>
        <w:ind w:right="6039"/>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4</w:t>
      </w:r>
      <w:r>
        <w:rPr>
          <w:rFonts w:ascii="新宋体" w:hAnsi="新宋体" w:cs="新宋体" w:eastAsia="新宋体" w:hint="default"/>
        </w:rPr>
        <w:t>）通过经营租赁租出的固定资产</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585" w:lineRule="auto" w:before="110"/>
        <w:ind w:right="6039"/>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5</w:t>
      </w:r>
      <w:r>
        <w:rPr>
          <w:rFonts w:ascii="新宋体" w:hAnsi="新宋体" w:cs="新宋体" w:eastAsia="新宋体" w:hint="default"/>
        </w:rPr>
        <w:t>）期末持有待售的固定资产情况</w:t>
      </w:r>
      <w:r>
        <w:rPr>
          <w:rFonts w:ascii="新宋体" w:hAnsi="新宋体" w:cs="新宋体" w:eastAsia="新宋体" w:hint="default"/>
          <w:w w:val="99"/>
        </w:rPr>
        <w:t> </w:t>
      </w:r>
      <w:r>
        <w:rPr>
          <w:rFonts w:ascii="新宋体" w:hAnsi="新宋体" w:cs="新宋体" w:eastAsia="新宋体" w:hint="default"/>
          <w:b w:val="0"/>
          <w:bCs w:val="0"/>
        </w:rPr>
        <w:t>不适用</w:t>
      </w:r>
    </w:p>
    <w:p>
      <w:pPr>
        <w:pStyle w:val="Heading2"/>
        <w:spacing w:line="585" w:lineRule="auto" w:before="111"/>
        <w:ind w:right="5798"/>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6</w:t>
      </w:r>
      <w:r>
        <w:rPr>
          <w:rFonts w:ascii="新宋体" w:hAnsi="新宋体" w:cs="新宋体" w:eastAsia="新宋体" w:hint="default"/>
        </w:rPr>
        <w:t>）未办妥产权证书的固定资产情况</w:t>
      </w:r>
      <w:r>
        <w:rPr>
          <w:rFonts w:ascii="新宋体" w:hAnsi="新宋体" w:cs="新宋体" w:eastAsia="新宋体" w:hint="default"/>
          <w:w w:val="99"/>
        </w:rPr>
        <w:t> </w:t>
      </w:r>
      <w:r>
        <w:rPr>
          <w:rFonts w:ascii="新宋体" w:hAnsi="新宋体" w:cs="新宋体" w:eastAsia="新宋体" w:hint="default"/>
          <w:b w:val="0"/>
          <w:bCs w:val="0"/>
        </w:rPr>
        <w:t>不适用</w:t>
      </w:r>
    </w:p>
    <w:p>
      <w:pPr>
        <w:spacing w:after="0" w:line="585" w:lineRule="auto"/>
        <w:jc w:val="left"/>
        <w:rPr>
          <w:rFonts w:ascii="新宋体" w:hAnsi="新宋体" w:cs="新宋体" w:eastAsia="新宋体" w:hint="default"/>
        </w:rPr>
        <w:sectPr>
          <w:pgSz w:w="11910" w:h="16840"/>
          <w:pgMar w:header="555" w:footer="980" w:top="1100" w:bottom="1160" w:left="980" w:right="980"/>
        </w:sectPr>
      </w:pPr>
    </w:p>
    <w:p>
      <w:pPr>
        <w:spacing w:line="240" w:lineRule="auto" w:before="7"/>
        <w:rPr>
          <w:rFonts w:ascii="新宋体" w:hAnsi="新宋体" w:cs="新宋体" w:eastAsia="新宋体" w:hint="default"/>
          <w:sz w:val="25"/>
          <w:szCs w:val="25"/>
        </w:rPr>
      </w:pPr>
    </w:p>
    <w:p>
      <w:pPr>
        <w:pStyle w:val="Heading2"/>
        <w:spacing w:line="240" w:lineRule="auto" w:before="26"/>
        <w:ind w:right="0"/>
        <w:jc w:val="left"/>
        <w:rPr>
          <w:rFonts w:ascii="新宋体" w:hAnsi="新宋体" w:cs="新宋体" w:eastAsia="新宋体" w:hint="default"/>
          <w:b w:val="0"/>
          <w:bCs w:val="0"/>
        </w:rPr>
      </w:pPr>
      <w:r>
        <w:rPr>
          <w:rFonts w:ascii="新宋体" w:hAnsi="新宋体" w:cs="新宋体" w:eastAsia="新宋体" w:hint="default"/>
        </w:rPr>
        <w:t>9</w:t>
      </w:r>
      <w:r>
        <w:rPr>
          <w:rFonts w:ascii="新宋体" w:hAnsi="新宋体" w:cs="新宋体" w:eastAsia="新宋体" w:hint="default"/>
        </w:rPr>
        <w:t>、在建工程</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Heading2"/>
        <w:spacing w:line="240" w:lineRule="auto"/>
        <w:ind w:right="0"/>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1</w:t>
      </w:r>
      <w:r>
        <w:rPr>
          <w:rFonts w:ascii="新宋体" w:hAnsi="新宋体" w:cs="新宋体" w:eastAsia="新宋体" w:hint="default"/>
        </w:rPr>
        <w:t>）在建工程情况</w:t>
      </w:r>
      <w:r>
        <w:rPr>
          <w:rFonts w:ascii="新宋体" w:hAnsi="新宋体" w:cs="新宋体" w:eastAsia="新宋体" w:hint="default"/>
          <w:b w:val="0"/>
          <w:bCs w:val="0"/>
        </w:rPr>
      </w:r>
    </w:p>
    <w:p>
      <w:pPr>
        <w:spacing w:line="240" w:lineRule="auto" w:before="12"/>
        <w:rPr>
          <w:rFonts w:ascii="新宋体" w:hAnsi="新宋体" w:cs="新宋体" w:eastAsia="新宋体" w:hint="default"/>
          <w:b/>
          <w:bCs/>
          <w:sz w:val="28"/>
          <w:szCs w:val="2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汉威国际传感器科技园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115,225,029.65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115,225,029.65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70,570,716.47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70,570,716.47</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10,072,857.59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10,072,857.59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3,846,153.72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3,846,153.72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机房数据中心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4,741,083.50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4,741,083.50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展厅建设设备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814,102.56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814,102.56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贴片机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2,759,636.67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2,759,636.67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137,458,863.69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137,458,863.69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70,570,716.47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70,570,716.47</w:t>
            </w:r>
          </w:p>
        </w:tc>
      </w:tr>
    </w:tbl>
    <w:p>
      <w:pPr>
        <w:spacing w:line="240" w:lineRule="auto" w:before="12"/>
        <w:rPr>
          <w:rFonts w:ascii="宋体" w:hAnsi="宋体" w:cs="宋体" w:eastAsia="宋体" w:hint="default"/>
          <w:sz w:val="23"/>
          <w:szCs w:val="23"/>
        </w:rPr>
      </w:pPr>
    </w:p>
    <w:p>
      <w:pPr>
        <w:pStyle w:val="Heading2"/>
        <w:spacing w:line="554" w:lineRule="auto" w:before="26"/>
        <w:ind w:left="578" w:right="6281" w:hanging="426"/>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）重大在建工程项目变动情况</w:t>
      </w:r>
      <w:r>
        <w:rPr>
          <w:w w:val="99"/>
        </w:rPr>
        <w:t> </w:t>
      </w:r>
      <w:r>
        <w:rPr>
          <w:rFonts w:ascii="宋体" w:hAnsi="宋体" w:cs="宋体" w:eastAsia="宋体" w:hint="default"/>
          <w:b w:val="0"/>
          <w:bCs w:val="0"/>
        </w:rPr>
        <w:t>不适用</w:t>
      </w:r>
    </w:p>
    <w:p>
      <w:pPr>
        <w:pStyle w:val="Heading2"/>
        <w:spacing w:line="552" w:lineRule="auto" w:before="142"/>
        <w:ind w:left="578" w:right="7245" w:hanging="426"/>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）在建工程减值准备</w:t>
      </w:r>
      <w:r>
        <w:rPr>
          <w:w w:val="99"/>
        </w:rPr>
        <w:t> </w:t>
      </w:r>
      <w:r>
        <w:rPr>
          <w:rFonts w:ascii="宋体" w:hAnsi="宋体" w:cs="宋体" w:eastAsia="宋体" w:hint="default"/>
          <w:b w:val="0"/>
          <w:bCs w:val="0"/>
        </w:rPr>
        <w:t>不适用</w:t>
      </w:r>
    </w:p>
    <w:p>
      <w:pPr>
        <w:pStyle w:val="Heading2"/>
        <w:spacing w:line="552" w:lineRule="auto" w:before="144"/>
        <w:ind w:left="578" w:right="6040" w:hanging="426"/>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）重大在建工程的工程进度情况</w:t>
      </w:r>
      <w:r>
        <w:rPr>
          <w:w w:val="99"/>
        </w:rPr>
        <w:t> </w:t>
      </w:r>
      <w:r>
        <w:rPr>
          <w:rFonts w:ascii="宋体" w:hAnsi="宋体" w:cs="宋体" w:eastAsia="宋体" w:hint="default"/>
          <w:b w:val="0"/>
          <w:bCs w:val="0"/>
        </w:rPr>
        <w:t>不适用</w:t>
      </w:r>
    </w:p>
    <w:p>
      <w:pPr>
        <w:pStyle w:val="Heading2"/>
        <w:spacing w:line="240" w:lineRule="auto" w:before="144"/>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2"/>
        <w:rPr>
          <w:rFonts w:ascii="宋体" w:hAnsi="宋体" w:cs="宋体" w:eastAsia="宋体" w:hint="default"/>
          <w:b/>
          <w:bCs/>
          <w:sz w:val="33"/>
          <w:szCs w:val="33"/>
        </w:rPr>
      </w:pPr>
    </w:p>
    <w:p>
      <w:pPr>
        <w:pStyle w:val="BodyText"/>
        <w:spacing w:line="338" w:lineRule="auto" w:before="0"/>
        <w:ind w:right="149" w:firstLine="427"/>
        <w:jc w:val="both"/>
        <w:rPr>
          <w:rFonts w:ascii="宋体" w:hAnsi="宋体" w:cs="宋体" w:eastAsia="宋体" w:hint="default"/>
        </w:rPr>
      </w:pPr>
      <w:r>
        <w:rPr>
          <w:rFonts w:ascii="宋体" w:hAnsi="宋体" w:cs="宋体" w:eastAsia="宋体" w:hint="default"/>
          <w:spacing w:val="-2"/>
        </w:rPr>
        <w:t>报告期在建工程增加</w:t>
      </w:r>
      <w:r>
        <w:rPr>
          <w:rFonts w:ascii="Times New Roman" w:hAnsi="Times New Roman" w:cs="Times New Roman" w:eastAsia="Times New Roman" w:hint="default"/>
          <w:spacing w:val="-2"/>
        </w:rPr>
        <w:t>66,888,147.22</w:t>
      </w:r>
      <w:r>
        <w:rPr>
          <w:rFonts w:ascii="宋体" w:hAnsi="宋体" w:cs="宋体" w:eastAsia="宋体" w:hint="default"/>
          <w:spacing w:val="-2"/>
        </w:rPr>
        <w:t>元，主要系募投项目及其配套项目工程建设所致（汉威</w:t>
      </w:r>
      <w:r>
        <w:rPr>
          <w:rFonts w:ascii="宋体" w:hAnsi="宋体" w:cs="宋体" w:eastAsia="宋体" w:hint="default"/>
        </w:rPr>
        <w:t> </w:t>
      </w:r>
      <w:r>
        <w:rPr>
          <w:rFonts w:ascii="宋体" w:hAnsi="宋体" w:cs="宋体" w:eastAsia="宋体" w:hint="default"/>
          <w:spacing w:val="2"/>
        </w:rPr>
        <w:t>国际传感器科技园项目即募投项目年产</w:t>
      </w:r>
      <w:r>
        <w:rPr>
          <w:rFonts w:ascii="Times New Roman" w:hAnsi="Times New Roman" w:cs="Times New Roman" w:eastAsia="Times New Roman" w:hint="default"/>
          <w:spacing w:val="2"/>
        </w:rPr>
        <w:t>8</w:t>
      </w:r>
      <w:r>
        <w:rPr>
          <w:rFonts w:ascii="宋体" w:hAnsi="宋体" w:cs="宋体" w:eastAsia="宋体" w:hint="default"/>
          <w:spacing w:val="2"/>
        </w:rPr>
        <w:t>万支红外气体传感器及</w:t>
      </w:r>
      <w:r>
        <w:rPr>
          <w:rFonts w:ascii="Times New Roman" w:hAnsi="Times New Roman" w:cs="Times New Roman" w:eastAsia="Times New Roman" w:hint="default"/>
          <w:spacing w:val="2"/>
        </w:rPr>
        <w:t>7.5</w:t>
      </w:r>
      <w:r>
        <w:rPr>
          <w:rFonts w:ascii="宋体" w:hAnsi="宋体" w:cs="宋体" w:eastAsia="宋体" w:hint="default"/>
          <w:spacing w:val="2"/>
        </w:rPr>
        <w:t>万台红外气体检测仪器仪</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表项目、年产</w:t>
      </w:r>
      <w:r>
        <w:rPr>
          <w:rFonts w:ascii="Times New Roman" w:hAnsi="Times New Roman" w:cs="Times New Roman" w:eastAsia="Times New Roman" w:hint="default"/>
        </w:rPr>
        <w:t>25</w:t>
      </w:r>
      <w:r>
        <w:rPr>
          <w:rFonts w:ascii="宋体" w:hAnsi="宋体" w:cs="宋体" w:eastAsia="宋体" w:hint="default"/>
        </w:rPr>
        <w:t>万台电化学气体检测仪器仪表项目及扩建研发中心等项目的总称）。</w:t>
      </w:r>
    </w:p>
    <w:p>
      <w:pPr>
        <w:spacing w:after="0" w:line="338" w:lineRule="auto"/>
        <w:jc w:val="both"/>
        <w:rPr>
          <w:rFonts w:ascii="宋体" w:hAnsi="宋体" w:cs="宋体" w:eastAsia="宋体" w:hint="default"/>
        </w:rPr>
        <w:sectPr>
          <w:pgSz w:w="11910" w:h="16840"/>
          <w:pgMar w:header="555" w:footer="980" w:top="1100" w:bottom="1160" w:left="980" w:right="98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7"/>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196"/>
        <w:gridCol w:w="1844"/>
        <w:gridCol w:w="1841"/>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67,838,305.07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8,903,149.55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76,741,454.62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10,401,072.12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10,401,072.12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1,936,016.89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5,530,149.55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7,466,166.44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54,775,216.06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873,000.00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55,648,216.06</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4,680,084.56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3,502,107.99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8,182,192.55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2,886,678.33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1,852,719.72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4,739,398.05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629,225.23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306,523.76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935,748.99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1,082,171.60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1,114,921.80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2,197,093.40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81,509.40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227,342.71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308,852.11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63,158,220.51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5,401,041.56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68,559,262.07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7,514,393.79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-1,852,719.72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5,661,674.07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1,306,791.66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5,223,625.79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6,530,417.45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53,693,044.46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-241,921.80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53,451,122.66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638,490.60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2,272,657.29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2,911,147.89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63,158,220.51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5,401,041.56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68,559,262.07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7,514,393.79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-1,852,719.72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5,661,674.07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1,306,791.66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5,223,625.79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6,530,417.45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53,693,044.46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-241,921.80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53,451,122.66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638,490.60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2,272,657.29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2,911,147.89</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243" w:type="dxa"/>
        <w:tblLayout w:type="fixed"/>
        <w:tblCellMar>
          <w:top w:w="0" w:type="dxa"/>
          <w:left w:w="0" w:type="dxa"/>
          <w:bottom w:w="0" w:type="dxa"/>
          <w:right w:w="0" w:type="dxa"/>
        </w:tblCellMar>
        <w:tblLook w:val="01E0"/>
      </w:tblPr>
      <w:tblGrid>
        <w:gridCol w:w="2196"/>
        <w:gridCol w:w="1844"/>
        <w:gridCol w:w="1841"/>
        <w:gridCol w:w="1844"/>
        <w:gridCol w:w="1843"/>
      </w:tblGrid>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1" w:right="0"/>
              <w:jc w:val="left"/>
              <w:rPr>
                <w:rFonts w:ascii="Times New Roman" w:hAnsi="Times New Roman" w:cs="Times New Roman" w:eastAsia="Times New Roman" w:hint="default"/>
                <w:sz w:val="18"/>
                <w:szCs w:val="18"/>
              </w:rPr>
            </w:pPr>
            <w:r>
              <w:rPr>
                <w:rFonts w:ascii="Times New Roman"/>
                <w:sz w:val="18"/>
              </w:rPr>
              <w:t>5,500.00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0" w:right="0"/>
              <w:jc w:val="left"/>
              <w:rPr>
                <w:rFonts w:ascii="Times New Roman" w:hAnsi="Times New Roman" w:cs="Times New Roman" w:eastAsia="Times New Roman" w:hint="default"/>
                <w:sz w:val="18"/>
                <w:szCs w:val="18"/>
              </w:rPr>
            </w:pPr>
            <w:r>
              <w:rPr>
                <w:rFonts w:ascii="Times New Roman"/>
                <w:sz w:val="18"/>
              </w:rPr>
              <w:t>4,900.00</w:t>
            </w:r>
          </w:p>
        </w:tc>
      </w:tr>
    </w:tbl>
    <w:p>
      <w:pPr>
        <w:spacing w:before="49"/>
        <w:ind w:left="638" w:right="4148"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3,502,107.99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21"/>
          <w:szCs w:val="21"/>
        </w:rPr>
      </w:pPr>
    </w:p>
    <w:p>
      <w:pPr>
        <w:spacing w:before="0"/>
        <w:ind w:left="212" w:right="414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7"/>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699"/>
        <w:gridCol w:w="1116"/>
        <w:gridCol w:w="1270"/>
        <w:gridCol w:w="1373"/>
        <w:gridCol w:w="1081"/>
        <w:gridCol w:w="1294"/>
      </w:tblGrid>
      <w:tr>
        <w:trPr>
          <w:trHeight w:val="324" w:hRule="exact"/>
        </w:trPr>
        <w:tc>
          <w:tcPr>
            <w:tcW w:w="3699" w:type="dxa"/>
            <w:vMerge w:val="restart"/>
            <w:tcBorders>
              <w:top w:val="single" w:sz="4" w:space="0" w:color="000000"/>
              <w:left w:val="single" w:sz="4"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6" w:type="dxa"/>
            <w:vMerge w:val="restart"/>
            <w:tcBorders>
              <w:top w:val="single" w:sz="4" w:space="0" w:color="000000"/>
              <w:left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0" w:type="dxa"/>
            <w:vMerge w:val="restart"/>
            <w:tcBorders>
              <w:top w:val="single" w:sz="4" w:space="0" w:color="000000"/>
              <w:left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453" w:type="dxa"/>
            <w:gridSpan w:val="2"/>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294" w:type="dxa"/>
            <w:vMerge w:val="restart"/>
            <w:tcBorders>
              <w:top w:val="single" w:sz="4" w:space="0" w:color="000000"/>
              <w:left w:val="single" w:sz="6"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38" w:hRule="exact"/>
        </w:trPr>
        <w:tc>
          <w:tcPr>
            <w:tcW w:w="3699" w:type="dxa"/>
            <w:vMerge/>
            <w:tcBorders>
              <w:left w:val="single" w:sz="4" w:space="0" w:color="000000"/>
              <w:bottom w:val="single" w:sz="6" w:space="0" w:color="000000"/>
              <w:right w:val="single" w:sz="6" w:space="0" w:color="000000"/>
            </w:tcBorders>
            <w:shd w:val="clear" w:color="auto" w:fill="D9D9D9"/>
          </w:tcPr>
          <w:p>
            <w:pPr/>
          </w:p>
        </w:tc>
        <w:tc>
          <w:tcPr>
            <w:tcW w:w="1116" w:type="dxa"/>
            <w:vMerge/>
            <w:tcBorders>
              <w:left w:val="single" w:sz="6" w:space="0" w:color="000000"/>
              <w:bottom w:val="single" w:sz="6" w:space="0" w:color="000000"/>
              <w:right w:val="single" w:sz="6" w:space="0" w:color="000000"/>
            </w:tcBorders>
            <w:shd w:val="clear" w:color="auto" w:fill="D9D9D9"/>
          </w:tcPr>
          <w:p>
            <w:pPr/>
          </w:p>
        </w:tc>
        <w:tc>
          <w:tcPr>
            <w:tcW w:w="1270" w:type="dxa"/>
            <w:vMerge/>
            <w:tcBorders>
              <w:left w:val="single" w:sz="6" w:space="0" w:color="000000"/>
              <w:bottom w:val="single" w:sz="6" w:space="0" w:color="000000"/>
              <w:right w:val="single" w:sz="6" w:space="0" w:color="000000"/>
            </w:tcBorders>
            <w:shd w:val="clear" w:color="auto" w:fill="D9D9D9"/>
          </w:tcPr>
          <w:p>
            <w:pPr/>
          </w:p>
        </w:tc>
        <w:tc>
          <w:tcPr>
            <w:tcW w:w="13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计入当期损益</w:t>
            </w:r>
          </w:p>
        </w:tc>
        <w:tc>
          <w:tcPr>
            <w:tcW w:w="10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8"/>
              <w:ind w:left="263" w:right="170" w:hanging="89"/>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294" w:type="dxa"/>
            <w:vMerge/>
            <w:tcBorders>
              <w:left w:val="single" w:sz="6" w:space="0" w:color="000000"/>
              <w:bottom w:val="single" w:sz="6" w:space="0" w:color="000000"/>
              <w:right w:val="single" w:sz="4" w:space="0" w:color="000000"/>
            </w:tcBorders>
            <w:shd w:val="clear" w:color="auto" w:fill="D9D9D9"/>
          </w:tcPr>
          <w:p>
            <w:pPr/>
          </w:p>
        </w:tc>
      </w:tr>
      <w:tr>
        <w:trPr>
          <w:trHeight w:val="641"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4"/>
                <w:sz w:val="20"/>
                <w:szCs w:val="20"/>
              </w:rPr>
              <w:t>基于双光路气体探测技术的煤矿安全监</w:t>
            </w:r>
            <w:r>
              <w:rPr>
                <w:rFonts w:ascii="宋体" w:hAnsi="宋体" w:cs="宋体" w:eastAsia="宋体" w:hint="default"/>
                <w:w w:val="99"/>
                <w:sz w:val="20"/>
                <w:szCs w:val="20"/>
              </w:rPr>
              <w:t> </w:t>
            </w:r>
            <w:r>
              <w:rPr>
                <w:rFonts w:ascii="宋体" w:hAnsi="宋体" w:cs="宋体" w:eastAsia="宋体" w:hint="default"/>
                <w:sz w:val="20"/>
                <w:szCs w:val="20"/>
              </w:rPr>
              <w:t>控系统研发项目</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w w:val="95"/>
                <w:sz w:val="20"/>
              </w:rPr>
              <w:t>5,504,043.89</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w w:val="95"/>
                <w:sz w:val="20"/>
              </w:rPr>
              <w:t>5,504,043.89</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639"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85" w:lineRule="auto"/>
              <w:ind w:left="103" w:right="103"/>
              <w:jc w:val="left"/>
              <w:rPr>
                <w:rFonts w:ascii="宋体" w:hAnsi="宋体" w:cs="宋体" w:eastAsia="宋体" w:hint="default"/>
                <w:sz w:val="20"/>
                <w:szCs w:val="20"/>
              </w:rPr>
            </w:pPr>
            <w:r>
              <w:rPr>
                <w:rFonts w:ascii="宋体" w:hAnsi="宋体" w:cs="宋体" w:eastAsia="宋体" w:hint="default"/>
                <w:spacing w:val="4"/>
                <w:sz w:val="20"/>
                <w:szCs w:val="20"/>
              </w:rPr>
              <w:t>热释电红外敏感元件及检测仪表产业化</w:t>
            </w:r>
            <w:r>
              <w:rPr>
                <w:rFonts w:ascii="宋体" w:hAnsi="宋体" w:cs="宋体" w:eastAsia="宋体" w:hint="default"/>
                <w:w w:val="99"/>
                <w:sz w:val="20"/>
                <w:szCs w:val="20"/>
              </w:rPr>
              <w:t> </w:t>
            </w:r>
            <w:r>
              <w:rPr>
                <w:rFonts w:ascii="宋体" w:hAnsi="宋体" w:cs="宋体" w:eastAsia="宋体" w:hint="default"/>
                <w:sz w:val="20"/>
                <w:szCs w:val="20"/>
              </w:rPr>
              <w:t>研发项目</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3,559,015.08</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3,559,015.08</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电化学气体传感器研发项目</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145,163.76</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145,163.76</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734"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85" w:lineRule="auto" w:before="40"/>
              <w:ind w:left="103" w:right="103"/>
              <w:jc w:val="left"/>
              <w:rPr>
                <w:rFonts w:ascii="宋体" w:hAnsi="宋体" w:cs="宋体" w:eastAsia="宋体" w:hint="default"/>
                <w:sz w:val="20"/>
                <w:szCs w:val="20"/>
              </w:rPr>
            </w:pPr>
            <w:r>
              <w:rPr>
                <w:rFonts w:ascii="宋体" w:hAnsi="宋体" w:cs="宋体" w:eastAsia="宋体" w:hint="default"/>
                <w:spacing w:val="4"/>
                <w:sz w:val="20"/>
                <w:szCs w:val="20"/>
              </w:rPr>
              <w:t>基于物联网技术的燃气行业信息管理系</w:t>
            </w:r>
            <w:r>
              <w:rPr>
                <w:rFonts w:ascii="宋体" w:hAnsi="宋体" w:cs="宋体" w:eastAsia="宋体" w:hint="default"/>
                <w:w w:val="99"/>
                <w:sz w:val="20"/>
                <w:szCs w:val="20"/>
              </w:rPr>
              <w:t> </w:t>
            </w:r>
            <w:r>
              <w:rPr>
                <w:rFonts w:ascii="宋体" w:hAnsi="宋体" w:cs="宋体" w:eastAsia="宋体" w:hint="default"/>
                <w:sz w:val="20"/>
                <w:szCs w:val="20"/>
              </w:rPr>
              <w:t>统研发及产业化研发项目</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4,120,368.50</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4,120,368.50</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高可靠</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MEMS</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气体传感器</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电容湿度传感器</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6"/>
              <w:jc w:val="right"/>
              <w:rPr>
                <w:rFonts w:ascii="Times New Roman" w:hAnsi="Times New Roman" w:cs="Times New Roman" w:eastAsia="Times New Roman" w:hint="default"/>
                <w:sz w:val="20"/>
                <w:szCs w:val="20"/>
              </w:rPr>
            </w:pPr>
            <w:r>
              <w:rPr>
                <w:rFonts w:ascii="Times New Roman"/>
                <w:w w:val="95"/>
                <w:sz w:val="20"/>
              </w:rPr>
              <w:t>90,000.00</w:t>
            </w:r>
            <w:r>
              <w:rPr>
                <w:rFonts w:ascii="Times New Roman"/>
                <w:sz w:val="20"/>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0"/>
                <w:szCs w:val="20"/>
              </w:rPr>
            </w:pPr>
            <w:r>
              <w:rPr>
                <w:rFonts w:ascii="Times New Roman"/>
                <w:w w:val="95"/>
                <w:sz w:val="20"/>
              </w:rPr>
              <w:t>90,000.00</w:t>
            </w:r>
            <w:r>
              <w:rPr>
                <w:rFonts w:ascii="Times New Roman"/>
                <w:sz w:val="20"/>
              </w:rPr>
            </w: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tabs>
                <w:tab w:pos="1373" w:val="left" w:leader="none"/>
              </w:tabs>
              <w:spacing w:line="26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KJ168-D(JZ)</w:t>
              <w:tab/>
            </w:r>
            <w:r>
              <w:rPr>
                <w:rFonts w:ascii="宋体" w:hAnsi="宋体" w:cs="宋体" w:eastAsia="宋体" w:hint="default"/>
                <w:sz w:val="20"/>
                <w:szCs w:val="20"/>
              </w:rPr>
              <w:t>综合基站</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339,833.84</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339,833.84</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6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KJ168-D</w:t>
            </w:r>
            <w:r>
              <w:rPr>
                <w:rFonts w:ascii="宋体" w:hAnsi="宋体" w:cs="宋体" w:eastAsia="宋体" w:hint="default"/>
                <w:sz w:val="20"/>
                <w:szCs w:val="20"/>
              </w:rPr>
              <w:t>（</w:t>
            </w:r>
            <w:r>
              <w:rPr>
                <w:rFonts w:ascii="Times New Roman" w:hAnsi="Times New Roman" w:cs="Times New Roman" w:eastAsia="Times New Roman" w:hint="default"/>
                <w:sz w:val="20"/>
                <w:szCs w:val="20"/>
              </w:rPr>
              <w:t>W1</w:t>
            </w:r>
            <w:r>
              <w:rPr>
                <w:rFonts w:ascii="宋体" w:hAnsi="宋体" w:cs="宋体" w:eastAsia="宋体" w:hint="default"/>
                <w:sz w:val="20"/>
                <w:szCs w:val="20"/>
              </w:rPr>
              <w:t>）无线通信分站</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248,132.61</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248,132.61</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tabs>
                <w:tab w:pos="1005" w:val="left" w:leader="none"/>
                <w:tab w:pos="1639" w:val="left" w:leader="none"/>
              </w:tabs>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KJ168-S</w:t>
              <w:tab/>
            </w:r>
            <w:r>
              <w:rPr>
                <w:rFonts w:ascii="Times New Roman" w:hAnsi="Times New Roman" w:cs="Times New Roman" w:eastAsia="Times New Roman" w:hint="default"/>
                <w:spacing w:val="-1"/>
                <w:sz w:val="20"/>
                <w:szCs w:val="20"/>
              </w:rPr>
              <w:t>WIFI</w:t>
              <w:tab/>
            </w:r>
            <w:r>
              <w:rPr>
                <w:rFonts w:ascii="宋体" w:hAnsi="宋体" w:cs="宋体" w:eastAsia="宋体" w:hint="default"/>
                <w:sz w:val="20"/>
                <w:szCs w:val="20"/>
              </w:rPr>
              <w:t>手机</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167,219.81</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167,219.81</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矿用手持式读卡器</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388,381.52</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388,381.52</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7"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创威矿山安全监控联网系统</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280,497.75</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280,497.75</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创威矿山安全隐患排查系统</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377,593.13</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377,593.13</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气体传感器自动标定系统</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241,120.16</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241,120.16</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分散式空调表</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231,429.19</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231,429.19</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当量空调表</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374,487.09</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374,487.09</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69"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CKN</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热量表</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476,619.95</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476,619.95</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温控采暖计费阀</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851,107.06</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851,107.06</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能耗监测</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163,798.39</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163,798.39</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仓库气体环境监控软件</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882,452.17</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882,452.17</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494"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快速部署非视距无线气体探测系统</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9"/>
              <w:jc w:val="right"/>
              <w:rPr>
                <w:rFonts w:ascii="Times New Roman" w:hAnsi="Times New Roman" w:cs="Times New Roman" w:eastAsia="Times New Roman" w:hint="default"/>
                <w:sz w:val="20"/>
                <w:szCs w:val="20"/>
              </w:rPr>
            </w:pPr>
            <w:r>
              <w:rPr>
                <w:rFonts w:ascii="Times New Roman"/>
                <w:w w:val="95"/>
                <w:sz w:val="20"/>
              </w:rPr>
              <w:t>1,796,165.27</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99"/>
              <w:jc w:val="right"/>
              <w:rPr>
                <w:rFonts w:ascii="Times New Roman" w:hAnsi="Times New Roman" w:cs="Times New Roman" w:eastAsia="Times New Roman" w:hint="default"/>
                <w:sz w:val="20"/>
                <w:szCs w:val="20"/>
              </w:rPr>
            </w:pPr>
            <w:r>
              <w:rPr>
                <w:rFonts w:ascii="Times New Roman"/>
                <w:w w:val="95"/>
                <w:sz w:val="20"/>
              </w:rPr>
              <w:t>1,796,165.27</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安全生产一体化主机系统</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710,592.90</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710,592.90</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7"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非视距无线通信</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325,868.39</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325,868.39</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总装项目</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332,547.20</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332,547.20</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电化学气体传感器及其产业化</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316,866.63</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316,866.63</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热释电红外敏感元件</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1,284,322.22</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5"/>
                <w:sz w:val="20"/>
              </w:rPr>
              <w:t>1,284,322.22</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微型智能半导体</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2,017,267.97</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2,017,267.97</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电化学甲醛</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1,016,129.48</w:t>
            </w:r>
            <w:r>
              <w:rPr>
                <w:rFonts w:ascii="Times New Roman"/>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1,016,129.48</w:t>
            </w:r>
            <w:r>
              <w:rPr>
                <w:rFonts w:ascii="Times New Roman"/>
                <w:sz w:val="20"/>
              </w:rPr>
            </w:r>
          </w:p>
        </w:tc>
        <w:tc>
          <w:tcPr>
            <w:tcW w:w="108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99" w:type="dxa"/>
            <w:tcBorders>
              <w:top w:val="single" w:sz="6" w:space="0" w:color="000000"/>
              <w:left w:val="single" w:sz="4" w:space="0" w:color="000000"/>
              <w:bottom w:val="single" w:sz="4" w:space="0" w:color="000000"/>
              <w:right w:val="single" w:sz="6"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红外光纤气体传感器</w:t>
            </w:r>
          </w:p>
        </w:tc>
        <w:tc>
          <w:tcPr>
            <w:tcW w:w="1116" w:type="dxa"/>
            <w:tcBorders>
              <w:top w:val="single" w:sz="6" w:space="0" w:color="000000"/>
              <w:left w:val="single" w:sz="6" w:space="0" w:color="000000"/>
              <w:bottom w:val="single" w:sz="4" w:space="0" w:color="000000"/>
              <w:right w:val="single" w:sz="6" w:space="0" w:color="000000"/>
            </w:tcBorders>
          </w:tcPr>
          <w:p>
            <w:pPr/>
          </w:p>
        </w:tc>
        <w:tc>
          <w:tcPr>
            <w:tcW w:w="127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762,164.81</w:t>
            </w:r>
            <w:r>
              <w:rPr>
                <w:rFonts w:ascii="Times New Roman"/>
                <w:sz w:val="20"/>
              </w:rPr>
            </w:r>
          </w:p>
        </w:tc>
        <w:tc>
          <w:tcPr>
            <w:tcW w:w="13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5"/>
                <w:sz w:val="20"/>
              </w:rPr>
              <w:t>762,164.81</w:t>
            </w:r>
            <w:r>
              <w:rPr>
                <w:rFonts w:ascii="Times New Roman"/>
                <w:sz w:val="20"/>
              </w:rPr>
            </w:r>
          </w:p>
        </w:tc>
        <w:tc>
          <w:tcPr>
            <w:tcW w:w="1081" w:type="dxa"/>
            <w:tcBorders>
              <w:top w:val="single" w:sz="6" w:space="0" w:color="000000"/>
              <w:left w:val="single" w:sz="6" w:space="0" w:color="000000"/>
              <w:bottom w:val="single" w:sz="4" w:space="0" w:color="000000"/>
              <w:right w:val="single" w:sz="6" w:space="0" w:color="000000"/>
            </w:tcBorders>
          </w:tcPr>
          <w:p>
            <w:pPr/>
          </w:p>
        </w:tc>
        <w:tc>
          <w:tcPr>
            <w:tcW w:w="1294" w:type="dxa"/>
            <w:tcBorders>
              <w:top w:val="single" w:sz="6" w:space="0" w:color="000000"/>
              <w:left w:val="single" w:sz="6" w:space="0" w:color="000000"/>
              <w:bottom w:val="single" w:sz="4" w:space="0" w:color="000000"/>
              <w:right w:val="single" w:sz="4" w:space="0" w:color="000000"/>
            </w:tcBorders>
          </w:tcPr>
          <w:p>
            <w:pPr/>
          </w:p>
        </w:tc>
      </w:tr>
    </w:tbl>
    <w:p>
      <w:pPr>
        <w:spacing w:after="0"/>
        <w:sectPr>
          <w:pgSz w:w="11910" w:h="16840"/>
          <w:pgMar w:header="555" w:footer="980" w:top="1100" w:bottom="1160" w:left="920" w:right="92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699"/>
        <w:gridCol w:w="1116"/>
        <w:gridCol w:w="1270"/>
        <w:gridCol w:w="1373"/>
        <w:gridCol w:w="1081"/>
        <w:gridCol w:w="1294"/>
      </w:tblGrid>
      <w:tr>
        <w:trPr>
          <w:trHeight w:val="322" w:hRule="exact"/>
        </w:trPr>
        <w:tc>
          <w:tcPr>
            <w:tcW w:w="369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340,000.00</w:t>
            </w:r>
          </w:p>
        </w:tc>
        <w:tc>
          <w:tcPr>
            <w:tcW w:w="127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50"/>
              <w:ind w:left="120" w:right="0"/>
              <w:jc w:val="left"/>
              <w:rPr>
                <w:rFonts w:ascii="Times New Roman" w:hAnsi="Times New Roman" w:cs="Times New Roman" w:eastAsia="Times New Roman" w:hint="default"/>
                <w:sz w:val="18"/>
                <w:szCs w:val="18"/>
              </w:rPr>
            </w:pPr>
            <w:r>
              <w:rPr>
                <w:rFonts w:ascii="Times New Roman"/>
                <w:sz w:val="18"/>
              </w:rPr>
              <w:t>26,913,188.77</w:t>
            </w:r>
          </w:p>
        </w:tc>
        <w:tc>
          <w:tcPr>
            <w:tcW w:w="13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50"/>
              <w:ind w:left="223" w:right="0"/>
              <w:jc w:val="left"/>
              <w:rPr>
                <w:rFonts w:ascii="Times New Roman" w:hAnsi="Times New Roman" w:cs="Times New Roman" w:eastAsia="Times New Roman" w:hint="default"/>
                <w:sz w:val="18"/>
                <w:szCs w:val="18"/>
              </w:rPr>
            </w:pPr>
            <w:r>
              <w:rPr>
                <w:rFonts w:ascii="Times New Roman"/>
                <w:sz w:val="18"/>
              </w:rPr>
              <w:t>26,913,188.77</w:t>
            </w:r>
          </w:p>
        </w:tc>
        <w:tc>
          <w:tcPr>
            <w:tcW w:w="108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0"/>
              <w:ind w:left="369" w:right="0"/>
              <w:jc w:val="left"/>
              <w:rPr>
                <w:rFonts w:ascii="Times New Roman" w:hAnsi="Times New Roman" w:cs="Times New Roman" w:eastAsia="Times New Roman" w:hint="default"/>
                <w:sz w:val="18"/>
                <w:szCs w:val="18"/>
              </w:rPr>
            </w:pPr>
            <w:r>
              <w:rPr>
                <w:rFonts w:ascii="Times New Roman"/>
                <w:sz w:val="18"/>
              </w:rPr>
              <w:t>340,000.00</w:t>
            </w:r>
          </w:p>
        </w:tc>
      </w:tr>
    </w:tbl>
    <w:p>
      <w:pPr>
        <w:spacing w:line="240" w:lineRule="auto" w:before="6"/>
        <w:rPr>
          <w:rFonts w:ascii="宋体" w:hAnsi="宋体" w:cs="宋体" w:eastAsia="宋体" w:hint="default"/>
          <w:sz w:val="6"/>
          <w:szCs w:val="6"/>
        </w:rPr>
      </w:pPr>
    </w:p>
    <w:p>
      <w:pPr>
        <w:spacing w:line="489" w:lineRule="auto" w:before="44"/>
        <w:ind w:left="212" w:right="4148"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spacing w:line="240" w:lineRule="auto" w:before="13"/>
        <w:rPr>
          <w:rFonts w:ascii="宋体" w:hAnsi="宋体" w:cs="宋体" w:eastAsia="宋体" w:hint="default"/>
          <w:sz w:val="15"/>
          <w:szCs w:val="15"/>
        </w:rPr>
      </w:pPr>
    </w:p>
    <w:p>
      <w:pPr>
        <w:spacing w:before="0"/>
        <w:ind w:left="212" w:right="41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郑州春泉</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1,698,895.48</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1,698,895.48</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盈江公司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198,883.77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198,883.77</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1,698,895.48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198,883.77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1,897,779.25</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6" w:lineRule="auto" w:before="79"/>
        <w:ind w:left="779" w:right="0"/>
        <w:jc w:val="left"/>
        <w:rPr>
          <w:rFonts w:ascii="宋体" w:hAnsi="宋体" w:cs="宋体" w:eastAsia="宋体" w:hint="default"/>
        </w:rPr>
      </w:pPr>
      <w:r>
        <w:rPr>
          <w:rFonts w:ascii="宋体" w:hAnsi="宋体" w:cs="宋体" w:eastAsia="宋体" w:hint="default"/>
        </w:rPr>
        <w:t>说明商誉的减值测试方法和减值准备计提方法 </w:t>
      </w:r>
      <w:r>
        <w:rPr>
          <w:rFonts w:ascii="宋体" w:hAnsi="宋体" w:cs="宋体" w:eastAsia="宋体" w:hint="default"/>
          <w:spacing w:val="-2"/>
        </w:rPr>
        <w:t>报告期末商誉为公司以非同一控制下企业合并方式购买子公司产生的商誉。公司将商誉</w:t>
      </w:r>
    </w:p>
    <w:p>
      <w:pPr>
        <w:pStyle w:val="BodyText"/>
        <w:spacing w:line="357" w:lineRule="auto" w:before="7"/>
        <w:ind w:left="212" w:right="250"/>
        <w:jc w:val="both"/>
        <w:rPr>
          <w:rFonts w:ascii="宋体" w:hAnsi="宋体" w:cs="宋体" w:eastAsia="宋体" w:hint="default"/>
        </w:rPr>
      </w:pPr>
      <w:r>
        <w:rPr>
          <w:rFonts w:ascii="宋体" w:hAnsi="宋体" w:cs="宋体" w:eastAsia="宋体" w:hint="default"/>
        </w:rPr>
        <w:t>在所收购子公司的全部资产确定为一个资产组组合。公司根据预期产品销售收入、成本及其 他相关费用，采用现金流量预测方法和能够反映相关资产组组合的特定风险的折现率，以分 析资产组组合的可收回金额。公司相信这些重要假设的任何重大变化都有可能会引起资产组 组合的账面价值超过其可收回金额。公司认为，基于上述估计报告期末商誉无需计提减值。</w:t>
      </w:r>
    </w:p>
    <w:p>
      <w:pPr>
        <w:spacing w:line="240" w:lineRule="auto" w:before="11"/>
        <w:rPr>
          <w:rFonts w:ascii="宋体" w:hAnsi="宋体" w:cs="宋体" w:eastAsia="宋体" w:hint="default"/>
          <w:sz w:val="21"/>
          <w:szCs w:val="21"/>
        </w:rPr>
      </w:pPr>
    </w:p>
    <w:p>
      <w:pPr>
        <w:spacing w:before="0"/>
        <w:ind w:left="2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办公室及车间装 修费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362,500.00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实验室装修费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143,366.67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系统煤安检测费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414,513.40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124,065.96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290,447.44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414,513.40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204,999.29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796,314.11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212" w:right="41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212" w:right="4148"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555" w:footer="980" w:top="1100" w:bottom="1160" w:left="92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1,523,759.24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1,148,559.37</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997,101.02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2,369,322.36</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可抵扣的税收差异</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923,840.08</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内部销售未实现的毛利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98,537.87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140,842.18</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10,332.33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5,051.23</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2,629,730.46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4,587,615.22</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4"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收购股权资产评估增值影响</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869,937.52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1,059,565.06</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869,937.52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1,059,565.06</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357" w:lineRule="auto" w:before="49"/>
        <w:ind w:left="152" w:right="523" w:firstLine="0"/>
        <w:jc w:val="left"/>
        <w:rPr>
          <w:rFonts w:ascii="宋体" w:hAnsi="宋体" w:cs="宋体" w:eastAsia="宋体" w:hint="default"/>
          <w:sz w:val="18"/>
          <w:szCs w:val="18"/>
        </w:rPr>
      </w:pPr>
      <w:r>
        <w:rPr>
          <w:rFonts w:ascii="宋体" w:hAnsi="宋体" w:cs="宋体" w:eastAsia="宋体" w:hint="default"/>
          <w:b/>
          <w:bCs/>
          <w:sz w:val="18"/>
          <w:szCs w:val="18"/>
        </w:rPr>
        <w:t>未确认递延所得税资产明细</w:t>
      </w:r>
      <w:r>
        <w:rPr>
          <w:rFonts w:ascii="宋体" w:hAnsi="宋体" w:cs="宋体" w:eastAsia="宋体" w:hint="default"/>
          <w:b/>
          <w:bCs/>
          <w:w w:val="99"/>
          <w:sz w:val="18"/>
          <w:szCs w:val="18"/>
        </w:rPr>
        <w:t> </w:t>
      </w:r>
      <w:r>
        <w:rPr>
          <w:rFonts w:ascii="宋体" w:hAnsi="宋体" w:cs="宋体" w:eastAsia="宋体" w:hint="default"/>
          <w:sz w:val="18"/>
          <w:szCs w:val="18"/>
        </w:rPr>
        <w:t>不适用</w:t>
      </w:r>
    </w:p>
    <w:p>
      <w:pPr>
        <w:spacing w:before="29"/>
        <w:ind w:left="152" w:right="-19" w:firstLine="0"/>
        <w:jc w:val="left"/>
        <w:rPr>
          <w:rFonts w:ascii="宋体" w:hAnsi="宋体" w:cs="宋体" w:eastAsia="宋体" w:hint="default"/>
          <w:sz w:val="18"/>
          <w:szCs w:val="18"/>
        </w:rPr>
      </w:pPr>
      <w:r>
        <w:rPr>
          <w:rFonts w:ascii="宋体" w:hAnsi="宋体" w:cs="宋体" w:eastAsia="宋体" w:hint="default"/>
          <w:b/>
          <w:bCs/>
          <w:sz w:val="18"/>
          <w:szCs w:val="18"/>
        </w:rPr>
        <w:t>应纳税差异和可抵扣差异项目明细</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864" w:space="596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10,047,542.09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7,615,869.03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6,647,340.14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15,795,482.36</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可抵扣税收差异</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6,158,933.89</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存货未实现的毛利</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656,919.13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938,947.87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68,882.21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33,674.86</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17,420,683.57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30,542,908.01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1"/>
        <w:gridCol w:w="1625"/>
        <w:gridCol w:w="1628"/>
        <w:gridCol w:w="1628"/>
        <w:gridCol w:w="1630"/>
      </w:tblGrid>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2,629,730.46</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4,587,615.22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869,937.52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1,059,565.06</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7"/>
        <w:gridCol w:w="1529"/>
        <w:gridCol w:w="1399"/>
        <w:gridCol w:w="1397"/>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54"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7,615,869.03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2,431,673.06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10,047,542.09</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7,615,869.03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2,431,673.06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10,047,542.09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3"/>
        <w:rPr>
          <w:rFonts w:ascii="宋体" w:hAnsi="宋体" w:cs="宋体" w:eastAsia="宋体" w:hint="default"/>
          <w:sz w:val="5"/>
          <w:szCs w:val="5"/>
        </w:rPr>
      </w:pPr>
    </w:p>
    <w:p>
      <w:pPr>
        <w:spacing w:line="444" w:lineRule="auto" w:before="36"/>
        <w:ind w:left="525" w:right="0" w:firstLine="0"/>
        <w:jc w:val="left"/>
        <w:rPr>
          <w:rFonts w:ascii="宋体" w:hAnsi="宋体" w:cs="宋体" w:eastAsia="宋体" w:hint="default"/>
          <w:sz w:val="21"/>
          <w:szCs w:val="21"/>
        </w:rPr>
      </w:pPr>
      <w:r>
        <w:rPr>
          <w:rFonts w:ascii="宋体" w:hAnsi="宋体" w:cs="宋体" w:eastAsia="宋体" w:hint="default"/>
          <w:sz w:val="21"/>
          <w:szCs w:val="21"/>
        </w:rPr>
        <w:t>短期借款分类的说明</w:t>
      </w:r>
      <w:r>
        <w:rPr>
          <w:rFonts w:ascii="宋体" w:hAnsi="宋体" w:cs="宋体" w:eastAsia="宋体" w:hint="default"/>
          <w:w w:val="100"/>
          <w:sz w:val="21"/>
          <w:szCs w:val="21"/>
        </w:rPr>
        <w:t> </w:t>
      </w:r>
      <w:r>
        <w:rPr>
          <w:rFonts w:ascii="宋体" w:hAnsi="宋体" w:cs="宋体" w:eastAsia="宋体" w:hint="default"/>
          <w:spacing w:val="-4"/>
          <w:sz w:val="21"/>
          <w:szCs w:val="21"/>
        </w:rPr>
        <w:t>报告期汉威电子从招商银行金水支行取得流动资产借款</w:t>
      </w:r>
      <w:r>
        <w:rPr>
          <w:rFonts w:ascii="Times New Roman" w:hAnsi="Times New Roman" w:cs="Times New Roman" w:eastAsia="Times New Roman" w:hint="default"/>
          <w:spacing w:val="-4"/>
          <w:sz w:val="21"/>
          <w:szCs w:val="21"/>
        </w:rPr>
        <w:t>500</w:t>
      </w:r>
      <w:r>
        <w:rPr>
          <w:rFonts w:ascii="宋体" w:hAnsi="宋体" w:cs="宋体" w:eastAsia="宋体" w:hint="default"/>
          <w:spacing w:val="-4"/>
          <w:sz w:val="21"/>
          <w:szCs w:val="21"/>
        </w:rPr>
        <w:t>万元，为信用贷款；子公司郑州春泉暖通节</w:t>
      </w:r>
    </w:p>
    <w:p>
      <w:pPr>
        <w:spacing w:line="270"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能设备有限公司从郑州银行百花路支行取得流动资金借款</w:t>
      </w:r>
      <w:r>
        <w:rPr>
          <w:rFonts w:ascii="Times New Roman" w:hAnsi="Times New Roman" w:cs="Times New Roman" w:eastAsia="Times New Roman" w:hint="default"/>
          <w:sz w:val="21"/>
          <w:szCs w:val="21"/>
        </w:rPr>
        <w:t>500</w:t>
      </w:r>
      <w:r>
        <w:rPr>
          <w:rFonts w:ascii="宋体" w:hAnsi="宋体" w:cs="宋体" w:eastAsia="宋体" w:hint="default"/>
          <w:sz w:val="21"/>
          <w:szCs w:val="21"/>
        </w:rPr>
        <w:t>万元，担保方式为专利权质押。</w:t>
      </w:r>
    </w:p>
    <w:p>
      <w:pPr>
        <w:spacing w:line="240" w:lineRule="auto" w:before="9"/>
        <w:rPr>
          <w:rFonts w:ascii="宋体" w:hAnsi="宋体" w:cs="宋体" w:eastAsia="宋体" w:hint="default"/>
          <w:sz w:val="28"/>
          <w:szCs w:val="28"/>
        </w:rPr>
      </w:pPr>
    </w:p>
    <w:p>
      <w:pPr>
        <w:pStyle w:val="Heading2"/>
        <w:spacing w:line="439" w:lineRule="auto"/>
        <w:ind w:right="604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）已到期未偿还的短期借款情况</w:t>
      </w:r>
      <w:r>
        <w:rPr>
          <w:w w:val="99"/>
        </w:rPr>
        <w:t> </w:t>
      </w:r>
      <w:r>
        <w:rPr>
          <w:rFonts w:ascii="宋体" w:hAnsi="宋体" w:cs="宋体" w:eastAsia="宋体" w:hint="default"/>
          <w:b w:val="0"/>
          <w:bCs w:val="0"/>
        </w:rPr>
        <w:t>不适用</w:t>
      </w:r>
    </w:p>
    <w:p>
      <w:pPr>
        <w:pStyle w:val="Heading2"/>
        <w:spacing w:line="240" w:lineRule="auto" w:before="101"/>
        <w:ind w:right="0"/>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7"/>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48,274,329.10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48,575,074.83</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2,085,140.50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676,057.01</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438,574.97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694,241.98</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632,680.58</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51,430,725.15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49,945,373.82</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9"/>
        <w:rPr>
          <w:rFonts w:ascii="宋体" w:hAnsi="宋体" w:cs="宋体" w:eastAsia="宋体" w:hint="default"/>
          <w:sz w:val="19"/>
          <w:szCs w:val="19"/>
        </w:rPr>
      </w:pPr>
    </w:p>
    <w:p>
      <w:pPr>
        <w:pStyle w:val="Heading2"/>
        <w:spacing w:line="441" w:lineRule="auto" w:before="26"/>
        <w:ind w:right="621"/>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）本报告期应付账款中应付持有公司</w:t>
      </w:r>
      <w:r>
        <w:rPr>
          <w:spacing w:val="-61"/>
        </w:rPr>
        <w:t>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％）以上表决权股份的股东单位款项</w:t>
      </w:r>
      <w:r>
        <w:rPr>
          <w:w w:val="99"/>
        </w:rPr>
        <w:t> </w:t>
      </w:r>
      <w:r>
        <w:rPr>
          <w:rFonts w:ascii="宋体" w:hAnsi="宋体" w:cs="宋体" w:eastAsia="宋体" w:hint="default"/>
          <w:b w:val="0"/>
          <w:bCs w:val="0"/>
        </w:rPr>
        <w:t>不适用</w:t>
      </w:r>
    </w:p>
    <w:p>
      <w:pPr>
        <w:spacing w:line="456" w:lineRule="auto" w:before="96"/>
        <w:ind w:left="152" w:right="483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）账龄超过一年的大额应付账款情况的说明</w:t>
      </w:r>
      <w:r>
        <w:rPr>
          <w:rFonts w:ascii="宋体" w:hAnsi="宋体" w:cs="宋体" w:eastAsia="宋体" w:hint="default"/>
          <w:b/>
          <w:bCs/>
          <w:w w:val="99"/>
          <w:sz w:val="24"/>
          <w:szCs w:val="24"/>
        </w:rPr>
        <w:t> </w:t>
      </w:r>
      <w:r>
        <w:rPr>
          <w:rFonts w:ascii="宋体" w:hAnsi="宋体" w:cs="宋体" w:eastAsia="宋体" w:hint="default"/>
          <w:sz w:val="24"/>
          <w:szCs w:val="24"/>
        </w:rPr>
        <w:t>公司没有超过一年的大额应付账款。 </w:t>
      </w:r>
      <w:r>
        <w:rPr>
          <w:rFonts w:ascii="Times New Roman" w:hAnsi="Times New Roman" w:cs="Times New Roman" w:eastAsia="Times New Roman" w:hint="default"/>
          <w:b/>
          <w:bCs/>
          <w:sz w:val="24"/>
          <w:szCs w:val="24"/>
        </w:rPr>
        <w:t>17</w:t>
      </w:r>
      <w:r>
        <w:rPr>
          <w:rFonts w:ascii="宋体" w:hAnsi="宋体" w:cs="宋体" w:eastAsia="宋体" w:hint="default"/>
          <w:b/>
          <w:bCs/>
          <w:sz w:val="24"/>
          <w:szCs w:val="24"/>
        </w:rPr>
        <w:t>、预收账款</w:t>
      </w:r>
      <w:r>
        <w:rPr>
          <w:rFonts w:ascii="宋体" w:hAnsi="宋体" w:cs="宋体" w:eastAsia="宋体" w:hint="default"/>
          <w:sz w:val="24"/>
          <w:szCs w:val="24"/>
        </w:rPr>
      </w:r>
    </w:p>
    <w:p>
      <w:pPr>
        <w:pStyle w:val="Heading2"/>
        <w:spacing w:line="240" w:lineRule="auto" w:before="43"/>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12,574,707.42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13,588,771.98</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1,180,712.72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1,206,084.87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224,382.89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172,064.06</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90,480.00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14,070,283.03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14,966,920.91</w:t>
            </w:r>
          </w:p>
        </w:tc>
      </w:tr>
    </w:tbl>
    <w:p>
      <w:pPr>
        <w:spacing w:line="240" w:lineRule="auto" w:before="1"/>
        <w:rPr>
          <w:rFonts w:ascii="宋体" w:hAnsi="宋体" w:cs="宋体" w:eastAsia="宋体" w:hint="default"/>
          <w:sz w:val="18"/>
          <w:szCs w:val="18"/>
        </w:rPr>
      </w:pPr>
    </w:p>
    <w:p>
      <w:pPr>
        <w:pStyle w:val="Heading2"/>
        <w:spacing w:line="441" w:lineRule="auto" w:before="26"/>
        <w:ind w:right="622"/>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）本报告期预收账款中预收持有公司</w:t>
      </w:r>
      <w:r>
        <w:rPr>
          <w:spacing w:val="-61"/>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％）以上表决权股份的股东单位款项</w:t>
      </w:r>
      <w:r>
        <w:rPr>
          <w:w w:val="99"/>
        </w:rPr>
        <w:t> </w:t>
      </w:r>
      <w:r>
        <w:rPr>
          <w:rFonts w:ascii="宋体" w:hAnsi="宋体" w:cs="宋体" w:eastAsia="宋体" w:hint="default"/>
          <w:b w:val="0"/>
          <w:bCs w:val="0"/>
        </w:rPr>
        <w:t>不适用</w:t>
      </w:r>
    </w:p>
    <w:p>
      <w:pPr>
        <w:spacing w:line="456" w:lineRule="auto" w:before="98"/>
        <w:ind w:left="152" w:right="483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）账龄超过一年的大额预收账款情况的说明</w:t>
      </w:r>
      <w:r>
        <w:rPr>
          <w:rFonts w:ascii="宋体" w:hAnsi="宋体" w:cs="宋体" w:eastAsia="宋体" w:hint="default"/>
          <w:b/>
          <w:bCs/>
          <w:w w:val="99"/>
          <w:sz w:val="24"/>
          <w:szCs w:val="24"/>
        </w:rPr>
        <w:t> </w:t>
      </w:r>
      <w:r>
        <w:rPr>
          <w:rFonts w:ascii="宋体" w:hAnsi="宋体" w:cs="宋体" w:eastAsia="宋体" w:hint="default"/>
          <w:sz w:val="24"/>
          <w:szCs w:val="24"/>
        </w:rPr>
        <w:t>公司没有超过一年的大额预收账款。 </w:t>
      </w:r>
      <w:r>
        <w:rPr>
          <w:rFonts w:ascii="Times New Roman" w:hAnsi="Times New Roman" w:cs="Times New Roman" w:eastAsia="Times New Roman" w:hint="default"/>
          <w:b/>
          <w:bCs/>
          <w:sz w:val="24"/>
          <w:szCs w:val="24"/>
        </w:rPr>
        <w:t>18</w:t>
      </w:r>
      <w:r>
        <w:rPr>
          <w:rFonts w:ascii="宋体" w:hAnsi="宋体" w:cs="宋体" w:eastAsia="宋体" w:hint="default"/>
          <w:b/>
          <w:bCs/>
          <w:sz w:val="24"/>
          <w:szCs w:val="24"/>
        </w:rPr>
        <w:t>、应付职工薪酬</w:t>
      </w:r>
      <w:r>
        <w:rPr>
          <w:rFonts w:ascii="宋体" w:hAnsi="宋体" w:cs="宋体" w:eastAsia="宋体" w:hint="default"/>
          <w:sz w:val="24"/>
          <w:szCs w:val="24"/>
        </w:rPr>
      </w:r>
    </w:p>
    <w:p>
      <w:pPr>
        <w:spacing w:before="8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575"/>
        <w:gridCol w:w="1873"/>
        <w:gridCol w:w="1992"/>
        <w:gridCol w:w="2259"/>
        <w:gridCol w:w="1860"/>
      </w:tblGrid>
      <w:tr>
        <w:trPr>
          <w:trHeight w:val="401" w:hRule="exact"/>
        </w:trPr>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6" w:hRule="exact"/>
        </w:trPr>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5,476,114.48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46,219,501.69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46,979,371.91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4,716,244.26</w:t>
            </w:r>
          </w:p>
        </w:tc>
      </w:tr>
      <w:tr>
        <w:trPr>
          <w:trHeight w:val="401" w:hRule="exact"/>
        </w:trPr>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3" w:type="dxa"/>
            <w:tcBorders>
              <w:top w:val="single" w:sz="4" w:space="0" w:color="000000"/>
              <w:left w:val="single" w:sz="13"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2,480,818.65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2,480,818.65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3" w:type="dxa"/>
            <w:tcBorders>
              <w:top w:val="single" w:sz="4" w:space="0" w:color="000000"/>
              <w:left w:val="single" w:sz="13"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4,620,366.79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4,620,366.79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7"/>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基本医疗保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险费</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1,168,745.81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1,168,745.81</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9"/>
        <w:gridCol w:w="1861"/>
        <w:gridCol w:w="1992"/>
        <w:gridCol w:w="2259"/>
        <w:gridCol w:w="1860"/>
      </w:tblGrid>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补充医疗保险费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2,899,100.25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2,899,100.25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年金缴费（补充养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老保险）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278,472.13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278,472.13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142,697.28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142,697.28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131,351.32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131,351.32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697,294.00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697,294.00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101,902.75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1,819,317.14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1,816,196.15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105,023.74</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5,578,017.23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55,837,298.27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56,594,047.50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4,821,268.00</w:t>
            </w:r>
          </w:p>
        </w:tc>
      </w:tr>
    </w:tbl>
    <w:p>
      <w:pPr>
        <w:pStyle w:val="BodyText"/>
        <w:spacing w:line="240" w:lineRule="auto" w:before="79"/>
        <w:ind w:left="578" w:right="0"/>
        <w:jc w:val="left"/>
        <w:rPr>
          <w:rFonts w:ascii="宋体" w:hAnsi="宋体" w:cs="宋体" w:eastAsia="宋体" w:hint="default"/>
        </w:rPr>
      </w:pPr>
      <w:r>
        <w:rPr>
          <w:rFonts w:ascii="宋体" w:hAnsi="宋体" w:cs="宋体" w:eastAsia="宋体" w:hint="default"/>
        </w:rPr>
        <w:t>应付职工薪酬中属于拖欠性质的金额</w:t>
      </w:r>
      <w:r>
        <w:rPr>
          <w:rFonts w:ascii="宋体" w:hAnsi="宋体" w:cs="宋体" w:eastAsia="宋体" w:hint="default"/>
          <w:spacing w:val="-60"/>
        </w:rPr>
        <w:t> </w:t>
      </w:r>
      <w:r>
        <w:rPr>
          <w:rFonts w:ascii="Times New Roman" w:hAnsi="Times New Roman" w:cs="Times New Roman" w:eastAsia="Times New Roman" w:hint="default"/>
        </w:rPr>
        <w:t>0.00 </w:t>
      </w:r>
      <w:r>
        <w:rPr>
          <w:rFonts w:ascii="宋体" w:hAnsi="宋体" w:cs="宋体" w:eastAsia="宋体" w:hint="default"/>
        </w:rPr>
        <w:t>元。</w:t>
      </w:r>
    </w:p>
    <w:p>
      <w:pPr>
        <w:pStyle w:val="BodyText"/>
        <w:spacing w:line="240" w:lineRule="auto" w:before="174"/>
        <w:ind w:left="0" w:right="152"/>
        <w:jc w:val="right"/>
        <w:rPr>
          <w:rFonts w:ascii="宋体" w:hAnsi="宋体" w:cs="宋体" w:eastAsia="宋体" w:hint="default"/>
        </w:rPr>
      </w:pPr>
      <w:r>
        <w:rPr>
          <w:rFonts w:ascii="宋体" w:hAnsi="宋体" w:cs="宋体" w:eastAsia="宋体" w:hint="default"/>
        </w:rPr>
        <w:t>工会经费和职工教育经费金额</w:t>
      </w:r>
      <w:r>
        <w:rPr>
          <w:rFonts w:ascii="宋体" w:hAnsi="宋体" w:cs="宋体" w:eastAsia="宋体" w:hint="default"/>
          <w:spacing w:val="-54"/>
        </w:rPr>
        <w:t> </w:t>
      </w:r>
      <w:r>
        <w:rPr>
          <w:rFonts w:ascii="Times New Roman" w:hAnsi="Times New Roman" w:cs="Times New Roman" w:eastAsia="Times New Roman" w:hint="default"/>
        </w:rPr>
        <w:t>1,819,317.14</w:t>
      </w:r>
      <w:r>
        <w:rPr>
          <w:rFonts w:ascii="Times New Roman" w:hAnsi="Times New Roman" w:cs="Times New Roman" w:eastAsia="Times New Roman" w:hint="default"/>
          <w:spacing w:val="6"/>
        </w:rPr>
        <w:t> </w:t>
      </w:r>
      <w:r>
        <w:rPr>
          <w:rFonts w:ascii="宋体" w:hAnsi="宋体" w:cs="宋体" w:eastAsia="宋体" w:hint="default"/>
          <w:spacing w:val="-5"/>
        </w:rPr>
        <w:t>元，非货币性福利金额元，因解除劳动关系给</w:t>
      </w:r>
    </w:p>
    <w:p>
      <w:pPr>
        <w:spacing w:line="376" w:lineRule="auto" w:before="135"/>
        <w:ind w:left="578" w:right="3588" w:hanging="426"/>
        <w:jc w:val="left"/>
        <w:rPr>
          <w:rFonts w:ascii="宋体" w:hAnsi="宋体" w:cs="宋体" w:eastAsia="宋体" w:hint="default"/>
          <w:sz w:val="24"/>
          <w:szCs w:val="24"/>
        </w:rPr>
      </w:pPr>
      <w:r>
        <w:rPr>
          <w:rFonts w:ascii="宋体" w:hAnsi="宋体" w:cs="宋体" w:eastAsia="宋体" w:hint="default"/>
          <w:sz w:val="24"/>
          <w:szCs w:val="24"/>
        </w:rPr>
        <w:t>予补偿</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0.00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 </w:t>
      </w:r>
      <w:r>
        <w:rPr>
          <w:rFonts w:ascii="宋体" w:hAnsi="宋体" w:cs="宋体" w:eastAsia="宋体" w:hint="default"/>
          <w:b/>
          <w:bCs/>
          <w:sz w:val="24"/>
          <w:szCs w:val="24"/>
        </w:rPr>
        <w:t>应付职工薪酬预计发放时间、金额等安排：</w:t>
      </w:r>
      <w:r>
        <w:rPr>
          <w:rFonts w:ascii="宋体" w:hAnsi="宋体" w:cs="宋体" w:eastAsia="宋体" w:hint="default"/>
          <w:b/>
          <w:bCs/>
          <w:w w:val="99"/>
          <w:sz w:val="24"/>
          <w:szCs w:val="24"/>
        </w:rPr>
        <w:t> </w:t>
      </w:r>
      <w:r>
        <w:rPr>
          <w:rFonts w:ascii="宋体" w:hAnsi="宋体" w:cs="宋体" w:eastAsia="宋体" w:hint="default"/>
          <w:sz w:val="24"/>
          <w:szCs w:val="24"/>
        </w:rPr>
        <w:t>应付工资、奖金、津贴和补贴余额已于次月发放完毕。</w:t>
      </w:r>
    </w:p>
    <w:p>
      <w:pPr>
        <w:spacing w:line="240" w:lineRule="auto" w:before="4"/>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482,146.85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6,044,857.93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1,852.50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5,870.00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-1,701,233.48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5,932,736.10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240,799.46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47,483.15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189,926.27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534,267.80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教育税附加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151,237.92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381,619.87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110,245.59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87,204.44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118,832.55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118,832.52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3,634.47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-402,557.87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13,152,871.81</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9"/>
        <w:rPr>
          <w:rFonts w:ascii="宋体" w:hAnsi="宋体" w:cs="宋体" w:eastAsia="宋体" w:hint="default"/>
          <w:sz w:val="19"/>
          <w:szCs w:val="19"/>
        </w:rPr>
      </w:pPr>
    </w:p>
    <w:p>
      <w:pPr>
        <w:pStyle w:val="Heading2"/>
        <w:spacing w:line="456" w:lineRule="auto" w:before="26"/>
        <w:ind w:right="8168"/>
        <w:jc w:val="left"/>
        <w:rPr>
          <w:b w:val="0"/>
          <w:bCs w:val="0"/>
        </w:rPr>
      </w:pPr>
      <w:r>
        <w:rPr>
          <w:rFonts w:ascii="Times New Roman" w:hAnsi="Times New Roman" w:cs="Times New Roman" w:eastAsia="Times New Roman" w:hint="default"/>
        </w:rPr>
        <w:t>20</w:t>
      </w:r>
      <w:r>
        <w:rPr/>
        <w:t>、应付股利</w:t>
      </w:r>
      <w:r>
        <w:rPr>
          <w:w w:val="99"/>
        </w:rPr>
        <w:t> </w:t>
      </w:r>
      <w:r>
        <w:rPr>
          <w:rFonts w:ascii="宋体" w:hAnsi="宋体" w:cs="宋体" w:eastAsia="宋体" w:hint="default"/>
          <w:b w:val="0"/>
          <w:bCs w:val="0"/>
        </w:rPr>
        <w:t>不适用 </w:t>
      </w:r>
      <w:r>
        <w:rPr>
          <w:rFonts w:ascii="Times New Roman" w:hAnsi="Times New Roman" w:cs="Times New Roman" w:eastAsia="Times New Roman" w:hint="default"/>
        </w:rPr>
        <w:t>21</w:t>
      </w:r>
      <w:r>
        <w:rPr/>
        <w:t>、其他应付款</w:t>
      </w:r>
      <w:r>
        <w:rPr>
          <w:b w:val="0"/>
          <w:bCs w:val="0"/>
        </w:rPr>
      </w:r>
    </w:p>
    <w:p>
      <w:pPr>
        <w:pStyle w:val="Heading2"/>
        <w:spacing w:line="240" w:lineRule="auto" w:before="43"/>
        <w:ind w:right="105"/>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9"/>
        <w:rPr>
          <w:rFonts w:ascii="宋体" w:hAnsi="宋体" w:cs="宋体" w:eastAsia="宋体" w:hint="default"/>
          <w:b/>
          <w:bCs/>
          <w:sz w:val="21"/>
          <w:szCs w:val="21"/>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3721"/>
        <w:gridCol w:w="3058"/>
        <w:gridCol w:w="2789"/>
      </w:tblGrid>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其他应付款余额账龄分析</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1,688,693.74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369,316.91</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229,119.82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2,726,144.72</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2,637,752.10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4,855,565.66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3,395,461.63</w:t>
            </w:r>
          </w:p>
        </w:tc>
      </w:tr>
    </w:tbl>
    <w:p>
      <w:pPr>
        <w:spacing w:line="240" w:lineRule="auto" w:before="1"/>
        <w:rPr>
          <w:rFonts w:ascii="宋体" w:hAnsi="宋体" w:cs="宋体" w:eastAsia="宋体" w:hint="default"/>
          <w:sz w:val="18"/>
          <w:szCs w:val="18"/>
        </w:rPr>
      </w:pPr>
    </w:p>
    <w:p>
      <w:pPr>
        <w:pStyle w:val="Heading2"/>
        <w:spacing w:line="441" w:lineRule="auto" w:before="26"/>
        <w:ind w:right="46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）本报告期其他应付款中应付持有公司</w:t>
      </w:r>
      <w:r>
        <w:rPr>
          <w:spacing w:val="-61"/>
        </w:rPr>
        <w:t> </w:t>
      </w:r>
      <w:r>
        <w:rPr>
          <w:rFonts w:ascii="Times New Roman" w:hAnsi="Times New Roman" w:cs="Times New Roman" w:eastAsia="Times New Roman" w:hint="default"/>
        </w:rPr>
        <w:t>5</w:t>
      </w:r>
      <w:r>
        <w:rPr/>
        <w:t>％（含</w:t>
      </w:r>
      <w:r>
        <w:rPr>
          <w:spacing w:val="-62"/>
        </w:rPr>
        <w:t> </w:t>
      </w:r>
      <w:r>
        <w:rPr>
          <w:rFonts w:ascii="Times New Roman" w:hAnsi="Times New Roman" w:cs="Times New Roman" w:eastAsia="Times New Roman" w:hint="default"/>
        </w:rPr>
        <w:t>5</w:t>
      </w:r>
      <w:r>
        <w:rPr/>
        <w:t>％）以上表决权股份的股东单位款项</w:t>
      </w:r>
      <w:r>
        <w:rPr>
          <w:w w:val="99"/>
        </w:rPr>
        <w:t> </w:t>
      </w:r>
      <w:r>
        <w:rPr>
          <w:rFonts w:ascii="宋体" w:hAnsi="宋体" w:cs="宋体" w:eastAsia="宋体" w:hint="default"/>
          <w:b w:val="0"/>
          <w:bCs w:val="0"/>
        </w:rPr>
        <w:t>不适用</w:t>
      </w:r>
    </w:p>
    <w:p>
      <w:pPr>
        <w:pStyle w:val="Heading2"/>
        <w:spacing w:line="441" w:lineRule="auto" w:before="99"/>
        <w:ind w:left="575" w:right="4674" w:hanging="423"/>
        <w:jc w:val="left"/>
        <w:rPr>
          <w:b w:val="0"/>
          <w:bCs w:val="0"/>
        </w:rPr>
      </w:pPr>
      <w:r>
        <w:rPr/>
        <w:pict>
          <v:shape style="position:absolute;margin-left:65.664001pt;margin-top:53.165627pt;width:464.4pt;height:35.4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8"/>
                    <w:gridCol w:w="1707"/>
                    <w:gridCol w:w="1707"/>
                    <w:gridCol w:w="1704"/>
                  </w:tblGrid>
                  <w:tr>
                    <w:trPr>
                      <w:trHeight w:val="346" w:hRule="exact"/>
                    </w:trPr>
                    <w:tc>
                      <w:tcPr>
                        <w:tcW w:w="41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债权单位名称</w:t>
                        </w:r>
                      </w:p>
                    </w:tc>
                    <w:tc>
                      <w:tcPr>
                        <w:tcW w:w="17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7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665"/>
                          <w:jc w:val="right"/>
                          <w:rPr>
                            <w:rFonts w:ascii="宋体" w:hAnsi="宋体" w:cs="宋体" w:eastAsia="宋体" w:hint="default"/>
                            <w:sz w:val="18"/>
                            <w:szCs w:val="18"/>
                          </w:rPr>
                        </w:pPr>
                        <w:r>
                          <w:rPr>
                            <w:rFonts w:ascii="宋体" w:hAnsi="宋体" w:cs="宋体" w:eastAsia="宋体" w:hint="default"/>
                            <w:sz w:val="18"/>
                            <w:szCs w:val="18"/>
                          </w:rPr>
                          <w:t>账龄</w:t>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348" w:hRule="exact"/>
                    </w:trPr>
                    <w:tc>
                      <w:tcPr>
                        <w:tcW w:w="4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杨东</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43" w:right="0"/>
                          <w:jc w:val="left"/>
                          <w:rPr>
                            <w:rFonts w:ascii="Times New Roman" w:hAnsi="Times New Roman" w:cs="Times New Roman" w:eastAsia="Times New Roman" w:hint="default"/>
                            <w:sz w:val="18"/>
                            <w:szCs w:val="18"/>
                          </w:rPr>
                        </w:pPr>
                        <w:r>
                          <w:rPr>
                            <w:rFonts w:ascii="Times New Roman"/>
                            <w:sz w:val="18"/>
                          </w:rPr>
                          <w:t>2,400,000.00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614"/>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2-3</w:t>
                        </w:r>
                        <w:r>
                          <w:rPr>
                            <w:rFonts w:ascii="宋体" w:hAnsi="宋体" w:cs="宋体" w:eastAsia="宋体" w:hint="default"/>
                            <w:w w:val="95"/>
                            <w:sz w:val="20"/>
                            <w:szCs w:val="20"/>
                          </w:rPr>
                          <w:t>年</w:t>
                        </w:r>
                        <w:r>
                          <w:rPr>
                            <w:rFonts w:ascii="宋体" w:hAnsi="宋体" w:cs="宋体" w:eastAsia="宋体" w:hint="default"/>
                            <w:sz w:val="20"/>
                            <w:szCs w:val="20"/>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尚未具备支付条件</w:t>
                        </w:r>
                      </w:p>
                    </w:tc>
                  </w:tr>
                </w:tbl>
                <w:p>
                  <w:pPr/>
                </w:p>
              </w:txbxContent>
            </v:textbox>
            <w10:wrap type="none"/>
          </v:shape>
        </w:pict>
      </w:r>
      <w:r>
        <w:rPr/>
        <w:t>（</w:t>
      </w:r>
      <w:r>
        <w:rPr>
          <w:rFonts w:ascii="Times New Roman" w:hAnsi="Times New Roman" w:cs="Times New Roman" w:eastAsia="Times New Roman" w:hint="default"/>
        </w:rPr>
        <w:t>3</w:t>
      </w:r>
      <w:r>
        <w:rPr/>
        <w:t>）账龄超过一年的大额其他应付款情况的说明</w:t>
      </w:r>
      <w:r>
        <w:rPr>
          <w:w w:val="99"/>
        </w:rPr>
        <w:t> </w:t>
      </w:r>
      <w:r>
        <w:rPr/>
        <w:t>账龄超过</w:t>
      </w:r>
      <w:r>
        <w:rPr>
          <w:rFonts w:ascii="Times New Roman" w:hAnsi="Times New Roman" w:cs="Times New Roman" w:eastAsia="Times New Roman" w:hint="default"/>
        </w:rPr>
        <w:t>1</w:t>
      </w:r>
      <w:r>
        <w:rPr/>
        <w:t>年大额其他应付款情况的说明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36"/>
        <w:ind w:left="152"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tbl>
      <w:tblPr>
        <w:tblW w:w="0" w:type="auto"/>
        <w:jc w:val="left"/>
        <w:tblInd w:w="267" w:type="dxa"/>
        <w:tblLayout w:type="fixed"/>
        <w:tblCellMar>
          <w:top w:w="0" w:type="dxa"/>
          <w:left w:w="0" w:type="dxa"/>
          <w:bottom w:w="0" w:type="dxa"/>
          <w:right w:w="0" w:type="dxa"/>
        </w:tblCellMar>
        <w:tblLook w:val="01E0"/>
      </w:tblPr>
      <w:tblGrid>
        <w:gridCol w:w="4112"/>
        <w:gridCol w:w="1880"/>
        <w:gridCol w:w="1524"/>
        <w:gridCol w:w="1877"/>
      </w:tblGrid>
      <w:tr>
        <w:trPr>
          <w:trHeight w:val="341" w:hRule="exact"/>
        </w:trPr>
        <w:tc>
          <w:tcPr>
            <w:tcW w:w="41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8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账龄</w:t>
            </w:r>
          </w:p>
        </w:tc>
      </w:tr>
      <w:tr>
        <w:trPr>
          <w:trHeight w:val="348" w:hRule="exact"/>
        </w:trPr>
        <w:tc>
          <w:tcPr>
            <w:tcW w:w="4112" w:type="dxa"/>
            <w:tcBorders>
              <w:top w:val="single" w:sz="10" w:space="0" w:color="000000"/>
              <w:left w:val="single" w:sz="6" w:space="0" w:color="000000"/>
              <w:bottom w:val="single" w:sz="6"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杨东</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股权转让款</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2,400,000.00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郑州晟禾实业有限公司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0"/>
                <w:szCs w:val="20"/>
              </w:rPr>
            </w:pPr>
            <w:r>
              <w:rPr>
                <w:rFonts w:ascii="宋体" w:hAnsi="宋体" w:cs="宋体" w:eastAsia="宋体" w:hint="default"/>
                <w:sz w:val="20"/>
                <w:szCs w:val="20"/>
              </w:rPr>
              <w:t>租房保证金</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王金民</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工程履约保证金</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r>
      <w:tr>
        <w:trPr>
          <w:trHeight w:val="346"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重庆市天字实业集团有限公司郑州第二分公司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工程履约保证金</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r>
      <w:tr>
        <w:trPr>
          <w:trHeight w:val="34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刘伯健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押金</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r>
    </w:tbl>
    <w:p>
      <w:pPr>
        <w:pStyle w:val="BodyText"/>
        <w:spacing w:line="338" w:lineRule="auto" w:before="39"/>
        <w:ind w:right="111" w:firstLine="427"/>
        <w:jc w:val="left"/>
        <w:rPr>
          <w:rFonts w:ascii="宋体" w:hAnsi="宋体" w:cs="宋体" w:eastAsia="宋体" w:hint="default"/>
        </w:rPr>
      </w:pPr>
      <w:r>
        <w:rPr>
          <w:rFonts w:ascii="宋体" w:hAnsi="宋体" w:cs="宋体" w:eastAsia="宋体" w:hint="default"/>
          <w:spacing w:val="-3"/>
        </w:rPr>
        <w:t>报告期末其他应付款金额较大的单位合计</w:t>
      </w:r>
      <w:r>
        <w:rPr>
          <w:rFonts w:ascii="Times New Roman" w:hAnsi="Times New Roman" w:cs="Times New Roman" w:eastAsia="Times New Roman" w:hint="default"/>
          <w:spacing w:val="-3"/>
        </w:rPr>
        <w:t>3,858,000.00</w:t>
      </w:r>
      <w:r>
        <w:rPr>
          <w:rFonts w:ascii="宋体" w:hAnsi="宋体" w:cs="宋体" w:eastAsia="宋体" w:hint="default"/>
          <w:spacing w:val="-3"/>
        </w:rPr>
        <w:t>元，占其他应付款款总额的</w:t>
      </w:r>
      <w:r>
        <w:rPr>
          <w:rFonts w:ascii="Times New Roman" w:hAnsi="Times New Roman" w:cs="Times New Roman" w:eastAsia="Times New Roman" w:hint="default"/>
          <w:spacing w:val="-3"/>
        </w:rPr>
        <w:t>84.07%</w:t>
      </w:r>
      <w:r>
        <w:rPr>
          <w:rFonts w:ascii="宋体" w:hAnsi="宋体" w:cs="宋体" w:eastAsia="宋体" w:hint="default"/>
          <w:spacing w:val="-3"/>
        </w:rPr>
        <w:t>；</w:t>
      </w:r>
      <w:r>
        <w:rPr>
          <w:rFonts w:ascii="宋体" w:hAnsi="宋体" w:cs="宋体" w:eastAsia="宋体" w:hint="default"/>
        </w:rPr>
        <w:t> 其中账龄一年以内</w:t>
      </w:r>
      <w:r>
        <w:rPr>
          <w:rFonts w:ascii="Times New Roman" w:hAnsi="Times New Roman" w:cs="Times New Roman" w:eastAsia="Times New Roman" w:hint="default"/>
        </w:rPr>
        <w:t>1,208,000.00</w:t>
      </w:r>
      <w:r>
        <w:rPr>
          <w:rFonts w:ascii="宋体" w:hAnsi="宋体" w:cs="宋体" w:eastAsia="宋体" w:hint="default"/>
        </w:rPr>
        <w:t>元，</w:t>
      </w:r>
      <w:r>
        <w:rPr>
          <w:rFonts w:ascii="Times New Roman" w:hAnsi="Times New Roman" w:cs="Times New Roman" w:eastAsia="Times New Roman" w:hint="default"/>
        </w:rPr>
        <w:t>2-3</w:t>
      </w:r>
      <w:r>
        <w:rPr>
          <w:rFonts w:ascii="宋体" w:hAnsi="宋体" w:cs="宋体" w:eastAsia="宋体" w:hint="default"/>
        </w:rPr>
        <w:t>年</w:t>
      </w:r>
      <w:r>
        <w:rPr>
          <w:rFonts w:ascii="Times New Roman" w:hAnsi="Times New Roman" w:cs="Times New Roman" w:eastAsia="Times New Roman" w:hint="default"/>
        </w:rPr>
        <w:t>2,400,000.00</w:t>
      </w:r>
      <w:r>
        <w:rPr>
          <w:rFonts w:ascii="宋体" w:hAnsi="宋体" w:cs="宋体" w:eastAsia="宋体" w:hint="default"/>
        </w:rPr>
        <w:t>元，</w:t>
      </w:r>
      <w:r>
        <w:rPr>
          <w:rFonts w:ascii="Times New Roman" w:hAnsi="Times New Roman" w:cs="Times New Roman" w:eastAsia="Times New Roman" w:hint="default"/>
        </w:rPr>
        <w:t>3</w:t>
      </w:r>
      <w:r>
        <w:rPr>
          <w:rFonts w:ascii="宋体" w:hAnsi="宋体" w:cs="宋体" w:eastAsia="宋体" w:hint="default"/>
        </w:rPr>
        <w:t>年以上的</w:t>
      </w:r>
      <w:r>
        <w:rPr>
          <w:rFonts w:ascii="Times New Roman" w:hAnsi="Times New Roman" w:cs="Times New Roman" w:eastAsia="Times New Roman" w:hint="default"/>
        </w:rPr>
        <w:t>250,000.00</w:t>
      </w:r>
      <w:r>
        <w:rPr>
          <w:rFonts w:ascii="宋体" w:hAnsi="宋体" w:cs="宋体" w:eastAsia="宋体" w:hint="default"/>
        </w:rPr>
        <w:t>元。</w:t>
      </w:r>
    </w:p>
    <w:p>
      <w:pPr>
        <w:spacing w:after="0" w:line="338" w:lineRule="auto"/>
        <w:jc w:val="left"/>
        <w:rPr>
          <w:rFonts w:ascii="宋体" w:hAnsi="宋体" w:cs="宋体" w:eastAsia="宋体" w:hint="default"/>
        </w:rPr>
        <w:sectPr>
          <w:pgSz w:w="11910" w:h="16840"/>
          <w:pgMar w:header="555" w:footer="980" w:top="1100" w:bottom="1160" w:left="980" w:right="900"/>
        </w:sectPr>
      </w:pPr>
    </w:p>
    <w:p>
      <w:pPr>
        <w:spacing w:line="240" w:lineRule="auto" w:before="11"/>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371" w:type="dxa"/>
        <w:tblLayout w:type="fixed"/>
        <w:tblCellMar>
          <w:top w:w="0" w:type="dxa"/>
          <w:left w:w="0" w:type="dxa"/>
          <w:bottom w:w="0" w:type="dxa"/>
          <w:right w:w="0" w:type="dxa"/>
        </w:tblCellMar>
        <w:tblLook w:val="01E0"/>
      </w:tblPr>
      <w:tblGrid>
        <w:gridCol w:w="5101"/>
        <w:gridCol w:w="1906"/>
        <w:gridCol w:w="2187"/>
      </w:tblGrid>
      <w:tr>
        <w:trPr>
          <w:trHeight w:val="403" w:hRule="exact"/>
        </w:trPr>
        <w:tc>
          <w:tcPr>
            <w:tcW w:w="5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微型智能红外气体传感器及检测仪表项目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13,404.36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13,404.36</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年产五万支电化学及五万台气体传感器项目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10,913.16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10,913.16</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催化传感器及检测仪表项目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10,076.64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10,076.64</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多用途乘用车（政府奖励）</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87,920.88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87,920.88</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郑州市中小企业局奖励汉威东风轻型客车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辆</w:t>
            </w:r>
            <w:r>
              <w:rPr>
                <w:rFonts w:ascii="Times New Roman" w:hAnsi="Times New Roman" w:cs="Times New Roman" w:eastAsia="Times New Roman" w:hint="default"/>
                <w:sz w:val="18"/>
                <w:szCs w:val="18"/>
              </w:rPr>
              <w:t>,</w:t>
            </w:r>
            <w:r>
              <w:rPr>
                <w:rFonts w:ascii="宋体" w:hAnsi="宋体" w:cs="宋体" w:eastAsia="宋体" w:hint="default"/>
                <w:sz w:val="18"/>
                <w:szCs w:val="18"/>
              </w:rPr>
              <w:t>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A129HG</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17,499.00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17,499.00</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MEMS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技术的传感器件研发及产业化</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4,243,286.01</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红外智能气体传感器及检测仪器仪表</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基于物联网应用高性能气体传感器研发产业化</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257,142.86</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高精气体传感器技术改造及产业化</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3,710,000.00</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高温高压力传感器实用化开发研究</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461,538.46</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热释电红外敏感元件及检测仪表</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双光路气体探测技术煤矿安全监控系统</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533,333.36</w:t>
            </w: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热释电红外传感器及检测仪表产业化</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352,941.20</w:t>
            </w: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电化学传感器项目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275,000.00</w:t>
            </w: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基于物联网技术的网络传传器关键技术</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1,846,153.85</w:t>
            </w: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基于物联网技术的燃气行业信息管理系统研发及产业化</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1,846,153.85</w:t>
            </w: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热释电红外材料制备技术项目（郑高新区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年度产学研合作项</w:t>
            </w:r>
            <w:r>
              <w:rPr>
                <w:rFonts w:ascii="宋体" w:hAnsi="宋体" w:cs="宋体" w:eastAsia="宋体" w:hint="default"/>
                <w:sz w:val="18"/>
                <w:szCs w:val="18"/>
              </w:rPr>
              <w:t> 目）</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20,833.33</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PZT-MS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型热释电红外探测器产业化项目（省院科技合作项目）</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83,333.33</w:t>
            </w:r>
          </w:p>
        </w:tc>
      </w:tr>
      <w:tr>
        <w:trPr>
          <w:trHeight w:val="71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热释电红外敏感元件及检测仪表产业化（自主创新结构调整专项 资金）</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715"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工信部电子信息发展基金（双光路气体探测技术煤矿安全监控系 统）</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项目收益</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嵌入式中央空调计费管理及节能自控软件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（软件专项）</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53,882.00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48,622.32</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省企业技术中心补助费</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33,372.00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33,372.00</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CFP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系列中英空调计费系统</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769.56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4,933.41</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嵌入式中央空调计费管理及节能自控软件</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15,417.83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30,947.69</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嵌入式公共建筑能耗监测及节能自控系统</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53,867.72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53,867.64</w:t>
            </w:r>
          </w:p>
        </w:tc>
      </w:tr>
      <w:tr>
        <w:trPr>
          <w:trHeight w:val="40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Z(</w:t>
            </w:r>
            <w:r>
              <w:rPr>
                <w:rFonts w:ascii="宋体" w:hAnsi="宋体" w:cs="宋体" w:eastAsia="宋体" w:hint="default"/>
                <w:sz w:val="18"/>
                <w:szCs w:val="18"/>
              </w:rPr>
              <w:t>住宅</w:t>
            </w:r>
            <w:r>
              <w:rPr>
                <w:rFonts w:ascii="Times New Roman" w:hAnsi="Times New Roman" w:cs="Times New Roman" w:eastAsia="Times New Roman" w:hint="default"/>
                <w:sz w:val="18"/>
                <w:szCs w:val="18"/>
              </w:rPr>
              <w:t>)</w:t>
            </w:r>
            <w:r>
              <w:rPr>
                <w:rFonts w:ascii="宋体" w:hAnsi="宋体" w:cs="宋体" w:eastAsia="宋体" w:hint="default"/>
                <w:sz w:val="18"/>
                <w:szCs w:val="18"/>
              </w:rPr>
              <w:t>型当量空调表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06"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400,909.15</w:t>
            </w:r>
          </w:p>
        </w:tc>
      </w:tr>
      <w:tr>
        <w:trPr>
          <w:trHeight w:val="401" w:hRule="exact"/>
        </w:trPr>
        <w:tc>
          <w:tcPr>
            <w:tcW w:w="5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5,550,705.41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13,988,600.24</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rFonts w:ascii="Times New Roman" w:hAnsi="Times New Roman" w:cs="Times New Roman" w:eastAsia="Times New Roman" w:hint="default"/>
        </w:rPr>
        <w:t>23</w:t>
      </w:r>
      <w:r>
        <w:rPr/>
        <w:t>、其他非流动负债</w:t>
      </w:r>
      <w:r>
        <w:rPr>
          <w:b w:val="0"/>
          <w:bCs w:val="0"/>
        </w:rPr>
      </w:r>
    </w:p>
    <w:p>
      <w:pPr>
        <w:spacing w:line="240" w:lineRule="auto" w:before="9"/>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微型智能红外气体传感器及检测仪表项目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85,666.14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99,070.50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年产五万支电化学及五万台气体传感器项目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67,990.43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78,903.59</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催化传感器及检测仪表项目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62,676.61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72,753.25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多用途乘用车（政府奖励）</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590,876.70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678,797.58</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郑州市中小企业局奖励汉威东风轻型客车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辆</w:t>
            </w:r>
            <w:r>
              <w:rPr>
                <w:rFonts w:ascii="Times New Roman" w:hAnsi="Times New Roman" w:cs="Times New Roman" w:eastAsia="Times New Roman" w:hint="default"/>
                <w:sz w:val="18"/>
                <w:szCs w:val="18"/>
              </w:rPr>
              <w:t>, </w:t>
            </w:r>
            <w:r>
              <w:rPr>
                <w:rFonts w:ascii="宋体" w:hAnsi="宋体" w:cs="宋体" w:eastAsia="宋体" w:hint="default"/>
                <w:sz w:val="18"/>
                <w:szCs w:val="18"/>
              </w:rPr>
              <w:t>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A129HG</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144,827.25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162,326.25</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MEMS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技术的传感器件研发及产业化</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13,124.25</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嵌入式中央空调计费管理及节能自控软件</w:t>
            </w:r>
            <w:r>
              <w:rPr>
                <w:rFonts w:ascii="宋体" w:hAnsi="宋体" w:cs="宋体" w:eastAsia="宋体" w:hint="default"/>
                <w:spacing w:val="-44"/>
                <w:sz w:val="18"/>
                <w:szCs w:val="18"/>
              </w:rPr>
              <w:t> </w:t>
            </w: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（软</w:t>
            </w:r>
            <w:r>
              <w:rPr>
                <w:rFonts w:ascii="宋体" w:hAnsi="宋体" w:cs="宋体" w:eastAsia="宋体" w:hint="default"/>
                <w:sz w:val="18"/>
                <w:szCs w:val="18"/>
              </w:rPr>
              <w:t> 件专项）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101,048.41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154,930.41</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省企业技术中心补助费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145,661.97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179,033.97</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项目收益</w:t>
            </w:r>
            <w:r>
              <w:rPr>
                <w:rFonts w:ascii="Times New Roman" w:hAnsi="Times New Roman" w:cs="Times New Roman" w:eastAsia="Times New Roman" w:hint="default"/>
                <w:sz w:val="18"/>
                <w:szCs w:val="18"/>
              </w:rPr>
              <w:t>/CFP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系列中英空调计费系 统</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2,520.69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3,290.25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嵌入式中央空调计费管理及节能自控软件</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72,028.10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87,445.93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嵌入式公共建筑能耗监测及节能自控系统</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223,338.42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277,206.14</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1,496,634.72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1,806,882.12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7"/>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118,000,000.00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25</w:t>
      </w:r>
      <w:r>
        <w:rPr/>
        <w:t>、资本公积</w:t>
      </w:r>
      <w:r>
        <w:rPr>
          <w:b w:val="0"/>
          <w:bCs w:val="0"/>
        </w:rPr>
      </w:r>
    </w:p>
    <w:p>
      <w:pPr>
        <w:spacing w:line="240" w:lineRule="auto" w:before="7"/>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316,568,642.17</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316,568,642.17</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322,500.00</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316,583,842.17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307,300.00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316,891,142.17</w:t>
            </w:r>
          </w:p>
        </w:tc>
      </w:tr>
    </w:tbl>
    <w:p>
      <w:pPr>
        <w:pStyle w:val="BodyText"/>
        <w:spacing w:line="386" w:lineRule="auto" w:before="79"/>
        <w:ind w:left="513" w:right="0" w:firstLine="64"/>
        <w:jc w:val="left"/>
        <w:rPr>
          <w:rFonts w:ascii="宋体" w:hAnsi="宋体" w:cs="宋体" w:eastAsia="宋体" w:hint="default"/>
        </w:rPr>
      </w:pPr>
      <w:r>
        <w:rPr>
          <w:rFonts w:ascii="宋体" w:hAnsi="宋体" w:cs="宋体" w:eastAsia="宋体" w:hint="default"/>
        </w:rPr>
        <w:t>资本公积说明 </w:t>
      </w:r>
      <w:r>
        <w:rPr>
          <w:rFonts w:ascii="宋体" w:hAnsi="宋体" w:cs="宋体" w:eastAsia="宋体" w:hint="default"/>
          <w:spacing w:val="3"/>
        </w:rPr>
        <w:t>报告期资本公积增加数系报告期内公司实施股份支付按照授予日权益工具的公允价值确</w:t>
      </w:r>
    </w:p>
    <w:p>
      <w:pPr>
        <w:spacing w:after="0" w:line="386" w:lineRule="auto"/>
        <w:jc w:val="left"/>
        <w:rPr>
          <w:rFonts w:ascii="宋体" w:hAnsi="宋体" w:cs="宋体" w:eastAsia="宋体" w:hint="default"/>
        </w:rPr>
        <w:sectPr>
          <w:pgSz w:w="11910" w:h="16840"/>
          <w:pgMar w:header="555" w:footer="980" w:top="1100" w:bottom="1160" w:left="980" w:right="980"/>
        </w:sectPr>
      </w:pPr>
    </w:p>
    <w:p>
      <w:pPr>
        <w:spacing w:line="240" w:lineRule="auto" w:before="7"/>
        <w:rPr>
          <w:rFonts w:ascii="宋体" w:hAnsi="宋体" w:cs="宋体" w:eastAsia="宋体" w:hint="default"/>
          <w:sz w:val="25"/>
          <w:szCs w:val="25"/>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认的资本公积。</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rFonts w:ascii="Times New Roman" w:hAnsi="Times New Roman" w:cs="Times New Roman" w:eastAsia="Times New Roman" w:hint="default"/>
        </w:rPr>
        <w:t>26</w:t>
      </w:r>
      <w:r>
        <w:rPr/>
        <w:t>、盈余公积</w:t>
      </w:r>
      <w:r>
        <w:rPr>
          <w:b w:val="0"/>
          <w:bCs w:val="0"/>
        </w:rPr>
      </w:r>
    </w:p>
    <w:p>
      <w:pPr>
        <w:spacing w:line="240" w:lineRule="auto" w:before="9"/>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12,979,861.85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1,680,525.71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14,660,387.56</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12,979,861.85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1,680,525.71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14,660,387.56</w:t>
            </w:r>
          </w:p>
        </w:tc>
      </w:tr>
    </w:tbl>
    <w:p>
      <w:pPr>
        <w:pStyle w:val="BodyText"/>
        <w:spacing w:line="386" w:lineRule="auto" w:before="79"/>
        <w:ind w:left="580" w:right="709" w:hanging="3"/>
        <w:jc w:val="left"/>
        <w:rPr>
          <w:rFonts w:ascii="宋体" w:hAnsi="宋体" w:cs="宋体" w:eastAsia="宋体" w:hint="default"/>
        </w:rPr>
      </w:pPr>
      <w:r>
        <w:rPr>
          <w:rFonts w:ascii="宋体" w:hAnsi="宋体" w:cs="宋体" w:eastAsia="宋体" w:hint="default"/>
        </w:rPr>
        <w:t>盈余公积说明，用盈余公积转增股本、弥补亏损、分派股利的，应说明有关决议： 报告期内盈余公积增加数为本公司依据公司章程规定的计提数。</w:t>
      </w:r>
    </w:p>
    <w:p>
      <w:pPr>
        <w:spacing w:line="240" w:lineRule="auto" w:before="9"/>
        <w:rPr>
          <w:rFonts w:ascii="宋体" w:hAnsi="宋体" w:cs="宋体" w:eastAsia="宋体" w:hint="default"/>
          <w:sz w:val="17"/>
          <w:szCs w:val="17"/>
        </w:rPr>
      </w:pPr>
    </w:p>
    <w:p>
      <w:pPr>
        <w:pStyle w:val="Heading2"/>
        <w:spacing w:line="240" w:lineRule="auto"/>
        <w:ind w:right="0"/>
        <w:jc w:val="left"/>
        <w:rPr>
          <w:b w:val="0"/>
          <w:bCs w:val="0"/>
        </w:rPr>
      </w:pPr>
      <w:r>
        <w:rPr>
          <w:rFonts w:ascii="Times New Roman" w:hAnsi="Times New Roman" w:cs="Times New Roman" w:eastAsia="Times New Roman" w:hint="default"/>
        </w:rPr>
        <w:t>27</w:t>
      </w:r>
      <w:r>
        <w:rPr/>
        <w:t>、未分配利润</w:t>
      </w:r>
      <w:r>
        <w:rPr>
          <w:b w:val="0"/>
          <w:bCs w:val="0"/>
        </w:rPr>
      </w:r>
    </w:p>
    <w:p>
      <w:pPr>
        <w:spacing w:line="240" w:lineRule="auto" w:before="1"/>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125,297,011.02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125,297,011.02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47,339,574.86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1,680,525.71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159,156,060.17</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r>
        <w:rPr>
          <w:rFonts w:ascii="Times New Roman" w:hAnsi="Times New Roman" w:cs="Times New Roman" w:eastAsia="Times New Roman" w:hint="default"/>
        </w:rPr>
        <w:t>28</w:t>
      </w:r>
      <w:r>
        <w:rPr/>
        <w:t>、营业收入、营业成本</w:t>
      </w:r>
      <w:r>
        <w:rPr>
          <w:b w:val="0"/>
          <w:bCs w:val="0"/>
        </w:rPr>
      </w:r>
    </w:p>
    <w:p>
      <w:pPr>
        <w:spacing w:line="240" w:lineRule="auto" w:before="4"/>
        <w:rPr>
          <w:rFonts w:ascii="宋体" w:hAnsi="宋体" w:cs="宋体" w:eastAsia="宋体" w:hint="default"/>
          <w:b/>
          <w:bCs/>
          <w:sz w:val="33"/>
          <w:szCs w:val="33"/>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after="0" w:line="240" w:lineRule="auto"/>
        <w:jc w:val="left"/>
        <w:sectPr>
          <w:pgSz w:w="11910" w:h="16840"/>
          <w:pgMar w:header="555" w:footer="980" w:top="1100" w:bottom="1160" w:left="980" w:right="980"/>
        </w:sectPr>
      </w:pPr>
    </w:p>
    <w:p>
      <w:pPr>
        <w:spacing w:line="240" w:lineRule="auto" w:before="11"/>
        <w:rPr>
          <w:rFonts w:ascii="宋体" w:hAnsi="宋体" w:cs="宋体" w:eastAsia="宋体" w:hint="default"/>
          <w:b/>
          <w:bCs/>
          <w:sz w:val="27"/>
          <w:szCs w:val="2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256,234,233.79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253,866,269.68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8,257,294.69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7,444,947.95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125,237,759.71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117,137,158.63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256,234,233.79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118,854,104.06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253,866,269.68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110,440,569.72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256,234,233.79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118,854,104.06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253,866,269.68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110,440,569.72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29,530,880.05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14,531,172.20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36,199,217.69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18,244,010.93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气体检测仪器仪表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164,786,633.21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79,641,558.60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173,916,513.15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73,661,273.83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59,150,746.25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22,725,475.76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39,936,746.29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16,444,710.87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2,765,974.28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1,955,897.50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3,813,792.55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2,090,574.09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256,234,233.79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118,854,104.06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253,866,269.68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110,440,569.72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223,193,115.69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102,648,933.24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218,823,931.43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90,245,775.56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33,041,118.10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16,205,170.82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35,042,338.25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20,194,794.16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256,234,233.79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118,854,104.06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253,866,269.68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110,440,569.72</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65" w:type="dxa"/>
        <w:tblLayout w:type="fixed"/>
        <w:tblCellMar>
          <w:top w:w="0" w:type="dxa"/>
          <w:left w:w="0" w:type="dxa"/>
          <w:bottom w:w="0" w:type="dxa"/>
          <w:right w:w="0" w:type="dxa"/>
        </w:tblCellMar>
        <w:tblLook w:val="01E0"/>
      </w:tblPr>
      <w:tblGrid>
        <w:gridCol w:w="3263"/>
        <w:gridCol w:w="2652"/>
        <w:gridCol w:w="3490"/>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五矿邯邢矿业有限公司西石门铁矿</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8,006,341.81</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本溪北营钢铁（集团）股份有限公司</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5,319,123.18</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sc</w:t>
            </w:r>
            <w:r>
              <w:rPr>
                <w:rFonts w:ascii="Times New Roman"/>
                <w:spacing w:val="-5"/>
                <w:sz w:val="18"/>
              </w:rPr>
              <w:t> </w:t>
            </w:r>
            <w:r>
              <w:rPr>
                <w:rFonts w:ascii="Times New Roman"/>
                <w:sz w:val="18"/>
              </w:rPr>
              <w:t>hydropower</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5,048,030.89</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泰州市远东高科自动化工程有限公司</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4,469,248.18</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陕西格润科贸有限责任公司</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4,177,037.58</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27,019,781.64</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168,297.64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48,593.50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1,244,841.56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1,696,677.11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940,006.33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1,211,335.15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2,353,145.53</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2,956,605.76</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18,249,101.32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17,742,097.16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4,788,625.90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2,878,119.96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办公费、水电、电话及低耗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2,974,948.39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2,632,069.22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7,748,734.44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6,568,240.69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3,122,668.26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2,859,706.42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3,080,316.75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2,244,528.77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2,693,032.96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1,959,978.70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2,495,910.87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1,843,249.86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5,515,199.02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3,779,091.95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50,668,537.91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42,507,082.73</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13,608,954.34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9,742,604.99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2,685,455.07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2,639,915.41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653,202.85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524,164.20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折旧及无形资产摊销费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5,951,763.37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4,828,795.46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26,913,188.77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17,664,376.60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1,939,622.57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1,506,977.74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1,204,873.20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575,712.70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3,115,473.46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3,401,801.96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56,379,833.63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40,899,549.06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613,784.12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130,288.89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-5,596,112.38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-6,017,684.63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495,971.07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94,042.55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92,302.35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-4,903,202.95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-5,299,122.32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2,430,670.18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4,210,662.41</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2,430,670.18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4,210,662.41</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1,569.33</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1,569.33</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1,569.33</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1,569.33</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22,999,409.79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19,725,203.57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22,999,409.79</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1,240,000.00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1,240,000.00</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2,017.83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67,555.60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2,017.83</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24,242,996.95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19,792,759.17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24,242,996.95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097"/>
        <w:gridCol w:w="1416"/>
        <w:gridCol w:w="1277"/>
        <w:gridCol w:w="850"/>
      </w:tblGrid>
      <w:tr>
        <w:trPr>
          <w:trHeight w:val="401"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国家电子信息发展基金（基于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MEMS </w:t>
            </w:r>
            <w:r>
              <w:rPr>
                <w:rFonts w:ascii="宋体" w:hAnsi="宋体" w:cs="宋体" w:eastAsia="宋体" w:hint="default"/>
                <w:sz w:val="18"/>
                <w:szCs w:val="18"/>
              </w:rPr>
              <w:t>技术的传感器件研发及产业化）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4,256,410.26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1,743,589.74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工信部</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年物联网发展专项（红外智能气体传感器及检测仪器仪表）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年国家重点产业振兴技改专项（高精气体传感器技术改造及产业化）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3,710,000.00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中科院哈尔滨产业技术创新与育成专项资金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电化学气体传感器及检测仪 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热释电红外敏感元件及检测仪表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郑州市市长质量奖奖金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热释电红外敏感元件及检测仪表产业化（自主创新结构调整专项资金）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610,489.56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高新区管委会财政局经济突出贡献奖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技术研究与开发经费（</w:t>
            </w:r>
            <w:r>
              <w:rPr>
                <w:rFonts w:ascii="Times New Roman" w:hAnsi="Times New Roman" w:cs="Times New Roman" w:eastAsia="Times New Roman" w:hint="default"/>
                <w:sz w:val="18"/>
                <w:szCs w:val="18"/>
              </w:rPr>
              <w:t>MEMS </w:t>
            </w:r>
            <w:r>
              <w:rPr>
                <w:rFonts w:ascii="宋体" w:hAnsi="宋体" w:cs="宋体" w:eastAsia="宋体" w:hint="default"/>
                <w:sz w:val="18"/>
                <w:szCs w:val="18"/>
              </w:rPr>
              <w:t>高温高压力传感器实用化开发研究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461,538.46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38,461.54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中央空调能耗监测及节能自控管理系统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400,909.15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534,545.40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获得省级优势培育企业资助的奖励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w:t>
            </w:r>
            <w:r>
              <w:rPr>
                <w:rFonts w:ascii="宋体" w:hAnsi="宋体" w:cs="宋体" w:eastAsia="宋体" w:hint="default"/>
                <w:sz w:val="18"/>
                <w:szCs w:val="18"/>
              </w:rPr>
              <w:t>（住宅）型当量空调表产业化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双光路气体探测技术煤矿安全监控系统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266,666.64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郑州重大科技专项（基于物联网应用高性能气体传感器研发产业化）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257,142.86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42,857.14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高新区管委会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年度河南省省长质量奖奖励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高新区管委会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年度参与制定标准企业奖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097"/>
        <w:gridCol w:w="1416"/>
        <w:gridCol w:w="1277"/>
        <w:gridCol w:w="850"/>
      </w:tblGrid>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基于双光路气体探测技术的煤矿安全监控系统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基于物联网技术的网络传传器关键技术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153,846.15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基于物联网技术的燃气行业信息管理系统研发及产业化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153,846.15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热释电红外传感器及检测仪表产业化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147,058.80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年河南省名牌产品企业奖励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郑州市公务员局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年度省名牌奖金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高新区管委会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年度河南省著名商标企业奖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高新区管委会固定资产投资补贴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年度高成长企业奖励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分散式空调表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春泉及图形商标特殊荣誉奖励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1,181,501.76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11,155,749.75</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22,999,409.79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19,725,203.57</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112,902.06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1,022,756.22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112,902.06</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112,902.06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1,022,756.22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112,902.06</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资产报废、毁损损失</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8,318.08</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9,705.24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273,202.06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1,140,786.44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273,202.06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2,798,809.31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13,702,143.65</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1,768,507.94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-2,948,446.15</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4,567,317.25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10,753,697.50</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5053"/>
        <w:gridCol w:w="1611"/>
        <w:gridCol w:w="1460"/>
        <w:gridCol w:w="1428"/>
      </w:tblGrid>
      <w:tr>
        <w:trPr>
          <w:trHeight w:val="329" w:hRule="exact"/>
        </w:trPr>
        <w:tc>
          <w:tcPr>
            <w:tcW w:w="50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4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53"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4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36"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65" w:hRule="exact"/>
        </w:trPr>
        <w:tc>
          <w:tcPr>
            <w:tcW w:w="50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6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Times New Roman" w:hAnsi="Times New Roman" w:cs="Times New Roman" w:eastAsia="Times New Roman" w:hint="default"/>
                <w:sz w:val="18"/>
                <w:szCs w:val="18"/>
              </w:rPr>
            </w:pPr>
            <w:r>
              <w:rPr>
                <w:rFonts w:ascii="Times New Roman"/>
                <w:sz w:val="18"/>
              </w:rPr>
              <w:t>1</w:t>
            </w:r>
          </w:p>
        </w:tc>
        <w:tc>
          <w:tcPr>
            <w:tcW w:w="14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pacing w:val="-1"/>
                <w:sz w:val="18"/>
              </w:rPr>
              <w:t>47,339,574.86</w:t>
            </w:r>
          </w:p>
        </w:tc>
        <w:tc>
          <w:tcPr>
            <w:tcW w:w="14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spacing w:val="-1"/>
                <w:sz w:val="18"/>
              </w:rPr>
              <w:t>64,641,439.37</w:t>
            </w:r>
          </w:p>
        </w:tc>
      </w:tr>
      <w:tr>
        <w:trPr>
          <w:trHeight w:val="65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6"/>
                <w:sz w:val="18"/>
                <w:szCs w:val="18"/>
              </w:rPr>
              <w:t>扣除所得税影响后归属于母公司普通股股东净利润的非经常性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18,980,664.05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15,197,208.39</w:t>
            </w: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扣除非经常性损益后的归属于本公司普通股股东的净利润</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3=1-2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28,358,910.81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49,444,230.98</w:t>
            </w:r>
          </w:p>
        </w:tc>
      </w:tr>
      <w:tr>
        <w:trPr>
          <w:trHeight w:val="346"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118,000,000.00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报告期因公积金转增股本或股票股利分配等增加的股份数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53"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5053"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sz w:val="18"/>
              </w:rPr>
              <w:t>6</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6"/>
                <w:sz w:val="18"/>
                <w:szCs w:val="18"/>
              </w:rPr>
              <w:t>发行新股或债转股等增加股份下一月份起至报告期年末的月份</w:t>
            </w:r>
            <w:r>
              <w:rPr>
                <w:rFonts w:ascii="宋体" w:hAnsi="宋体" w:cs="宋体" w:eastAsia="宋体" w:hint="default"/>
                <w:sz w:val="18"/>
                <w:szCs w:val="18"/>
              </w:rPr>
              <w:t> 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7</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8</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9</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11</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w:t>
            </w:r>
          </w:p>
        </w:tc>
      </w:tr>
      <w:tr>
        <w:trPr>
          <w:trHeight w:val="65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发行在外的普通股加权平均数（Ⅱ）</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÷11-8×9÷11-10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118,000,000.00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118,000,000.00</w:t>
            </w:r>
          </w:p>
        </w:tc>
      </w:tr>
      <w:tr>
        <w:trPr>
          <w:trHeight w:val="660"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6"/>
                <w:sz w:val="18"/>
                <w:szCs w:val="18"/>
              </w:rPr>
              <w:t>因同一控制下企业合并而调整的发行在外的普通股加权平均数</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13</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14=1÷13</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0.40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0.55</w:t>
            </w:r>
          </w:p>
        </w:tc>
      </w:tr>
      <w:tr>
        <w:trPr>
          <w:trHeight w:val="346"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扣除非经常性损益后每股收益（Ⅱ）</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15=3÷12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0.24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0.42</w:t>
            </w: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已确认为费用的稀释性潜在普通股利息及其他影响因素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16</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17</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18</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可转换公司债券、认股权证、股份期权等转换或行权而增加的股 份数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19</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20=[1+(16-18)×</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(100%-17)]÷(13+19)</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0.40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0.55</w:t>
            </w:r>
          </w:p>
        </w:tc>
      </w:tr>
      <w:tr>
        <w:trPr>
          <w:trHeight w:val="972" w:hRule="exact"/>
        </w:trPr>
        <w:tc>
          <w:tcPr>
            <w:tcW w:w="5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扣除非经常性损益后的稀释每股收益（Ⅱ）</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21=[3+(16-18)</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×(100%-17)]÷(12+19</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0.24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0.42</w:t>
            </w:r>
          </w:p>
        </w:tc>
      </w:tr>
    </w:tbl>
    <w:p>
      <w:pPr>
        <w:pStyle w:val="BodyText"/>
        <w:spacing w:line="357" w:lineRule="auto" w:before="39"/>
        <w:ind w:left="573" w:right="5170"/>
        <w:jc w:val="left"/>
        <w:rPr>
          <w:rFonts w:ascii="新宋体" w:hAnsi="新宋体" w:cs="新宋体" w:eastAsia="新宋体" w:hint="default"/>
        </w:rPr>
      </w:pPr>
      <w:r>
        <w:rPr/>
        <w:t>基本每股收益</w:t>
      </w:r>
      <w:r>
        <w:rPr>
          <w:rFonts w:ascii="新宋体" w:hAnsi="新宋体" w:cs="新宋体" w:eastAsia="新宋体" w:hint="default"/>
        </w:rPr>
        <w:t>=P0</w:t>
      </w:r>
      <w:r>
        <w:rPr/>
        <w:t>÷</w:t>
      </w:r>
      <w:r>
        <w:rPr>
          <w:rFonts w:ascii="新宋体" w:hAnsi="新宋体" w:cs="新宋体" w:eastAsia="新宋体" w:hint="default"/>
        </w:rPr>
        <w:t>S S=S0</w:t>
      </w:r>
      <w:r>
        <w:rPr/>
        <w:t>＋</w:t>
      </w:r>
      <w:r>
        <w:rPr>
          <w:rFonts w:ascii="新宋体" w:hAnsi="新宋体" w:cs="新宋体" w:eastAsia="新宋体" w:hint="default"/>
        </w:rPr>
        <w:t>S1</w:t>
      </w:r>
      <w:r>
        <w:rPr/>
        <w:t>＋</w:t>
      </w:r>
      <w:r>
        <w:rPr>
          <w:rFonts w:ascii="新宋体" w:hAnsi="新宋体" w:cs="新宋体" w:eastAsia="新宋体" w:hint="default"/>
        </w:rPr>
        <w:t>Si</w:t>
      </w:r>
      <w:r>
        <w:rPr/>
        <w:t>×</w:t>
      </w:r>
      <w:r>
        <w:rPr>
          <w:rFonts w:ascii="新宋体" w:hAnsi="新宋体" w:cs="新宋体" w:eastAsia="新宋体" w:hint="default"/>
        </w:rPr>
        <w:t>Mi</w:t>
      </w:r>
      <w:r>
        <w:rPr/>
        <w:t>÷</w:t>
      </w:r>
      <w:r>
        <w:rPr>
          <w:rFonts w:ascii="新宋体" w:hAnsi="新宋体" w:cs="新宋体" w:eastAsia="新宋体" w:hint="default"/>
        </w:rPr>
        <w:t>M0</w:t>
      </w:r>
      <w:r>
        <w:rPr/>
        <w:t>–</w:t>
      </w:r>
      <w:r>
        <w:rPr>
          <w:rFonts w:ascii="新宋体" w:hAnsi="新宋体" w:cs="新宋体" w:eastAsia="新宋体" w:hint="default"/>
        </w:rPr>
        <w:t>Sj</w:t>
      </w:r>
      <w:r>
        <w:rPr/>
        <w:t>×</w:t>
      </w:r>
      <w:r>
        <w:rPr>
          <w:rFonts w:ascii="新宋体" w:hAnsi="新宋体" w:cs="新宋体" w:eastAsia="新宋体" w:hint="default"/>
        </w:rPr>
        <w:t>Mj</w:t>
      </w:r>
      <w:r>
        <w:rPr/>
        <w:t>÷</w:t>
      </w:r>
      <w:r>
        <w:rPr>
          <w:rFonts w:ascii="新宋体" w:hAnsi="新宋体" w:cs="新宋体" w:eastAsia="新宋体" w:hint="default"/>
        </w:rPr>
        <w:t>M0-Sk</w:t>
      </w:r>
    </w:p>
    <w:p>
      <w:pPr>
        <w:pStyle w:val="BodyText"/>
        <w:spacing w:line="240" w:lineRule="auto"/>
        <w:ind w:left="573" w:right="0"/>
        <w:jc w:val="left"/>
      </w:pPr>
      <w:r>
        <w:rPr>
          <w:spacing w:val="2"/>
        </w:rPr>
        <w:t>其中：</w:t>
      </w:r>
      <w:r>
        <w:rPr>
          <w:rFonts w:ascii="新宋体" w:hAnsi="新宋体" w:cs="新宋体" w:eastAsia="新宋体" w:hint="default"/>
          <w:spacing w:val="2"/>
        </w:rPr>
        <w:t>P0</w:t>
      </w:r>
      <w:r>
        <w:rPr>
          <w:spacing w:val="2"/>
        </w:rPr>
        <w:t>为归属于公司普通股股东的净利润或扣除非经常性损益后归属于普通股股东的</w:t>
      </w:r>
    </w:p>
    <w:p>
      <w:pPr>
        <w:spacing w:after="0" w:line="240" w:lineRule="auto"/>
        <w:jc w:val="left"/>
        <w:sectPr>
          <w:pgSz w:w="11910" w:h="16840"/>
          <w:pgMar w:header="555" w:footer="980" w:top="1100" w:bottom="1160" w:left="980" w:right="980"/>
        </w:sectPr>
      </w:pPr>
    </w:p>
    <w:p>
      <w:pPr>
        <w:spacing w:line="240" w:lineRule="auto" w:before="7"/>
        <w:rPr>
          <w:rFonts w:ascii="新宋体" w:hAnsi="新宋体" w:cs="新宋体" w:eastAsia="新宋体" w:hint="default"/>
          <w:sz w:val="25"/>
          <w:szCs w:val="25"/>
        </w:rPr>
      </w:pPr>
    </w:p>
    <w:p>
      <w:pPr>
        <w:pStyle w:val="BodyText"/>
        <w:spacing w:line="357" w:lineRule="auto" w:before="26"/>
        <w:ind w:right="229"/>
        <w:jc w:val="both"/>
      </w:pPr>
      <w:r>
        <w:rPr>
          <w:spacing w:val="-2"/>
        </w:rPr>
        <w:t>净利润；</w:t>
      </w:r>
      <w:r>
        <w:rPr>
          <w:rFonts w:ascii="新宋体" w:hAnsi="新宋体" w:cs="新宋体" w:eastAsia="新宋体" w:hint="default"/>
          <w:spacing w:val="-2"/>
        </w:rPr>
        <w:t>S</w:t>
      </w:r>
      <w:r>
        <w:rPr>
          <w:spacing w:val="-2"/>
        </w:rPr>
        <w:t>为发行在外的普通股加权平均数；</w:t>
      </w:r>
      <w:r>
        <w:rPr>
          <w:rFonts w:ascii="新宋体" w:hAnsi="新宋体" w:cs="新宋体" w:eastAsia="新宋体" w:hint="default"/>
          <w:spacing w:val="-2"/>
        </w:rPr>
        <w:t>S0</w:t>
      </w:r>
      <w:r>
        <w:rPr>
          <w:spacing w:val="-2"/>
        </w:rPr>
        <w:t>为期初股份总数；</w:t>
      </w:r>
      <w:r>
        <w:rPr>
          <w:rFonts w:ascii="新宋体" w:hAnsi="新宋体" w:cs="新宋体" w:eastAsia="新宋体" w:hint="default"/>
          <w:spacing w:val="-2"/>
        </w:rPr>
        <w:t>S1</w:t>
      </w:r>
      <w:r>
        <w:rPr>
          <w:spacing w:val="-2"/>
        </w:rPr>
        <w:t>为报告期因公积金转增股</w:t>
      </w:r>
      <w:r>
        <w:rPr>
          <w:spacing w:val="-112"/>
        </w:rPr>
        <w:t> </w:t>
      </w:r>
      <w:r>
        <w:rPr/>
        <w:t>本或股票股利分配等增加股份数；</w:t>
      </w:r>
      <w:r>
        <w:rPr>
          <w:rFonts w:ascii="新宋体" w:hAnsi="新宋体" w:cs="新宋体" w:eastAsia="新宋体" w:hint="default"/>
        </w:rPr>
        <w:t>Si</w:t>
      </w:r>
      <w:r>
        <w:rPr/>
        <w:t>为报告期因发行新股或债转股等增加股份数；</w:t>
      </w:r>
      <w:r>
        <w:rPr>
          <w:rFonts w:ascii="新宋体" w:hAnsi="新宋体" w:cs="新宋体" w:eastAsia="新宋体" w:hint="default"/>
        </w:rPr>
        <w:t>Sj</w:t>
      </w:r>
      <w:r>
        <w:rPr/>
        <w:t>为报告</w:t>
      </w:r>
      <w:r>
        <w:rPr>
          <w:spacing w:val="-87"/>
        </w:rPr>
        <w:t> </w:t>
      </w:r>
      <w:r>
        <w:rPr>
          <w:spacing w:val="-87"/>
        </w:rPr>
      </w:r>
      <w:r>
        <w:rPr/>
        <w:t>期因回购等减少股份数；</w:t>
      </w:r>
      <w:r>
        <w:rPr>
          <w:rFonts w:ascii="新宋体" w:hAnsi="新宋体" w:cs="新宋体" w:eastAsia="新宋体" w:hint="default"/>
        </w:rPr>
        <w:t>Sk</w:t>
      </w:r>
      <w:r>
        <w:rPr/>
        <w:t>为报告期缩股数；</w:t>
      </w:r>
      <w:r>
        <w:rPr>
          <w:rFonts w:ascii="新宋体" w:hAnsi="新宋体" w:cs="新宋体" w:eastAsia="新宋体" w:hint="default"/>
        </w:rPr>
        <w:t>M0</w:t>
      </w:r>
      <w:r>
        <w:rPr/>
        <w:t>报告期月份数；</w:t>
      </w:r>
      <w:r>
        <w:rPr>
          <w:rFonts w:ascii="新宋体" w:hAnsi="新宋体" w:cs="新宋体" w:eastAsia="新宋体" w:hint="default"/>
        </w:rPr>
        <w:t>Mi</w:t>
      </w:r>
      <w:r>
        <w:rPr/>
        <w:t>为增加股份次月起至报告</w:t>
      </w:r>
      <w:r>
        <w:rPr>
          <w:spacing w:val="-89"/>
        </w:rPr>
        <w:t> </w:t>
      </w:r>
      <w:r>
        <w:rPr>
          <w:spacing w:val="-89"/>
        </w:rPr>
      </w:r>
      <w:r>
        <w:rPr/>
        <w:t>期期末的累计月数；</w:t>
      </w:r>
      <w:r>
        <w:rPr>
          <w:rFonts w:ascii="新宋体" w:hAnsi="新宋体" w:cs="新宋体" w:eastAsia="新宋体" w:hint="default"/>
        </w:rPr>
        <w:t>Mj</w:t>
      </w:r>
      <w:r>
        <w:rPr/>
        <w:t>为减少股份次月起至报告期期末的累计月数。</w:t>
      </w:r>
    </w:p>
    <w:p>
      <w:pPr>
        <w:pStyle w:val="BodyText"/>
        <w:spacing w:line="357" w:lineRule="auto"/>
        <w:ind w:right="307" w:firstLine="427"/>
        <w:jc w:val="left"/>
        <w:rPr>
          <w:rFonts w:ascii="新宋体" w:hAnsi="新宋体" w:cs="新宋体" w:eastAsia="新宋体" w:hint="default"/>
        </w:rPr>
      </w:pPr>
      <w:r>
        <w:rPr/>
        <w:t>稀释每股收益</w:t>
      </w:r>
      <w:r>
        <w:rPr>
          <w:rFonts w:ascii="新宋体" w:hAnsi="新宋体" w:cs="新宋体" w:eastAsia="新宋体" w:hint="default"/>
        </w:rPr>
        <w:t>=P1/(S0</w:t>
      </w:r>
      <w:r>
        <w:rPr/>
        <w:t>＋</w:t>
      </w:r>
      <w:r>
        <w:rPr>
          <w:rFonts w:ascii="新宋体" w:hAnsi="新宋体" w:cs="新宋体" w:eastAsia="新宋体" w:hint="default"/>
        </w:rPr>
        <w:t>S1</w:t>
      </w:r>
      <w:r>
        <w:rPr/>
        <w:t>＋</w:t>
      </w:r>
      <w:r>
        <w:rPr>
          <w:rFonts w:ascii="新宋体" w:hAnsi="新宋体" w:cs="新宋体" w:eastAsia="新宋体" w:hint="default"/>
        </w:rPr>
        <w:t>Si</w:t>
      </w:r>
      <w:r>
        <w:rPr/>
        <w:t>×</w:t>
      </w:r>
      <w:r>
        <w:rPr>
          <w:rFonts w:ascii="新宋体" w:hAnsi="新宋体" w:cs="新宋体" w:eastAsia="新宋体" w:hint="default"/>
        </w:rPr>
        <w:t>Mi</w:t>
      </w:r>
      <w:r>
        <w:rPr/>
        <w:t>÷</w:t>
      </w:r>
      <w:r>
        <w:rPr>
          <w:rFonts w:ascii="新宋体" w:hAnsi="新宋体" w:cs="新宋体" w:eastAsia="新宋体" w:hint="default"/>
        </w:rPr>
        <w:t>M0</w:t>
      </w:r>
      <w:r>
        <w:rPr/>
        <w:t>–</w:t>
      </w:r>
      <w:r>
        <w:rPr>
          <w:rFonts w:ascii="新宋体" w:hAnsi="新宋体" w:cs="新宋体" w:eastAsia="新宋体" w:hint="default"/>
        </w:rPr>
        <w:t>Sj</w:t>
      </w:r>
      <w:r>
        <w:rPr/>
        <w:t>×</w:t>
      </w:r>
      <w:r>
        <w:rPr>
          <w:rFonts w:ascii="新宋体" w:hAnsi="新宋体" w:cs="新宋体" w:eastAsia="新宋体" w:hint="default"/>
        </w:rPr>
        <w:t>Mj</w:t>
      </w:r>
      <w:r>
        <w:rPr/>
        <w:t>÷</w:t>
      </w:r>
      <w:r>
        <w:rPr>
          <w:rFonts w:ascii="新宋体" w:hAnsi="新宋体" w:cs="新宋体" w:eastAsia="新宋体" w:hint="default"/>
        </w:rPr>
        <w:t>M0</w:t>
      </w:r>
      <w:r>
        <w:rPr/>
        <w:t>–</w:t>
      </w:r>
      <w:r>
        <w:rPr>
          <w:rFonts w:ascii="新宋体" w:hAnsi="新宋体" w:cs="新宋体" w:eastAsia="新宋体" w:hint="default"/>
        </w:rPr>
        <w:t>Sk+</w:t>
      </w:r>
      <w:r>
        <w:rPr/>
        <w:t>认股权证、股份期权、可转 换债券等增加的普通股加权平均数</w:t>
      </w:r>
      <w:r>
        <w:rPr>
          <w:rFonts w:ascii="新宋体" w:hAnsi="新宋体" w:cs="新宋体" w:eastAsia="新宋体" w:hint="default"/>
        </w:rPr>
        <w:t>)</w:t>
      </w:r>
    </w:p>
    <w:p>
      <w:pPr>
        <w:pStyle w:val="BodyText"/>
        <w:spacing w:line="357" w:lineRule="auto"/>
        <w:ind w:right="96" w:firstLine="427"/>
        <w:jc w:val="left"/>
      </w:pPr>
      <w:r>
        <w:rPr/>
        <w:t>其中，</w:t>
      </w:r>
      <w:r>
        <w:rPr>
          <w:rFonts w:ascii="新宋体" w:hAnsi="新宋体" w:cs="新宋体" w:eastAsia="新宋体" w:hint="default"/>
        </w:rPr>
        <w:t>P1</w:t>
      </w:r>
      <w:r>
        <w:rPr/>
        <w:t>为归属于公司普通股股东的净利润或扣除非经常性损益后归属于公司普通股股 </w:t>
      </w:r>
      <w:r>
        <w:rPr>
          <w:spacing w:val="-2"/>
        </w:rPr>
        <w:t>东的净利润，并考虑稀释性潜在普通股对其影响，按《企业会计准则》及有关规定进行调整。</w:t>
      </w:r>
      <w:r>
        <w:rPr/>
        <w:t> 公司在计算稀释每股收益时，应考虑所有稀释性潜在普通股对归属于公司普通股股东的净利 润或扣除非经常性损益后归属于公司普通股股东的净利润和加权平均股数的影响，按照其稀 释程度从大到小的顺序计入稀释每股收益，直至稀释每股收益达到最小值。</w:t>
      </w:r>
    </w:p>
    <w:p>
      <w:pPr>
        <w:spacing w:line="240" w:lineRule="auto" w:before="11"/>
        <w:rPr>
          <w:rFonts w:ascii="新宋体" w:hAnsi="新宋体" w:cs="新宋体" w:eastAsia="新宋体" w:hint="default"/>
          <w:sz w:val="19"/>
          <w:szCs w:val="19"/>
        </w:rPr>
      </w:pPr>
    </w:p>
    <w:p>
      <w:pPr>
        <w:spacing w:line="441" w:lineRule="auto" w:before="0"/>
        <w:ind w:left="578" w:right="7927" w:hanging="42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38</w:t>
      </w:r>
      <w:r>
        <w:rPr>
          <w:rFonts w:ascii="宋体" w:hAnsi="宋体" w:cs="宋体" w:eastAsia="宋体" w:hint="default"/>
          <w:b/>
          <w:bCs/>
          <w:sz w:val="24"/>
          <w:szCs w:val="24"/>
        </w:rPr>
        <w:t>、其他综合收益</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2"/>
        <w:spacing w:line="240" w:lineRule="auto" w:before="96"/>
        <w:ind w:right="0"/>
        <w:jc w:val="both"/>
        <w:rPr>
          <w:b w:val="0"/>
          <w:bCs w:val="0"/>
        </w:rPr>
      </w:pPr>
      <w:r>
        <w:rPr>
          <w:rFonts w:ascii="Times New Roman" w:hAnsi="Times New Roman" w:cs="Times New Roman" w:eastAsia="Times New Roman" w:hint="default"/>
        </w:rPr>
        <w:t>39</w:t>
      </w:r>
      <w:r>
        <w:rPr/>
        <w:t>、现金流量表附注</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right="0"/>
        <w:jc w:val="both"/>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5"/>
          <w:szCs w:val="25"/>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13,638,778.00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6,687,139.64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5,596,112.38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收回投标保证金</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1,241,217.83</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27,163,247.85</w:t>
            </w:r>
          </w:p>
        </w:tc>
      </w:tr>
    </w:tbl>
    <w:p>
      <w:pPr>
        <w:spacing w:line="240" w:lineRule="auto" w:before="3"/>
        <w:rPr>
          <w:rFonts w:ascii="宋体" w:hAnsi="宋体" w:cs="宋体" w:eastAsia="宋体" w:hint="default"/>
          <w:sz w:val="19"/>
          <w:szCs w:val="19"/>
        </w:rPr>
      </w:pPr>
    </w:p>
    <w:p>
      <w:pPr>
        <w:spacing w:before="36"/>
        <w:ind w:left="152" w:right="10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12,539,826.56</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0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30,050,833.70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6,332,316.74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87,911.13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855,856.81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49,866,744.94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退回土地开发费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收购日子公司现金余额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741,733.91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25,741,733.91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股利支付手续费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13,380.89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13,380.89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51,727,262.11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66,797,556.59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2,430,670.18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4,210,662.41</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5,829,212.75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4,774,695.21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3,500,232.98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2,569,835.25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204,999.29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124,065.96</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111,332.73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1,022,756.22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613,784.12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130,288.89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1,958,135.48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-2,841,116.22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-189,627.54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-199,967.90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-11,948,000.38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-19,516,713.46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-19,579,397.01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-65,240,007.77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-9,220,711.64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31,870,464.18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352,321.02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25,437,893.07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24,054,840.38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213,337,933.61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260,147,364.63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260,147,364.63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356,556,467.15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-46,809,431.02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-96,409,102.52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）本报告期取得或处置子公司及其他营业单位的相关信息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213,337,933.61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260,147,364.63</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487,969.82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335,735.83</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212,849,963.79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259,811,628.80</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213,337,933.61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260,147,364.63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555" w:footer="980" w:top="1100" w:bottom="1160" w:left="980" w:right="980"/>
        </w:sectPr>
      </w:pPr>
    </w:p>
    <w:p>
      <w:pPr>
        <w:spacing w:line="240" w:lineRule="auto" w:before="9"/>
        <w:rPr>
          <w:rFonts w:ascii="宋体" w:hAnsi="宋体" w:cs="宋体" w:eastAsia="宋体" w:hint="default"/>
          <w:sz w:val="19"/>
          <w:szCs w:val="19"/>
        </w:rPr>
      </w:pPr>
      <w:r>
        <w:rPr/>
        <w:pict>
          <v:shape style="position:absolute;margin-left:321.77301pt;margin-top:697.779968pt;width:71.55pt;height:15.6pt;mso-position-horizontal-relative:page;mso-position-vertical-relative:page;z-index:-9469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生产、</w:t>
                  </w:r>
                </w:p>
              </w:txbxContent>
            </v:textbox>
            <w10:wrap type="none"/>
          </v:shape>
        </w:pict>
      </w:r>
    </w:p>
    <w:p>
      <w:pPr>
        <w:pStyle w:val="Heading2"/>
        <w:spacing w:line="240" w:lineRule="auto" w:before="26"/>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958"/>
        <w:gridCol w:w="958"/>
        <w:gridCol w:w="956"/>
        <w:gridCol w:w="960"/>
        <w:gridCol w:w="958"/>
        <w:gridCol w:w="958"/>
        <w:gridCol w:w="955"/>
        <w:gridCol w:w="958"/>
        <w:gridCol w:w="955"/>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65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both"/>
              <w:rPr>
                <w:rFonts w:ascii="宋体" w:hAnsi="宋体" w:cs="宋体" w:eastAsia="宋体" w:hint="default"/>
                <w:sz w:val="18"/>
                <w:szCs w:val="18"/>
              </w:rPr>
            </w:pPr>
            <w:r>
              <w:rPr>
                <w:rFonts w:ascii="宋体" w:hAnsi="宋体" w:cs="宋体" w:eastAsia="宋体" w:hint="default"/>
                <w:sz w:val="18"/>
                <w:szCs w:val="18"/>
              </w:rPr>
              <w:t>郑州炜盛电 子科技有限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陈凌飞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敏感元件、 传感器、检 测控制仪表 开发生产销 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749233631</w:t>
            </w:r>
          </w:p>
        </w:tc>
      </w:tr>
      <w:tr>
        <w:trPr>
          <w:trHeight w:val="16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both"/>
              <w:rPr>
                <w:rFonts w:ascii="宋体" w:hAnsi="宋体" w:cs="宋体" w:eastAsia="宋体" w:hint="default"/>
                <w:sz w:val="18"/>
                <w:szCs w:val="18"/>
              </w:rPr>
            </w:pPr>
            <w:r>
              <w:rPr>
                <w:rFonts w:ascii="宋体" w:hAnsi="宋体" w:cs="宋体" w:eastAsia="宋体" w:hint="default"/>
                <w:sz w:val="18"/>
                <w:szCs w:val="18"/>
              </w:rPr>
              <w:t>郑州创威煤 安科技有限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赵金领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煤矿安全监 控、检测仪 表的生产、 销售及售后 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791925471</w:t>
            </w:r>
          </w:p>
        </w:tc>
      </w:tr>
      <w:tr>
        <w:trPr>
          <w:trHeight w:val="321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z w:val="18"/>
                <w:szCs w:val="18"/>
              </w:rPr>
              <w:t>郑州春泉暖 通节能设备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中央空调计 费系统、节 能自控管理 系统、建筑 能耗监测系 统及楼宇智 能管理系统 的研发、生 产、销售及 技术服务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740738326</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z w:val="18"/>
                <w:szCs w:val="18"/>
              </w:rPr>
              <w:t>沈阳汉威科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报警器材、 红外测温仪 的研发与销 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55531276-1</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北京智威宇 讯科技有限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金贵新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技术推广、 自主经营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55688384-9</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上海中威天 安公共安全 科技有限公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杨昌再</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公共安全设 备及器材的 研发、销售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58683899-3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哈尔滨盈江 科技有限公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王玉江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研发、 销售电子传 感器及</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47.4pt;height:15.6pt;mso-position-horizontal-relative:char;mso-position-vertical-relative:line" coordorigin="0,0" coordsize="948,312">
                  <v:group style="position:absolute;left:0;top:0;width:948;height:312" coordorigin="0,0" coordsize="948,312">
                    <v:shape style="position:absolute;left:0;top:0;width:948;height:312" coordorigin="0,0" coordsize="948,312" path="m0,312l948,312,94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412.24 </w:t>
            </w:r>
            <w:r>
              <w:rPr>
                <w:rFonts w:ascii="宋体" w:hAnsi="宋体" w:cs="宋体" w:eastAsia="宋体" w:hint="default"/>
                <w:sz w:val="18"/>
                <w:szCs w:val="18"/>
              </w:rPr>
              <w:t>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571911377</w:t>
            </w:r>
          </w:p>
        </w:tc>
      </w:tr>
    </w:tbl>
    <w:p>
      <w:pPr>
        <w:spacing w:after="0" w:line="240" w:lineRule="auto"/>
        <w:jc w:val="lef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九、股份支付</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3995"/>
        <w:gridCol w:w="5574"/>
      </w:tblGrid>
      <w:tr>
        <w:trPr>
          <w:trHeight w:val="401"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2,740,400</w:t>
            </w:r>
          </w:p>
        </w:tc>
      </w:tr>
      <w:tr>
        <w:trPr>
          <w:trHeight w:val="715"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行权价格：</w:t>
            </w:r>
            <w:r>
              <w:rPr>
                <w:rFonts w:ascii="Times New Roman" w:hAnsi="Times New Roman" w:cs="Times New Roman" w:eastAsia="Times New Roman" w:hint="default"/>
                <w:sz w:val="18"/>
                <w:szCs w:val="18"/>
              </w:rPr>
              <w:t>20.15 </w:t>
            </w:r>
            <w:r>
              <w:rPr>
                <w:rFonts w:ascii="宋体" w:hAnsi="宋体" w:cs="宋体" w:eastAsia="宋体" w:hint="default"/>
                <w:sz w:val="18"/>
                <w:szCs w:val="18"/>
              </w:rPr>
              <w:t>元，合同剩余期限为：</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71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87"/>
        <w:ind w:left="513" w:right="0" w:firstLine="0"/>
        <w:jc w:val="left"/>
        <w:rPr>
          <w:rFonts w:ascii="宋体" w:hAnsi="宋体" w:cs="宋体" w:eastAsia="宋体" w:hint="default"/>
          <w:sz w:val="18"/>
          <w:szCs w:val="18"/>
        </w:rPr>
      </w:pPr>
      <w:r>
        <w:rPr>
          <w:rFonts w:ascii="宋体" w:hAnsi="宋体" w:cs="宋体" w:eastAsia="宋体" w:hint="default"/>
          <w:sz w:val="18"/>
          <w:szCs w:val="18"/>
        </w:rPr>
        <w:t>期权成本摊销情况的见下表：</w:t>
      </w:r>
    </w:p>
    <w:p>
      <w:pPr>
        <w:spacing w:line="240" w:lineRule="auto" w:before="2"/>
        <w:rPr>
          <w:rFonts w:ascii="宋体" w:hAnsi="宋体" w:cs="宋体" w:eastAsia="宋体" w:hint="default"/>
          <w:sz w:val="11"/>
          <w:szCs w:val="11"/>
        </w:rPr>
      </w:pPr>
    </w:p>
    <w:tbl>
      <w:tblPr>
        <w:tblW w:w="0" w:type="auto"/>
        <w:jc w:val="left"/>
        <w:tblInd w:w="169" w:type="dxa"/>
        <w:tblLayout w:type="fixed"/>
        <w:tblCellMar>
          <w:top w:w="0" w:type="dxa"/>
          <w:left w:w="0" w:type="dxa"/>
          <w:bottom w:w="0" w:type="dxa"/>
          <w:right w:w="0" w:type="dxa"/>
        </w:tblCellMar>
        <w:tblLook w:val="01E0"/>
      </w:tblPr>
      <w:tblGrid>
        <w:gridCol w:w="1932"/>
        <w:gridCol w:w="1328"/>
        <w:gridCol w:w="1186"/>
        <w:gridCol w:w="1402"/>
        <w:gridCol w:w="1327"/>
        <w:gridCol w:w="1124"/>
        <w:gridCol w:w="1289"/>
      </w:tblGrid>
      <w:tr>
        <w:trPr>
          <w:trHeight w:val="839" w:hRule="exact"/>
        </w:trPr>
        <w:tc>
          <w:tcPr>
            <w:tcW w:w="1932" w:type="dxa"/>
            <w:tcBorders>
              <w:top w:val="single" w:sz="8" w:space="0" w:color="000000"/>
              <w:left w:val="single" w:sz="8" w:space="0" w:color="000000"/>
              <w:bottom w:val="single" w:sz="6" w:space="0" w:color="000000"/>
              <w:right w:val="single" w:sz="6" w:space="0" w:color="000000"/>
            </w:tcBorders>
            <w:shd w:val="clear" w:color="auto" w:fill="D9D9D9"/>
          </w:tcPr>
          <w:p>
            <w:pPr>
              <w:pStyle w:val="TableParagraph"/>
              <w:spacing w:line="240" w:lineRule="auto" w:before="88"/>
              <w:ind w:left="595" w:right="0"/>
              <w:jc w:val="left"/>
              <w:rPr>
                <w:rFonts w:ascii="宋体" w:hAnsi="宋体" w:cs="宋体" w:eastAsia="宋体" w:hint="default"/>
                <w:sz w:val="18"/>
                <w:szCs w:val="18"/>
              </w:rPr>
            </w:pPr>
            <w:r>
              <w:rPr>
                <w:rFonts w:ascii="宋体" w:hAnsi="宋体" w:cs="宋体" w:eastAsia="宋体" w:hint="default"/>
                <w:sz w:val="18"/>
                <w:szCs w:val="18"/>
              </w:rPr>
              <w:t>期权份额</w:t>
            </w:r>
          </w:p>
          <w:p>
            <w:pPr>
              <w:pStyle w:val="TableParagraph"/>
              <w:spacing w:line="240" w:lineRule="auto" w:before="115"/>
              <w:ind w:left="595" w:right="0"/>
              <w:jc w:val="left"/>
              <w:rPr>
                <w:rFonts w:ascii="宋体" w:hAnsi="宋体" w:cs="宋体" w:eastAsia="宋体" w:hint="default"/>
                <w:sz w:val="18"/>
                <w:szCs w:val="18"/>
              </w:rPr>
            </w:pPr>
            <w:r>
              <w:rPr>
                <w:rFonts w:ascii="宋体" w:hAnsi="宋体" w:cs="宋体" w:eastAsia="宋体" w:hint="default"/>
                <w:sz w:val="18"/>
                <w:szCs w:val="18"/>
              </w:rPr>
              <w:t>（万份）</w:t>
            </w:r>
          </w:p>
        </w:tc>
        <w:tc>
          <w:tcPr>
            <w:tcW w:w="1328"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9"/>
                <w:sz w:val="18"/>
                <w:szCs w:val="18"/>
              </w:rPr>
              <w:t>期权价值（元）</w:t>
            </w:r>
          </w:p>
        </w:tc>
        <w:tc>
          <w:tcPr>
            <w:tcW w:w="1186"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7"/>
              <w:ind w:left="225" w:right="0"/>
              <w:jc w:val="left"/>
              <w:rPr>
                <w:rFonts w:ascii="宋体" w:hAnsi="宋体" w:cs="宋体" w:eastAsia="宋体" w:hint="default"/>
                <w:sz w:val="18"/>
                <w:szCs w:val="18"/>
              </w:rPr>
            </w:pPr>
            <w:r>
              <w:rPr>
                <w:rFonts w:ascii="宋体" w:hAnsi="宋体" w:cs="宋体" w:eastAsia="宋体" w:hint="default"/>
                <w:sz w:val="18"/>
                <w:szCs w:val="18"/>
              </w:rPr>
              <w:t>期权成本</w:t>
            </w:r>
          </w:p>
          <w:p>
            <w:pPr>
              <w:pStyle w:val="TableParagraph"/>
              <w:spacing w:line="240" w:lineRule="auto" w:before="76"/>
              <w:ind w:left="22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02"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3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27"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1"/>
              <w:ind w:left="2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4"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1"/>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89" w:type="dxa"/>
            <w:tcBorders>
              <w:top w:val="single" w:sz="8" w:space="0" w:color="000000"/>
              <w:left w:val="single" w:sz="6" w:space="0" w:color="000000"/>
              <w:bottom w:val="single" w:sz="6" w:space="0" w:color="000000"/>
              <w:right w:val="single" w:sz="8" w:space="0" w:color="000000"/>
            </w:tcBorders>
            <w:shd w:val="clear" w:color="auto" w:fill="D9D9D9"/>
          </w:tcPr>
          <w:p>
            <w:pPr>
              <w:pStyle w:val="TableParagraph"/>
              <w:spacing w:line="240" w:lineRule="auto" w:before="88"/>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1"/>
              <w:ind w:left="27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526" w:hRule="exact"/>
        </w:trPr>
        <w:tc>
          <w:tcPr>
            <w:tcW w:w="1932" w:type="dxa"/>
            <w:tcBorders>
              <w:top w:val="single" w:sz="6" w:space="0" w:color="000000"/>
              <w:left w:val="single" w:sz="8" w:space="0" w:color="000000"/>
              <w:bottom w:val="single" w:sz="8" w:space="0" w:color="000000"/>
              <w:right w:val="single" w:sz="6" w:space="0" w:color="000000"/>
            </w:tcBorders>
          </w:tcPr>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263.4</w:t>
            </w:r>
          </w:p>
        </w:tc>
        <w:tc>
          <w:tcPr>
            <w:tcW w:w="132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0.44</w:t>
            </w:r>
          </w:p>
        </w:tc>
        <w:tc>
          <w:tcPr>
            <w:tcW w:w="11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48"/>
              <w:ind w:left="343" w:right="0"/>
              <w:jc w:val="left"/>
              <w:rPr>
                <w:rFonts w:ascii="Times New Roman" w:hAnsi="Times New Roman" w:cs="Times New Roman" w:eastAsia="Times New Roman" w:hint="default"/>
                <w:sz w:val="18"/>
                <w:szCs w:val="18"/>
              </w:rPr>
            </w:pPr>
            <w:r>
              <w:rPr>
                <w:rFonts w:ascii="Times New Roman"/>
                <w:sz w:val="18"/>
              </w:rPr>
              <w:t>115.08</w:t>
            </w:r>
          </w:p>
        </w:tc>
        <w:tc>
          <w:tcPr>
            <w:tcW w:w="14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w:t>
            </w:r>
          </w:p>
        </w:tc>
        <w:tc>
          <w:tcPr>
            <w:tcW w:w="13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30.73</w:t>
            </w:r>
          </w:p>
        </w:tc>
        <w:tc>
          <w:tcPr>
            <w:tcW w:w="11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36.53</w:t>
            </w:r>
          </w:p>
        </w:tc>
        <w:tc>
          <w:tcPr>
            <w:tcW w:w="128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46.56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采用国际通行的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模型来计算期权的公允价值</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8"/>
              <w:jc w:val="both"/>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在等待期内的每个资产负债表日，根据最新取得的可行权职 工人数变动等后续信息做出最佳估计，修正预计可行权的权 益工具数量。</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1,150,800</w:t>
            </w:r>
          </w:p>
        </w:tc>
      </w:tr>
    </w:tbl>
    <w:p>
      <w:pPr>
        <w:spacing w:line="240" w:lineRule="auto" w:before="4"/>
        <w:rPr>
          <w:rFonts w:ascii="宋体" w:hAnsi="宋体" w:cs="宋体" w:eastAsia="宋体" w:hint="default"/>
          <w:sz w:val="19"/>
          <w:szCs w:val="19"/>
        </w:rPr>
      </w:pPr>
    </w:p>
    <w:p>
      <w:pPr>
        <w:pStyle w:val="BodyText"/>
        <w:spacing w:line="386" w:lineRule="auto" w:before="26"/>
        <w:ind w:left="633" w:right="173" w:firstLine="4"/>
        <w:jc w:val="left"/>
      </w:pPr>
      <w:r>
        <w:rPr/>
        <w:t>以权益结算的股份支付的说明： 根据《企业会计准则第</w:t>
      </w:r>
      <w:r>
        <w:rPr>
          <w:rFonts w:ascii="新宋体" w:hAnsi="新宋体" w:cs="新宋体" w:eastAsia="新宋体" w:hint="default"/>
        </w:rPr>
        <w:t>11</w:t>
      </w:r>
      <w:r>
        <w:rPr/>
        <w:t>号——股份支付》和《企业会计准则第</w:t>
      </w:r>
      <w:r>
        <w:rPr>
          <w:rFonts w:ascii="新宋体" w:hAnsi="新宋体" w:cs="新宋体" w:eastAsia="新宋体" w:hint="default"/>
        </w:rPr>
        <w:t>22</w:t>
      </w:r>
      <w:r>
        <w:rPr/>
        <w:t>号——金融工具确认</w:t>
      </w:r>
    </w:p>
    <w:p>
      <w:pPr>
        <w:pStyle w:val="BodyText"/>
        <w:spacing w:line="357" w:lineRule="auto" w:before="7"/>
        <w:ind w:right="151"/>
        <w:jc w:val="both"/>
      </w:pPr>
      <w:r>
        <w:rPr/>
        <w:t>和计量》的规定，需要选择适当的估值模型对股票期权的公允价值进行计算。股票期权的公</w:t>
      </w:r>
      <w:hyperlink r:id="rId41">
        <w:r>
          <w:rPr/>
          <w:t> 允价值指的是股票期权价格</w:t>
        </w:r>
      </w:hyperlink>
      <w:r>
        <w:rPr/>
        <w:t>中反映行权价格与市场价格之间的关系的那部分价值，即一定时</w:t>
      </w:r>
      <w:r>
        <w:rPr/>
        <w:t> </w:t>
      </w:r>
      <w:r>
        <w:rPr>
          <w:spacing w:val="-2"/>
        </w:rPr>
        <w:t>期内股票价格波动因素与期权收益的内在联系。通常采用国际通行的</w:t>
      </w:r>
      <w:r>
        <w:rPr>
          <w:rFonts w:ascii="新宋体" w:hAnsi="新宋体" w:cs="新宋体" w:eastAsia="新宋体" w:hint="default"/>
          <w:spacing w:val="-2"/>
        </w:rPr>
        <w:t>Black-Scholes</w:t>
      </w:r>
      <w:r>
        <w:rPr>
          <w:spacing w:val="-2"/>
        </w:rPr>
        <w:t>模型来计</w:t>
      </w:r>
      <w:r>
        <w:rPr>
          <w:spacing w:val="-107"/>
        </w:rPr>
        <w:t> </w:t>
      </w:r>
      <w:r>
        <w:rPr/>
        <w:t>算期权的公允价值。对汉威电子</w:t>
      </w:r>
      <w:r>
        <w:rPr>
          <w:rFonts w:ascii="新宋体" w:hAnsi="新宋体" w:cs="新宋体" w:eastAsia="新宋体" w:hint="default"/>
        </w:rPr>
        <w:t>2011</w:t>
      </w:r>
      <w:r>
        <w:rPr/>
        <w:t>年</w:t>
      </w:r>
      <w:r>
        <w:rPr>
          <w:rFonts w:ascii="新宋体" w:hAnsi="新宋体" w:cs="新宋体" w:eastAsia="新宋体" w:hint="default"/>
        </w:rPr>
        <w:t>12</w:t>
      </w:r>
      <w:r>
        <w:rPr/>
        <w:t>月</w:t>
      </w:r>
      <w:r>
        <w:rPr>
          <w:rFonts w:ascii="新宋体" w:hAnsi="新宋体" w:cs="新宋体" w:eastAsia="新宋体" w:hint="default"/>
        </w:rPr>
        <w:t>14</w:t>
      </w:r>
      <w:r>
        <w:rPr/>
        <w:t>日授予的股票期权的公允价值进行测算：公司 每份股票期权价值为</w:t>
      </w:r>
      <w:r>
        <w:rPr>
          <w:rFonts w:ascii="新宋体" w:hAnsi="新宋体" w:cs="新宋体" w:eastAsia="新宋体" w:hint="default"/>
        </w:rPr>
        <w:t>0.44</w:t>
      </w:r>
      <w:r>
        <w:rPr/>
        <w:t>元，授予的</w:t>
      </w:r>
      <w:r>
        <w:rPr>
          <w:rFonts w:ascii="新宋体" w:hAnsi="新宋体" w:cs="新宋体" w:eastAsia="新宋体" w:hint="default"/>
        </w:rPr>
        <w:t>263.4</w:t>
      </w:r>
      <w:r>
        <w:rPr/>
        <w:t>万份股票期权总价值为</w:t>
      </w:r>
      <w:r>
        <w:rPr>
          <w:rFonts w:ascii="新宋体" w:hAnsi="新宋体" w:cs="新宋体" w:eastAsia="新宋体" w:hint="default"/>
        </w:rPr>
        <w:t>115.08</w:t>
      </w:r>
      <w:r>
        <w:rPr/>
        <w:t>万元。</w:t>
      </w:r>
    </w:p>
    <w:p>
      <w:pPr>
        <w:spacing w:after="0" w:line="357" w:lineRule="auto"/>
        <w:jc w:val="both"/>
        <w:sectPr>
          <w:pgSz w:w="11910" w:h="16840"/>
          <w:pgMar w:header="555" w:footer="980" w:top="1100" w:bottom="1160" w:left="980" w:right="980"/>
        </w:sectPr>
      </w:pPr>
    </w:p>
    <w:p>
      <w:pPr>
        <w:spacing w:line="240" w:lineRule="auto" w:before="7"/>
        <w:rPr>
          <w:rFonts w:ascii="新宋体" w:hAnsi="新宋体" w:cs="新宋体" w:eastAsia="新宋体" w:hint="default"/>
          <w:sz w:val="25"/>
          <w:szCs w:val="25"/>
        </w:rPr>
      </w:pPr>
    </w:p>
    <w:p>
      <w:pPr>
        <w:pStyle w:val="BodyText"/>
        <w:spacing w:line="240" w:lineRule="auto" w:before="26"/>
        <w:ind w:left="633" w:right="105"/>
        <w:jc w:val="left"/>
      </w:pPr>
      <w:r>
        <w:rPr/>
        <w:t>具体测算方法如下：</w:t>
      </w:r>
    </w:p>
    <w:p>
      <w:pPr>
        <w:pStyle w:val="BodyText"/>
        <w:spacing w:line="240" w:lineRule="auto" w:before="154"/>
        <w:ind w:left="633" w:right="105"/>
        <w:jc w:val="left"/>
      </w:pPr>
      <w:r>
        <w:rPr/>
        <w:t>采用国际通行的</w:t>
      </w:r>
      <w:r>
        <w:rPr>
          <w:rFonts w:ascii="新宋体" w:hAnsi="新宋体" w:cs="新宋体" w:eastAsia="新宋体" w:hint="default"/>
        </w:rPr>
        <w:t>Black-Scholes</w:t>
      </w:r>
      <w:r>
        <w:rPr/>
        <w:t>模型计算公司股票期权的价值，具体计算公式如下：</w:t>
      </w:r>
    </w:p>
    <w:p>
      <w:pPr>
        <w:spacing w:line="240" w:lineRule="auto" w:before="6"/>
        <w:rPr>
          <w:rFonts w:ascii="新宋体" w:hAnsi="新宋体" w:cs="新宋体" w:eastAsia="新宋体" w:hint="default"/>
          <w:sz w:val="18"/>
          <w:szCs w:val="18"/>
        </w:rPr>
      </w:pPr>
    </w:p>
    <w:p>
      <w:pPr>
        <w:spacing w:line="679" w:lineRule="exact"/>
        <w:ind w:left="1113" w:right="0" w:firstLine="0"/>
        <w:rPr>
          <w:rFonts w:ascii="新宋体" w:hAnsi="新宋体" w:cs="新宋体" w:eastAsia="新宋体" w:hint="default"/>
          <w:sz w:val="20"/>
          <w:szCs w:val="20"/>
        </w:rPr>
      </w:pPr>
      <w:r>
        <w:rPr>
          <w:rFonts w:ascii="新宋体" w:hAnsi="新宋体" w:cs="新宋体" w:eastAsia="新宋体" w:hint="default"/>
          <w:position w:val="-13"/>
          <w:sz w:val="20"/>
          <w:szCs w:val="20"/>
        </w:rPr>
        <w:drawing>
          <wp:inline distT="0" distB="0" distL="0" distR="0">
            <wp:extent cx="3722569" cy="431482"/>
            <wp:effectExtent l="0" t="0" r="0" b="0"/>
            <wp:docPr id="79" name="image17.png" descr=""/>
            <wp:cNvGraphicFramePr>
              <a:graphicFrameLocks noChangeAspect="1"/>
            </wp:cNvGraphicFramePr>
            <a:graphic>
              <a:graphicData uri="http://schemas.openxmlformats.org/drawingml/2006/picture">
                <pic:pic>
                  <pic:nvPicPr>
                    <pic:cNvPr id="80" name="image17.png"/>
                    <pic:cNvPicPr/>
                  </pic:nvPicPr>
                  <pic:blipFill>
                    <a:blip r:embed="rId42" cstate="print"/>
                    <a:stretch>
                      <a:fillRect/>
                    </a:stretch>
                  </pic:blipFill>
                  <pic:spPr>
                    <a:xfrm>
                      <a:off x="0" y="0"/>
                      <a:ext cx="3722569" cy="431482"/>
                    </a:xfrm>
                    <a:prstGeom prst="rect">
                      <a:avLst/>
                    </a:prstGeom>
                  </pic:spPr>
                </pic:pic>
              </a:graphicData>
            </a:graphic>
          </wp:inline>
        </w:drawing>
      </w:r>
      <w:r>
        <w:rPr>
          <w:rFonts w:ascii="新宋体" w:hAnsi="新宋体" w:cs="新宋体" w:eastAsia="新宋体" w:hint="default"/>
          <w:position w:val="-13"/>
          <w:sz w:val="20"/>
          <w:szCs w:val="20"/>
        </w:rPr>
      </w:r>
    </w:p>
    <w:p>
      <w:pPr>
        <w:spacing w:line="240" w:lineRule="auto" w:before="0"/>
        <w:rPr>
          <w:rFonts w:ascii="新宋体" w:hAnsi="新宋体" w:cs="新宋体" w:eastAsia="新宋体" w:hint="default"/>
          <w:sz w:val="11"/>
          <w:szCs w:val="11"/>
        </w:rPr>
      </w:pPr>
    </w:p>
    <w:p>
      <w:pPr>
        <w:spacing w:line="2154" w:lineRule="exact"/>
        <w:ind w:left="153" w:right="0" w:firstLine="0"/>
        <w:rPr>
          <w:rFonts w:ascii="新宋体" w:hAnsi="新宋体" w:cs="新宋体" w:eastAsia="新宋体" w:hint="default"/>
          <w:sz w:val="20"/>
          <w:szCs w:val="20"/>
        </w:rPr>
      </w:pPr>
      <w:r>
        <w:rPr>
          <w:rFonts w:ascii="新宋体" w:hAnsi="新宋体" w:cs="新宋体" w:eastAsia="新宋体" w:hint="default"/>
          <w:position w:val="-42"/>
          <w:sz w:val="20"/>
          <w:szCs w:val="20"/>
        </w:rPr>
        <w:drawing>
          <wp:inline distT="0" distB="0" distL="0" distR="0">
            <wp:extent cx="3146285" cy="1368171"/>
            <wp:effectExtent l="0" t="0" r="0" b="0"/>
            <wp:docPr id="81" name="image18.png" descr=""/>
            <wp:cNvGraphicFramePr>
              <a:graphicFrameLocks noChangeAspect="1"/>
            </wp:cNvGraphicFramePr>
            <a:graphic>
              <a:graphicData uri="http://schemas.openxmlformats.org/drawingml/2006/picture">
                <pic:pic>
                  <pic:nvPicPr>
                    <pic:cNvPr id="82" name="image18.png"/>
                    <pic:cNvPicPr/>
                  </pic:nvPicPr>
                  <pic:blipFill>
                    <a:blip r:embed="rId43" cstate="print"/>
                    <a:stretch>
                      <a:fillRect/>
                    </a:stretch>
                  </pic:blipFill>
                  <pic:spPr>
                    <a:xfrm>
                      <a:off x="0" y="0"/>
                      <a:ext cx="3146285" cy="1368171"/>
                    </a:xfrm>
                    <a:prstGeom prst="rect">
                      <a:avLst/>
                    </a:prstGeom>
                  </pic:spPr>
                </pic:pic>
              </a:graphicData>
            </a:graphic>
          </wp:inline>
        </w:drawing>
      </w:r>
      <w:r>
        <w:rPr>
          <w:rFonts w:ascii="新宋体" w:hAnsi="新宋体" w:cs="新宋体" w:eastAsia="新宋体" w:hint="default"/>
          <w:position w:val="-42"/>
          <w:sz w:val="20"/>
          <w:szCs w:val="20"/>
        </w:rPr>
      </w:r>
    </w:p>
    <w:p>
      <w:pPr>
        <w:pStyle w:val="BodyText"/>
        <w:spacing w:line="357" w:lineRule="auto" w:before="56"/>
        <w:ind w:right="101" w:firstLine="480"/>
        <w:jc w:val="left"/>
      </w:pPr>
      <w:r>
        <w:rPr/>
        <w:t>标的股</w:t>
      </w:r>
      <w:r>
        <w:rPr>
          <w:spacing w:val="-10"/>
        </w:rPr>
        <w:t>价</w:t>
      </w:r>
      <w:r>
        <w:rPr/>
        <w:t>（</w:t>
      </w:r>
      <w:r>
        <w:rPr>
          <w:rFonts w:ascii="新宋体" w:hAnsi="新宋体" w:cs="新宋体" w:eastAsia="新宋体" w:hint="default"/>
          <w:spacing w:val="-1"/>
        </w:rPr>
        <w:t>S</w:t>
      </w:r>
      <w:r>
        <w:rPr>
          <w:spacing w:val="-120"/>
        </w:rPr>
        <w:t>）</w:t>
      </w:r>
      <w:r>
        <w:rPr>
          <w:spacing w:val="-10"/>
        </w:rPr>
        <w:t>，</w:t>
      </w:r>
      <w:r>
        <w:rPr/>
        <w:t>行权</w:t>
      </w:r>
      <w:r>
        <w:rPr>
          <w:spacing w:val="-10"/>
        </w:rPr>
        <w:t>价</w:t>
      </w:r>
      <w:r>
        <w:rPr/>
        <w:t>（</w:t>
      </w:r>
      <w:r>
        <w:rPr>
          <w:rFonts w:ascii="新宋体" w:hAnsi="新宋体" w:cs="新宋体" w:eastAsia="新宋体" w:hint="default"/>
        </w:rPr>
        <w:t>K</w:t>
      </w:r>
      <w:r>
        <w:rPr>
          <w:spacing w:val="-120"/>
        </w:rPr>
        <w:t>）</w:t>
      </w:r>
      <w:r>
        <w:rPr>
          <w:spacing w:val="-10"/>
        </w:rPr>
        <w:t>，</w:t>
      </w:r>
      <w:r>
        <w:rPr/>
        <w:t>无风险利</w:t>
      </w:r>
      <w:r>
        <w:rPr>
          <w:spacing w:val="-10"/>
        </w:rPr>
        <w:t>率</w:t>
      </w:r>
      <w:r>
        <w:rPr/>
        <w:t>（</w:t>
      </w:r>
      <w:r>
        <w:rPr>
          <w:rFonts w:ascii="新宋体" w:hAnsi="新宋体" w:cs="新宋体" w:eastAsia="新宋体" w:hint="default"/>
        </w:rPr>
        <w:t>r</w:t>
      </w:r>
      <w:r>
        <w:rPr>
          <w:spacing w:val="-118"/>
        </w:rPr>
        <w:t>）</w:t>
      </w:r>
      <w:r>
        <w:rPr>
          <w:spacing w:val="-10"/>
        </w:rPr>
        <w:t>，</w:t>
      </w:r>
      <w:r>
        <w:rPr/>
        <w:t>期权有效</w:t>
      </w:r>
      <w:r>
        <w:rPr>
          <w:spacing w:val="-10"/>
        </w:rPr>
        <w:t>期</w:t>
      </w:r>
      <w:r>
        <w:rPr/>
        <w:t>（</w:t>
      </w:r>
      <w:r>
        <w:rPr>
          <w:rFonts w:ascii="新宋体" w:hAnsi="新宋体" w:cs="新宋体" w:eastAsia="新宋体" w:hint="default"/>
        </w:rPr>
        <w:t>t</w:t>
      </w:r>
      <w:r>
        <w:rPr>
          <w:spacing w:val="-120"/>
        </w:rPr>
        <w:t>）</w:t>
      </w:r>
      <w:r>
        <w:rPr>
          <w:spacing w:val="-10"/>
        </w:rPr>
        <w:t>、</w:t>
      </w:r>
      <w:r>
        <w:rPr>
          <w:spacing w:val="2"/>
        </w:rPr>
        <w:t>标</w:t>
      </w:r>
      <w:r>
        <w:rPr/>
        <w:t>的股票波动</w:t>
      </w:r>
      <w:r>
        <w:rPr>
          <w:spacing w:val="-10"/>
        </w:rPr>
        <w:t>率</w:t>
      </w:r>
      <w:r>
        <w:rPr/>
        <w:t>（σ）</w:t>
      </w:r>
      <w:r>
        <w:rPr/>
        <w:t> 以及标的股票的股息率（</w:t>
      </w:r>
      <w:r>
        <w:rPr>
          <w:rFonts w:ascii="新宋体" w:hAnsi="新宋体" w:cs="新宋体" w:eastAsia="新宋体" w:hint="default"/>
        </w:rPr>
        <w:t>i</w:t>
      </w:r>
      <w:r>
        <w:rPr>
          <w:spacing w:val="-120"/>
        </w:rPr>
        <w:t>）。</w:t>
      </w:r>
      <w:r>
        <w:rPr/>
      </w:r>
    </w:p>
    <w:p>
      <w:pPr>
        <w:pStyle w:val="BodyText"/>
        <w:spacing w:line="388" w:lineRule="auto"/>
        <w:ind w:right="6734" w:firstLine="480"/>
        <w:jc w:val="left"/>
        <w:rPr>
          <w:rFonts w:ascii="新宋体" w:hAnsi="新宋体" w:cs="新宋体" w:eastAsia="新宋体" w:hint="default"/>
        </w:rPr>
      </w:pPr>
      <w:r>
        <w:rPr/>
        <w:t>计算过程说明如下： 标的股票波动率</w:t>
      </w:r>
      <w:r>
        <w:rPr>
          <w:rFonts w:ascii="新宋体" w:hAnsi="新宋体" w:cs="新宋体" w:eastAsia="新宋体" w:hint="default"/>
        </w:rPr>
        <w:t>(</w:t>
      </w:r>
      <w:r>
        <w:rPr/>
        <w:t>σ</w:t>
      </w:r>
      <w:r>
        <w:rPr>
          <w:rFonts w:ascii="新宋体" w:hAnsi="新宋体" w:cs="新宋体" w:eastAsia="新宋体" w:hint="default"/>
        </w:rPr>
        <w:t>)</w:t>
      </w:r>
      <w:r>
        <w:rPr/>
        <w:t>：</w:t>
      </w:r>
      <w:r>
        <w:rPr>
          <w:rFonts w:ascii="新宋体" w:hAnsi="新宋体" w:cs="新宋体" w:eastAsia="新宋体" w:hint="default"/>
        </w:rPr>
        <w:t>25.24%</w:t>
      </w:r>
    </w:p>
    <w:p>
      <w:pPr>
        <w:pStyle w:val="BodyText"/>
        <w:spacing w:line="357" w:lineRule="auto" w:before="43"/>
        <w:ind w:left="633" w:right="1093"/>
        <w:jc w:val="left"/>
      </w:pPr>
      <w:r>
        <w:rPr/>
        <w:t>计算波动率时选取的时间区间为</w:t>
      </w:r>
      <w:r>
        <w:rPr>
          <w:rFonts w:ascii="新宋体" w:hAnsi="新宋体" w:cs="新宋体" w:eastAsia="新宋体" w:hint="default"/>
        </w:rPr>
        <w:t>2009</w:t>
      </w:r>
      <w:r>
        <w:rPr/>
        <w:t>年</w:t>
      </w:r>
      <w:r>
        <w:rPr>
          <w:rFonts w:ascii="新宋体" w:hAnsi="新宋体" w:cs="新宋体" w:eastAsia="新宋体" w:hint="default"/>
        </w:rPr>
        <w:t>12</w:t>
      </w:r>
      <w:r>
        <w:rPr/>
        <w:t>月</w:t>
      </w:r>
      <w:r>
        <w:rPr>
          <w:rFonts w:ascii="新宋体" w:hAnsi="新宋体" w:cs="新宋体" w:eastAsia="新宋体" w:hint="default"/>
        </w:rPr>
        <w:t>7</w:t>
      </w:r>
      <w:r>
        <w:rPr/>
        <w:t>日到</w:t>
      </w:r>
      <w:r>
        <w:rPr>
          <w:rFonts w:ascii="新宋体" w:hAnsi="新宋体" w:cs="新宋体" w:eastAsia="新宋体" w:hint="default"/>
        </w:rPr>
        <w:t>2011</w:t>
      </w:r>
      <w:r>
        <w:rPr/>
        <w:t>年</w:t>
      </w:r>
      <w:r>
        <w:rPr>
          <w:rFonts w:ascii="新宋体" w:hAnsi="新宋体" w:cs="新宋体" w:eastAsia="新宋体" w:hint="default"/>
        </w:rPr>
        <w:t>12</w:t>
      </w:r>
      <w:r>
        <w:rPr/>
        <w:t>月</w:t>
      </w:r>
      <w:r>
        <w:rPr>
          <w:rFonts w:ascii="新宋体" w:hAnsi="新宋体" w:cs="新宋体" w:eastAsia="新宋体" w:hint="default"/>
        </w:rPr>
        <w:t>14</w:t>
      </w:r>
      <w:r>
        <w:rPr/>
        <w:t>日中小板综指。 计算方法：</w:t>
      </w:r>
    </w:p>
    <w:p>
      <w:pPr>
        <w:spacing w:line="240" w:lineRule="auto" w:before="4"/>
        <w:rPr>
          <w:rFonts w:ascii="新宋体" w:hAnsi="新宋体" w:cs="新宋体" w:eastAsia="新宋体" w:hint="default"/>
          <w:sz w:val="8"/>
          <w:szCs w:val="8"/>
        </w:rPr>
      </w:pPr>
    </w:p>
    <w:p>
      <w:pPr>
        <w:spacing w:line="2263" w:lineRule="exact"/>
        <w:ind w:left="660" w:right="0" w:firstLine="0"/>
        <w:rPr>
          <w:rFonts w:ascii="新宋体" w:hAnsi="新宋体" w:cs="新宋体" w:eastAsia="新宋体" w:hint="default"/>
          <w:sz w:val="20"/>
          <w:szCs w:val="20"/>
        </w:rPr>
      </w:pPr>
      <w:r>
        <w:rPr>
          <w:rFonts w:ascii="新宋体" w:hAnsi="新宋体" w:cs="新宋体" w:eastAsia="新宋体" w:hint="default"/>
          <w:position w:val="-44"/>
          <w:sz w:val="20"/>
          <w:szCs w:val="20"/>
        </w:rPr>
        <w:drawing>
          <wp:inline distT="0" distB="0" distL="0" distR="0">
            <wp:extent cx="5440137" cy="1437513"/>
            <wp:effectExtent l="0" t="0" r="0" b="0"/>
            <wp:docPr id="83" name="image19.jpeg" descr=""/>
            <wp:cNvGraphicFramePr>
              <a:graphicFrameLocks noChangeAspect="1"/>
            </wp:cNvGraphicFramePr>
            <a:graphic>
              <a:graphicData uri="http://schemas.openxmlformats.org/drawingml/2006/picture">
                <pic:pic>
                  <pic:nvPicPr>
                    <pic:cNvPr id="84" name="image19.jpeg"/>
                    <pic:cNvPicPr/>
                  </pic:nvPicPr>
                  <pic:blipFill>
                    <a:blip r:embed="rId44" cstate="print"/>
                    <a:stretch>
                      <a:fillRect/>
                    </a:stretch>
                  </pic:blipFill>
                  <pic:spPr>
                    <a:xfrm>
                      <a:off x="0" y="0"/>
                      <a:ext cx="5440137" cy="1437513"/>
                    </a:xfrm>
                    <a:prstGeom prst="rect">
                      <a:avLst/>
                    </a:prstGeom>
                  </pic:spPr>
                </pic:pic>
              </a:graphicData>
            </a:graphic>
          </wp:inline>
        </w:drawing>
      </w:r>
      <w:r>
        <w:rPr>
          <w:rFonts w:ascii="新宋体" w:hAnsi="新宋体" w:cs="新宋体" w:eastAsia="新宋体" w:hint="default"/>
          <w:position w:val="-44"/>
          <w:sz w:val="20"/>
          <w:szCs w:val="20"/>
        </w:rPr>
      </w:r>
    </w:p>
    <w:p>
      <w:pPr>
        <w:pStyle w:val="BodyText"/>
        <w:spacing w:line="357" w:lineRule="auto" w:before="161"/>
        <w:ind w:left="633" w:right="1513"/>
        <w:jc w:val="left"/>
      </w:pPr>
      <w:r>
        <w:rPr>
          <w:spacing w:val="-4"/>
        </w:rPr>
        <w:t>上面算出的是日波动率，需要进行年化（</w:t>
      </w:r>
      <w:r>
        <w:rPr>
          <w:rFonts w:ascii="新宋体" w:hAnsi="新宋体" w:cs="新宋体" w:eastAsia="新宋体" w:hint="default"/>
          <w:spacing w:val="-4"/>
        </w:rPr>
        <w:t>annualized</w:t>
      </w:r>
      <w:r>
        <w:rPr>
          <w:spacing w:val="-4"/>
        </w:rPr>
        <w:t>），得到年波动率</w:t>
      </w:r>
      <w:r>
        <w:rPr>
          <w:spacing w:val="-96"/>
        </w:rPr>
        <w:t> </w:t>
      </w:r>
      <w:r>
        <w:rPr>
          <w:spacing w:val="-96"/>
        </w:rPr>
      </w:r>
      <w:r>
        <w:rPr/>
        <w:t>年波动率＝日波动率×√交易天数 无风险利率</w:t>
      </w:r>
      <w:r>
        <w:rPr>
          <w:rFonts w:ascii="新宋体" w:hAnsi="新宋体" w:cs="新宋体" w:eastAsia="新宋体" w:hint="default"/>
        </w:rPr>
        <w:t>(r)</w:t>
      </w:r>
      <w:r>
        <w:rPr/>
        <w:t>：</w:t>
      </w:r>
      <w:r>
        <w:rPr>
          <w:rFonts w:ascii="新宋体" w:hAnsi="新宋体" w:cs="新宋体" w:eastAsia="新宋体" w:hint="default"/>
        </w:rPr>
        <w:t>4.4%</w:t>
      </w:r>
      <w:r>
        <w:rPr/>
        <w:t>，取两年期定期存款利率</w:t>
      </w:r>
    </w:p>
    <w:p>
      <w:pPr>
        <w:pStyle w:val="BodyText"/>
        <w:spacing w:line="357" w:lineRule="auto" w:before="37"/>
        <w:ind w:left="633" w:right="2053"/>
        <w:jc w:val="left"/>
      </w:pPr>
      <w:r>
        <w:rPr>
          <w:spacing w:val="-14"/>
        </w:rPr>
        <w:t>期权有效期（</w:t>
      </w:r>
      <w:r>
        <w:rPr>
          <w:rFonts w:ascii="新宋体" w:hAnsi="新宋体" w:cs="新宋体" w:eastAsia="新宋体" w:hint="default"/>
          <w:spacing w:val="-14"/>
        </w:rPr>
        <w:t>t</w:t>
      </w:r>
      <w:r>
        <w:rPr>
          <w:spacing w:val="-14"/>
        </w:rPr>
        <w:t>）：</w:t>
      </w:r>
      <w:r>
        <w:rPr/>
        <w:t> </w:t>
      </w:r>
      <w:r>
        <w:rPr>
          <w:rFonts w:ascii="新宋体" w:hAnsi="新宋体" w:cs="新宋体" w:eastAsia="新宋体" w:hint="default"/>
        </w:rPr>
        <w:t>2</w:t>
      </w:r>
      <w:r>
        <w:rPr/>
        <w:t>年</w:t>
      </w:r>
      <w:r>
        <w:rPr>
          <w:spacing w:val="-115"/>
        </w:rPr>
        <w:t> </w:t>
      </w:r>
      <w:r>
        <w:rPr/>
        <w:t>根据计算公式，有效期</w:t>
      </w:r>
      <w:r>
        <w:rPr>
          <w:rFonts w:ascii="新宋体" w:hAnsi="新宋体" w:cs="新宋体" w:eastAsia="新宋体" w:hint="default"/>
        </w:rPr>
        <w:t>=</w:t>
      </w:r>
      <w:r>
        <w:rPr/>
        <w:t>（等待期</w:t>
      </w:r>
      <w:r>
        <w:rPr>
          <w:rFonts w:ascii="新宋体" w:hAnsi="新宋体" w:cs="新宋体" w:eastAsia="新宋体" w:hint="default"/>
        </w:rPr>
        <w:t>+</w:t>
      </w:r>
      <w:r>
        <w:rPr/>
        <w:t>行权期）</w:t>
      </w:r>
      <w:r>
        <w:rPr>
          <w:rFonts w:ascii="新宋体" w:hAnsi="新宋体" w:cs="新宋体" w:eastAsia="新宋体" w:hint="default"/>
        </w:rPr>
        <w:t>/2=(1+3)/2=2</w:t>
      </w:r>
      <w:r>
        <w:rPr/>
        <w:t>年 标的股票的股息率（</w:t>
      </w:r>
      <w:r>
        <w:rPr>
          <w:rFonts w:ascii="新宋体" w:hAnsi="新宋体" w:cs="新宋体" w:eastAsia="新宋体" w:hint="default"/>
        </w:rPr>
        <w:t>i</w:t>
      </w:r>
      <w:r>
        <w:rPr/>
        <w:t>）为：</w:t>
      </w:r>
      <w:r>
        <w:rPr>
          <w:rFonts w:ascii="新宋体" w:hAnsi="新宋体" w:cs="新宋体" w:eastAsia="新宋体" w:hint="default"/>
        </w:rPr>
        <w:t>0.7115%</w:t>
      </w:r>
      <w:r>
        <w:rPr/>
        <w:t>。 红利率</w:t>
      </w:r>
      <w:r>
        <w:rPr>
          <w:rFonts w:ascii="新宋体" w:hAnsi="新宋体" w:cs="新宋体" w:eastAsia="新宋体" w:hint="default"/>
        </w:rPr>
        <w:t>=</w:t>
      </w:r>
      <w:r>
        <w:rPr/>
        <w:t>现金分红</w:t>
      </w:r>
      <w:r>
        <w:rPr>
          <w:rFonts w:ascii="新宋体" w:hAnsi="新宋体" w:cs="新宋体" w:eastAsia="新宋体" w:hint="default"/>
        </w:rPr>
        <w:t>/</w:t>
      </w:r>
      <w:r>
        <w:rPr/>
        <w:t>股权登记日股价</w:t>
      </w:r>
      <w:r>
        <w:rPr>
          <w:rFonts w:ascii="新宋体" w:hAnsi="新宋体" w:cs="新宋体" w:eastAsia="新宋体" w:hint="default"/>
        </w:rPr>
        <w:t>,</w:t>
      </w:r>
      <w:r>
        <w:rPr/>
        <w:t>所以红利率</w:t>
      </w:r>
      <w:r>
        <w:rPr>
          <w:rFonts w:ascii="新宋体" w:hAnsi="新宋体" w:cs="新宋体" w:eastAsia="新宋体" w:hint="default"/>
        </w:rPr>
        <w:t>=0.3/35.92=0.8352%</w:t>
      </w:r>
      <w:r>
        <w:rPr/>
        <w:t>；</w:t>
      </w:r>
    </w:p>
    <w:p>
      <w:pPr>
        <w:pStyle w:val="BodyText"/>
        <w:spacing w:line="240" w:lineRule="auto"/>
        <w:ind w:right="105"/>
        <w:jc w:val="left"/>
        <w:rPr>
          <w:rFonts w:ascii="新宋体" w:hAnsi="新宋体" w:cs="新宋体" w:eastAsia="新宋体" w:hint="default"/>
        </w:rPr>
      </w:pPr>
      <w:r>
        <w:rPr>
          <w:rFonts w:ascii="新宋体" w:hAnsi="新宋体" w:cs="新宋体" w:eastAsia="新宋体" w:hint="default"/>
        </w:rPr>
        <w:t>0.1/17.01=0.58789%</w:t>
      </w:r>
      <w:r>
        <w:rPr/>
        <w:t>，两者取平均值为：</w:t>
      </w:r>
      <w:r>
        <w:rPr>
          <w:rFonts w:ascii="新宋体" w:hAnsi="新宋体" w:cs="新宋体" w:eastAsia="新宋体" w:hint="default"/>
        </w:rPr>
        <w:t>0.7115%</w:t>
      </w:r>
    </w:p>
    <w:p>
      <w:pPr>
        <w:spacing w:after="0" w:line="240" w:lineRule="auto"/>
        <w:jc w:val="left"/>
        <w:rPr>
          <w:rFonts w:ascii="新宋体" w:hAnsi="新宋体" w:cs="新宋体" w:eastAsia="新宋体" w:hint="default"/>
        </w:rPr>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357" w:lineRule="auto" w:before="26"/>
        <w:ind w:left="633" w:right="2293"/>
        <w:jc w:val="left"/>
        <w:rPr>
          <w:rFonts w:ascii="新宋体" w:hAnsi="新宋体" w:cs="新宋体" w:eastAsia="新宋体" w:hint="default"/>
        </w:rPr>
      </w:pPr>
      <w:r>
        <w:rPr>
          <w:spacing w:val="-4"/>
        </w:rPr>
        <w:t>标的股价（</w:t>
      </w:r>
      <w:r>
        <w:rPr>
          <w:rFonts w:ascii="新宋体" w:hAnsi="新宋体" w:cs="新宋体" w:eastAsia="新宋体" w:hint="default"/>
          <w:spacing w:val="-4"/>
        </w:rPr>
        <w:t>S</w:t>
      </w:r>
      <w:r>
        <w:rPr>
          <w:spacing w:val="-4"/>
        </w:rPr>
        <w:t>）：以</w:t>
      </w:r>
      <w:r>
        <w:rPr>
          <w:rFonts w:ascii="新宋体" w:hAnsi="新宋体" w:cs="新宋体" w:eastAsia="新宋体" w:hint="default"/>
          <w:spacing w:val="-4"/>
        </w:rPr>
        <w:t>2011</w:t>
      </w:r>
      <w:r>
        <w:rPr>
          <w:spacing w:val="-4"/>
        </w:rPr>
        <w:t>年</w:t>
      </w:r>
      <w:r>
        <w:rPr>
          <w:rFonts w:ascii="新宋体" w:hAnsi="新宋体" w:cs="新宋体" w:eastAsia="新宋体" w:hint="default"/>
          <w:spacing w:val="-4"/>
        </w:rPr>
        <w:t>12</w:t>
      </w:r>
      <w:r>
        <w:rPr>
          <w:spacing w:val="-4"/>
        </w:rPr>
        <w:t>月</w:t>
      </w:r>
      <w:r>
        <w:rPr>
          <w:rFonts w:ascii="新宋体" w:hAnsi="新宋体" w:cs="新宋体" w:eastAsia="新宋体" w:hint="default"/>
          <w:spacing w:val="-4"/>
        </w:rPr>
        <w:t>14</w:t>
      </w:r>
      <w:r>
        <w:rPr>
          <w:spacing w:val="-4"/>
        </w:rPr>
        <w:t>日收盘价</w:t>
      </w:r>
      <w:r>
        <w:rPr>
          <w:rFonts w:ascii="新宋体" w:hAnsi="新宋体" w:cs="新宋体" w:eastAsia="新宋体" w:hint="default"/>
          <w:spacing w:val="-4"/>
        </w:rPr>
        <w:t>13.01</w:t>
      </w:r>
      <w:r>
        <w:rPr>
          <w:spacing w:val="-4"/>
        </w:rPr>
        <w:t>元进行测算</w:t>
      </w:r>
      <w:r>
        <w:rPr>
          <w:spacing w:val="-109"/>
        </w:rPr>
        <w:t> </w:t>
      </w:r>
      <w:r>
        <w:rPr>
          <w:spacing w:val="-10"/>
        </w:rPr>
        <w:t>行权价（</w:t>
      </w:r>
      <w:r>
        <w:rPr>
          <w:rFonts w:ascii="新宋体" w:hAnsi="新宋体" w:cs="新宋体" w:eastAsia="新宋体" w:hint="default"/>
          <w:spacing w:val="-10"/>
        </w:rPr>
        <w:t>K</w:t>
      </w:r>
      <w:r>
        <w:rPr>
          <w:spacing w:val="-10"/>
        </w:rPr>
        <w:t>）：</w:t>
      </w:r>
      <w:r>
        <w:rPr>
          <w:rFonts w:ascii="新宋体" w:hAnsi="新宋体" w:cs="新宋体" w:eastAsia="新宋体" w:hint="default"/>
          <w:spacing w:val="-10"/>
        </w:rPr>
        <w:t>20.15</w:t>
      </w:r>
      <w:r>
        <w:rPr>
          <w:spacing w:val="-10"/>
        </w:rPr>
        <w:t>元</w:t>
      </w:r>
      <w:r>
        <w:rPr>
          <w:spacing w:val="-111"/>
        </w:rPr>
        <w:t> </w:t>
      </w:r>
      <w:r>
        <w:rPr/>
        <w:t>本次授予的股票期权的行权价格取下列两个价格中的较高者：</w:t>
      </w:r>
      <w:r>
        <w:rPr>
          <w:rFonts w:ascii="新宋体" w:hAnsi="新宋体" w:cs="新宋体" w:eastAsia="新宋体" w:hint="default"/>
        </w:rPr>
        <w:t>20.25</w:t>
      </w:r>
    </w:p>
    <w:p>
      <w:pPr>
        <w:pStyle w:val="BodyText"/>
        <w:spacing w:line="240" w:lineRule="auto"/>
        <w:ind w:left="633" w:right="105"/>
        <w:jc w:val="left"/>
      </w:pPr>
      <w:r>
        <w:rPr>
          <w:rFonts w:ascii="新宋体" w:hAnsi="新宋体" w:cs="新宋体" w:eastAsia="新宋体" w:hint="default"/>
        </w:rPr>
        <w:t>1</w:t>
      </w:r>
      <w:r>
        <w:rPr/>
        <w:t>、股票期权激励计划草案摘要公布前</w:t>
      </w:r>
      <w:r>
        <w:rPr>
          <w:rFonts w:ascii="新宋体" w:hAnsi="新宋体" w:cs="新宋体" w:eastAsia="新宋体" w:hint="default"/>
        </w:rPr>
        <w:t>1</w:t>
      </w:r>
      <w:r>
        <w:rPr/>
        <w:t>交易日的公司标的股票收盘价</w:t>
      </w:r>
      <w:r>
        <w:rPr>
          <w:rFonts w:ascii="新宋体" w:hAnsi="新宋体" w:cs="新宋体" w:eastAsia="新宋体" w:hint="default"/>
        </w:rPr>
        <w:t>(19.98</w:t>
      </w:r>
      <w:r>
        <w:rPr/>
        <w:t>元</w:t>
      </w:r>
      <w:r>
        <w:rPr>
          <w:rFonts w:ascii="新宋体" w:hAnsi="新宋体" w:cs="新宋体" w:eastAsia="新宋体" w:hint="default"/>
        </w:rPr>
        <w:t>)</w:t>
      </w:r>
      <w:r>
        <w:rPr/>
        <w:t>；</w:t>
      </w:r>
    </w:p>
    <w:p>
      <w:pPr>
        <w:pStyle w:val="BodyText"/>
        <w:spacing w:line="357" w:lineRule="auto" w:before="154"/>
        <w:ind w:right="374" w:firstLine="480"/>
        <w:jc w:val="left"/>
      </w:pPr>
      <w:r>
        <w:rPr>
          <w:rFonts w:ascii="新宋体" w:hAnsi="新宋体" w:cs="新宋体" w:eastAsia="新宋体" w:hint="default"/>
        </w:rPr>
        <w:t>2</w:t>
      </w:r>
      <w:r>
        <w:rPr/>
        <w:t>、股票期权激励计划草案摘要公布前</w:t>
      </w:r>
      <w:r>
        <w:rPr>
          <w:rFonts w:ascii="新宋体" w:hAnsi="新宋体" w:cs="新宋体" w:eastAsia="新宋体" w:hint="default"/>
        </w:rPr>
        <w:t>30</w:t>
      </w:r>
      <w:r>
        <w:rPr/>
        <w:t>个交易日内的公司标的股票平均收盘价</w:t>
      </w:r>
      <w:r>
        <w:rPr>
          <w:rFonts w:ascii="新宋体" w:hAnsi="新宋体" w:cs="新宋体" w:eastAsia="新宋体" w:hint="default"/>
        </w:rPr>
        <w:t>(20.25 </w:t>
      </w:r>
      <w:r>
        <w:rPr/>
        <w:t>元</w:t>
      </w:r>
      <w:r>
        <w:rPr>
          <w:rFonts w:ascii="新宋体" w:hAnsi="新宋体" w:cs="新宋体" w:eastAsia="新宋体" w:hint="default"/>
        </w:rPr>
        <w:t>)</w:t>
      </w:r>
      <w:r>
        <w:rPr/>
        <w:t>。</w:t>
      </w:r>
    </w:p>
    <w:p>
      <w:pPr>
        <w:pStyle w:val="BodyText"/>
        <w:spacing w:line="357" w:lineRule="auto" w:before="77"/>
        <w:ind w:right="186" w:firstLine="564"/>
        <w:jc w:val="both"/>
      </w:pPr>
      <w:r>
        <w:rPr>
          <w:spacing w:val="-3"/>
        </w:rPr>
        <w:t>公司于</w:t>
      </w:r>
      <w:r>
        <w:rPr>
          <w:rFonts w:ascii="新宋体" w:hAnsi="新宋体" w:cs="新宋体" w:eastAsia="新宋体" w:hint="default"/>
          <w:spacing w:val="-3"/>
        </w:rPr>
        <w:t>2011</w:t>
      </w:r>
      <w:r>
        <w:rPr>
          <w:spacing w:val="-3"/>
        </w:rPr>
        <w:t>年</w:t>
      </w:r>
      <w:r>
        <w:rPr>
          <w:rFonts w:ascii="新宋体" w:hAnsi="新宋体" w:cs="新宋体" w:eastAsia="新宋体" w:hint="default"/>
          <w:spacing w:val="-3"/>
        </w:rPr>
        <w:t>4</w:t>
      </w:r>
      <w:r>
        <w:rPr>
          <w:spacing w:val="-3"/>
        </w:rPr>
        <w:t>月</w:t>
      </w:r>
      <w:r>
        <w:rPr>
          <w:rFonts w:ascii="新宋体" w:hAnsi="新宋体" w:cs="新宋体" w:eastAsia="新宋体" w:hint="default"/>
          <w:spacing w:val="-3"/>
        </w:rPr>
        <w:t>28</w:t>
      </w:r>
      <w:r>
        <w:rPr>
          <w:spacing w:val="-3"/>
        </w:rPr>
        <w:t>日召开</w:t>
      </w:r>
      <w:r>
        <w:rPr>
          <w:rFonts w:ascii="新宋体" w:hAnsi="新宋体" w:cs="新宋体" w:eastAsia="新宋体" w:hint="default"/>
          <w:spacing w:val="-3"/>
        </w:rPr>
        <w:t>2010</w:t>
      </w:r>
      <w:r>
        <w:rPr>
          <w:spacing w:val="-3"/>
        </w:rPr>
        <w:t>年年度股东大会，审议通过《</w:t>
      </w:r>
      <w:r>
        <w:rPr>
          <w:rFonts w:ascii="新宋体" w:hAnsi="新宋体" w:cs="新宋体" w:eastAsia="新宋体" w:hint="default"/>
          <w:spacing w:val="-3"/>
        </w:rPr>
        <w:t>2010</w:t>
      </w:r>
      <w:r>
        <w:rPr>
          <w:spacing w:val="-3"/>
        </w:rPr>
        <w:t>年度利润分配议案》，</w:t>
      </w:r>
      <w:r>
        <w:rPr/>
        <w:t> </w:t>
      </w:r>
      <w:r>
        <w:rPr>
          <w:rFonts w:ascii="新宋体" w:hAnsi="新宋体" w:cs="新宋体" w:eastAsia="新宋体" w:hint="default"/>
          <w:spacing w:val="2"/>
        </w:rPr>
        <w:t>2010</w:t>
      </w:r>
      <w:r>
        <w:rPr>
          <w:spacing w:val="2"/>
        </w:rPr>
        <w:t>年度利润分配方案为：以公司</w:t>
      </w:r>
      <w:r>
        <w:rPr>
          <w:rFonts w:ascii="新宋体" w:hAnsi="新宋体" w:cs="新宋体" w:eastAsia="新宋体" w:hint="default"/>
          <w:spacing w:val="2"/>
        </w:rPr>
        <w:t>2010</w:t>
      </w:r>
      <w:r>
        <w:rPr>
          <w:spacing w:val="2"/>
        </w:rPr>
        <w:t>年末总股本</w:t>
      </w:r>
      <w:r>
        <w:rPr>
          <w:rFonts w:ascii="新宋体" w:hAnsi="新宋体" w:cs="新宋体" w:eastAsia="新宋体" w:hint="default"/>
          <w:spacing w:val="2"/>
        </w:rPr>
        <w:t>118,000,000</w:t>
      </w:r>
      <w:r>
        <w:rPr>
          <w:spacing w:val="2"/>
        </w:rPr>
        <w:t>股为基数，向全体股东每</w:t>
      </w:r>
      <w:r>
        <w:rPr>
          <w:rFonts w:ascii="新宋体" w:hAnsi="新宋体" w:cs="新宋体" w:eastAsia="新宋体" w:hint="default"/>
          <w:spacing w:val="2"/>
        </w:rPr>
        <w:t>10</w:t>
      </w:r>
      <w:r>
        <w:rPr>
          <w:rFonts w:ascii="新宋体" w:hAnsi="新宋体" w:cs="新宋体" w:eastAsia="新宋体" w:hint="default"/>
          <w:spacing w:val="-84"/>
        </w:rPr>
        <w:t> </w:t>
      </w:r>
      <w:r>
        <w:rPr>
          <w:spacing w:val="-4"/>
        </w:rPr>
        <w:t>股派</w:t>
      </w:r>
      <w:r>
        <w:rPr>
          <w:rFonts w:ascii="新宋体" w:hAnsi="新宋体" w:cs="新宋体" w:eastAsia="新宋体" w:hint="default"/>
          <w:spacing w:val="-4"/>
        </w:rPr>
        <w:t>1</w:t>
      </w:r>
      <w:r>
        <w:rPr>
          <w:spacing w:val="-4"/>
        </w:rPr>
        <w:t>元人民币现金（含税），本次分配现金股利</w:t>
      </w:r>
      <w:r>
        <w:rPr>
          <w:rFonts w:ascii="新宋体" w:hAnsi="新宋体" w:cs="新宋体" w:eastAsia="新宋体" w:hint="default"/>
          <w:spacing w:val="-4"/>
        </w:rPr>
        <w:t>11,800,000</w:t>
      </w:r>
      <w:r>
        <w:rPr>
          <w:spacing w:val="-4"/>
        </w:rPr>
        <w:t>元。</w:t>
      </w:r>
    </w:p>
    <w:p>
      <w:pPr>
        <w:pStyle w:val="BodyText"/>
        <w:spacing w:line="357" w:lineRule="auto" w:before="74"/>
        <w:ind w:right="96" w:firstLine="564"/>
        <w:jc w:val="left"/>
      </w:pPr>
      <w:r>
        <w:rPr>
          <w:spacing w:val="-2"/>
        </w:rPr>
        <w:t>根据《股票期权激励计划（草案修订稿）》第九条的规定：若在行权前有派息、资本公</w:t>
      </w:r>
      <w:r>
        <w:rPr>
          <w:spacing w:val="2"/>
        </w:rPr>
        <w:t> </w:t>
      </w:r>
      <w:r>
        <w:rPr>
          <w:spacing w:val="-2"/>
        </w:rPr>
        <w:t>积转增股本、派送股票红利、股票拆细、配股或缩股等事项，应对行权价格进行相应的调整。</w:t>
      </w:r>
    </w:p>
    <w:p>
      <w:pPr>
        <w:pStyle w:val="BodyText"/>
        <w:spacing w:line="357" w:lineRule="auto" w:before="77"/>
        <w:ind w:right="228" w:firstLine="564"/>
        <w:jc w:val="both"/>
      </w:pPr>
      <w:r>
        <w:rPr>
          <w:spacing w:val="-1"/>
        </w:rPr>
        <w:t>因此，</w:t>
      </w:r>
      <w:r>
        <w:rPr>
          <w:rFonts w:ascii="新宋体" w:hAnsi="新宋体" w:cs="新宋体" w:eastAsia="新宋体" w:hint="default"/>
          <w:spacing w:val="-1"/>
        </w:rPr>
        <w:t>2010</w:t>
      </w:r>
      <w:r>
        <w:rPr>
          <w:spacing w:val="-1"/>
        </w:rPr>
        <w:t>年利润分配后，股票期权行权价格由</w:t>
      </w:r>
      <w:r>
        <w:rPr>
          <w:rFonts w:ascii="新宋体" w:hAnsi="新宋体" w:cs="新宋体" w:eastAsia="新宋体" w:hint="default"/>
          <w:spacing w:val="-1"/>
        </w:rPr>
        <w:t>20.25</w:t>
      </w:r>
      <w:r>
        <w:rPr>
          <w:spacing w:val="-1"/>
        </w:rPr>
        <w:t>元调整为</w:t>
      </w:r>
      <w:r>
        <w:rPr>
          <w:rFonts w:ascii="新宋体" w:hAnsi="新宋体" w:cs="新宋体" w:eastAsia="新宋体" w:hint="default"/>
          <w:spacing w:val="-1"/>
        </w:rPr>
        <w:t>20.15</w:t>
      </w:r>
      <w:r>
        <w:rPr>
          <w:spacing w:val="-1"/>
        </w:rPr>
        <w:t>元，本次行权价格</w:t>
      </w:r>
      <w:r>
        <w:rPr/>
        <w:t> 的调整已获股东大会授权并经公司第二届董事会十二次会议审议通过。</w:t>
      </w:r>
    </w:p>
    <w:p>
      <w:pPr>
        <w:spacing w:line="588" w:lineRule="auto" w:before="77"/>
        <w:ind w:left="152" w:right="770" w:firstLine="564"/>
        <w:jc w:val="left"/>
        <w:rPr>
          <w:rFonts w:ascii="新宋体" w:hAnsi="新宋体" w:cs="新宋体" w:eastAsia="新宋体" w:hint="default"/>
          <w:sz w:val="24"/>
          <w:szCs w:val="24"/>
        </w:rPr>
      </w:pPr>
      <w:r>
        <w:rPr>
          <w:rFonts w:ascii="新宋体" w:hAnsi="新宋体" w:cs="新宋体" w:eastAsia="新宋体" w:hint="default"/>
          <w:sz w:val="24"/>
          <w:szCs w:val="24"/>
        </w:rPr>
        <w:t>将上述参数取值代入</w:t>
      </w:r>
      <w:r>
        <w:rPr>
          <w:rFonts w:ascii="新宋体" w:hAnsi="新宋体" w:cs="新宋体" w:eastAsia="新宋体" w:hint="default"/>
          <w:sz w:val="24"/>
          <w:szCs w:val="24"/>
        </w:rPr>
        <w:t>Black-Scholes</w:t>
      </w:r>
      <w:r>
        <w:rPr>
          <w:rFonts w:ascii="新宋体" w:hAnsi="新宋体" w:cs="新宋体" w:eastAsia="新宋体" w:hint="default"/>
          <w:sz w:val="24"/>
          <w:szCs w:val="24"/>
        </w:rPr>
        <w:t>数学模型，得出每份股票期权价值为</w:t>
      </w:r>
      <w:r>
        <w:rPr>
          <w:rFonts w:ascii="新宋体" w:hAnsi="新宋体" w:cs="新宋体" w:eastAsia="新宋体" w:hint="default"/>
          <w:sz w:val="24"/>
          <w:szCs w:val="24"/>
        </w:rPr>
        <w:t>0.44</w:t>
      </w:r>
      <w:r>
        <w:rPr>
          <w:rFonts w:ascii="新宋体" w:hAnsi="新宋体" w:cs="新宋体" w:eastAsia="新宋体" w:hint="default"/>
          <w:sz w:val="24"/>
          <w:szCs w:val="24"/>
        </w:rPr>
        <w:t>元。 </w:t>
      </w:r>
      <w:r>
        <w:rPr>
          <w:rFonts w:ascii="新宋体" w:hAnsi="新宋体" w:cs="新宋体" w:eastAsia="新宋体" w:hint="default"/>
          <w:b/>
          <w:bCs/>
          <w:sz w:val="24"/>
          <w:szCs w:val="24"/>
        </w:rPr>
        <w:t>3</w:t>
      </w:r>
      <w:r>
        <w:rPr>
          <w:rFonts w:ascii="新宋体" w:hAnsi="新宋体" w:cs="新宋体" w:eastAsia="新宋体" w:hint="default"/>
          <w:b/>
          <w:bCs/>
          <w:sz w:val="24"/>
          <w:szCs w:val="24"/>
        </w:rPr>
        <w:t>、股份支付的修改、终止情况</w:t>
      </w:r>
      <w:r>
        <w:rPr>
          <w:rFonts w:ascii="新宋体" w:hAnsi="新宋体" w:cs="新宋体" w:eastAsia="新宋体" w:hint="default"/>
          <w:sz w:val="24"/>
          <w:szCs w:val="24"/>
        </w:rPr>
      </w:r>
    </w:p>
    <w:p>
      <w:pPr>
        <w:pStyle w:val="BodyText"/>
        <w:spacing w:line="357" w:lineRule="auto" w:before="106"/>
        <w:ind w:right="228" w:firstLine="564"/>
        <w:jc w:val="both"/>
      </w:pPr>
      <w:r>
        <w:rPr/>
        <w:t>由于公司股权激励计划首次授予股票期权的激励对象刘德刚、梁伟、孙海晶等</w:t>
      </w:r>
      <w:r>
        <w:rPr>
          <w:rFonts w:ascii="新宋体" w:hAnsi="新宋体" w:cs="新宋体" w:eastAsia="新宋体" w:hint="default"/>
        </w:rPr>
        <w:t>7</w:t>
      </w:r>
      <w:r>
        <w:rPr/>
        <w:t>人从公</w:t>
      </w:r>
      <w:r>
        <w:rPr>
          <w:spacing w:val="2"/>
        </w:rPr>
        <w:t> </w:t>
      </w:r>
      <w:r>
        <w:rPr/>
        <w:t>司离职，根据《股票期权激励计划》的规定，该</w:t>
      </w:r>
      <w:r>
        <w:rPr>
          <w:rFonts w:ascii="新宋体" w:hAnsi="新宋体" w:cs="新宋体" w:eastAsia="新宋体" w:hint="default"/>
        </w:rPr>
        <w:t>7</w:t>
      </w:r>
      <w:r>
        <w:rPr/>
        <w:t>人已不具备激励对象的资格。</w:t>
      </w:r>
    </w:p>
    <w:p>
      <w:pPr>
        <w:pStyle w:val="BodyText"/>
        <w:spacing w:line="357" w:lineRule="auto" w:before="74"/>
        <w:ind w:right="233" w:firstLine="564"/>
        <w:jc w:val="both"/>
      </w:pPr>
      <w:r>
        <w:rPr>
          <w:rFonts w:ascii="新宋体" w:hAnsi="新宋体" w:cs="新宋体" w:eastAsia="新宋体" w:hint="default"/>
        </w:rPr>
        <w:t>2013</w:t>
      </w:r>
      <w:r>
        <w:rPr/>
        <w:t>年</w:t>
      </w:r>
      <w:r>
        <w:rPr>
          <w:rFonts w:ascii="新宋体" w:hAnsi="新宋体" w:cs="新宋体" w:eastAsia="新宋体" w:hint="default"/>
        </w:rPr>
        <w:t>3</w:t>
      </w:r>
      <w:r>
        <w:rPr/>
        <w:t>月</w:t>
      </w:r>
      <w:r>
        <w:rPr>
          <w:rFonts w:ascii="新宋体" w:hAnsi="新宋体" w:cs="新宋体" w:eastAsia="新宋体" w:hint="default"/>
        </w:rPr>
        <w:t>28</w:t>
      </w:r>
      <w:r>
        <w:rPr/>
        <w:t>日公司召开第二届董事会第二十一次会议及第二届监事会第十六次会议， </w:t>
      </w:r>
      <w:r>
        <w:rPr>
          <w:spacing w:val="-3"/>
        </w:rPr>
        <w:t>审议通过了《关于公司首期股权激励计划人员调整的议案》，取消该</w:t>
      </w:r>
      <w:r>
        <w:rPr>
          <w:rFonts w:ascii="新宋体" w:hAnsi="新宋体" w:cs="新宋体" w:eastAsia="新宋体" w:hint="default"/>
          <w:spacing w:val="-3"/>
        </w:rPr>
        <w:t>7</w:t>
      </w:r>
      <w:r>
        <w:rPr>
          <w:spacing w:val="-3"/>
        </w:rPr>
        <w:t>人的激励对象资格，同</w:t>
      </w:r>
      <w:r>
        <w:rPr>
          <w:spacing w:val="-85"/>
        </w:rPr>
        <w:t> </w:t>
      </w:r>
      <w:r>
        <w:rPr>
          <w:spacing w:val="-85"/>
        </w:rPr>
      </w:r>
      <w:r>
        <w:rPr/>
        <w:t>时取消已授予其的股票期权共计</w:t>
      </w:r>
      <w:r>
        <w:rPr>
          <w:rFonts w:ascii="新宋体" w:hAnsi="新宋体" w:cs="新宋体" w:eastAsia="新宋体" w:hint="default"/>
        </w:rPr>
        <w:t>14.6</w:t>
      </w:r>
      <w:r>
        <w:rPr/>
        <w:t>万份。根据《股票期权激励计划》及《创业板信息披露</w:t>
      </w:r>
      <w:r>
        <w:rPr>
          <w:spacing w:val="-90"/>
        </w:rPr>
        <w:t> </w:t>
      </w:r>
      <w:r>
        <w:rPr>
          <w:spacing w:val="-90"/>
        </w:rPr>
      </w:r>
      <w:r>
        <w:rPr>
          <w:spacing w:val="-2"/>
        </w:rPr>
        <w:t>业务备忘录第</w:t>
      </w:r>
      <w:r>
        <w:rPr>
          <w:rFonts w:ascii="新宋体" w:hAnsi="新宋体" w:cs="新宋体" w:eastAsia="新宋体" w:hint="default"/>
          <w:spacing w:val="-2"/>
        </w:rPr>
        <w:t>8</w:t>
      </w:r>
      <w:r>
        <w:rPr>
          <w:spacing w:val="-2"/>
        </w:rPr>
        <w:t>号：股权激励（股票期权）实施、授予、行权与调整》的规定，该</w:t>
      </w:r>
      <w:r>
        <w:rPr>
          <w:rFonts w:ascii="新宋体" w:hAnsi="新宋体" w:cs="新宋体" w:eastAsia="新宋体" w:hint="default"/>
          <w:spacing w:val="-2"/>
        </w:rPr>
        <w:t>14.6</w:t>
      </w:r>
      <w:r>
        <w:rPr>
          <w:spacing w:val="-2"/>
        </w:rPr>
        <w:t>万份股</w:t>
      </w:r>
      <w:r>
        <w:rPr>
          <w:spacing w:val="-117"/>
        </w:rPr>
        <w:t> </w:t>
      </w:r>
      <w:r>
        <w:rPr/>
        <w:t>票期权将予以注销，公司计划在首次授出的股票期权实际行权时集中统一办理已取消股票期</w:t>
      </w:r>
      <w:r>
        <w:rPr>
          <w:spacing w:val="-91"/>
        </w:rPr>
        <w:t> </w:t>
      </w:r>
      <w:r>
        <w:rPr>
          <w:spacing w:val="-91"/>
        </w:rPr>
      </w:r>
      <w:r>
        <w:rPr/>
        <w:t>权的注销手续。</w:t>
      </w:r>
    </w:p>
    <w:p>
      <w:pPr>
        <w:pStyle w:val="BodyText"/>
        <w:spacing w:line="357" w:lineRule="auto" w:before="77"/>
        <w:ind w:right="111" w:firstLine="564"/>
        <w:jc w:val="both"/>
      </w:pPr>
      <w:r>
        <w:rPr>
          <w:spacing w:val="-8"/>
        </w:rPr>
        <w:t>在本次调整前，公司《股票期权激励计划》首次授出的股票期权所涉激励对象为</w:t>
      </w:r>
      <w:r>
        <w:rPr>
          <w:rFonts w:ascii="新宋体" w:hAnsi="新宋体" w:cs="新宋体" w:eastAsia="新宋体" w:hint="default"/>
          <w:spacing w:val="-8"/>
        </w:rPr>
        <w:t>75</w:t>
      </w:r>
      <w:r>
        <w:rPr>
          <w:spacing w:val="-8"/>
        </w:rPr>
        <w:t>人（不</w:t>
      </w:r>
      <w:r>
        <w:rPr/>
        <w:t> </w:t>
      </w:r>
      <w:r>
        <w:rPr>
          <w:spacing w:val="-8"/>
        </w:rPr>
        <w:t>包括预留期权所授予的人员），期权数量为</w:t>
      </w:r>
      <w:r>
        <w:rPr>
          <w:rFonts w:ascii="新宋体" w:hAnsi="新宋体" w:cs="新宋体" w:eastAsia="新宋体" w:hint="default"/>
          <w:spacing w:val="-8"/>
        </w:rPr>
        <w:t>278</w:t>
      </w:r>
      <w:r>
        <w:rPr>
          <w:spacing w:val="-8"/>
        </w:rPr>
        <w:t>万份；本次调整后，《股票期权激励计划》首次</w:t>
      </w:r>
      <w:r>
        <w:rPr>
          <w:spacing w:val="-97"/>
        </w:rPr>
        <w:t> </w:t>
      </w:r>
      <w:r>
        <w:rPr>
          <w:spacing w:val="-97"/>
        </w:rPr>
      </w:r>
      <w:r>
        <w:rPr>
          <w:spacing w:val="-5"/>
        </w:rPr>
        <w:t>授出的股票期权所涉激励对象减少至</w:t>
      </w:r>
      <w:r>
        <w:rPr>
          <w:rFonts w:ascii="新宋体" w:hAnsi="新宋体" w:cs="新宋体" w:eastAsia="新宋体" w:hint="default"/>
          <w:spacing w:val="-5"/>
        </w:rPr>
        <w:t>68</w:t>
      </w:r>
      <w:r>
        <w:rPr>
          <w:spacing w:val="-5"/>
        </w:rPr>
        <w:t>人（不包括预留期权所授予的人员），期权数量调整为</w:t>
      </w:r>
      <w:r>
        <w:rPr>
          <w:spacing w:val="-111"/>
        </w:rPr>
        <w:t> </w:t>
      </w:r>
      <w:r>
        <w:rPr>
          <w:spacing w:val="-111"/>
        </w:rPr>
      </w:r>
      <w:r>
        <w:rPr>
          <w:rFonts w:ascii="新宋体" w:hAnsi="新宋体" w:cs="新宋体" w:eastAsia="新宋体" w:hint="default"/>
          <w:spacing w:val="-5"/>
        </w:rPr>
        <w:t>263.4</w:t>
      </w:r>
      <w:r>
        <w:rPr>
          <w:spacing w:val="-5"/>
        </w:rPr>
        <w:t>万份；首次授予的股票期权总价值（未包括预留期权）由</w:t>
      </w:r>
      <w:r>
        <w:rPr>
          <w:rFonts w:ascii="新宋体" w:hAnsi="新宋体" w:cs="新宋体" w:eastAsia="新宋体" w:hint="default"/>
          <w:spacing w:val="-5"/>
        </w:rPr>
        <w:t>121.46</w:t>
      </w:r>
      <w:r>
        <w:rPr>
          <w:spacing w:val="-5"/>
        </w:rPr>
        <w:t>万元调整为</w:t>
      </w:r>
      <w:r>
        <w:rPr>
          <w:rFonts w:ascii="新宋体" w:hAnsi="新宋体" w:cs="新宋体" w:eastAsia="新宋体" w:hint="default"/>
          <w:spacing w:val="-5"/>
        </w:rPr>
        <w:t>115.08</w:t>
      </w:r>
      <w:r>
        <w:rPr>
          <w:spacing w:val="-5"/>
        </w:rPr>
        <w:t>万元，</w:t>
      </w:r>
    </w:p>
    <w:p>
      <w:pPr>
        <w:spacing w:after="0" w:line="357" w:lineRule="auto"/>
        <w:jc w:val="both"/>
        <w:sectPr>
          <w:pgSz w:w="11910" w:h="16840"/>
          <w:pgMar w:header="555" w:footer="980" w:top="1100" w:bottom="1160" w:left="980" w:right="900"/>
        </w:sectPr>
      </w:pPr>
    </w:p>
    <w:p>
      <w:pPr>
        <w:spacing w:line="240" w:lineRule="auto" w:before="7"/>
        <w:rPr>
          <w:rFonts w:ascii="新宋体" w:hAnsi="新宋体" w:cs="新宋体" w:eastAsia="新宋体" w:hint="default"/>
          <w:sz w:val="25"/>
          <w:szCs w:val="25"/>
        </w:rPr>
      </w:pPr>
    </w:p>
    <w:p>
      <w:pPr>
        <w:pStyle w:val="BodyText"/>
        <w:spacing w:line="240" w:lineRule="auto" w:before="26"/>
        <w:ind w:right="94"/>
        <w:jc w:val="left"/>
      </w:pPr>
      <w:r>
        <w:rPr/>
        <w:t>期权成本摊销情况的预测算结果见下表：</w:t>
      </w:r>
    </w:p>
    <w:p>
      <w:pPr>
        <w:spacing w:line="240" w:lineRule="auto" w:before="12"/>
        <w:rPr>
          <w:rFonts w:ascii="新宋体" w:hAnsi="新宋体" w:cs="新宋体" w:eastAsia="新宋体" w:hint="default"/>
          <w:sz w:val="11"/>
          <w:szCs w:val="11"/>
        </w:rPr>
      </w:pPr>
    </w:p>
    <w:tbl>
      <w:tblPr>
        <w:tblW w:w="0" w:type="auto"/>
        <w:jc w:val="left"/>
        <w:tblInd w:w="483" w:type="dxa"/>
        <w:tblLayout w:type="fixed"/>
        <w:tblCellMar>
          <w:top w:w="0" w:type="dxa"/>
          <w:left w:w="0" w:type="dxa"/>
          <w:bottom w:w="0" w:type="dxa"/>
          <w:right w:w="0" w:type="dxa"/>
        </w:tblCellMar>
        <w:tblLook w:val="01E0"/>
      </w:tblPr>
      <w:tblGrid>
        <w:gridCol w:w="1422"/>
        <w:gridCol w:w="1342"/>
        <w:gridCol w:w="1238"/>
        <w:gridCol w:w="1241"/>
        <w:gridCol w:w="1306"/>
        <w:gridCol w:w="1239"/>
        <w:gridCol w:w="1171"/>
      </w:tblGrid>
      <w:tr>
        <w:trPr>
          <w:trHeight w:val="780" w:hRule="exact"/>
        </w:trPr>
        <w:tc>
          <w:tcPr>
            <w:tcW w:w="1422" w:type="dxa"/>
            <w:tcBorders>
              <w:top w:val="single" w:sz="8" w:space="0" w:color="000000"/>
              <w:left w:val="single" w:sz="8" w:space="0" w:color="000000"/>
              <w:bottom w:val="single" w:sz="6" w:space="0" w:color="000000"/>
              <w:right w:val="single" w:sz="6" w:space="0" w:color="000000"/>
            </w:tcBorders>
            <w:shd w:val="clear" w:color="auto" w:fill="D9D9D9"/>
          </w:tcPr>
          <w:p>
            <w:pPr>
              <w:pStyle w:val="TableParagraph"/>
              <w:spacing w:line="240" w:lineRule="auto" w:before="58"/>
              <w:ind w:left="342" w:right="0"/>
              <w:jc w:val="left"/>
              <w:rPr>
                <w:rFonts w:ascii="宋体" w:hAnsi="宋体" w:cs="宋体" w:eastAsia="宋体" w:hint="default"/>
                <w:sz w:val="18"/>
                <w:szCs w:val="18"/>
              </w:rPr>
            </w:pPr>
            <w:r>
              <w:rPr>
                <w:rFonts w:ascii="宋体" w:hAnsi="宋体" w:cs="宋体" w:eastAsia="宋体" w:hint="default"/>
                <w:sz w:val="18"/>
                <w:szCs w:val="18"/>
              </w:rPr>
              <w:t>期权份额</w:t>
            </w:r>
          </w:p>
          <w:p>
            <w:pPr>
              <w:pStyle w:val="TableParagraph"/>
              <w:spacing w:line="240" w:lineRule="auto" w:before="115"/>
              <w:ind w:left="342" w:right="0"/>
              <w:jc w:val="left"/>
              <w:rPr>
                <w:rFonts w:ascii="宋体" w:hAnsi="宋体" w:cs="宋体" w:eastAsia="宋体" w:hint="default"/>
                <w:sz w:val="18"/>
                <w:szCs w:val="18"/>
              </w:rPr>
            </w:pPr>
            <w:r>
              <w:rPr>
                <w:rFonts w:ascii="宋体" w:hAnsi="宋体" w:cs="宋体" w:eastAsia="宋体" w:hint="default"/>
                <w:sz w:val="18"/>
                <w:szCs w:val="18"/>
              </w:rPr>
              <w:t>（万份）</w:t>
            </w:r>
          </w:p>
        </w:tc>
        <w:tc>
          <w:tcPr>
            <w:tcW w:w="1342"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新宋体" w:hAnsi="新宋体" w:cs="新宋体" w:eastAsia="新宋体" w:hint="default"/>
                <w:sz w:val="17"/>
                <w:szCs w:val="17"/>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期权价值（元）</w:t>
            </w:r>
          </w:p>
        </w:tc>
        <w:tc>
          <w:tcPr>
            <w:tcW w:w="1238"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51" w:right="0"/>
              <w:jc w:val="left"/>
              <w:rPr>
                <w:rFonts w:ascii="宋体" w:hAnsi="宋体" w:cs="宋体" w:eastAsia="宋体" w:hint="default"/>
                <w:sz w:val="18"/>
                <w:szCs w:val="18"/>
              </w:rPr>
            </w:pPr>
            <w:r>
              <w:rPr>
                <w:rFonts w:ascii="宋体" w:hAnsi="宋体" w:cs="宋体" w:eastAsia="宋体" w:hint="default"/>
                <w:sz w:val="18"/>
                <w:szCs w:val="18"/>
              </w:rPr>
              <w:t>期权成本</w:t>
            </w:r>
          </w:p>
          <w:p>
            <w:pPr>
              <w:pStyle w:val="TableParagraph"/>
              <w:spacing w:line="240" w:lineRule="auto" w:before="115"/>
              <w:ind w:left="25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41"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p>
            <w:pPr>
              <w:pStyle w:val="TableParagraph"/>
              <w:spacing w:line="240" w:lineRule="auto" w:before="101"/>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6"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p>
            <w:pPr>
              <w:pStyle w:val="TableParagraph"/>
              <w:spacing w:line="240" w:lineRule="auto" w:before="101"/>
              <w:ind w:left="28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39"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p>
            <w:pPr>
              <w:pStyle w:val="TableParagraph"/>
              <w:spacing w:line="240" w:lineRule="auto" w:before="101"/>
              <w:ind w:left="25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71" w:type="dxa"/>
            <w:tcBorders>
              <w:top w:val="single" w:sz="8" w:space="0" w:color="000000"/>
              <w:left w:val="single" w:sz="6" w:space="0" w:color="000000"/>
              <w:bottom w:val="single" w:sz="6" w:space="0" w:color="000000"/>
              <w:right w:val="single" w:sz="8" w:space="0" w:color="000000"/>
            </w:tcBorders>
            <w:shd w:val="clear" w:color="auto" w:fill="D9D9D9"/>
          </w:tcPr>
          <w:p>
            <w:pPr>
              <w:pStyle w:val="TableParagraph"/>
              <w:spacing w:line="240" w:lineRule="auto" w:before="58"/>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pStyle w:val="TableParagraph"/>
              <w:spacing w:line="240" w:lineRule="auto" w:before="101"/>
              <w:ind w:left="22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32" w:hRule="exact"/>
        </w:trPr>
        <w:tc>
          <w:tcPr>
            <w:tcW w:w="1422" w:type="dxa"/>
            <w:tcBorders>
              <w:top w:val="single" w:sz="10" w:space="0" w:color="000000"/>
              <w:left w:val="single" w:sz="8" w:space="0" w:color="000000"/>
              <w:bottom w:val="single" w:sz="8" w:space="0" w:color="000000"/>
              <w:right w:val="single" w:sz="6" w:space="0" w:color="000000"/>
            </w:tcBorders>
          </w:tcPr>
          <w:p>
            <w:pPr>
              <w:pStyle w:val="TableParagraph"/>
              <w:spacing w:line="240" w:lineRule="auto" w:before="98"/>
              <w:ind w:left="423" w:right="0"/>
              <w:jc w:val="left"/>
              <w:rPr>
                <w:rFonts w:ascii="Times New Roman" w:hAnsi="Times New Roman" w:cs="Times New Roman" w:eastAsia="Times New Roman" w:hint="default"/>
                <w:sz w:val="18"/>
                <w:szCs w:val="18"/>
              </w:rPr>
            </w:pPr>
            <w:r>
              <w:rPr>
                <w:rFonts w:ascii="Times New Roman"/>
                <w:sz w:val="18"/>
              </w:rPr>
              <w:t>263.4</w:t>
            </w:r>
          </w:p>
        </w:tc>
        <w:tc>
          <w:tcPr>
            <w:tcW w:w="134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3"/>
              <w:ind w:left="427" w:right="0"/>
              <w:jc w:val="left"/>
              <w:rPr>
                <w:rFonts w:ascii="Times New Roman" w:hAnsi="Times New Roman" w:cs="Times New Roman" w:eastAsia="Times New Roman" w:hint="default"/>
                <w:sz w:val="18"/>
                <w:szCs w:val="18"/>
              </w:rPr>
            </w:pPr>
            <w:r>
              <w:rPr>
                <w:rFonts w:ascii="Times New Roman"/>
                <w:sz w:val="18"/>
              </w:rPr>
              <w:t>0.44</w:t>
            </w:r>
          </w:p>
        </w:tc>
        <w:tc>
          <w:tcPr>
            <w:tcW w:w="123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115.08</w:t>
            </w:r>
          </w:p>
        </w:tc>
        <w:tc>
          <w:tcPr>
            <w:tcW w:w="124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3"/>
              <w:ind w:right="55"/>
              <w:jc w:val="center"/>
              <w:rPr>
                <w:rFonts w:ascii="Times New Roman" w:hAnsi="Times New Roman" w:cs="Times New Roman" w:eastAsia="Times New Roman" w:hint="default"/>
                <w:sz w:val="18"/>
                <w:szCs w:val="18"/>
              </w:rPr>
            </w:pPr>
            <w:r>
              <w:rPr>
                <w:rFonts w:ascii="Times New Roman"/>
                <w:sz w:val="18"/>
              </w:rPr>
              <w:t>1.27</w:t>
            </w:r>
          </w:p>
        </w:tc>
        <w:tc>
          <w:tcPr>
            <w:tcW w:w="130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3"/>
              <w:ind w:left="427" w:right="0"/>
              <w:jc w:val="left"/>
              <w:rPr>
                <w:rFonts w:ascii="Times New Roman" w:hAnsi="Times New Roman" w:cs="Times New Roman" w:eastAsia="Times New Roman" w:hint="default"/>
                <w:sz w:val="18"/>
                <w:szCs w:val="18"/>
              </w:rPr>
            </w:pPr>
            <w:r>
              <w:rPr>
                <w:rFonts w:ascii="Times New Roman"/>
                <w:sz w:val="18"/>
              </w:rPr>
              <w:t>30.73</w:t>
            </w:r>
          </w:p>
        </w:tc>
        <w:tc>
          <w:tcPr>
            <w:tcW w:w="123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3"/>
              <w:ind w:left="424" w:right="0"/>
              <w:jc w:val="left"/>
              <w:rPr>
                <w:rFonts w:ascii="Times New Roman" w:hAnsi="Times New Roman" w:cs="Times New Roman" w:eastAsia="Times New Roman" w:hint="default"/>
                <w:sz w:val="18"/>
                <w:szCs w:val="18"/>
              </w:rPr>
            </w:pPr>
            <w:r>
              <w:rPr>
                <w:rFonts w:ascii="Times New Roman"/>
                <w:sz w:val="18"/>
              </w:rPr>
              <w:t>36.53</w:t>
            </w:r>
          </w:p>
        </w:tc>
        <w:tc>
          <w:tcPr>
            <w:tcW w:w="1171"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03"/>
              <w:ind w:left="427" w:right="0"/>
              <w:jc w:val="left"/>
              <w:rPr>
                <w:rFonts w:ascii="Times New Roman" w:hAnsi="Times New Roman" w:cs="Times New Roman" w:eastAsia="Times New Roman" w:hint="default"/>
                <w:sz w:val="18"/>
                <w:szCs w:val="18"/>
              </w:rPr>
            </w:pPr>
            <w:r>
              <w:rPr>
                <w:rFonts w:ascii="Times New Roman"/>
                <w:sz w:val="18"/>
              </w:rPr>
              <w:t>46.56</w:t>
            </w:r>
          </w:p>
        </w:tc>
      </w:tr>
    </w:tbl>
    <w:p>
      <w:pPr>
        <w:pStyle w:val="BodyText"/>
        <w:spacing w:line="357" w:lineRule="auto" w:before="79"/>
        <w:ind w:right="191" w:firstLine="566"/>
        <w:jc w:val="both"/>
      </w:pPr>
      <w:r>
        <w:rPr>
          <w:spacing w:val="-2"/>
        </w:rPr>
        <w:t>本次调整后，《股票期权激励计划》所涉股票期权的总数（包括首次授出的期权和预留</w:t>
      </w:r>
      <w:r>
        <w:rPr/>
        <w:t> 期权）由</w:t>
      </w:r>
      <w:r>
        <w:rPr>
          <w:spacing w:val="-64"/>
        </w:rPr>
        <w:t> </w:t>
      </w:r>
      <w:r>
        <w:rPr>
          <w:rFonts w:ascii="新宋体" w:hAnsi="新宋体" w:cs="新宋体" w:eastAsia="新宋体" w:hint="default"/>
        </w:rPr>
        <w:t>307</w:t>
      </w:r>
      <w:r>
        <w:rPr>
          <w:rFonts w:ascii="新宋体" w:hAnsi="新宋体" w:cs="新宋体" w:eastAsia="新宋体" w:hint="default"/>
          <w:spacing w:val="-64"/>
        </w:rPr>
        <w:t> </w:t>
      </w:r>
      <w:r>
        <w:rPr/>
        <w:t>万份减少至</w:t>
      </w:r>
      <w:r>
        <w:rPr>
          <w:spacing w:val="-64"/>
        </w:rPr>
        <w:t> </w:t>
      </w:r>
      <w:r>
        <w:rPr>
          <w:rFonts w:ascii="新宋体" w:hAnsi="新宋体" w:cs="新宋体" w:eastAsia="新宋体" w:hint="default"/>
        </w:rPr>
        <w:t>292.4</w:t>
      </w:r>
      <w:r>
        <w:rPr>
          <w:rFonts w:ascii="新宋体" w:hAnsi="新宋体" w:cs="新宋体" w:eastAsia="新宋体" w:hint="default"/>
          <w:spacing w:val="-64"/>
        </w:rPr>
        <w:t> </w:t>
      </w:r>
      <w:r>
        <w:rPr/>
        <w:t>万份（其中首次授出的期权减少至</w:t>
      </w:r>
      <w:r>
        <w:rPr>
          <w:spacing w:val="-64"/>
        </w:rPr>
        <w:t> </w:t>
      </w:r>
      <w:r>
        <w:rPr>
          <w:rFonts w:ascii="新宋体" w:hAnsi="新宋体" w:cs="新宋体" w:eastAsia="新宋体" w:hint="default"/>
        </w:rPr>
        <w:t>263.4</w:t>
      </w:r>
      <w:r>
        <w:rPr>
          <w:rFonts w:ascii="新宋体" w:hAnsi="新宋体" w:cs="新宋体" w:eastAsia="新宋体" w:hint="default"/>
          <w:spacing w:val="-64"/>
        </w:rPr>
        <w:t> </w:t>
      </w:r>
      <w:r>
        <w:rPr/>
        <w:t>万份，预留期权</w:t>
      </w:r>
      <w:r>
        <w:rPr>
          <w:spacing w:val="-64"/>
        </w:rPr>
        <w:t> </w:t>
      </w:r>
      <w:r>
        <w:rPr>
          <w:rFonts w:ascii="新宋体" w:hAnsi="新宋体" w:cs="新宋体" w:eastAsia="新宋体" w:hint="default"/>
        </w:rPr>
        <w:t>29 </w:t>
      </w:r>
      <w:r>
        <w:rPr>
          <w:spacing w:val="-20"/>
        </w:rPr>
        <w:t>万份不变）。</w:t>
      </w:r>
    </w:p>
    <w:p>
      <w:pPr>
        <w:spacing w:line="766" w:lineRule="exact" w:before="6"/>
        <w:ind w:left="719" w:right="94" w:hanging="567"/>
        <w:jc w:val="left"/>
        <w:rPr>
          <w:rFonts w:ascii="新宋体" w:hAnsi="新宋体" w:cs="新宋体" w:eastAsia="新宋体" w:hint="default"/>
          <w:sz w:val="24"/>
          <w:szCs w:val="24"/>
        </w:rPr>
      </w:pPr>
      <w:r>
        <w:rPr>
          <w:rFonts w:ascii="新宋体" w:hAnsi="新宋体" w:cs="新宋体" w:eastAsia="新宋体" w:hint="default"/>
          <w:b/>
          <w:bCs/>
          <w:sz w:val="24"/>
          <w:szCs w:val="24"/>
        </w:rPr>
        <w:t>十、资产负债表日后事项说明</w:t>
      </w:r>
      <w:r>
        <w:rPr>
          <w:rFonts w:ascii="新宋体" w:hAnsi="新宋体" w:cs="新宋体" w:eastAsia="新宋体" w:hint="default"/>
          <w:b/>
          <w:bCs/>
          <w:w w:val="99"/>
          <w:sz w:val="24"/>
          <w:szCs w:val="24"/>
        </w:rPr>
        <w:t> </w:t>
      </w:r>
      <w:r>
        <w:rPr>
          <w:rFonts w:ascii="新宋体" w:hAnsi="新宋体" w:cs="新宋体" w:eastAsia="新宋体" w:hint="default"/>
          <w:spacing w:val="-7"/>
          <w:sz w:val="24"/>
          <w:szCs w:val="24"/>
        </w:rPr>
        <w:t>根据中磊会计师事务所有限责任公司出具的《审计报告》</w:t>
      </w:r>
      <w:r>
        <w:rPr>
          <w:rFonts w:ascii="新宋体" w:hAnsi="新宋体" w:cs="新宋体" w:eastAsia="新宋体" w:hint="default"/>
          <w:spacing w:val="-7"/>
          <w:sz w:val="24"/>
          <w:szCs w:val="24"/>
        </w:rPr>
        <w:t>[</w:t>
      </w:r>
      <w:r>
        <w:rPr>
          <w:rFonts w:ascii="新宋体" w:hAnsi="新宋体" w:cs="新宋体" w:eastAsia="新宋体" w:hint="default"/>
          <w:spacing w:val="-7"/>
          <w:sz w:val="24"/>
          <w:szCs w:val="24"/>
        </w:rPr>
        <w:t>（</w:t>
      </w:r>
      <w:r>
        <w:rPr>
          <w:rFonts w:ascii="新宋体" w:hAnsi="新宋体" w:cs="新宋体" w:eastAsia="新宋体" w:hint="default"/>
          <w:spacing w:val="-7"/>
          <w:sz w:val="24"/>
          <w:szCs w:val="24"/>
        </w:rPr>
        <w:t>2013</w:t>
      </w:r>
      <w:r>
        <w:rPr>
          <w:rFonts w:ascii="新宋体" w:hAnsi="新宋体" w:cs="新宋体" w:eastAsia="新宋体" w:hint="default"/>
          <w:spacing w:val="-7"/>
          <w:sz w:val="24"/>
          <w:szCs w:val="24"/>
        </w:rPr>
        <w:t>）中磊（审</w:t>
      </w:r>
      <w:r>
        <w:rPr>
          <w:rFonts w:ascii="新宋体" w:hAnsi="新宋体" w:cs="新宋体" w:eastAsia="新宋体" w:hint="default"/>
          <w:spacing w:val="-7"/>
          <w:sz w:val="24"/>
          <w:szCs w:val="24"/>
        </w:rPr>
        <w:t>A</w:t>
      </w:r>
      <w:r>
        <w:rPr>
          <w:rFonts w:ascii="新宋体" w:hAnsi="新宋体" w:cs="新宋体" w:eastAsia="新宋体" w:hint="default"/>
          <w:spacing w:val="-7"/>
          <w:sz w:val="24"/>
          <w:szCs w:val="24"/>
        </w:rPr>
        <w:t>）字第</w:t>
      </w:r>
      <w:r>
        <w:rPr>
          <w:rFonts w:ascii="新宋体" w:hAnsi="新宋体" w:cs="新宋体" w:eastAsia="新宋体" w:hint="default"/>
          <w:spacing w:val="-7"/>
          <w:sz w:val="24"/>
          <w:szCs w:val="24"/>
        </w:rPr>
        <w:t>0051</w:t>
      </w:r>
    </w:p>
    <w:p>
      <w:pPr>
        <w:pStyle w:val="BodyText"/>
        <w:spacing w:line="357" w:lineRule="auto" w:before="34"/>
        <w:ind w:right="109"/>
        <w:jc w:val="both"/>
      </w:pPr>
      <w:r>
        <w:rPr/>
        <w:t>号</w:t>
      </w:r>
      <w:r>
        <w:rPr>
          <w:rFonts w:ascii="新宋体" w:hAnsi="新宋体" w:cs="新宋体" w:eastAsia="新宋体" w:hint="default"/>
        </w:rPr>
        <w:t>]</w:t>
      </w:r>
      <w:r>
        <w:rPr/>
        <w:t>，公司</w:t>
      </w:r>
      <w:r>
        <w:rPr>
          <w:rFonts w:ascii="新宋体" w:hAnsi="新宋体" w:cs="新宋体" w:eastAsia="新宋体" w:hint="default"/>
        </w:rPr>
        <w:t>2012</w:t>
      </w:r>
      <w:r>
        <w:rPr/>
        <w:t>年度实现归属于上市公司股东的净利润</w:t>
      </w:r>
      <w:r>
        <w:rPr>
          <w:rFonts w:ascii="新宋体" w:hAnsi="新宋体" w:cs="新宋体" w:eastAsia="新宋体" w:hint="default"/>
        </w:rPr>
        <w:t>47,339,574.86</w:t>
      </w:r>
      <w:r>
        <w:rPr/>
        <w:t>元，其中，母公司实现</w:t>
      </w:r>
      <w:r>
        <w:rPr>
          <w:spacing w:val="-87"/>
        </w:rPr>
        <w:t> </w:t>
      </w:r>
      <w:r>
        <w:rPr>
          <w:spacing w:val="-87"/>
        </w:rPr>
      </w:r>
      <w:r>
        <w:rPr>
          <w:spacing w:val="-2"/>
        </w:rPr>
        <w:t>净利润</w:t>
      </w:r>
      <w:r>
        <w:rPr>
          <w:rFonts w:ascii="新宋体" w:hAnsi="新宋体" w:cs="新宋体" w:eastAsia="新宋体" w:hint="default"/>
          <w:spacing w:val="-2"/>
        </w:rPr>
        <w:t>16,805,257.05</w:t>
      </w:r>
      <w:r>
        <w:rPr>
          <w:spacing w:val="-2"/>
        </w:rPr>
        <w:t>元。根据《公司法》和《公司章程》的有关规定，按</w:t>
      </w:r>
      <w:r>
        <w:rPr>
          <w:rFonts w:ascii="新宋体" w:hAnsi="新宋体" w:cs="新宋体" w:eastAsia="新宋体" w:hint="default"/>
          <w:spacing w:val="-2"/>
        </w:rPr>
        <w:t>2012</w:t>
      </w:r>
      <w:r>
        <w:rPr>
          <w:spacing w:val="-2"/>
        </w:rPr>
        <w:t>年度母公司实</w:t>
      </w:r>
      <w:r>
        <w:rPr>
          <w:spacing w:val="-106"/>
        </w:rPr>
        <w:t> </w:t>
      </w:r>
      <w:r>
        <w:rPr>
          <w:spacing w:val="-2"/>
        </w:rPr>
        <w:t>现净利润的</w:t>
      </w:r>
      <w:r>
        <w:rPr>
          <w:rFonts w:ascii="新宋体" w:hAnsi="新宋体" w:cs="新宋体" w:eastAsia="新宋体" w:hint="default"/>
          <w:spacing w:val="-2"/>
        </w:rPr>
        <w:t>10%</w:t>
      </w:r>
      <w:r>
        <w:rPr>
          <w:spacing w:val="-2"/>
        </w:rPr>
        <w:t>提取法定盈余公积金</w:t>
      </w:r>
      <w:r>
        <w:rPr>
          <w:rFonts w:ascii="新宋体" w:hAnsi="新宋体" w:cs="新宋体" w:eastAsia="新宋体" w:hint="default"/>
          <w:spacing w:val="-2"/>
        </w:rPr>
        <w:t>1,680,525.70</w:t>
      </w:r>
      <w:r>
        <w:rPr>
          <w:spacing w:val="-2"/>
        </w:rPr>
        <w:t>元，加上年初未分配利润</w:t>
      </w:r>
      <w:r>
        <w:rPr>
          <w:rFonts w:ascii="新宋体" w:hAnsi="新宋体" w:cs="新宋体" w:eastAsia="新宋体" w:hint="default"/>
          <w:spacing w:val="-2"/>
        </w:rPr>
        <w:t>77,638,756.63</w:t>
      </w:r>
      <w:r>
        <w:rPr>
          <w:spacing w:val="-2"/>
        </w:rPr>
        <w:t>元</w:t>
      </w:r>
      <w:r>
        <w:rPr>
          <w:rFonts w:ascii="新宋体" w:hAnsi="新宋体" w:cs="新宋体" w:eastAsia="新宋体" w:hint="default"/>
          <w:spacing w:val="-2"/>
        </w:rPr>
        <w:t>,</w:t>
      </w:r>
      <w:r>
        <w:rPr>
          <w:rFonts w:ascii="新宋体" w:hAnsi="新宋体" w:cs="新宋体" w:eastAsia="新宋体" w:hint="default"/>
          <w:spacing w:val="-91"/>
        </w:rPr>
        <w:t> </w:t>
      </w:r>
      <w:r>
        <w:rPr/>
        <w:t>减去派发</w:t>
      </w:r>
      <w:r>
        <w:rPr>
          <w:rFonts w:ascii="新宋体" w:hAnsi="新宋体" w:cs="新宋体" w:eastAsia="新宋体" w:hint="default"/>
        </w:rPr>
        <w:t>2011</w:t>
      </w:r>
      <w:r>
        <w:rPr/>
        <w:t>年现金红利</w:t>
      </w:r>
      <w:r>
        <w:rPr>
          <w:rFonts w:ascii="新宋体" w:hAnsi="新宋体" w:cs="新宋体" w:eastAsia="新宋体" w:hint="default"/>
        </w:rPr>
        <w:t>11,800,000.00</w:t>
      </w:r>
      <w:r>
        <w:rPr/>
        <w:t>元，本次可供股东分配的利润为</w:t>
      </w:r>
      <w:r>
        <w:rPr>
          <w:rFonts w:ascii="新宋体" w:hAnsi="新宋体" w:cs="新宋体" w:eastAsia="新宋体" w:hint="default"/>
        </w:rPr>
        <w:t>80,963,487.98</w:t>
      </w:r>
      <w:r>
        <w:rPr>
          <w:rFonts w:ascii="新宋体" w:hAnsi="新宋体" w:cs="新宋体" w:eastAsia="新宋体" w:hint="default"/>
          <w:spacing w:val="-1"/>
        </w:rPr>
        <w:t> </w:t>
      </w:r>
      <w:r>
        <w:rPr/>
        <w:t>元。</w:t>
      </w:r>
    </w:p>
    <w:p>
      <w:pPr>
        <w:pStyle w:val="BodyText"/>
        <w:spacing w:line="240" w:lineRule="auto" w:before="77"/>
        <w:ind w:left="753" w:right="94"/>
        <w:jc w:val="left"/>
      </w:pPr>
      <w:r>
        <w:rPr/>
        <w:t>结合公司</w:t>
      </w:r>
      <w:r>
        <w:rPr>
          <w:spacing w:val="-47"/>
        </w:rPr>
        <w:t> </w:t>
      </w:r>
      <w:r>
        <w:rPr>
          <w:rFonts w:ascii="新宋体" w:hAnsi="新宋体" w:cs="新宋体" w:eastAsia="新宋体" w:hint="default"/>
        </w:rPr>
        <w:t>2012</w:t>
      </w:r>
      <w:r>
        <w:rPr>
          <w:rFonts w:ascii="新宋体" w:hAnsi="新宋体" w:cs="新宋体" w:eastAsia="新宋体" w:hint="default"/>
          <w:spacing w:val="-47"/>
        </w:rPr>
        <w:t> </w:t>
      </w:r>
      <w:r>
        <w:rPr/>
        <w:t>年度发展状况及现金流情况，</w:t>
      </w:r>
      <w:r>
        <w:rPr>
          <w:rFonts w:ascii="新宋体" w:hAnsi="新宋体" w:cs="新宋体" w:eastAsia="新宋体" w:hint="default"/>
        </w:rPr>
        <w:t>2013</w:t>
      </w:r>
      <w:r>
        <w:rPr>
          <w:rFonts w:ascii="新宋体" w:hAnsi="新宋体" w:cs="新宋体" w:eastAsia="新宋体" w:hint="default"/>
          <w:spacing w:val="-47"/>
        </w:rPr>
        <w:t> </w:t>
      </w:r>
      <w:r>
        <w:rPr/>
        <w:t>年</w:t>
      </w:r>
      <w:r>
        <w:rPr>
          <w:spacing w:val="-47"/>
        </w:rPr>
        <w:t> </w:t>
      </w:r>
      <w:r>
        <w:rPr>
          <w:rFonts w:ascii="新宋体" w:hAnsi="新宋体" w:cs="新宋体" w:eastAsia="新宋体" w:hint="default"/>
        </w:rPr>
        <w:t>3</w:t>
      </w:r>
      <w:r>
        <w:rPr>
          <w:rFonts w:ascii="新宋体" w:hAnsi="新宋体" w:cs="新宋体" w:eastAsia="新宋体" w:hint="default"/>
          <w:spacing w:val="-47"/>
        </w:rPr>
        <w:t> </w:t>
      </w:r>
      <w:r>
        <w:rPr/>
        <w:t>月</w:t>
      </w:r>
      <w:r>
        <w:rPr>
          <w:spacing w:val="-47"/>
        </w:rPr>
        <w:t> </w:t>
      </w:r>
      <w:r>
        <w:rPr>
          <w:rFonts w:ascii="新宋体" w:hAnsi="新宋体" w:cs="新宋体" w:eastAsia="新宋体" w:hint="default"/>
        </w:rPr>
        <w:t>28</w:t>
      </w:r>
      <w:r>
        <w:rPr>
          <w:rFonts w:ascii="新宋体" w:hAnsi="新宋体" w:cs="新宋体" w:eastAsia="新宋体" w:hint="default"/>
          <w:spacing w:val="-47"/>
        </w:rPr>
        <w:t> </w:t>
      </w:r>
      <w:r>
        <w:rPr/>
        <w:t>日公司第二届董事会第二</w:t>
      </w:r>
    </w:p>
    <w:p>
      <w:pPr>
        <w:pStyle w:val="BodyText"/>
        <w:spacing w:line="240" w:lineRule="auto" w:before="154"/>
        <w:ind w:right="0"/>
        <w:jc w:val="both"/>
        <w:rPr>
          <w:rFonts w:ascii="新宋体" w:hAnsi="新宋体" w:cs="新宋体" w:eastAsia="新宋体" w:hint="default"/>
        </w:rPr>
      </w:pPr>
      <w:r>
        <w:rPr/>
        <w:t>十一会议审议通过了</w:t>
      </w:r>
      <w:r>
        <w:rPr>
          <w:spacing w:val="-89"/>
        </w:rPr>
        <w:t> </w:t>
      </w:r>
      <w:r>
        <w:rPr>
          <w:rFonts w:ascii="新宋体" w:hAnsi="新宋体" w:cs="新宋体" w:eastAsia="新宋体" w:hint="default"/>
        </w:rPr>
        <w:t>2012</w:t>
      </w:r>
      <w:r>
        <w:rPr>
          <w:rFonts w:ascii="新宋体" w:hAnsi="新宋体" w:cs="新宋体" w:eastAsia="新宋体" w:hint="default"/>
          <w:spacing w:val="-89"/>
        </w:rPr>
        <w:t> </w:t>
      </w:r>
      <w:r>
        <w:rPr/>
        <w:t>年度权益分派的预案</w:t>
      </w:r>
      <w:r>
        <w:rPr>
          <w:spacing w:val="-120"/>
        </w:rPr>
        <w:t>：</w:t>
      </w:r>
      <w:r>
        <w:rPr/>
        <w:t>以</w:t>
      </w:r>
      <w:r>
        <w:rPr>
          <w:spacing w:val="-89"/>
        </w:rPr>
        <w:t> </w:t>
      </w:r>
      <w:r>
        <w:rPr>
          <w:rFonts w:ascii="新宋体" w:hAnsi="新宋体" w:cs="新宋体" w:eastAsia="新宋体" w:hint="default"/>
        </w:rPr>
        <w:t>2012</w:t>
      </w:r>
      <w:r>
        <w:rPr>
          <w:rFonts w:ascii="新宋体" w:hAnsi="新宋体" w:cs="新宋体" w:eastAsia="新宋体" w:hint="default"/>
          <w:spacing w:val="-89"/>
        </w:rPr>
        <w:t> </w:t>
      </w:r>
      <w:r>
        <w:rPr/>
        <w:t>年</w:t>
      </w:r>
      <w:r>
        <w:rPr>
          <w:spacing w:val="-89"/>
        </w:rPr>
        <w:t> </w:t>
      </w:r>
      <w:r>
        <w:rPr>
          <w:rFonts w:ascii="新宋体" w:hAnsi="新宋体" w:cs="新宋体" w:eastAsia="新宋体" w:hint="default"/>
        </w:rPr>
        <w:t>12</w:t>
      </w:r>
      <w:r>
        <w:rPr>
          <w:rFonts w:ascii="新宋体" w:hAnsi="新宋体" w:cs="新宋体" w:eastAsia="新宋体" w:hint="default"/>
          <w:spacing w:val="-89"/>
        </w:rPr>
        <w:t> </w:t>
      </w:r>
      <w:r>
        <w:rPr/>
        <w:t>月</w:t>
      </w:r>
      <w:r>
        <w:rPr>
          <w:spacing w:val="-89"/>
        </w:rPr>
        <w:t> </w:t>
      </w:r>
      <w:r>
        <w:rPr>
          <w:rFonts w:ascii="新宋体" w:hAnsi="新宋体" w:cs="新宋体" w:eastAsia="新宋体" w:hint="default"/>
        </w:rPr>
        <w:t>31</w:t>
      </w:r>
      <w:r>
        <w:rPr>
          <w:rFonts w:ascii="新宋体" w:hAnsi="新宋体" w:cs="新宋体" w:eastAsia="新宋体" w:hint="default"/>
          <w:spacing w:val="-89"/>
        </w:rPr>
        <w:t> </w:t>
      </w:r>
      <w:r>
        <w:rPr>
          <w:spacing w:val="-3"/>
        </w:rPr>
        <w:t>日</w:t>
      </w:r>
      <w:r>
        <w:rPr/>
        <w:t>公司总股本</w:t>
      </w:r>
      <w:r>
        <w:rPr>
          <w:spacing w:val="-89"/>
        </w:rPr>
        <w:t> </w:t>
      </w:r>
      <w:r>
        <w:rPr>
          <w:rFonts w:ascii="新宋体" w:hAnsi="新宋体" w:cs="新宋体" w:eastAsia="新宋体" w:hint="default"/>
        </w:rPr>
        <w:t>118,000,000</w:t>
      </w:r>
    </w:p>
    <w:p>
      <w:pPr>
        <w:pStyle w:val="BodyText"/>
        <w:spacing w:line="240" w:lineRule="auto" w:before="154"/>
        <w:ind w:right="0"/>
        <w:jc w:val="both"/>
      </w:pPr>
      <w:r>
        <w:rPr>
          <w:spacing w:val="-3"/>
        </w:rPr>
        <w:t>股为基数，按每</w:t>
      </w:r>
      <w:r>
        <w:rPr>
          <w:spacing w:val="-59"/>
        </w:rPr>
        <w:t> </w:t>
      </w:r>
      <w:r>
        <w:rPr>
          <w:rFonts w:ascii="新宋体" w:hAnsi="新宋体" w:cs="新宋体" w:eastAsia="新宋体" w:hint="default"/>
        </w:rPr>
        <w:t>10</w:t>
      </w:r>
      <w:r>
        <w:rPr>
          <w:rFonts w:ascii="新宋体" w:hAnsi="新宋体" w:cs="新宋体" w:eastAsia="新宋体" w:hint="default"/>
          <w:spacing w:val="-59"/>
        </w:rPr>
        <w:t> </w:t>
      </w:r>
      <w:r>
        <w:rPr/>
        <w:t>股派发现金红利</w:t>
      </w:r>
      <w:r>
        <w:rPr>
          <w:spacing w:val="-59"/>
        </w:rPr>
        <w:t> </w:t>
      </w:r>
      <w:r>
        <w:rPr>
          <w:rFonts w:ascii="新宋体" w:hAnsi="新宋体" w:cs="新宋体" w:eastAsia="新宋体" w:hint="default"/>
        </w:rPr>
        <w:t>0.5</w:t>
      </w:r>
      <w:r>
        <w:rPr>
          <w:rFonts w:ascii="新宋体" w:hAnsi="新宋体" w:cs="新宋体" w:eastAsia="新宋体" w:hint="default"/>
          <w:spacing w:val="-59"/>
        </w:rPr>
        <w:t> </w:t>
      </w:r>
      <w:r>
        <w:rPr>
          <w:spacing w:val="-4"/>
        </w:rPr>
        <w:t>元（含税），共分配现金股利</w:t>
      </w:r>
      <w:r>
        <w:rPr>
          <w:spacing w:val="-59"/>
        </w:rPr>
        <w:t> </w:t>
      </w:r>
      <w:r>
        <w:rPr>
          <w:rFonts w:ascii="新宋体" w:hAnsi="新宋体" w:cs="新宋体" w:eastAsia="新宋体" w:hint="default"/>
        </w:rPr>
        <w:t>5,900,000</w:t>
      </w:r>
      <w:r>
        <w:rPr>
          <w:rFonts w:ascii="新宋体" w:hAnsi="新宋体" w:cs="新宋体" w:eastAsia="新宋体" w:hint="default"/>
          <w:spacing w:val="-59"/>
        </w:rPr>
        <w:t> </w:t>
      </w:r>
      <w:r>
        <w:rPr>
          <w:spacing w:val="-4"/>
        </w:rPr>
        <w:t>元，剩余未</w:t>
      </w:r>
    </w:p>
    <w:p>
      <w:pPr>
        <w:spacing w:line="588" w:lineRule="auto" w:before="154"/>
        <w:ind w:left="152" w:right="2493" w:firstLine="0"/>
        <w:jc w:val="left"/>
        <w:rPr>
          <w:rFonts w:ascii="新宋体" w:hAnsi="新宋体" w:cs="新宋体" w:eastAsia="新宋体" w:hint="default"/>
          <w:sz w:val="24"/>
          <w:szCs w:val="24"/>
        </w:rPr>
      </w:pPr>
      <w:r>
        <w:rPr>
          <w:rFonts w:ascii="新宋体" w:hAnsi="新宋体" w:cs="新宋体" w:eastAsia="新宋体" w:hint="default"/>
          <w:sz w:val="24"/>
          <w:szCs w:val="24"/>
        </w:rPr>
        <w:t>分配利润结转以后年度。此预案需提交公司</w:t>
      </w:r>
      <w:r>
        <w:rPr>
          <w:rFonts w:ascii="新宋体" w:hAnsi="新宋体" w:cs="新宋体" w:eastAsia="新宋体" w:hint="default"/>
          <w:spacing w:val="-59"/>
          <w:sz w:val="24"/>
          <w:szCs w:val="24"/>
        </w:rPr>
        <w:t> </w:t>
      </w:r>
      <w:r>
        <w:rPr>
          <w:rFonts w:ascii="新宋体" w:hAnsi="新宋体" w:cs="新宋体" w:eastAsia="新宋体" w:hint="default"/>
          <w:sz w:val="24"/>
          <w:szCs w:val="24"/>
        </w:rPr>
        <w:t>2012</w:t>
      </w:r>
      <w:r>
        <w:rPr>
          <w:rFonts w:ascii="新宋体" w:hAnsi="新宋体" w:cs="新宋体" w:eastAsia="新宋体" w:hint="default"/>
          <w:spacing w:val="-60"/>
          <w:sz w:val="24"/>
          <w:szCs w:val="24"/>
        </w:rPr>
        <w:t> </w:t>
      </w:r>
      <w:r>
        <w:rPr>
          <w:rFonts w:ascii="新宋体" w:hAnsi="新宋体" w:cs="新宋体" w:eastAsia="新宋体" w:hint="default"/>
          <w:sz w:val="24"/>
          <w:szCs w:val="24"/>
        </w:rPr>
        <w:t>年度股东大会审议。 </w:t>
      </w:r>
      <w:r>
        <w:rPr>
          <w:rFonts w:ascii="新宋体" w:hAnsi="新宋体" w:cs="新宋体" w:eastAsia="新宋体" w:hint="default"/>
          <w:b/>
          <w:bCs/>
          <w:sz w:val="24"/>
          <w:szCs w:val="24"/>
        </w:rPr>
        <w:t>十一、其他重要事项</w:t>
      </w:r>
      <w:r>
        <w:rPr>
          <w:rFonts w:ascii="新宋体" w:hAnsi="新宋体" w:cs="新宋体" w:eastAsia="新宋体" w:hint="default"/>
          <w:sz w:val="24"/>
          <w:szCs w:val="24"/>
        </w:rPr>
      </w:r>
    </w:p>
    <w:p>
      <w:pPr>
        <w:pStyle w:val="Heading2"/>
        <w:spacing w:line="240" w:lineRule="auto" w:before="103"/>
        <w:ind w:right="0"/>
        <w:jc w:val="both"/>
        <w:rPr>
          <w:rFonts w:ascii="新宋体" w:hAnsi="新宋体" w:cs="新宋体" w:eastAsia="新宋体" w:hint="default"/>
          <w:b w:val="0"/>
          <w:bCs w:val="0"/>
        </w:rPr>
      </w:pPr>
      <w:r>
        <w:rPr>
          <w:rFonts w:ascii="新宋体" w:hAnsi="新宋体" w:cs="新宋体" w:eastAsia="新宋体" w:hint="default"/>
        </w:rPr>
        <w:t>1</w:t>
      </w:r>
      <w:r>
        <w:rPr>
          <w:rFonts w:ascii="新宋体" w:hAnsi="新宋体" w:cs="新宋体" w:eastAsia="新宋体" w:hint="default"/>
        </w:rPr>
        <w:t>、企业合并</w:t>
      </w:r>
      <w:r>
        <w:rPr>
          <w:rFonts w:ascii="新宋体" w:hAnsi="新宋体" w:cs="新宋体" w:eastAsia="新宋体" w:hint="default"/>
          <w:b w:val="0"/>
          <w:bCs w:val="0"/>
        </w:rPr>
      </w:r>
    </w:p>
    <w:p>
      <w:pPr>
        <w:spacing w:line="240" w:lineRule="auto" w:before="9"/>
        <w:rPr>
          <w:rFonts w:ascii="新宋体" w:hAnsi="新宋体" w:cs="新宋体" w:eastAsia="新宋体" w:hint="default"/>
          <w:b/>
          <w:bCs/>
          <w:sz w:val="34"/>
          <w:szCs w:val="34"/>
        </w:rPr>
      </w:pPr>
    </w:p>
    <w:p>
      <w:pPr>
        <w:pStyle w:val="BodyText"/>
        <w:spacing w:line="357" w:lineRule="auto" w:before="0"/>
        <w:ind w:right="188" w:firstLine="420"/>
        <w:jc w:val="left"/>
      </w:pPr>
      <w:r>
        <w:rPr>
          <w:spacing w:val="2"/>
        </w:rPr>
        <w:t>根据</w:t>
      </w:r>
      <w:r>
        <w:rPr>
          <w:rFonts w:ascii="新宋体" w:hAnsi="新宋体" w:cs="新宋体" w:eastAsia="新宋体" w:hint="default"/>
          <w:spacing w:val="2"/>
        </w:rPr>
        <w:t>2012</w:t>
      </w:r>
      <w:r>
        <w:rPr>
          <w:spacing w:val="2"/>
        </w:rPr>
        <w:t>年</w:t>
      </w:r>
      <w:r>
        <w:rPr>
          <w:rFonts w:ascii="新宋体" w:hAnsi="新宋体" w:cs="新宋体" w:eastAsia="新宋体" w:hint="default"/>
          <w:spacing w:val="2"/>
        </w:rPr>
        <w:t>3</w:t>
      </w:r>
      <w:r>
        <w:rPr>
          <w:spacing w:val="2"/>
        </w:rPr>
        <w:t>月</w:t>
      </w:r>
      <w:r>
        <w:rPr>
          <w:rFonts w:ascii="新宋体" w:hAnsi="新宋体" w:cs="新宋体" w:eastAsia="新宋体" w:hint="default"/>
          <w:spacing w:val="2"/>
        </w:rPr>
        <w:t>31</w:t>
      </w:r>
      <w:r>
        <w:rPr>
          <w:spacing w:val="2"/>
        </w:rPr>
        <w:t>日公司第二届董事会第十四次会议决议，公司出资</w:t>
      </w:r>
      <w:r>
        <w:rPr>
          <w:rFonts w:ascii="新宋体" w:hAnsi="新宋体" w:cs="新宋体" w:eastAsia="新宋体" w:hint="default"/>
          <w:spacing w:val="2"/>
        </w:rPr>
        <w:t>302</w:t>
      </w:r>
      <w:r>
        <w:rPr>
          <w:spacing w:val="2"/>
        </w:rPr>
        <w:t>万元增资哈尔滨 </w:t>
      </w:r>
      <w:r>
        <w:rPr/>
        <w:t>盈江科技有限公司，持股比例为</w:t>
      </w:r>
      <w:r>
        <w:rPr>
          <w:rFonts w:ascii="新宋体" w:hAnsi="新宋体" w:cs="新宋体" w:eastAsia="新宋体" w:hint="default"/>
        </w:rPr>
        <w:t>51%</w:t>
      </w:r>
      <w:r>
        <w:rPr/>
        <w:t>。</w:t>
      </w:r>
    </w:p>
    <w:p>
      <w:pPr>
        <w:spacing w:after="0" w:line="357" w:lineRule="auto"/>
        <w:jc w:val="left"/>
        <w:sectPr>
          <w:pgSz w:w="11910" w:h="16840"/>
          <w:pgMar w:header="555" w:footer="980" w:top="1100" w:bottom="1160" w:left="980" w:right="940"/>
        </w:sectPr>
      </w:pPr>
    </w:p>
    <w:p>
      <w:pPr>
        <w:spacing w:line="240" w:lineRule="auto" w:before="7"/>
        <w:rPr>
          <w:rFonts w:ascii="新宋体" w:hAnsi="新宋体" w:cs="新宋体" w:eastAsia="新宋体" w:hint="default"/>
          <w:sz w:val="25"/>
          <w:szCs w:val="25"/>
        </w:rPr>
      </w:pPr>
    </w:p>
    <w:p>
      <w:pPr>
        <w:pStyle w:val="Heading2"/>
        <w:spacing w:line="588" w:lineRule="auto" w:before="26"/>
        <w:ind w:left="172" w:right="5939"/>
        <w:jc w:val="left"/>
        <w:rPr>
          <w:rFonts w:ascii="新宋体" w:hAnsi="新宋体" w:cs="新宋体" w:eastAsia="新宋体" w:hint="default"/>
          <w:b w:val="0"/>
          <w:bCs w:val="0"/>
        </w:rPr>
      </w:pPr>
      <w:r>
        <w:rPr>
          <w:rFonts w:ascii="新宋体" w:hAnsi="新宋体" w:cs="新宋体" w:eastAsia="新宋体" w:hint="default"/>
        </w:rPr>
        <w:t>十二、母公司财务报表主要项目注释</w:t>
      </w:r>
      <w:r>
        <w:rPr>
          <w:rFonts w:ascii="新宋体" w:hAnsi="新宋体" w:cs="新宋体" w:eastAsia="新宋体" w:hint="default"/>
          <w:w w:val="99"/>
        </w:rPr>
        <w:t> </w:t>
      </w:r>
      <w:r>
        <w:rPr>
          <w:rFonts w:ascii="新宋体" w:hAnsi="新宋体" w:cs="新宋体" w:eastAsia="新宋体" w:hint="default"/>
        </w:rPr>
        <w:t>1</w:t>
      </w:r>
      <w:r>
        <w:rPr>
          <w:rFonts w:ascii="新宋体" w:hAnsi="新宋体" w:cs="新宋体" w:eastAsia="新宋体" w:hint="default"/>
        </w:rPr>
        <w:t>、应收账款</w:t>
      </w:r>
      <w:r>
        <w:rPr>
          <w:rFonts w:ascii="新宋体" w:hAnsi="新宋体" w:cs="新宋体" w:eastAsia="新宋体" w:hint="default"/>
          <w:b w:val="0"/>
          <w:bCs w:val="0"/>
        </w:rPr>
      </w:r>
    </w:p>
    <w:p>
      <w:pPr>
        <w:pStyle w:val="Heading2"/>
        <w:spacing w:line="240" w:lineRule="auto" w:before="106"/>
        <w:ind w:left="172" w:right="94"/>
        <w:jc w:val="left"/>
        <w:rPr>
          <w:rFonts w:ascii="新宋体" w:hAnsi="新宋体" w:cs="新宋体" w:eastAsia="新宋体" w:hint="default"/>
          <w:b w:val="0"/>
          <w:bCs w:val="0"/>
        </w:rPr>
      </w:pPr>
      <w:r>
        <w:rPr>
          <w:rFonts w:ascii="新宋体" w:hAnsi="新宋体" w:cs="新宋体" w:eastAsia="新宋体" w:hint="default"/>
        </w:rPr>
        <w:t>（</w:t>
      </w:r>
      <w:r>
        <w:rPr>
          <w:rFonts w:ascii="新宋体" w:hAnsi="新宋体" w:cs="新宋体" w:eastAsia="新宋体" w:hint="default"/>
        </w:rPr>
        <w:t>1</w:t>
      </w:r>
      <w:r>
        <w:rPr>
          <w:rFonts w:ascii="新宋体" w:hAnsi="新宋体" w:cs="新宋体" w:eastAsia="新宋体" w:hint="default"/>
        </w:rPr>
        <w:t>）应收账款</w:t>
      </w:r>
      <w:r>
        <w:rPr>
          <w:rFonts w:ascii="新宋体" w:hAnsi="新宋体" w:cs="新宋体" w:eastAsia="新宋体" w:hint="default"/>
          <w:b w:val="0"/>
          <w:bCs w:val="0"/>
        </w:rPr>
      </w:r>
    </w:p>
    <w:p>
      <w:pPr>
        <w:spacing w:line="240" w:lineRule="auto" w:before="12"/>
        <w:rPr>
          <w:rFonts w:ascii="新宋体" w:hAnsi="新宋体" w:cs="新宋体" w:eastAsia="新宋体" w:hint="default"/>
          <w:b/>
          <w:bCs/>
          <w:sz w:val="28"/>
          <w:szCs w:val="28"/>
        </w:rPr>
      </w:pPr>
    </w:p>
    <w:p>
      <w:pPr>
        <w:spacing w:before="44"/>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000"/>
        <w:gridCol w:w="1145"/>
        <w:gridCol w:w="775"/>
        <w:gridCol w:w="1328"/>
        <w:gridCol w:w="770"/>
        <w:gridCol w:w="1195"/>
        <w:gridCol w:w="665"/>
        <w:gridCol w:w="1030"/>
        <w:gridCol w:w="840"/>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0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74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81,144,645.06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93.66%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6,393,078.62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84,791,930.95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5,354,267.01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81,144,645.06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93.66%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6,393,078.62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84,791,930.95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5,354,267.01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6.3%</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5,492,938.36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w:t>
            </w:r>
          </w:p>
        </w:tc>
        <w:tc>
          <w:tcPr>
            <w:tcW w:w="132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200,735.96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103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86,637,583.42</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6,393,078.62</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84,992,666.91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5,354,267.01</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555" w:footer="980" w:top="1100" w:bottom="1160" w:left="960" w:right="960"/>
        </w:sectPr>
      </w:pPr>
    </w:p>
    <w:p>
      <w:pPr>
        <w:spacing w:line="357" w:lineRule="auto" w:before="49"/>
        <w:ind w:left="172"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本报告期公司无单项金额重大并单项计提坏账准备的应收账款。 期末单项金额重大并单项计提坏账准备的应收账款</w:t>
      </w:r>
    </w:p>
    <w:p>
      <w:pPr>
        <w:spacing w:line="340" w:lineRule="auto" w:before="26"/>
        <w:ind w:left="172" w:right="10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41"/>
        <w:ind w:left="17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60" w:right="960"/>
          <w:cols w:num="2" w:equalWidth="0">
            <w:col w:w="5214" w:space="3615"/>
            <w:col w:w="1161"/>
          </w:cols>
        </w:sectPr>
      </w:pP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277"/>
        <w:gridCol w:w="1995"/>
        <w:gridCol w:w="662"/>
        <w:gridCol w:w="1200"/>
        <w:gridCol w:w="2126"/>
        <w:gridCol w:w="665"/>
        <w:gridCol w:w="1594"/>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77"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200"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2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58,494,071.59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72.08%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2,924,703.58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72,977,775.74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3,648,888.78</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58,494,071.59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72.08%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2,924,703.58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72,977,775.74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3,648,888.78</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16,541,537.69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1,654,153.77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8,239,630.29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823,963.03</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2,980,896.38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3.67%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596,179.28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2,557,148.30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511,429.66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60" w:right="96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276"/>
        <w:gridCol w:w="1995"/>
        <w:gridCol w:w="662"/>
        <w:gridCol w:w="1200"/>
        <w:gridCol w:w="2126"/>
        <w:gridCol w:w="665"/>
        <w:gridCol w:w="1594"/>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3,128,139.40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1,218,041.99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1,017,376.62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369,985.54</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2,146,042.30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643,812.69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849,035.12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254,710.54</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815,735.60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407,867.80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106,133.00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53,066.50</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166,361.50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166,361.50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62,208.50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62,208.50</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81,144,645.06</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6,393,078.62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84,791,930.95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5,354,267.01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441" w:lineRule="auto"/>
        <w:ind w:right="5317"/>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）本报告期转回或收回的应收账款情况</w:t>
      </w:r>
      <w:r>
        <w:rPr>
          <w:w w:val="99"/>
        </w:rPr>
        <w:t> </w:t>
      </w:r>
      <w:r>
        <w:rPr>
          <w:rFonts w:ascii="宋体" w:hAnsi="宋体" w:cs="宋体" w:eastAsia="宋体" w:hint="default"/>
          <w:b w:val="0"/>
          <w:bCs w:val="0"/>
        </w:rPr>
        <w:t>不适用</w:t>
      </w:r>
    </w:p>
    <w:p>
      <w:pPr>
        <w:pStyle w:val="Heading2"/>
        <w:spacing w:line="441" w:lineRule="auto" w:before="98"/>
        <w:ind w:right="5558"/>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）本报告期实际核销的应收账款情况</w:t>
      </w:r>
      <w:r>
        <w:rPr>
          <w:w w:val="99"/>
        </w:rPr>
        <w:t> </w:t>
      </w:r>
      <w:r>
        <w:rPr>
          <w:rFonts w:ascii="宋体" w:hAnsi="宋体" w:cs="宋体" w:eastAsia="宋体" w:hint="default"/>
          <w:b w:val="0"/>
          <w:bCs w:val="0"/>
        </w:rPr>
        <w:t>不适用</w:t>
      </w:r>
    </w:p>
    <w:p>
      <w:pPr>
        <w:pStyle w:val="Heading2"/>
        <w:spacing w:line="441" w:lineRule="auto" w:before="96"/>
        <w:ind w:right="1102"/>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）本报告期应收账款中持有公司</w:t>
      </w:r>
      <w:r>
        <w:rPr>
          <w:spacing w:val="-59"/>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不适用</w:t>
      </w:r>
    </w:p>
    <w:p>
      <w:pPr>
        <w:pStyle w:val="Heading2"/>
        <w:spacing w:line="441" w:lineRule="auto" w:before="98"/>
        <w:ind w:right="4835"/>
        <w:jc w:val="left"/>
        <w:rPr>
          <w:rFonts w:ascii="宋体" w:hAnsi="宋体" w:cs="宋体" w:eastAsia="宋体" w:hint="default"/>
          <w:b w:val="0"/>
          <w:bCs w:val="0"/>
        </w:rPr>
      </w:pPr>
      <w:r>
        <w:rPr/>
        <w:t>（</w:t>
      </w:r>
      <w:r>
        <w:rPr>
          <w:rFonts w:ascii="Times New Roman" w:hAnsi="Times New Roman" w:cs="Times New Roman" w:eastAsia="Times New Roman" w:hint="default"/>
        </w:rPr>
        <w:t>5</w:t>
      </w:r>
      <w:r>
        <w:rPr/>
        <w:t>）金额较大的其他的应收账款的性质或内容</w:t>
      </w:r>
      <w:r>
        <w:rPr>
          <w:w w:val="99"/>
        </w:rPr>
        <w:t> </w:t>
      </w:r>
      <w:r>
        <w:rPr>
          <w:rFonts w:ascii="宋体" w:hAnsi="宋体" w:cs="宋体" w:eastAsia="宋体" w:hint="default"/>
          <w:b w:val="0"/>
          <w:bCs w:val="0"/>
        </w:rPr>
        <w:t>不适用</w:t>
      </w:r>
    </w:p>
    <w:p>
      <w:pPr>
        <w:pStyle w:val="Heading2"/>
        <w:spacing w:line="240" w:lineRule="auto" w:before="96"/>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9"/>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21" w:type="dxa"/>
        <w:tblLayout w:type="fixed"/>
        <w:tblCellMar>
          <w:top w:w="0" w:type="dxa"/>
          <w:left w:w="0" w:type="dxa"/>
          <w:bottom w:w="0" w:type="dxa"/>
          <w:right w:w="0" w:type="dxa"/>
        </w:tblCellMar>
        <w:tblLook w:val="01E0"/>
      </w:tblPr>
      <w:tblGrid>
        <w:gridCol w:w="2864"/>
        <w:gridCol w:w="1915"/>
        <w:gridCol w:w="1383"/>
        <w:gridCol w:w="869"/>
        <w:gridCol w:w="2264"/>
      </w:tblGrid>
      <w:tr>
        <w:trPr>
          <w:trHeight w:val="403"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北京顺义义源商贸公司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4,583,160.00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w:t>
            </w:r>
          </w:p>
        </w:tc>
      </w:tr>
      <w:tr>
        <w:trPr>
          <w:trHeight w:val="40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五矿邯邢矿业有限公司西石门铁矿</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4,463,675.00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schydropower</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4,317,781.94</w:t>
            </w:r>
          </w:p>
        </w:tc>
        <w:tc>
          <w:tcPr>
            <w:tcW w:w="869"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r>
      <w:tr>
        <w:trPr>
          <w:trHeight w:val="40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郑州创威煤安科技有限公司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3,799,245.39</w:t>
            </w:r>
          </w:p>
        </w:tc>
        <w:tc>
          <w:tcPr>
            <w:tcW w:w="869"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吉林石油集团有限责任公司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2,829,875.00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w:t>
            </w:r>
          </w:p>
        </w:tc>
      </w:tr>
      <w:tr>
        <w:trPr>
          <w:trHeight w:val="403"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8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19,993,737.33</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23.08%</w:t>
            </w:r>
          </w:p>
        </w:tc>
      </w:tr>
    </w:tbl>
    <w:p>
      <w:pPr>
        <w:spacing w:after="0" w:line="240" w:lineRule="auto"/>
        <w:jc w:val="righ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11"/>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郑州创威煤安科技有限公司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关联单位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3,799,245.39</w:t>
            </w: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北京智威宇讯科技有限公司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关联单位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1,100,733.30</w:t>
            </w: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上海中威天安公共安全科技 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关联单位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375,561.17</w:t>
            </w: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哈尔滨盈江科技有限公司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关联单位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217,398.50</w:t>
            </w: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5,492,938.36</w:t>
            </w: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7"/>
          <w:szCs w:val="17"/>
        </w:rPr>
      </w:pPr>
    </w:p>
    <w:p>
      <w:pPr>
        <w:pStyle w:val="Heading2"/>
        <w:spacing w:line="441" w:lineRule="auto" w:before="26"/>
        <w:ind w:right="4594"/>
        <w:jc w:val="left"/>
        <w:rPr>
          <w:rFonts w:ascii="宋体" w:hAnsi="宋体" w:cs="宋体" w:eastAsia="宋体" w:hint="default"/>
          <w:b w:val="0"/>
          <w:bCs w:val="0"/>
        </w:rPr>
      </w:pPr>
      <w:r>
        <w:rPr/>
        <w:t>（</w:t>
      </w:r>
      <w:r>
        <w:rPr>
          <w:rFonts w:ascii="Times New Roman" w:hAnsi="Times New Roman" w:cs="Times New Roman" w:eastAsia="Times New Roman" w:hint="default"/>
        </w:rPr>
        <w:t>8</w:t>
      </w:r>
      <w:r>
        <w:rPr/>
        <w:t>）不符合终止确认条件的应收账款的转移金额</w:t>
      </w:r>
      <w:r>
        <w:rPr>
          <w:w w:val="99"/>
        </w:rPr>
        <w:t> </w:t>
      </w:r>
      <w:r>
        <w:rPr>
          <w:rFonts w:ascii="宋体" w:hAnsi="宋体" w:cs="宋体" w:eastAsia="宋体" w:hint="default"/>
          <w:b w:val="0"/>
          <w:bCs w:val="0"/>
        </w:rPr>
        <w:t>不适用</w:t>
      </w:r>
    </w:p>
    <w:p>
      <w:pPr>
        <w:pStyle w:val="Heading2"/>
        <w:spacing w:line="439" w:lineRule="auto" w:before="98"/>
        <w:ind w:right="1944"/>
        <w:jc w:val="left"/>
        <w:rPr>
          <w:rFonts w:ascii="宋体" w:hAnsi="宋体" w:cs="宋体" w:eastAsia="宋体" w:hint="default"/>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w w:val="99"/>
        </w:rPr>
        <w:t> </w:t>
      </w:r>
      <w:r>
        <w:rPr>
          <w:rFonts w:ascii="宋体" w:hAnsi="宋体" w:cs="宋体" w:eastAsia="宋体" w:hint="default"/>
          <w:b w:val="0"/>
          <w:bCs w:val="0"/>
        </w:rPr>
        <w:t>不适用</w:t>
      </w:r>
    </w:p>
    <w:p>
      <w:pPr>
        <w:pStyle w:val="Heading2"/>
        <w:spacing w:line="240" w:lineRule="auto" w:before="101"/>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133"/>
        <w:gridCol w:w="1454"/>
        <w:gridCol w:w="771"/>
        <w:gridCol w:w="1322"/>
        <w:gridCol w:w="804"/>
        <w:gridCol w:w="1322"/>
        <w:gridCol w:w="804"/>
        <w:gridCol w:w="1189"/>
        <w:gridCol w:w="797"/>
      </w:tblGrid>
      <w:tr>
        <w:trPr>
          <w:trHeight w:val="403" w:hRule="exact"/>
        </w:trPr>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3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133" w:type="dxa"/>
            <w:vMerge/>
            <w:tcBorders>
              <w:left w:val="single" w:sz="4" w:space="0" w:color="000000"/>
              <w:right w:val="single" w:sz="4" w:space="0" w:color="000000"/>
            </w:tcBorders>
            <w:shd w:val="clear" w:color="auto" w:fill="D2D2D2"/>
          </w:tcPr>
          <w:p>
            <w:pPr/>
          </w:p>
        </w:tc>
        <w:tc>
          <w:tcPr>
            <w:tcW w:w="22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9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4,787,180.51</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302,589.38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4,015,664.82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215,748.24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w:t>
            </w: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4,787,180.51</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302,589.38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4,015,664.82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215,748.24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4,787,180.51</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302,589.38</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4,015,664.82</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215,748.24</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w:t>
      </w:r>
      <w:r>
        <w:rPr>
          <w:rFonts w:ascii="宋体" w:hAnsi="宋体" w:cs="宋体" w:eastAsia="宋体" w:hint="default"/>
          <w:spacing w:val="-2"/>
          <w:sz w:val="18"/>
          <w:szCs w:val="18"/>
        </w:rPr>
        <w:t>本报告期公司无单项金额重大并单项计提坏账准备的其他应收款，也没有单项金额虽不重大但单项计提坏账准备的其他应收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款。</w:t>
      </w:r>
    </w:p>
    <w:p>
      <w:pPr>
        <w:spacing w:before="43"/>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555" w:footer="980" w:top="1100" w:bottom="1160" w:left="980" w:right="980"/>
        </w:sectPr>
      </w:pPr>
    </w:p>
    <w:p>
      <w:pPr>
        <w:spacing w:line="240" w:lineRule="auto" w:before="11"/>
        <w:rPr>
          <w:rFonts w:ascii="宋体" w:hAnsi="宋体" w:cs="宋体" w:eastAsia="宋体" w:hint="default"/>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4,008,883.51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200,444.18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3,816,364.82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95.04%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190,818.24</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4,008,883.51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200,444.18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3,816,364.82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95.04%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190,818.24</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585,142.00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58,514.20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28,631.00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4,787,180.51</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302,589.38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4,015,664.82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215,748.24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39"/>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441" w:lineRule="auto"/>
        <w:ind w:right="5076"/>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）本报告期转回或收回的其他应收款情况</w:t>
      </w:r>
      <w:r>
        <w:rPr>
          <w:w w:val="99"/>
        </w:rPr>
        <w:t> </w:t>
      </w:r>
      <w:r>
        <w:rPr>
          <w:rFonts w:ascii="宋体" w:hAnsi="宋体" w:cs="宋体" w:eastAsia="宋体" w:hint="default"/>
          <w:b w:val="0"/>
          <w:bCs w:val="0"/>
        </w:rPr>
        <w:t>不适用</w:t>
      </w:r>
    </w:p>
    <w:p>
      <w:pPr>
        <w:pStyle w:val="Heading2"/>
        <w:spacing w:line="441" w:lineRule="auto" w:before="96"/>
        <w:ind w:right="5317"/>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）本报告期实际核销的其他应收款情况</w:t>
      </w:r>
      <w:r>
        <w:rPr>
          <w:w w:val="99"/>
        </w:rPr>
        <w:t> </w:t>
      </w:r>
      <w:r>
        <w:rPr>
          <w:rFonts w:ascii="宋体" w:hAnsi="宋体" w:cs="宋体" w:eastAsia="宋体" w:hint="default"/>
          <w:b w:val="0"/>
          <w:bCs w:val="0"/>
        </w:rPr>
        <w:t>不适用</w:t>
      </w:r>
    </w:p>
    <w:p>
      <w:pPr>
        <w:pStyle w:val="Heading2"/>
        <w:spacing w:line="441" w:lineRule="auto" w:before="96"/>
        <w:ind w:right="863"/>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）本报告期其他应收款中持有公司</w:t>
      </w:r>
      <w:r>
        <w:rPr>
          <w:spacing w:val="-61"/>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不适用</w:t>
      </w:r>
    </w:p>
    <w:p>
      <w:pPr>
        <w:pStyle w:val="Heading2"/>
        <w:spacing w:line="441" w:lineRule="auto" w:before="96"/>
        <w:ind w:right="5317"/>
        <w:jc w:val="left"/>
        <w:rPr>
          <w:rFonts w:ascii="宋体" w:hAnsi="宋体" w:cs="宋体" w:eastAsia="宋体" w:hint="default"/>
          <w:b w:val="0"/>
          <w:bCs w:val="0"/>
        </w:rPr>
      </w:pPr>
      <w:r>
        <w:rPr/>
        <w:t>（</w:t>
      </w:r>
      <w:r>
        <w:rPr>
          <w:rFonts w:ascii="Times New Roman" w:hAnsi="Times New Roman" w:cs="Times New Roman" w:eastAsia="Times New Roman" w:hint="default"/>
        </w:rPr>
        <w:t>5</w:t>
      </w:r>
      <w:r>
        <w:rPr/>
        <w:t>）金额较大的其他应收款的性质或内容</w:t>
      </w:r>
      <w:r>
        <w:rPr>
          <w:w w:val="99"/>
        </w:rPr>
        <w:t> </w:t>
      </w:r>
      <w:r>
        <w:rPr>
          <w:rFonts w:ascii="宋体" w:hAnsi="宋体" w:cs="宋体" w:eastAsia="宋体" w:hint="default"/>
          <w:b w:val="0"/>
          <w:bCs w:val="0"/>
        </w:rPr>
        <w:t>不适用</w:t>
      </w:r>
    </w:p>
    <w:p>
      <w:pPr>
        <w:spacing w:after="0" w:line="441" w:lineRule="auto"/>
        <w:jc w:val="left"/>
        <w:rPr>
          <w:rFonts w:ascii="宋体" w:hAnsi="宋体" w:cs="宋体" w:eastAsia="宋体" w:hint="default"/>
        </w:rPr>
        <w:sectPr>
          <w:pgSz w:w="11910" w:h="16840"/>
          <w:pgMar w:header="555" w:footer="980" w:top="1100" w:bottom="1160" w:left="980" w:right="980"/>
        </w:sectPr>
      </w:pPr>
    </w:p>
    <w:p>
      <w:pPr>
        <w:spacing w:line="240" w:lineRule="auto" w:before="9"/>
        <w:rPr>
          <w:rFonts w:ascii="宋体" w:hAnsi="宋体" w:cs="宋体" w:eastAsia="宋体" w:hint="default"/>
          <w:sz w:val="19"/>
          <w:szCs w:val="19"/>
        </w:rPr>
      </w:pPr>
    </w:p>
    <w:p>
      <w:pPr>
        <w:pStyle w:val="Heading2"/>
        <w:spacing w:line="240" w:lineRule="auto" w:before="26"/>
        <w:ind w:left="592" w:right="4089"/>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9"/>
        <w:rPr>
          <w:rFonts w:ascii="宋体" w:hAnsi="宋体" w:cs="宋体" w:eastAsia="宋体" w:hint="default"/>
          <w:b/>
          <w:bCs/>
          <w:sz w:val="21"/>
          <w:szCs w:val="21"/>
        </w:rPr>
      </w:pPr>
    </w:p>
    <w:p>
      <w:pPr>
        <w:spacing w:before="4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828" w:type="dxa"/>
        <w:tblLayout w:type="fixed"/>
        <w:tblCellMar>
          <w:top w:w="0" w:type="dxa"/>
          <w:left w:w="0" w:type="dxa"/>
          <w:bottom w:w="0" w:type="dxa"/>
          <w:right w:w="0" w:type="dxa"/>
        </w:tblCellMar>
        <w:tblLook w:val="01E0"/>
      </w:tblPr>
      <w:tblGrid>
        <w:gridCol w:w="2278"/>
        <w:gridCol w:w="1834"/>
        <w:gridCol w:w="1532"/>
        <w:gridCol w:w="1085"/>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301,045.27</w:t>
            </w:r>
          </w:p>
        </w:tc>
        <w:tc>
          <w:tcPr>
            <w:tcW w:w="108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郑州高新技术产业开发区政 府采购办公室</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非关联单位</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268,982.00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罗健</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公司职工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孙孝聪</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公司职工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238,152.30</w:t>
            </w:r>
          </w:p>
        </w:tc>
        <w:tc>
          <w:tcPr>
            <w:tcW w:w="108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时学瑞</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公司职工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1,269,979.57</w:t>
            </w:r>
          </w:p>
        </w:tc>
        <w:tc>
          <w:tcPr>
            <w:tcW w:w="1085"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26.53%</w:t>
            </w:r>
          </w:p>
        </w:tc>
      </w:tr>
    </w:tbl>
    <w:p>
      <w:pPr>
        <w:spacing w:line="240" w:lineRule="auto" w:before="1"/>
        <w:rPr>
          <w:rFonts w:ascii="宋体" w:hAnsi="宋体" w:cs="宋体" w:eastAsia="宋体" w:hint="default"/>
          <w:sz w:val="18"/>
          <w:szCs w:val="18"/>
        </w:rPr>
      </w:pPr>
    </w:p>
    <w:p>
      <w:pPr>
        <w:pStyle w:val="Heading2"/>
        <w:spacing w:line="439" w:lineRule="auto" w:before="26"/>
        <w:ind w:left="592" w:right="6962"/>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）其他应收关联方账款情况</w:t>
      </w:r>
      <w:r>
        <w:rPr>
          <w:w w:val="99"/>
        </w:rPr>
        <w:t> </w:t>
      </w:r>
      <w:r>
        <w:rPr>
          <w:rFonts w:ascii="宋体" w:hAnsi="宋体" w:cs="宋体" w:eastAsia="宋体" w:hint="default"/>
          <w:b w:val="0"/>
          <w:bCs w:val="0"/>
        </w:rPr>
        <w:t>不适用</w:t>
      </w:r>
    </w:p>
    <w:p>
      <w:pPr>
        <w:pStyle w:val="Heading2"/>
        <w:tabs>
          <w:tab w:pos="1677" w:val="left" w:leader="none"/>
        </w:tabs>
        <w:spacing w:line="441" w:lineRule="auto" w:before="101"/>
        <w:ind w:left="592" w:right="4089"/>
        <w:jc w:val="left"/>
        <w:rPr>
          <w:rFonts w:ascii="宋体" w:hAnsi="宋体" w:cs="宋体" w:eastAsia="宋体" w:hint="default"/>
          <w:b w:val="0"/>
          <w:bCs w:val="0"/>
        </w:rPr>
      </w:pPr>
      <w:r>
        <w:rPr/>
        <w:t>（</w:t>
      </w:r>
      <w:r>
        <w:rPr>
          <w:rFonts w:ascii="Times New Roman" w:hAnsi="Times New Roman" w:cs="Times New Roman" w:eastAsia="Times New Roman" w:hint="default"/>
        </w:rPr>
        <w:t>8</w:t>
      </w:r>
      <w:r>
        <w:rPr/>
        <w:t>）</w:t>
        <w:tab/>
        <w:t>不符合终止确认条件的其他应收款项的转移金额</w:t>
      </w:r>
      <w:r>
        <w:rPr>
          <w:w w:val="99"/>
        </w:rPr>
        <w:t> </w:t>
      </w:r>
      <w:r>
        <w:rPr>
          <w:rFonts w:ascii="宋体" w:hAnsi="宋体" w:cs="宋体" w:eastAsia="宋体" w:hint="default"/>
          <w:b w:val="0"/>
          <w:bCs w:val="0"/>
        </w:rPr>
        <w:t>不适用</w:t>
      </w:r>
    </w:p>
    <w:p>
      <w:pPr>
        <w:pStyle w:val="Heading2"/>
        <w:spacing w:line="441" w:lineRule="auto" w:before="98"/>
        <w:ind w:left="592" w:right="1902"/>
        <w:jc w:val="left"/>
        <w:rPr>
          <w:rFonts w:ascii="宋体" w:hAnsi="宋体" w:cs="宋体" w:eastAsia="宋体" w:hint="default"/>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w w:val="99"/>
        </w:rPr>
        <w:t> </w:t>
      </w:r>
      <w:r>
        <w:rPr>
          <w:rFonts w:ascii="宋体" w:hAnsi="宋体" w:cs="宋体" w:eastAsia="宋体" w:hint="default"/>
          <w:b w:val="0"/>
          <w:bCs w:val="0"/>
        </w:rPr>
        <w:t>不适用</w:t>
      </w:r>
    </w:p>
    <w:p>
      <w:pPr>
        <w:pStyle w:val="Heading2"/>
        <w:spacing w:line="240" w:lineRule="auto" w:before="98"/>
        <w:ind w:left="592" w:right="4089"/>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1"/>
          <w:szCs w:val="21"/>
        </w:rPr>
      </w:pPr>
    </w:p>
    <w:p>
      <w:pPr>
        <w:spacing w:before="4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102"/>
        <w:gridCol w:w="658"/>
        <w:gridCol w:w="1315"/>
        <w:gridCol w:w="1215"/>
        <w:gridCol w:w="1037"/>
        <w:gridCol w:w="1200"/>
        <w:gridCol w:w="797"/>
        <w:gridCol w:w="884"/>
        <w:gridCol w:w="797"/>
        <w:gridCol w:w="382"/>
        <w:gridCol w:w="662"/>
        <w:gridCol w:w="554"/>
      </w:tblGrid>
      <w:tr>
        <w:trPr>
          <w:trHeight w:val="1961"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5" w:right="50"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9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29"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5" w:right="95"/>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7" w:right="53"/>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40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8,238,715.82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8,238,715.82</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8,238,715.82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创威煤安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41,686,910.38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41,686,910.38</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41,686,910.38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郑州春泉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57.14%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57.14%</w:t>
            </w:r>
          </w:p>
        </w:tc>
        <w:tc>
          <w:tcPr>
            <w:tcW w:w="7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10,750,000.00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5" w:footer="980" w:top="1100" w:bottom="1160" w:left="540" w:right="54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102"/>
        <w:gridCol w:w="658"/>
        <w:gridCol w:w="1315"/>
        <w:gridCol w:w="1215"/>
        <w:gridCol w:w="1037"/>
        <w:gridCol w:w="1200"/>
        <w:gridCol w:w="797"/>
        <w:gridCol w:w="884"/>
        <w:gridCol w:w="797"/>
        <w:gridCol w:w="382"/>
        <w:gridCol w:w="662"/>
        <w:gridCol w:w="554"/>
      </w:tblGrid>
      <w:tr>
        <w:trPr>
          <w:trHeight w:val="4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哈尔滨盈江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3,020,000.00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3,020,000.00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51%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125,715,626.20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left"/>
              <w:rPr>
                <w:rFonts w:ascii="Times New Roman" w:hAnsi="Times New Roman" w:cs="Times New Roman" w:eastAsia="Times New Roman" w:hint="default"/>
                <w:sz w:val="18"/>
                <w:szCs w:val="18"/>
              </w:rPr>
            </w:pPr>
            <w:r>
              <w:rPr>
                <w:rFonts w:ascii="Times New Roman"/>
                <w:sz w:val="18"/>
              </w:rPr>
              <w:t>122,695,626.20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3,020,000.00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125,715,626.20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82" w:type="dxa"/>
            <w:tcBorders>
              <w:top w:val="single" w:sz="4" w:space="0" w:color="000000"/>
              <w:left w:val="single" w:sz="12" w:space="0" w:color="D2D2D2"/>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left="592" w:right="4089"/>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left="592" w:right="4089"/>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7"/>
        <w:rPr>
          <w:rFonts w:ascii="宋体" w:hAnsi="宋体" w:cs="宋体" w:eastAsia="宋体" w:hint="default"/>
          <w:b/>
          <w:bCs/>
          <w:sz w:val="21"/>
          <w:szCs w:val="21"/>
        </w:rPr>
      </w:pPr>
    </w:p>
    <w:p>
      <w:pPr>
        <w:spacing w:before="4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60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176,445,935.73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188,114,112.46</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10,736,590.48</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6,280,491.55</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187,182,526.21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194,394,604.01</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108,631,625.74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95,144,840.13</w:t>
            </w:r>
          </w:p>
        </w:tc>
      </w:tr>
    </w:tbl>
    <w:p>
      <w:pPr>
        <w:spacing w:line="240" w:lineRule="auto" w:before="1"/>
        <w:rPr>
          <w:rFonts w:ascii="宋体" w:hAnsi="宋体" w:cs="宋体" w:eastAsia="宋体" w:hint="default"/>
          <w:sz w:val="18"/>
          <w:szCs w:val="18"/>
        </w:rPr>
      </w:pPr>
    </w:p>
    <w:p>
      <w:pPr>
        <w:pStyle w:val="Heading2"/>
        <w:spacing w:line="240" w:lineRule="auto" w:before="26"/>
        <w:ind w:left="592" w:right="4089"/>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7"/>
        <w:rPr>
          <w:rFonts w:ascii="宋体" w:hAnsi="宋体" w:cs="宋体" w:eastAsia="宋体" w:hint="default"/>
          <w:b/>
          <w:bCs/>
          <w:sz w:val="21"/>
          <w:szCs w:val="21"/>
        </w:rPr>
      </w:pPr>
    </w:p>
    <w:p>
      <w:pPr>
        <w:spacing w:before="4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58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176,445,935.73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102,057,307.54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188,114,112.46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90,910,088.94</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176,445,935.73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102,057,307.54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188,114,112.46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90,910,088.94</w:t>
            </w:r>
          </w:p>
        </w:tc>
      </w:tr>
    </w:tbl>
    <w:p>
      <w:pPr>
        <w:spacing w:line="240" w:lineRule="auto" w:before="1"/>
        <w:rPr>
          <w:rFonts w:ascii="宋体" w:hAnsi="宋体" w:cs="宋体" w:eastAsia="宋体" w:hint="default"/>
          <w:sz w:val="18"/>
          <w:szCs w:val="18"/>
        </w:rPr>
      </w:pPr>
    </w:p>
    <w:p>
      <w:pPr>
        <w:pStyle w:val="Heading2"/>
        <w:spacing w:line="240" w:lineRule="auto" w:before="26"/>
        <w:ind w:left="592" w:right="4089"/>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7"/>
        <w:rPr>
          <w:rFonts w:ascii="宋体" w:hAnsi="宋体" w:cs="宋体" w:eastAsia="宋体" w:hint="default"/>
          <w:b/>
          <w:bCs/>
          <w:sz w:val="21"/>
          <w:szCs w:val="21"/>
        </w:rPr>
      </w:pPr>
    </w:p>
    <w:p>
      <w:pPr>
        <w:spacing w:before="4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58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3,257,081.07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1,850,127.75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7,059,139.84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4,865,476.94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气体检测仪器仪表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139,139,049.93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79,233,250.52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157,633,894.18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73,768,308.13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34,049,804.73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20,973,929.27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23,421,078.44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12,276,303.87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176,445,935.73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102,057,307.54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188,114,112.46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90,910,088.94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592" w:right="4089"/>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4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555" w:footer="980" w:top="1100" w:bottom="1160" w:left="540" w:right="5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145,674,273.41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81,046,459.23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153,071,774.21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68,336,924.35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30,771,662.32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21,010,848.31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35,042,338.25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22,573,164.59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176,445,935.73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102,057,307.54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188,114,112.46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90,910,088.94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五矿邯邢矿业有限公司西石门铁矿</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8,006,341.81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sc</w:t>
            </w:r>
            <w:r>
              <w:rPr>
                <w:rFonts w:ascii="Times New Roman"/>
                <w:spacing w:val="-5"/>
                <w:sz w:val="18"/>
              </w:rPr>
              <w:t> </w:t>
            </w:r>
            <w:r>
              <w:rPr>
                <w:rFonts w:ascii="Times New Roman"/>
                <w:sz w:val="18"/>
              </w:rPr>
              <w:t>hydropower</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5,048,030.89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郑州创威煤安有限公司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4,274,848.63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陕西格润科贸有限责任公司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4,177,037.58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上海中威天安公共安全科技有限公司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3,774,116.16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25,280,375.07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14.33%</w:t>
            </w: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5"/>
        <w:rPr>
          <w:rFonts w:ascii="宋体" w:hAnsi="宋体" w:cs="宋体" w:eastAsia="宋体" w:hint="default"/>
          <w:b/>
          <w:bCs/>
          <w:sz w:val="21"/>
          <w:szCs w:val="21"/>
        </w:rPr>
      </w:pPr>
    </w:p>
    <w:p>
      <w:pPr>
        <w:spacing w:line="441" w:lineRule="auto" w:before="0"/>
        <w:ind w:left="152" w:right="772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）投资收益明细</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2"/>
        <w:spacing w:line="441" w:lineRule="auto" w:before="96"/>
        <w:ind w:right="5558"/>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）按成本法核算的长期股权投资收益</w:t>
      </w:r>
      <w:r>
        <w:rPr>
          <w:w w:val="99"/>
        </w:rPr>
        <w:t> </w:t>
      </w:r>
      <w:r>
        <w:rPr>
          <w:rFonts w:ascii="宋体" w:hAnsi="宋体" w:cs="宋体" w:eastAsia="宋体" w:hint="default"/>
          <w:b w:val="0"/>
          <w:bCs w:val="0"/>
        </w:rPr>
        <w:t>不适用</w:t>
      </w:r>
    </w:p>
    <w:p>
      <w:pPr>
        <w:pStyle w:val="Heading2"/>
        <w:spacing w:line="441" w:lineRule="auto" w:before="96"/>
        <w:ind w:right="5558"/>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）按权益法核算的长期股权投资收益</w:t>
      </w:r>
      <w:r>
        <w:rPr>
          <w:w w:val="99"/>
        </w:rPr>
        <w:t> </w:t>
      </w:r>
      <w:r>
        <w:rPr>
          <w:rFonts w:ascii="宋体" w:hAnsi="宋体" w:cs="宋体" w:eastAsia="宋体" w:hint="default"/>
          <w:b w:val="0"/>
          <w:bCs w:val="0"/>
        </w:rPr>
        <w:t>不适用</w:t>
      </w:r>
    </w:p>
    <w:p>
      <w:pPr>
        <w:pStyle w:val="Heading2"/>
        <w:spacing w:line="240" w:lineRule="auto" w:before="97"/>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9"/>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5041"/>
        <w:gridCol w:w="2259"/>
        <w:gridCol w:w="2246"/>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81" w:right="0"/>
              <w:jc w:val="left"/>
              <w:rPr>
                <w:rFonts w:ascii="Times New Roman" w:hAnsi="Times New Roman" w:cs="Times New Roman" w:eastAsia="Times New Roman" w:hint="default"/>
                <w:sz w:val="18"/>
                <w:szCs w:val="18"/>
              </w:rPr>
            </w:pPr>
            <w:r>
              <w:rPr>
                <w:rFonts w:ascii="Times New Roman"/>
                <w:sz w:val="18"/>
              </w:rPr>
              <w:t>16,805,257.05</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3" w:right="0"/>
              <w:jc w:val="left"/>
              <w:rPr>
                <w:rFonts w:ascii="Times New Roman" w:hAnsi="Times New Roman" w:cs="Times New Roman" w:eastAsia="Times New Roman" w:hint="default"/>
                <w:sz w:val="18"/>
                <w:szCs w:val="18"/>
              </w:rPr>
            </w:pPr>
            <w:r>
              <w:rPr>
                <w:rFonts w:ascii="Times New Roman"/>
                <w:sz w:val="18"/>
              </w:rPr>
              <w:t>44,291,869.40</w:t>
            </w:r>
          </w:p>
        </w:tc>
      </w:tr>
    </w:tbl>
    <w:p>
      <w:pPr>
        <w:spacing w:after="0" w:line="240" w:lineRule="auto"/>
        <w:jc w:val="left"/>
        <w:rPr>
          <w:rFonts w:ascii="Times New Roman" w:hAnsi="Times New Roman" w:cs="Times New Roman" w:eastAsia="Times New Roman" w:hint="default"/>
          <w:sz w:val="18"/>
          <w:szCs w:val="18"/>
        </w:rPr>
        <w:sectPr>
          <w:pgSz w:w="11910" w:h="16840"/>
          <w:pgMar w:header="555" w:footer="980" w:top="1100" w:bottom="1160" w:left="980" w:right="980"/>
        </w:sectPr>
      </w:pPr>
    </w:p>
    <w:p>
      <w:pPr>
        <w:spacing w:line="240" w:lineRule="auto" w:before="8"/>
        <w:rPr>
          <w:rFonts w:ascii="宋体" w:hAnsi="宋体" w:cs="宋体" w:eastAsia="宋体" w:hint="default"/>
          <w:sz w:val="24"/>
          <w:szCs w:val="24"/>
        </w:rPr>
      </w:pPr>
    </w:p>
    <w:tbl>
      <w:tblPr>
        <w:tblW w:w="0" w:type="auto"/>
        <w:jc w:val="left"/>
        <w:tblInd w:w="196" w:type="dxa"/>
        <w:tblLayout w:type="fixed"/>
        <w:tblCellMar>
          <w:top w:w="0" w:type="dxa"/>
          <w:left w:w="0" w:type="dxa"/>
          <w:bottom w:w="0" w:type="dxa"/>
          <w:right w:w="0" w:type="dxa"/>
        </w:tblCellMar>
        <w:tblLook w:val="01E0"/>
      </w:tblPr>
      <w:tblGrid>
        <w:gridCol w:w="5029"/>
        <w:gridCol w:w="2268"/>
        <w:gridCol w:w="2259"/>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1,125,652.75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3,118,711.07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4,454,634.49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3,379,923.19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1,385,676.49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419,363.32</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70,960.75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44,196.23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241,535.57</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1,913,190.67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-2,526,162.01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-6,350,462.73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-13,993,875.74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-5,109,830.58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-55,540,641.52</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-10,312,808.84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36,211,953.55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8" w:type="dxa"/>
            <w:tcBorders>
              <w:top w:val="single" w:sz="4" w:space="0" w:color="000000"/>
              <w:left w:val="single" w:sz="13"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352,321.02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4,223,805.62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15,757,658.51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7"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71,328,624.78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173,136,185.51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173,136,185.51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294,394,725.24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-101,807,560.73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-121,258,539.73</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十三、补充资料</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7"/>
        <w:rPr>
          <w:rFonts w:ascii="宋体" w:hAnsi="宋体" w:cs="宋体" w:eastAsia="宋体" w:hint="default"/>
          <w:b/>
          <w:bCs/>
          <w:sz w:val="20"/>
          <w:szCs w:val="20"/>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0.40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z w:val="18"/>
              </w:rPr>
              <w:t>0.40</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right="0" w:firstLine="425"/>
        <w:jc w:val="left"/>
      </w:pPr>
      <w:r>
        <w:rPr>
          <w:spacing w:val="-1"/>
        </w:rPr>
        <w:t>（</w:t>
      </w:r>
      <w:r>
        <w:rPr>
          <w:rFonts w:ascii="新宋体" w:hAnsi="新宋体" w:cs="新宋体" w:eastAsia="新宋体" w:hint="default"/>
          <w:spacing w:val="-1"/>
        </w:rPr>
        <w:t>1</w:t>
      </w:r>
      <w:r>
        <w:rPr>
          <w:spacing w:val="-1"/>
        </w:rPr>
        <w:t>）预付账款期末余额较期初减少</w:t>
      </w:r>
      <w:r>
        <w:rPr>
          <w:rFonts w:ascii="新宋体" w:hAnsi="新宋体" w:cs="新宋体" w:eastAsia="新宋体" w:hint="default"/>
          <w:spacing w:val="-1"/>
        </w:rPr>
        <w:t>31.79%</w:t>
      </w:r>
      <w:r>
        <w:rPr>
          <w:spacing w:val="-1"/>
        </w:rPr>
        <w:t>，主要为智威宇讯前期预付的土地开发费</w:t>
      </w:r>
      <w:r>
        <w:rPr>
          <w:rFonts w:ascii="新宋体" w:hAnsi="新宋体" w:cs="新宋体" w:eastAsia="新宋体" w:hint="default"/>
          <w:spacing w:val="-1"/>
        </w:rPr>
        <w:t>2500</w:t>
      </w:r>
      <w:r>
        <w:rPr>
          <w:rFonts w:ascii="新宋体" w:hAnsi="新宋体" w:cs="新宋体" w:eastAsia="新宋体" w:hint="default"/>
        </w:rPr>
        <w:t> </w:t>
      </w:r>
      <w:r>
        <w:rPr/>
        <w:t>万元在本期收回。</w:t>
      </w:r>
    </w:p>
    <w:p>
      <w:pPr>
        <w:pStyle w:val="BodyText"/>
        <w:spacing w:line="357" w:lineRule="auto"/>
        <w:ind w:right="151" w:firstLine="425"/>
        <w:jc w:val="left"/>
      </w:pPr>
      <w:r>
        <w:rPr>
          <w:spacing w:val="-1"/>
        </w:rPr>
        <w:t>（</w:t>
      </w:r>
      <w:r>
        <w:rPr>
          <w:rFonts w:ascii="新宋体" w:hAnsi="新宋体" w:cs="新宋体" w:eastAsia="新宋体" w:hint="default"/>
          <w:spacing w:val="-1"/>
        </w:rPr>
        <w:t>2</w:t>
      </w:r>
      <w:r>
        <w:rPr>
          <w:spacing w:val="-1"/>
        </w:rPr>
        <w:t>）在建工程期末余额较期初增加</w:t>
      </w:r>
      <w:r>
        <w:rPr>
          <w:rFonts w:ascii="新宋体" w:hAnsi="新宋体" w:cs="新宋体" w:eastAsia="新宋体" w:hint="default"/>
          <w:spacing w:val="-1"/>
        </w:rPr>
        <w:t>94.78%</w:t>
      </w:r>
      <w:r>
        <w:rPr>
          <w:spacing w:val="-1"/>
        </w:rPr>
        <w:t>，主要系募投项目及其配套项目工程建设、公</w:t>
      </w:r>
      <w:r>
        <w:rPr/>
        <w:t> 司物联网项目建设投入所致。</w:t>
      </w:r>
    </w:p>
    <w:p>
      <w:pPr>
        <w:spacing w:after="0" w:line="357" w:lineRule="auto"/>
        <w:jc w:val="left"/>
        <w:sectPr>
          <w:pgSz w:w="11910" w:h="16840"/>
          <w:pgMar w:header="555" w:footer="980" w:top="1100" w:bottom="1160" w:left="980" w:right="980"/>
        </w:sectPr>
      </w:pPr>
    </w:p>
    <w:p>
      <w:pPr>
        <w:spacing w:line="240" w:lineRule="auto" w:before="7"/>
        <w:rPr>
          <w:rFonts w:ascii="新宋体" w:hAnsi="新宋体" w:cs="新宋体" w:eastAsia="新宋体" w:hint="default"/>
          <w:sz w:val="25"/>
          <w:szCs w:val="25"/>
        </w:rPr>
      </w:pPr>
    </w:p>
    <w:p>
      <w:pPr>
        <w:pStyle w:val="BodyText"/>
        <w:spacing w:line="357" w:lineRule="auto" w:before="26"/>
        <w:ind w:right="231" w:firstLine="425"/>
        <w:jc w:val="left"/>
      </w:pPr>
      <w:r>
        <w:rPr>
          <w:spacing w:val="-1"/>
        </w:rPr>
        <w:t>（</w:t>
      </w:r>
      <w:r>
        <w:rPr>
          <w:rFonts w:ascii="新宋体" w:hAnsi="新宋体" w:cs="新宋体" w:eastAsia="新宋体" w:hint="default"/>
          <w:spacing w:val="-1"/>
        </w:rPr>
        <w:t>3</w:t>
      </w:r>
      <w:r>
        <w:rPr>
          <w:spacing w:val="-1"/>
        </w:rPr>
        <w:t>）长期待摊费用期末余额较期初增加</w:t>
      </w:r>
      <w:r>
        <w:rPr>
          <w:rFonts w:ascii="新宋体" w:hAnsi="新宋体" w:cs="新宋体" w:eastAsia="新宋体" w:hint="default"/>
          <w:spacing w:val="-1"/>
        </w:rPr>
        <w:t>92.11%</w:t>
      </w:r>
      <w:r>
        <w:rPr>
          <w:spacing w:val="-1"/>
        </w:rPr>
        <w:t>，主要系子公司盈江公司新增的租赁房屋</w:t>
      </w:r>
      <w:r>
        <w:rPr/>
        <w:t> 的装修费用。</w:t>
      </w:r>
    </w:p>
    <w:p>
      <w:pPr>
        <w:pStyle w:val="BodyText"/>
        <w:spacing w:line="357" w:lineRule="auto"/>
        <w:ind w:right="105" w:firstLine="425"/>
        <w:jc w:val="left"/>
      </w:pPr>
      <w:r>
        <w:rPr>
          <w:spacing w:val="-4"/>
        </w:rPr>
        <w:t>（</w:t>
      </w:r>
      <w:r>
        <w:rPr>
          <w:rFonts w:ascii="新宋体" w:hAnsi="新宋体" w:cs="新宋体" w:eastAsia="新宋体" w:hint="default"/>
          <w:spacing w:val="-4"/>
        </w:rPr>
        <w:t>4</w:t>
      </w:r>
      <w:r>
        <w:rPr>
          <w:spacing w:val="-4"/>
        </w:rPr>
        <w:t>）递延所得税资产期末余额较期初减少</w:t>
      </w:r>
      <w:r>
        <w:rPr>
          <w:rFonts w:ascii="新宋体" w:hAnsi="新宋体" w:cs="新宋体" w:eastAsia="新宋体" w:hint="default"/>
          <w:spacing w:val="-4"/>
        </w:rPr>
        <w:t>42.68%</w:t>
      </w:r>
      <w:r>
        <w:rPr>
          <w:spacing w:val="-4"/>
        </w:rPr>
        <w:t>，主要系本期递延收益转入营业外收入，</w:t>
      </w:r>
      <w:r>
        <w:rPr/>
        <w:t> 相应的递延所得税资产减少。</w:t>
      </w:r>
    </w:p>
    <w:p>
      <w:pPr>
        <w:pStyle w:val="BodyText"/>
        <w:spacing w:line="240" w:lineRule="auto"/>
        <w:ind w:left="578" w:right="105"/>
        <w:jc w:val="left"/>
      </w:pPr>
      <w:r>
        <w:rPr/>
        <w:t>（</w:t>
      </w:r>
      <w:r>
        <w:rPr>
          <w:rFonts w:ascii="新宋体" w:hAnsi="新宋体" w:cs="新宋体" w:eastAsia="新宋体" w:hint="default"/>
        </w:rPr>
        <w:t>5</w:t>
      </w:r>
      <w:r>
        <w:rPr/>
        <w:t>）短期借款期末余额较期初增加</w:t>
      </w:r>
      <w:r>
        <w:rPr>
          <w:rFonts w:ascii="新宋体" w:hAnsi="新宋体" w:cs="新宋体" w:eastAsia="新宋体" w:hint="default"/>
        </w:rPr>
        <w:t>100%</w:t>
      </w:r>
      <w:r>
        <w:rPr/>
        <w:t>，主要系公司取得流动资金借款</w:t>
      </w:r>
      <w:r>
        <w:rPr>
          <w:rFonts w:ascii="新宋体" w:hAnsi="新宋体" w:cs="新宋体" w:eastAsia="新宋体" w:hint="default"/>
        </w:rPr>
        <w:t>500</w:t>
      </w:r>
      <w:r>
        <w:rPr/>
        <w:t>万元所致。</w:t>
      </w:r>
    </w:p>
    <w:p>
      <w:pPr>
        <w:pStyle w:val="BodyText"/>
        <w:spacing w:line="357" w:lineRule="auto" w:before="154"/>
        <w:ind w:right="309" w:firstLine="425"/>
        <w:jc w:val="left"/>
      </w:pPr>
      <w:r>
        <w:rPr/>
        <w:t>（</w:t>
      </w:r>
      <w:r>
        <w:rPr>
          <w:rFonts w:ascii="新宋体" w:hAnsi="新宋体" w:cs="新宋体" w:eastAsia="新宋体" w:hint="default"/>
        </w:rPr>
        <w:t>6</w:t>
      </w:r>
      <w:r>
        <w:rPr/>
        <w:t>）应缴税费期末余额较期初减少</w:t>
      </w:r>
      <w:r>
        <w:rPr>
          <w:rFonts w:ascii="新宋体" w:hAnsi="新宋体" w:cs="新宋体" w:eastAsia="新宋体" w:hint="default"/>
        </w:rPr>
        <w:t>103.06%</w:t>
      </w:r>
      <w:r>
        <w:rPr/>
        <w:t>，主要系本年四季度较上年同期相比收入及 利润下降所致。</w:t>
      </w:r>
    </w:p>
    <w:p>
      <w:pPr>
        <w:pStyle w:val="BodyText"/>
        <w:spacing w:line="240" w:lineRule="auto"/>
        <w:ind w:left="578" w:right="105"/>
        <w:jc w:val="left"/>
      </w:pPr>
      <w:r>
        <w:rPr/>
        <w:t>（</w:t>
      </w:r>
      <w:r>
        <w:rPr>
          <w:rFonts w:ascii="新宋体" w:hAnsi="新宋体" w:cs="新宋体" w:eastAsia="新宋体" w:hint="default"/>
        </w:rPr>
        <w:t>7</w:t>
      </w:r>
      <w:r>
        <w:rPr/>
        <w:t>）其他应付款期末余额较期初增加</w:t>
      </w:r>
      <w:r>
        <w:rPr>
          <w:rFonts w:ascii="新宋体" w:hAnsi="新宋体" w:cs="新宋体" w:eastAsia="新宋体" w:hint="default"/>
        </w:rPr>
        <w:t>43%</w:t>
      </w:r>
      <w:r>
        <w:rPr/>
        <w:t>，主要系工程保证金及履约保证金增加所致。</w:t>
      </w:r>
    </w:p>
    <w:p>
      <w:pPr>
        <w:pStyle w:val="BodyText"/>
        <w:spacing w:line="357" w:lineRule="auto" w:before="154"/>
        <w:ind w:right="231" w:firstLine="425"/>
        <w:jc w:val="left"/>
      </w:pPr>
      <w:r>
        <w:rPr>
          <w:spacing w:val="-1"/>
        </w:rPr>
        <w:t>（</w:t>
      </w:r>
      <w:r>
        <w:rPr>
          <w:rFonts w:ascii="新宋体" w:hAnsi="新宋体" w:cs="新宋体" w:eastAsia="新宋体" w:hint="default"/>
          <w:spacing w:val="-1"/>
        </w:rPr>
        <w:t>8</w:t>
      </w:r>
      <w:r>
        <w:rPr>
          <w:spacing w:val="-1"/>
        </w:rPr>
        <w:t>）其他流动负债期末余额较期初减少</w:t>
      </w:r>
      <w:r>
        <w:rPr>
          <w:rFonts w:ascii="新宋体" w:hAnsi="新宋体" w:cs="新宋体" w:eastAsia="新宋体" w:hint="default"/>
          <w:spacing w:val="-1"/>
        </w:rPr>
        <w:t>60.32%</w:t>
      </w:r>
      <w:r>
        <w:rPr>
          <w:spacing w:val="-1"/>
        </w:rPr>
        <w:t>，主要系上年收到的政府补助随项目完成</w:t>
      </w:r>
      <w:r>
        <w:rPr/>
        <w:t> 在本期转入营业外收入所致。</w:t>
      </w:r>
    </w:p>
    <w:p>
      <w:pPr>
        <w:pStyle w:val="BodyText"/>
        <w:spacing w:line="357" w:lineRule="auto"/>
        <w:ind w:right="231" w:firstLine="425"/>
        <w:jc w:val="left"/>
      </w:pPr>
      <w:r>
        <w:rPr>
          <w:spacing w:val="-1"/>
        </w:rPr>
        <w:t>（</w:t>
      </w:r>
      <w:r>
        <w:rPr>
          <w:rFonts w:ascii="新宋体" w:hAnsi="新宋体" w:cs="新宋体" w:eastAsia="新宋体" w:hint="default"/>
          <w:spacing w:val="-1"/>
        </w:rPr>
        <w:t>9</w:t>
      </w:r>
      <w:r>
        <w:rPr>
          <w:spacing w:val="-1"/>
        </w:rPr>
        <w:t>）本期管理费用较上年增加</w:t>
      </w:r>
      <w:r>
        <w:rPr>
          <w:rFonts w:ascii="新宋体" w:hAnsi="新宋体" w:cs="新宋体" w:eastAsia="新宋体" w:hint="default"/>
          <w:spacing w:val="-1"/>
        </w:rPr>
        <w:t>37.85%</w:t>
      </w:r>
      <w:r>
        <w:rPr>
          <w:spacing w:val="-1"/>
        </w:rPr>
        <w:t>，主要系公司引进人才、研发投入加大，用于物联</w:t>
      </w:r>
      <w:r>
        <w:rPr/>
        <w:t> 网行业的投入费用增加等原因所致。</w:t>
      </w:r>
    </w:p>
    <w:p>
      <w:pPr>
        <w:pStyle w:val="BodyText"/>
        <w:spacing w:line="357" w:lineRule="auto"/>
        <w:ind w:right="309" w:firstLine="425"/>
        <w:jc w:val="left"/>
      </w:pPr>
      <w:r>
        <w:rPr/>
        <w:t>（</w:t>
      </w:r>
      <w:r>
        <w:rPr>
          <w:rFonts w:ascii="新宋体" w:hAnsi="新宋体" w:cs="新宋体" w:eastAsia="新宋体" w:hint="default"/>
        </w:rPr>
        <w:t>10</w:t>
      </w:r>
      <w:r>
        <w:rPr/>
        <w:t>）本期资产减值损失较上年减少</w:t>
      </w:r>
      <w:r>
        <w:rPr>
          <w:rFonts w:ascii="新宋体" w:hAnsi="新宋体" w:cs="新宋体" w:eastAsia="新宋体" w:hint="default"/>
        </w:rPr>
        <w:t>42.27%</w:t>
      </w:r>
      <w:r>
        <w:rPr/>
        <w:t>，主要系按照账龄分析法计提的坏账准备， 本期计提数较上期减少所致。</w:t>
      </w:r>
    </w:p>
    <w:p>
      <w:pPr>
        <w:pStyle w:val="BodyText"/>
        <w:spacing w:line="357" w:lineRule="auto"/>
        <w:ind w:right="309" w:firstLine="425"/>
        <w:jc w:val="left"/>
      </w:pPr>
      <w:r>
        <w:rPr/>
        <w:t>（</w:t>
      </w:r>
      <w:r>
        <w:rPr>
          <w:rFonts w:ascii="新宋体" w:hAnsi="新宋体" w:cs="新宋体" w:eastAsia="新宋体" w:hint="default"/>
        </w:rPr>
        <w:t>11</w:t>
      </w:r>
      <w:r>
        <w:rPr/>
        <w:t>）本期营业利润较上年减少</w:t>
      </w:r>
      <w:r>
        <w:rPr>
          <w:rFonts w:ascii="新宋体" w:hAnsi="新宋体" w:cs="新宋体" w:eastAsia="新宋体" w:hint="default"/>
        </w:rPr>
        <w:t>45.12%</w:t>
      </w:r>
      <w:r>
        <w:rPr/>
        <w:t>，主要系公司对新兴市场的开发投入较大，还没 有达到预期收益所致。</w:t>
      </w:r>
    </w:p>
    <w:p>
      <w:pPr>
        <w:pStyle w:val="BodyText"/>
        <w:spacing w:line="240" w:lineRule="auto"/>
        <w:ind w:left="578" w:right="105"/>
        <w:jc w:val="left"/>
      </w:pPr>
      <w:r>
        <w:rPr/>
        <w:t>（</w:t>
      </w:r>
      <w:r>
        <w:rPr>
          <w:rFonts w:ascii="新宋体" w:hAnsi="新宋体" w:cs="新宋体" w:eastAsia="新宋体" w:hint="default"/>
        </w:rPr>
        <w:t>12</w:t>
      </w:r>
      <w:r>
        <w:rPr/>
        <w:t>）本期营业外支出较上年减少</w:t>
      </w:r>
      <w:r>
        <w:rPr>
          <w:rFonts w:ascii="新宋体" w:hAnsi="新宋体" w:cs="新宋体" w:eastAsia="新宋体" w:hint="default"/>
        </w:rPr>
        <w:t>76.05%</w:t>
      </w:r>
      <w:r>
        <w:rPr/>
        <w:t>，主要系本年处置非流动资产较少所致。</w:t>
      </w:r>
    </w:p>
    <w:p>
      <w:pPr>
        <w:pStyle w:val="BodyText"/>
        <w:spacing w:line="240" w:lineRule="auto" w:before="154"/>
        <w:ind w:left="578" w:right="0"/>
        <w:jc w:val="left"/>
      </w:pPr>
      <w:r>
        <w:rPr/>
        <w:t>（</w:t>
      </w:r>
      <w:r>
        <w:rPr>
          <w:rFonts w:ascii="新宋体" w:hAnsi="新宋体" w:cs="新宋体" w:eastAsia="新宋体" w:hint="default"/>
        </w:rPr>
        <w:t>13</w:t>
      </w:r>
      <w:r>
        <w:rPr/>
        <w:t>）本期所得税费用较上年减少</w:t>
      </w:r>
      <w:r>
        <w:rPr>
          <w:rFonts w:ascii="新宋体" w:hAnsi="新宋体" w:cs="新宋体" w:eastAsia="新宋体" w:hint="default"/>
        </w:rPr>
        <w:t>57.53%</w:t>
      </w:r>
      <w:r>
        <w:rPr/>
        <w:t>，主要系本期利润减少导致应税所得减少所致。</w:t>
      </w:r>
    </w:p>
    <w:p>
      <w:pPr>
        <w:spacing w:after="0" w:line="240" w:lineRule="auto"/>
        <w:jc w:val="left"/>
        <w:sectPr>
          <w:pgSz w:w="11910" w:h="16840"/>
          <w:pgMar w:header="555" w:footer="980" w:top="1100" w:bottom="1160" w:left="980" w:right="900"/>
        </w:sectPr>
      </w:pPr>
    </w:p>
    <w:p>
      <w:pPr>
        <w:spacing w:line="240" w:lineRule="auto" w:before="0"/>
        <w:rPr>
          <w:rFonts w:ascii="新宋体" w:hAnsi="新宋体" w:cs="新宋体" w:eastAsia="新宋体" w:hint="default"/>
          <w:sz w:val="20"/>
          <w:szCs w:val="20"/>
        </w:rPr>
      </w:pPr>
    </w:p>
    <w:p>
      <w:pPr>
        <w:spacing w:line="240" w:lineRule="auto" w:before="0"/>
        <w:rPr>
          <w:rFonts w:ascii="新宋体" w:hAnsi="新宋体" w:cs="新宋体" w:eastAsia="新宋体" w:hint="default"/>
          <w:sz w:val="20"/>
          <w:szCs w:val="20"/>
        </w:rPr>
      </w:pPr>
    </w:p>
    <w:p>
      <w:pPr>
        <w:spacing w:line="240" w:lineRule="auto" w:before="4"/>
        <w:rPr>
          <w:rFonts w:ascii="新宋体" w:hAnsi="新宋体" w:cs="新宋体" w:eastAsia="新宋体" w:hint="default"/>
          <w:sz w:val="19"/>
          <w:szCs w:val="19"/>
        </w:rPr>
      </w:pPr>
    </w:p>
    <w:p>
      <w:pPr>
        <w:pStyle w:val="Heading1"/>
        <w:spacing w:line="240" w:lineRule="auto"/>
        <w:ind w:left="2422" w:right="2423"/>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11"/>
        <w:rPr>
          <w:rFonts w:ascii="宋体" w:hAnsi="宋体" w:cs="宋体" w:eastAsia="宋体" w:hint="default"/>
          <w:b/>
          <w:bCs/>
          <w:sz w:val="44"/>
          <w:szCs w:val="44"/>
        </w:rPr>
      </w:pPr>
    </w:p>
    <w:p>
      <w:pPr>
        <w:pStyle w:val="BodyText"/>
        <w:spacing w:line="388" w:lineRule="auto" w:before="0"/>
        <w:ind w:left="772" w:right="148"/>
        <w:jc w:val="left"/>
      </w:pPr>
      <w:r>
        <w:rPr/>
        <w:t>一、载有公司法定代表人签名的</w:t>
      </w:r>
      <w:r>
        <w:rPr>
          <w:rFonts w:ascii="新宋体" w:hAnsi="新宋体" w:cs="新宋体" w:eastAsia="新宋体" w:hint="default"/>
        </w:rPr>
        <w:t>2012</w:t>
      </w:r>
      <w:r>
        <w:rPr/>
        <w:t>年年度报告文本原件。 </w:t>
      </w:r>
      <w:r>
        <w:rPr>
          <w:spacing w:val="-3"/>
        </w:rPr>
        <w:t>二、载有公司法定代表人、财务负责人、会计机构负责人（会计主管人员）签名并盖章</w:t>
      </w:r>
    </w:p>
    <w:p>
      <w:pPr>
        <w:pStyle w:val="BodyText"/>
        <w:spacing w:line="240" w:lineRule="auto" w:before="5"/>
        <w:ind w:right="0"/>
        <w:jc w:val="left"/>
      </w:pPr>
      <w:r>
        <w:rPr/>
        <w:t>的财务报表。</w:t>
      </w:r>
    </w:p>
    <w:p>
      <w:pPr>
        <w:spacing w:line="240" w:lineRule="auto" w:before="12"/>
        <w:rPr>
          <w:rFonts w:ascii="新宋体" w:hAnsi="新宋体" w:cs="新宋体" w:eastAsia="新宋体" w:hint="default"/>
          <w:sz w:val="12"/>
          <w:szCs w:val="12"/>
        </w:rPr>
      </w:pPr>
    </w:p>
    <w:p>
      <w:pPr>
        <w:pStyle w:val="BodyText"/>
        <w:spacing w:line="240" w:lineRule="auto" w:before="26"/>
        <w:ind w:left="772" w:right="0"/>
        <w:jc w:val="left"/>
      </w:pPr>
      <w:r>
        <w:rPr/>
        <w:t>三、报告期内在中国证监会指定网站上公开披露过的所有公司文件的正本及公告的原</w:t>
      </w:r>
    </w:p>
    <w:p>
      <w:pPr>
        <w:pStyle w:val="BodyText"/>
        <w:spacing w:line="240" w:lineRule="auto" w:before="154"/>
        <w:ind w:right="0"/>
        <w:jc w:val="left"/>
      </w:pPr>
      <w:r>
        <w:rPr/>
        <w:t>稿。</w:t>
      </w:r>
    </w:p>
    <w:p>
      <w:pPr>
        <w:spacing w:line="240" w:lineRule="auto" w:before="10"/>
        <w:rPr>
          <w:rFonts w:ascii="新宋体" w:hAnsi="新宋体" w:cs="新宋体" w:eastAsia="新宋体" w:hint="default"/>
          <w:sz w:val="12"/>
          <w:szCs w:val="12"/>
        </w:rPr>
      </w:pPr>
    </w:p>
    <w:p>
      <w:pPr>
        <w:pStyle w:val="BodyText"/>
        <w:spacing w:line="388" w:lineRule="auto" w:before="26"/>
        <w:ind w:left="772" w:right="1714"/>
        <w:jc w:val="left"/>
      </w:pPr>
      <w:r>
        <w:rPr/>
        <w:t>四、载有会计师事务所盖章、注册会计师签名并盖章的审计报告原件。 五、其他相关资料。 以上备查文件的备置地点：公司证券投资部办公室。</w:t>
      </w: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0"/>
        <w:rPr>
          <w:rFonts w:ascii="新宋体" w:hAnsi="新宋体" w:cs="新宋体" w:eastAsia="新宋体" w:hint="default"/>
          <w:sz w:val="24"/>
          <w:szCs w:val="24"/>
        </w:rPr>
      </w:pPr>
    </w:p>
    <w:p>
      <w:pPr>
        <w:spacing w:line="240" w:lineRule="auto" w:before="8"/>
        <w:rPr>
          <w:rFonts w:ascii="新宋体" w:hAnsi="新宋体" w:cs="新宋体" w:eastAsia="新宋体" w:hint="default"/>
          <w:sz w:val="29"/>
          <w:szCs w:val="29"/>
        </w:rPr>
      </w:pPr>
    </w:p>
    <w:p>
      <w:pPr>
        <w:pStyle w:val="BodyText"/>
        <w:spacing w:line="388" w:lineRule="auto" w:before="0"/>
        <w:ind w:left="5794" w:right="1270"/>
        <w:jc w:val="center"/>
        <w:rPr>
          <w:rFonts w:ascii="黑体" w:hAnsi="黑体" w:cs="黑体" w:eastAsia="黑体" w:hint="default"/>
        </w:rPr>
      </w:pPr>
      <w:r>
        <w:rPr>
          <w:rFonts w:ascii="黑体" w:hAnsi="黑体" w:cs="黑体" w:eastAsia="黑体" w:hint="default"/>
        </w:rPr>
        <w:t>河南汉威电子股份有限公司 法定代表人：任红军 二〇一三年三月二十八日</w:t>
      </w:r>
    </w:p>
    <w:sectPr>
      <w:pgSz w:w="11910" w:h="16840"/>
      <w:pgMar w:header="555" w:footer="980"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947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47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5pt;margin-top:781.933899pt;width:13.15pt;height:11pt;mso-position-horizontal-relative:page;mso-position-vertical-relative:page;z-index:-94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5pt;margin-top:781.933899pt;width:13.15pt;height:11pt;mso-position-horizontal-relative:page;mso-position-vertical-relative:page;z-index:-947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4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947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47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94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47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947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7.749985pt;width:485.65pt;height:28.2pt;mso-position-horizontal-relative:page;mso-position-vertical-relative:page;z-index:-947920" coordorigin="1097,555" coordsize="9713,564">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1194;top:555;width:521;height:543" type="#_x0000_t75" stroked="false">
              <v:imagedata r:id="rId1" o:title=""/>
            </v:shape>
          </v:group>
          <w10:wrap type="none"/>
        </v:group>
      </w:pict>
    </w:r>
    <w:r>
      <w:rPr/>
      <w:pict>
        <v:shape style="position:absolute;margin-left:353.070007pt;margin-top:42.865608pt;width:186.75pt;height:11.5pt;mso-position-horizontal-relative:page;mso-position-vertical-relative:page;z-index:-947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8.910004pt;margin-top:42.865608pt;width:186.75pt;height:11.5pt;mso-position-horizontal-relative:page;mso-position-vertical-relative:page;z-index:-947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7.749985pt;width:471.5pt;height:28.2pt;mso-position-horizontal-relative:page;mso-position-vertical-relative:page;z-index:-947824" coordorigin="1097,555" coordsize="9430,564">
          <v:group style="position:absolute;left:1104;top:1111;width:9415;height:2" coordorigin="1104,1111" coordsize="9415,2">
            <v:shape style="position:absolute;left:1104;top:1111;width:9415;height:2" coordorigin="1104,1111" coordsize="9415,0" path="m1104,1111l10519,1111e" filled="false" stroked="true" strokeweight=".72pt" strokecolor="#000000">
              <v:path arrowok="t"/>
            </v:shape>
            <v:shape style="position:absolute;left:1194;top:555;width:521;height:543" type="#_x0000_t75" stroked="false">
              <v:imagedata r:id="rId1" o:title=""/>
            </v:shape>
          </v:group>
          <w10:wrap type="none"/>
        </v:group>
      </w:pict>
    </w:r>
    <w:r>
      <w:rPr/>
      <w:pict>
        <v:shape style="position:absolute;margin-left:338.910004pt;margin-top:42.865608pt;width:186.75pt;height:11.5pt;mso-position-horizontal-relative:page;mso-position-vertical-relative:page;z-index:-947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3.070007pt;margin-top:42.865608pt;width:186.75pt;height:11.5pt;mso-position-horizontal-relative:page;mso-position-vertical-relative:page;z-index:-947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27.749985pt;width:485.65pt;height:28.2pt;mso-position-horizontal-relative:page;mso-position-vertical-relative:page;z-index:-947704" coordorigin="1097,555" coordsize="9713,564">
          <v:group style="position:absolute;left:1104;top:1111;width:9698;height:2" coordorigin="1104,1111" coordsize="9698,2">
            <v:shape style="position:absolute;left:1104;top:1111;width:9698;height:2" coordorigin="1104,1111" coordsize="9698,0" path="m1104,1111l10802,1111e" filled="false" stroked="true" strokeweight=".72pt" strokecolor="#000000">
              <v:path arrowok="t"/>
            </v:shape>
            <v:shape style="position:absolute;left:1194;top:555;width:521;height:543" type="#_x0000_t75" stroked="false">
              <v:imagedata r:id="rId1" o:title=""/>
            </v:shape>
          </v:group>
          <w10:wrap type="none"/>
        </v:group>
      </w:pict>
    </w:r>
    <w:r>
      <w:rPr/>
      <w:pict>
        <v:shape style="position:absolute;margin-left:353.070007pt;margin-top:42.865608pt;width:186.75pt;height:11.5pt;mso-position-horizontal-relative:page;mso-position-vertical-relative:page;z-index:-947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河南汉威电子股份有限公司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88"/>
      <w:ind w:left="152"/>
    </w:pPr>
    <w:rPr>
      <w:rFonts w:ascii="宋体" w:hAnsi="宋体" w:eastAsia="宋体"/>
      <w:sz w:val="24"/>
      <w:szCs w:val="24"/>
    </w:rPr>
  </w:style>
  <w:style w:styleId="BodyText" w:type="paragraph">
    <w:name w:val="Body Text"/>
    <w:basedOn w:val="Normal"/>
    <w:uiPriority w:val="1"/>
    <w:qFormat/>
    <w:pPr>
      <w:spacing w:before="36"/>
      <w:ind w:left="152"/>
    </w:pPr>
    <w:rPr>
      <w:rFonts w:ascii="新宋体" w:hAnsi="新宋体" w:eastAsia="新宋体"/>
      <w:sz w:val="24"/>
      <w:szCs w:val="24"/>
    </w:rPr>
  </w:style>
  <w:style w:styleId="Heading1" w:type="paragraph">
    <w:name w:val="Heading 1"/>
    <w:basedOn w:val="Normal"/>
    <w:uiPriority w:val="1"/>
    <w:qFormat/>
    <w:pPr>
      <w:ind w:left="375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www.hwsensor.com/" TargetMode="External"/><Relationship Id="rId12" Type="http://schemas.openxmlformats.org/officeDocument/2006/relationships/hyperlink" Target="mailto:hwdz@hwsensor.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jpeg"/><Relationship Id="rId26" Type="http://schemas.openxmlformats.org/officeDocument/2006/relationships/image" Target="media/image12.pn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footer" Target="footer4.xml"/><Relationship Id="rId31" Type="http://schemas.openxmlformats.org/officeDocument/2006/relationships/header" Target="header5.xml"/><Relationship Id="rId32" Type="http://schemas.openxmlformats.org/officeDocument/2006/relationships/footer" Target="footer5.xml"/><Relationship Id="rId33" Type="http://schemas.openxmlformats.org/officeDocument/2006/relationships/header" Target="header6.xml"/><Relationship Id="rId34" Type="http://schemas.openxmlformats.org/officeDocument/2006/relationships/image" Target="media/image16.png"/><Relationship Id="rId35" Type="http://schemas.openxmlformats.org/officeDocument/2006/relationships/hyperlink" Target="http://irm.p5w.net/" TargetMode="External"/><Relationship Id="rId36" Type="http://schemas.openxmlformats.org/officeDocument/2006/relationships/hyperlink" Target="http://ircs.p5w.net/ircs/ssgs/index.do" TargetMode="External"/><Relationship Id="rId37" Type="http://schemas.openxmlformats.org/officeDocument/2006/relationships/footer" Target="footer6.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hyperlink" Target="http://baike.baidu.com/view/1664376.htm" TargetMode="External"/><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2020-05-04T01:33:15Z</dcterms:created>
  <dcterms:modified xsi:type="dcterms:W3CDTF">2020-05-04T01:33:15Z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Microsoft® Office Word 2007</vt:lpwstr>
  </property>
  <property fmtid="{D5CDD505-2E9C-101B-9397-08002B2CF9AE}" pid="4" name="LastSaved">
    <vt:filetime>2020-05-03T00:00:00Z</vt:filetime>
  </property>
</Properties>
</file>