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04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1409643" cy="12954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43" cy="1295400"/>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9"/>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河南汉威电子股份有限公司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3" w:right="2784" w:firstLine="0"/>
        <w:jc w:val="center"/>
        <w:rPr>
          <w:rFonts w:ascii="宋体" w:hAnsi="宋体" w:cs="宋体" w:eastAsia="宋体" w:hint="default"/>
          <w:sz w:val="32"/>
          <w:szCs w:val="32"/>
        </w:rPr>
      </w:pPr>
      <w:r>
        <w:rPr>
          <w:rFonts w:ascii="宋体" w:hAnsi="宋体" w:cs="宋体" w:eastAsia="宋体" w:hint="default"/>
          <w:b/>
          <w:bCs/>
          <w:sz w:val="32"/>
          <w:szCs w:val="32"/>
        </w:rPr>
        <w:t>2014</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BodyText"/>
        <w:spacing w:line="410" w:lineRule="auto" w:before="0"/>
        <w:ind w:right="0" w:firstLine="420"/>
        <w:jc w:val="left"/>
      </w:pPr>
      <w:r>
        <w:rPr>
          <w:spacing w:val="-1"/>
        </w:rPr>
        <w:t>本公司董事会、监事会及董事、监事、高级管理人员保证本报告所载资料不存在任何虚假记载、误导</w:t>
      </w:r>
      <w:r>
        <w:rPr/>
        <w:t> 性陈述或者重大遗漏，并对其内容的真实性、准确性和完整性承担个别及连带责任。</w:t>
      </w:r>
    </w:p>
    <w:p>
      <w:pPr>
        <w:pStyle w:val="BodyText"/>
        <w:spacing w:line="494" w:lineRule="auto" w:before="145"/>
        <w:ind w:left="573" w:right="0"/>
        <w:jc w:val="left"/>
      </w:pPr>
      <w:r>
        <w:rPr/>
        <w:t>所有董事均已出席了审议本报告的董事会会议。 </w:t>
      </w:r>
      <w:r>
        <w:rPr>
          <w:spacing w:val="-1"/>
        </w:rPr>
        <w:t>公司负责人任红军、主管会计工作负责人刘瑞玲及会计机构负责人</w:t>
      </w:r>
      <w:r>
        <w:rPr>
          <w:rFonts w:ascii="宋体" w:hAnsi="宋体" w:cs="宋体" w:eastAsia="宋体" w:hint="default"/>
          <w:spacing w:val="-1"/>
        </w:rPr>
        <w:t>(</w:t>
      </w:r>
      <w:r>
        <w:rPr>
          <w:spacing w:val="-1"/>
        </w:rPr>
        <w:t>会计主管人员</w:t>
      </w:r>
      <w:r>
        <w:rPr>
          <w:rFonts w:ascii="宋体" w:hAnsi="宋体" w:cs="宋体" w:eastAsia="宋体" w:hint="default"/>
          <w:spacing w:val="-1"/>
        </w:rPr>
        <w:t>)</w:t>
      </w:r>
      <w:r>
        <w:rPr>
          <w:spacing w:val="-1"/>
        </w:rPr>
        <w:t>肖桂华声明：保证</w:t>
      </w:r>
    </w:p>
    <w:p>
      <w:pPr>
        <w:pStyle w:val="BodyText"/>
        <w:spacing w:line="247" w:lineRule="exact" w:before="0"/>
        <w:ind w:right="0"/>
        <w:jc w:val="left"/>
      </w:pPr>
      <w:r>
        <w:rPr/>
        <w:t>年度报告中财务报告的真实、准确、完整。</w:t>
      </w:r>
    </w:p>
    <w:p>
      <w:pPr>
        <w:spacing w:line="240" w:lineRule="auto" w:before="4"/>
        <w:rPr>
          <w:rFonts w:ascii="宋体" w:hAnsi="宋体" w:cs="宋体" w:eastAsia="宋体" w:hint="default"/>
          <w:sz w:val="22"/>
          <w:szCs w:val="22"/>
        </w:rPr>
      </w:pPr>
    </w:p>
    <w:p>
      <w:pPr>
        <w:pStyle w:val="BodyText"/>
        <w:spacing w:line="410" w:lineRule="auto" w:before="0"/>
        <w:ind w:right="0" w:firstLine="420"/>
        <w:jc w:val="left"/>
      </w:pPr>
      <w:r>
        <w:rPr>
          <w:spacing w:val="-1"/>
        </w:rPr>
        <w:t>本报告中如有涉及未来的计划、业绩预测等方面的内容，均不构成本公司对任何投资者及相关人士的</w:t>
      </w:r>
      <w:r>
        <w:rPr/>
        <w:t> 承诺，投资者及相关人士均应对此保持足够的风险认识，并且应当理解计划、预测与承诺之间的差异。</w:t>
      </w:r>
    </w:p>
    <w:p>
      <w:pPr>
        <w:spacing w:after="0" w:line="410" w:lineRule="auto"/>
        <w:jc w:val="left"/>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238"/>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 公司基本情况简介</w:t>
            </w:r>
            <w:r>
              <w:rPr>
                <w:rFonts w:ascii="宋体" w:hAnsi="宋体" w:cs="宋体" w:eastAsia="宋体" w:hint="default"/>
              </w:rPr>
              <w:tab/>
              <w:t>5</w:t>
            </w:r>
          </w:hyperlink>
        </w:p>
        <w:p>
          <w:pPr>
            <w:pStyle w:val="TOC1"/>
            <w:tabs>
              <w:tab w:pos="9782" w:val="right" w:leader="dot"/>
            </w:tabs>
            <w:spacing w:line="240" w:lineRule="auto" w:before="350"/>
            <w:ind w:right="0"/>
            <w:jc w:val="left"/>
            <w:rPr>
              <w:rFonts w:ascii="宋体" w:hAnsi="宋体" w:cs="宋体" w:eastAsia="宋体" w:hint="default"/>
            </w:rPr>
          </w:pPr>
          <w:hyperlink w:history="true" w:anchor="_bookmark2">
            <w:r>
              <w:rPr/>
              <w:t>第三节 会计数据和财务指标摘要</w:t>
            </w:r>
            <w:r>
              <w:rPr>
                <w:rFonts w:ascii="宋体" w:hAnsi="宋体" w:cs="宋体" w:eastAsia="宋体" w:hint="default"/>
              </w:rPr>
              <w:tab/>
              <w:t>7</w:t>
            </w:r>
          </w:hyperlink>
        </w:p>
        <w:p>
          <w:pPr>
            <w:pStyle w:val="TOC1"/>
            <w:tabs>
              <w:tab w:pos="9782" w:val="right" w:leader="dot"/>
            </w:tabs>
            <w:spacing w:line="240" w:lineRule="auto"/>
            <w:ind w:right="0"/>
            <w:jc w:val="left"/>
            <w:rPr>
              <w:rFonts w:ascii="宋体" w:hAnsi="宋体" w:cs="宋体" w:eastAsia="宋体" w:hint="default"/>
            </w:rPr>
          </w:pPr>
          <w:hyperlink w:history="true" w:anchor="_bookmark3">
            <w:r>
              <w:rPr/>
              <w:t>第四节 董事会报告</w:t>
            </w:r>
            <w:r>
              <w:rPr>
                <w:rFonts w:ascii="宋体" w:hAnsi="宋体" w:cs="宋体" w:eastAsia="宋体" w:hint="default"/>
              </w:rPr>
              <w:tab/>
              <w:t>10</w:t>
            </w:r>
          </w:hyperlink>
        </w:p>
        <w:p>
          <w:pPr>
            <w:pStyle w:val="TOC1"/>
            <w:tabs>
              <w:tab w:pos="9782"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33</w:t>
            </w:r>
          </w:hyperlink>
        </w:p>
        <w:p>
          <w:pPr>
            <w:pStyle w:val="TOC1"/>
            <w:tabs>
              <w:tab w:pos="9782" w:val="right" w:leader="dot"/>
            </w:tabs>
            <w:spacing w:line="240" w:lineRule="auto" w:before="351"/>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48</w:t>
            </w:r>
          </w:hyperlink>
        </w:p>
        <w:p>
          <w:pPr>
            <w:pStyle w:val="TOC1"/>
            <w:tabs>
              <w:tab w:pos="9782" w:val="right" w:leader="dot"/>
            </w:tabs>
            <w:spacing w:line="240" w:lineRule="auto"/>
            <w:ind w:right="0"/>
            <w:jc w:val="left"/>
            <w:rPr>
              <w:rFonts w:ascii="宋体" w:hAnsi="宋体" w:cs="宋体" w:eastAsia="宋体" w:hint="default"/>
            </w:rPr>
          </w:pPr>
          <w:hyperlink w:history="true" w:anchor="_bookmark6">
            <w:r>
              <w:rPr/>
              <w:t>第七节 董事、监事、高级管理人员和员工情况</w:t>
            </w:r>
            <w:r>
              <w:rPr>
                <w:rFonts w:ascii="宋体" w:hAnsi="宋体" w:cs="宋体" w:eastAsia="宋体" w:hint="default"/>
              </w:rPr>
              <w:tab/>
              <w:t>56</w:t>
            </w:r>
          </w:hyperlink>
        </w:p>
        <w:p>
          <w:pPr>
            <w:pStyle w:val="TOC1"/>
            <w:tabs>
              <w:tab w:pos="9782" w:val="right" w:leader="dot"/>
            </w:tabs>
            <w:spacing w:line="240" w:lineRule="auto"/>
            <w:ind w:right="0"/>
            <w:jc w:val="left"/>
            <w:rPr>
              <w:rFonts w:ascii="宋体" w:hAnsi="宋体" w:cs="宋体" w:eastAsia="宋体" w:hint="default"/>
            </w:rPr>
          </w:pPr>
          <w:hyperlink w:history="true" w:anchor="_bookmark7">
            <w:r>
              <w:rPr/>
              <w:t>第八节 公司治理</w:t>
            </w:r>
            <w:r>
              <w:rPr>
                <w:rFonts w:ascii="宋体" w:hAnsi="宋体" w:cs="宋体" w:eastAsia="宋体" w:hint="default"/>
              </w:rPr>
              <w:tab/>
              <w:t>62</w:t>
            </w:r>
          </w:hyperlink>
        </w:p>
        <w:p>
          <w:pPr>
            <w:pStyle w:val="TOC1"/>
            <w:tabs>
              <w:tab w:pos="9782" w:val="right" w:leader="dot"/>
            </w:tabs>
            <w:spacing w:line="240" w:lineRule="auto" w:before="350"/>
            <w:ind w:right="0"/>
            <w:jc w:val="left"/>
            <w:rPr>
              <w:rFonts w:ascii="宋体" w:hAnsi="宋体" w:cs="宋体" w:eastAsia="宋体" w:hint="default"/>
            </w:rPr>
          </w:pPr>
          <w:hyperlink w:history="true" w:anchor="_bookmark8">
            <w:r>
              <w:rPr/>
              <w:t>第九节 财务报告</w:t>
            </w:r>
            <w:r>
              <w:rPr>
                <w:rFonts w:ascii="宋体" w:hAnsi="宋体" w:cs="宋体" w:eastAsia="宋体" w:hint="default"/>
              </w:rPr>
              <w:tab/>
              <w:t>66</w:t>
            </w:r>
          </w:hyperlink>
        </w:p>
        <w:p>
          <w:pPr>
            <w:pStyle w:val="TOC1"/>
            <w:tabs>
              <w:tab w:pos="9782" w:val="right" w:leader="dot"/>
            </w:tabs>
            <w:spacing w:line="240" w:lineRule="auto"/>
            <w:ind w:right="0"/>
            <w:jc w:val="left"/>
            <w:rPr>
              <w:rFonts w:ascii="宋体" w:hAnsi="宋体" w:cs="宋体" w:eastAsia="宋体" w:hint="default"/>
            </w:rPr>
          </w:pPr>
          <w:hyperlink w:history="true" w:anchor="_bookmark9">
            <w:r>
              <w:rPr/>
              <w:t>第十节 备查文件目录</w:t>
            </w:r>
            <w:r>
              <w:rPr>
                <w:rFonts w:ascii="宋体" w:hAnsi="宋体" w:cs="宋体" w:eastAsia="宋体" w:hint="default"/>
              </w:rPr>
              <w:tab/>
              <w:t>157</w:t>
            </w:r>
          </w:hyperlink>
        </w:p>
        <w:p>
          <w:pPr/>
          <w:r>
            <w:fldChar w:fldCharType="end"/>
          </w:r>
        </w:p>
      </w:sdtContent>
    </w:sdt>
    <w:p>
      <w:pPr>
        <w:spacing w:after="0"/>
        <w:sectPr>
          <w:pgSz w:w="11910" w:h="16840"/>
          <w:pgMar w:header="747" w:footer="979" w:top="1060" w:bottom="1160" w:left="980" w:right="980"/>
        </w:sectPr>
      </w:pPr>
    </w:p>
    <w:p>
      <w:pPr>
        <w:spacing w:before="425"/>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1"/>
        <w:rPr>
          <w:rFonts w:ascii="宋体" w:hAnsi="宋体" w:cs="宋体" w:eastAsia="宋体" w:hint="default"/>
          <w:b/>
          <w:bCs/>
          <w:sz w:val="20"/>
          <w:szCs w:val="20"/>
        </w:rPr>
      </w:pPr>
    </w:p>
    <w:tbl>
      <w:tblPr>
        <w:tblW w:w="0" w:type="auto"/>
        <w:jc w:val="left"/>
        <w:tblInd w:w="138" w:type="dxa"/>
        <w:tblLayout w:type="fixed"/>
        <w:tblCellMar>
          <w:top w:w="0" w:type="dxa"/>
          <w:left w:w="0" w:type="dxa"/>
          <w:bottom w:w="0" w:type="dxa"/>
          <w:right w:w="0" w:type="dxa"/>
        </w:tblCellMar>
        <w:tblLook w:val="01E0"/>
      </w:tblPr>
      <w:tblGrid>
        <w:gridCol w:w="3131"/>
        <w:gridCol w:w="689"/>
        <w:gridCol w:w="5751"/>
      </w:tblGrid>
      <w:tr>
        <w:trPr>
          <w:trHeight w:val="365" w:hRule="exact"/>
        </w:trPr>
        <w:tc>
          <w:tcPr>
            <w:tcW w:w="31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6"/>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6"/>
              <w:ind w:left="1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年年度报告</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郑州炜盛电子科技有限公司</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郑州创威煤安科技有限公司</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嘉园环保有限公司</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沈阳金建数字城市软件有限公司</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沈阳汉威科技有限公司</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鞍山易兴自动化工程有限公司</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英森电气系统（上海）有限公司</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公用事业公司</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哈尔滨盈江科技有限公司</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河南汉威电子股份有限公司董事会</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河南汉威电子股份有限公司股东大会</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359"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hAnsi="宋体" w:cs="宋体" w:eastAsia="宋体" w:hint="default"/>
                <w:sz w:val="18"/>
                <w:szCs w:val="18"/>
              </w:rPr>
              <w:t>报告期、上年</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5"/>
                <w:sz w:val="18"/>
                <w:szCs w:val="18"/>
              </w:rPr>
              <w:t> </w:t>
            </w:r>
            <w:r>
              <w:rPr>
                <w:rFonts w:ascii="宋体" w:hAnsi="宋体" w:cs="宋体" w:eastAsia="宋体" w:hint="default"/>
                <w:sz w:val="18"/>
                <w:szCs w:val="18"/>
              </w:rPr>
              <w:t>月</w:t>
            </w: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80"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7"/>
              <w:ind w:left="27" w:right="11"/>
              <w:jc w:val="left"/>
              <w:rPr>
                <w:rFonts w:ascii="宋体" w:hAnsi="宋体" w:cs="宋体" w:eastAsia="宋体" w:hint="default"/>
                <w:sz w:val="18"/>
                <w:szCs w:val="18"/>
              </w:rPr>
            </w:pPr>
            <w:r>
              <w:rPr>
                <w:rFonts w:ascii="宋体" w:hAnsi="宋体" w:cs="宋体" w:eastAsia="宋体" w:hint="default"/>
                <w:spacing w:val="-3"/>
                <w:sz w:val="18"/>
                <w:szCs w:val="18"/>
              </w:rPr>
              <w:t>利用特定气体发生物理或化学变化所释放出的有效信号，从而实现对该种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气体成分、浓度进行感知和测量的元器件</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179"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179"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半导体类气体传感器</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6"/>
              <w:ind w:left="27" w:right="117"/>
              <w:jc w:val="left"/>
              <w:rPr>
                <w:rFonts w:ascii="宋体" w:hAnsi="宋体" w:cs="宋体" w:eastAsia="宋体" w:hint="default"/>
                <w:sz w:val="18"/>
                <w:szCs w:val="18"/>
              </w:rPr>
            </w:pPr>
            <w:r>
              <w:rPr>
                <w:rFonts w:ascii="宋体" w:hAnsi="宋体" w:cs="宋体" w:eastAsia="宋体" w:hint="default"/>
                <w:sz w:val="18"/>
                <w:szCs w:val="18"/>
              </w:rPr>
              <w:t>利用气体在半导体气敏材料表面所进行的吸附或反应而引起元件电信号 的变化来进行检测的气体传感器</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179"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180"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催化燃烧类气体传感器</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7"/>
              <w:ind w:left="27" w:right="11"/>
              <w:jc w:val="left"/>
              <w:rPr>
                <w:rFonts w:ascii="宋体" w:hAnsi="宋体" w:cs="宋体" w:eastAsia="宋体" w:hint="default"/>
                <w:sz w:val="18"/>
                <w:szCs w:val="18"/>
              </w:rPr>
            </w:pPr>
            <w:r>
              <w:rPr>
                <w:rFonts w:ascii="宋体" w:hAnsi="宋体" w:cs="宋体" w:eastAsia="宋体" w:hint="default"/>
                <w:spacing w:val="-3"/>
                <w:sz w:val="18"/>
                <w:szCs w:val="18"/>
              </w:rPr>
              <w:t>利用可燃性气体氧化燃烧放热使电热丝温度升高、电阻值发生变化的原理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进行气体检测的气体传感器</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179"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350"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left="13" w:right="0"/>
              <w:jc w:val="left"/>
              <w:rPr>
                <w:rFonts w:ascii="宋体" w:hAnsi="宋体" w:cs="宋体" w:eastAsia="宋体" w:hint="default"/>
                <w:sz w:val="18"/>
                <w:szCs w:val="18"/>
              </w:rPr>
            </w:pPr>
            <w:r>
              <w:rPr>
                <w:rFonts w:ascii="宋体" w:hAnsi="宋体" w:cs="宋体" w:eastAsia="宋体" w:hint="default"/>
                <w:sz w:val="18"/>
                <w:szCs w:val="18"/>
              </w:rPr>
              <w:t>电化学类气体传感器</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6"/>
              <w:ind w:left="27" w:right="11"/>
              <w:jc w:val="both"/>
              <w:rPr>
                <w:rFonts w:ascii="宋体" w:hAnsi="宋体" w:cs="宋体" w:eastAsia="宋体" w:hint="default"/>
                <w:sz w:val="18"/>
                <w:szCs w:val="18"/>
              </w:rPr>
            </w:pPr>
            <w:r>
              <w:rPr>
                <w:rFonts w:ascii="宋体" w:hAnsi="宋体" w:cs="宋体" w:eastAsia="宋体" w:hint="default"/>
                <w:spacing w:val="-3"/>
                <w:sz w:val="18"/>
                <w:szCs w:val="18"/>
              </w:rPr>
              <w:t>利用气体的电化学效应进行检测的传感器。气体在传感器电极上发生电化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学氧化</w:t>
            </w:r>
            <w:r>
              <w:rPr>
                <w:rFonts w:ascii="宋体" w:hAnsi="宋体" w:cs="宋体" w:eastAsia="宋体" w:hint="default"/>
                <w:sz w:val="18"/>
                <w:szCs w:val="18"/>
              </w:rPr>
              <w:t>-</w:t>
            </w:r>
            <w:r>
              <w:rPr>
                <w:rFonts w:ascii="宋体" w:hAnsi="宋体" w:cs="宋体" w:eastAsia="宋体" w:hint="default"/>
                <w:sz w:val="18"/>
                <w:szCs w:val="18"/>
              </w:rPr>
              <w:t>还原反应并释放出电荷</w:t>
            </w:r>
            <w:r>
              <w:rPr>
                <w:rFonts w:ascii="宋体" w:hAnsi="宋体" w:cs="宋体" w:eastAsia="宋体" w:hint="default"/>
                <w:sz w:val="18"/>
                <w:szCs w:val="18"/>
              </w:rPr>
              <w:t>,</w:t>
            </w:r>
            <w:r>
              <w:rPr>
                <w:rFonts w:ascii="宋体" w:hAnsi="宋体" w:cs="宋体" w:eastAsia="宋体" w:hint="default"/>
                <w:sz w:val="18"/>
                <w:szCs w:val="18"/>
              </w:rPr>
              <w:t>产生电信号</w:t>
            </w:r>
            <w:r>
              <w:rPr>
                <w:rFonts w:ascii="宋体" w:hAnsi="宋体" w:cs="宋体" w:eastAsia="宋体" w:hint="default"/>
                <w:sz w:val="18"/>
                <w:szCs w:val="18"/>
              </w:rPr>
              <w:t>,</w:t>
            </w:r>
            <w:r>
              <w:rPr>
                <w:rFonts w:ascii="宋体" w:hAnsi="宋体" w:cs="宋体" w:eastAsia="宋体" w:hint="default"/>
                <w:sz w:val="18"/>
                <w:szCs w:val="18"/>
              </w:rPr>
              <w:t>电信号的大小与气体浓度成 正比</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350"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180"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红外光学类气体传感器</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7"/>
              <w:ind w:left="27" w:right="117"/>
              <w:jc w:val="left"/>
              <w:rPr>
                <w:rFonts w:ascii="宋体" w:hAnsi="宋体" w:cs="宋体" w:eastAsia="宋体" w:hint="default"/>
                <w:sz w:val="18"/>
                <w:szCs w:val="18"/>
              </w:rPr>
            </w:pPr>
            <w:r>
              <w:rPr>
                <w:rFonts w:ascii="宋体" w:hAnsi="宋体" w:cs="宋体" w:eastAsia="宋体" w:hint="default"/>
                <w:sz w:val="18"/>
                <w:szCs w:val="18"/>
              </w:rPr>
              <w:t>利用不同气体对红外线不同波谱段的光谱吸收原理来检测气体的种类及 浓度，利用此种原理工作的气体传感器称为红外光学类气体传感器</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179"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179"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6"/>
              <w:ind w:left="27" w:right="10"/>
              <w:jc w:val="left"/>
              <w:rPr>
                <w:rFonts w:ascii="宋体" w:hAnsi="宋体" w:cs="宋体" w:eastAsia="宋体" w:hint="default"/>
                <w:sz w:val="18"/>
                <w:szCs w:val="18"/>
              </w:rPr>
            </w:pPr>
            <w:r>
              <w:rPr>
                <w:rFonts w:ascii="宋体" w:hAnsi="宋体" w:cs="宋体" w:eastAsia="宋体" w:hint="default"/>
                <w:spacing w:val="-3"/>
                <w:sz w:val="18"/>
                <w:szCs w:val="18"/>
              </w:rPr>
              <w:t>利用气体传感器采集生成的气体浓度信号，由配套电路进行处理，实现气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体探测及控制等各项具体功能的仪器仪表</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179"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180" w:hRule="exact"/>
        </w:trPr>
        <w:tc>
          <w:tcPr>
            <w:tcW w:w="3131" w:type="dxa"/>
            <w:vMerge w:val="restart"/>
            <w:tcBorders>
              <w:top w:val="single" w:sz="6" w:space="0" w:color="000000"/>
              <w:left w:val="single" w:sz="12" w:space="0" w:color="000000"/>
              <w:right w:val="single" w:sz="9" w:space="0" w:color="D2D2D2"/>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sz w:val="18"/>
              </w:rPr>
              <w:t>SCADA</w:t>
            </w: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5751" w:type="dxa"/>
            <w:vMerge w:val="restart"/>
            <w:tcBorders>
              <w:top w:val="single" w:sz="6" w:space="0" w:color="000000"/>
              <w:left w:val="single" w:sz="8" w:space="0" w:color="D2D2D2"/>
              <w:right w:val="single" w:sz="12" w:space="0" w:color="000000"/>
            </w:tcBorders>
          </w:tcPr>
          <w:p>
            <w:pPr>
              <w:pStyle w:val="TableParagraph"/>
              <w:spacing w:line="350" w:lineRule="auto" w:before="27"/>
              <w:ind w:left="27" w:right="11"/>
              <w:jc w:val="left"/>
              <w:rPr>
                <w:rFonts w:ascii="宋体" w:hAnsi="宋体" w:cs="宋体" w:eastAsia="宋体" w:hint="default"/>
                <w:sz w:val="18"/>
                <w:szCs w:val="18"/>
              </w:rPr>
            </w:pPr>
            <w:r>
              <w:rPr>
                <w:rFonts w:ascii="宋体" w:hAnsi="宋体" w:cs="宋体" w:eastAsia="宋体" w:hint="default"/>
                <w:sz w:val="18"/>
                <w:szCs w:val="18"/>
              </w:rPr>
              <w:t>Supervisory</w:t>
            </w:r>
            <w:r>
              <w:rPr>
                <w:rFonts w:ascii="宋体" w:hAnsi="宋体" w:cs="宋体" w:eastAsia="宋体" w:hint="default"/>
                <w:spacing w:val="-20"/>
                <w:sz w:val="18"/>
                <w:szCs w:val="18"/>
              </w:rPr>
              <w:t> </w:t>
            </w:r>
            <w:r>
              <w:rPr>
                <w:rFonts w:ascii="宋体" w:hAnsi="宋体" w:cs="宋体" w:eastAsia="宋体" w:hint="default"/>
                <w:sz w:val="18"/>
                <w:szCs w:val="18"/>
              </w:rPr>
              <w:t>Control</w:t>
            </w:r>
            <w:r>
              <w:rPr>
                <w:rFonts w:ascii="宋体" w:hAnsi="宋体" w:cs="宋体" w:eastAsia="宋体" w:hint="default"/>
                <w:spacing w:val="-20"/>
                <w:sz w:val="18"/>
                <w:szCs w:val="18"/>
              </w:rPr>
              <w:t> </w:t>
            </w:r>
            <w:r>
              <w:rPr>
                <w:rFonts w:ascii="宋体" w:hAnsi="宋体" w:cs="宋体" w:eastAsia="宋体" w:hint="default"/>
                <w:sz w:val="18"/>
                <w:szCs w:val="18"/>
              </w:rPr>
              <w:t>And</w:t>
            </w:r>
            <w:r>
              <w:rPr>
                <w:rFonts w:ascii="宋体" w:hAnsi="宋体" w:cs="宋体" w:eastAsia="宋体" w:hint="default"/>
                <w:spacing w:val="-20"/>
                <w:sz w:val="18"/>
                <w:szCs w:val="18"/>
              </w:rPr>
              <w:t> </w:t>
            </w:r>
            <w:r>
              <w:rPr>
                <w:rFonts w:ascii="宋体" w:hAnsi="宋体" w:cs="宋体" w:eastAsia="宋体" w:hint="default"/>
                <w:sz w:val="18"/>
                <w:szCs w:val="18"/>
              </w:rPr>
              <w:t>Data</w:t>
            </w:r>
            <w:r>
              <w:rPr>
                <w:rFonts w:ascii="宋体" w:hAnsi="宋体" w:cs="宋体" w:eastAsia="宋体" w:hint="default"/>
                <w:spacing w:val="-20"/>
                <w:sz w:val="18"/>
                <w:szCs w:val="18"/>
              </w:rPr>
              <w:t> </w:t>
            </w:r>
            <w:r>
              <w:rPr>
                <w:rFonts w:ascii="宋体" w:hAnsi="宋体" w:cs="宋体" w:eastAsia="宋体" w:hint="default"/>
                <w:sz w:val="18"/>
                <w:szCs w:val="18"/>
              </w:rPr>
              <w:t>Acquisition</w:t>
            </w:r>
            <w:r>
              <w:rPr>
                <w:rFonts w:ascii="宋体" w:hAnsi="宋体" w:cs="宋体" w:eastAsia="宋体" w:hint="default"/>
                <w:sz w:val="18"/>
                <w:szCs w:val="18"/>
              </w:rPr>
              <w:t>，即数据采集与监视控制系 统</w:t>
            </w:r>
          </w:p>
        </w:tc>
      </w:tr>
      <w:tr>
        <w:trPr>
          <w:trHeight w:val="343" w:hRule="exact"/>
        </w:trPr>
        <w:tc>
          <w:tcPr>
            <w:tcW w:w="3131" w:type="dxa"/>
            <w:vMerge/>
            <w:tcBorders>
              <w:left w:val="single" w:sz="12" w:space="0" w:color="000000"/>
              <w:right w:val="single" w:sz="9" w:space="0" w:color="D2D2D2"/>
            </w:tcBorders>
          </w:tcPr>
          <w:p>
            <w:pPr/>
          </w:p>
        </w:tc>
        <w:tc>
          <w:tcPr>
            <w:tcW w:w="68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vMerge/>
            <w:tcBorders>
              <w:left w:val="single" w:sz="8" w:space="0" w:color="D2D2D2"/>
              <w:right w:val="single" w:sz="12" w:space="0" w:color="000000"/>
            </w:tcBorders>
          </w:tcPr>
          <w:p>
            <w:pPr/>
          </w:p>
        </w:tc>
      </w:tr>
      <w:tr>
        <w:trPr>
          <w:trHeight w:val="179" w:hRule="exact"/>
        </w:trPr>
        <w:tc>
          <w:tcPr>
            <w:tcW w:w="3131" w:type="dxa"/>
            <w:vMerge/>
            <w:tcBorders>
              <w:left w:val="single" w:sz="12" w:space="0" w:color="000000"/>
              <w:bottom w:val="single" w:sz="6" w:space="0" w:color="000000"/>
              <w:right w:val="single" w:sz="9" w:space="0" w:color="D2D2D2"/>
            </w:tcBorders>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5751" w:type="dxa"/>
            <w:vMerge/>
            <w:tcBorders>
              <w:left w:val="single" w:sz="8" w:space="0" w:color="D2D2D2"/>
              <w:bottom w:val="single" w:sz="6" w:space="0" w:color="000000"/>
              <w:right w:val="single" w:sz="12" w:space="0" w:color="000000"/>
            </w:tcBorders>
          </w:tcPr>
          <w:p>
            <w:pPr/>
          </w:p>
        </w:tc>
      </w:tr>
      <w:tr>
        <w:trPr>
          <w:trHeight w:val="358" w:hRule="exact"/>
        </w:trPr>
        <w:tc>
          <w:tcPr>
            <w:tcW w:w="3131" w:type="dxa"/>
            <w:tcBorders>
              <w:top w:val="single" w:sz="6" w:space="0" w:color="000000"/>
              <w:left w:val="single" w:sz="12" w:space="0" w:color="000000"/>
              <w:bottom w:val="single" w:sz="6" w:space="0" w:color="000000"/>
              <w:right w:val="single" w:sz="9" w:space="0" w:color="D2D2D2"/>
            </w:tcBorders>
          </w:tcPr>
          <w:p>
            <w:pPr>
              <w:pStyle w:val="TableParagraph"/>
              <w:spacing w:line="240" w:lineRule="auto" w:before="26"/>
              <w:ind w:left="13" w:right="0"/>
              <w:jc w:val="left"/>
              <w:rPr>
                <w:rFonts w:ascii="宋体" w:hAnsi="宋体" w:cs="宋体" w:eastAsia="宋体" w:hint="default"/>
                <w:sz w:val="18"/>
                <w:szCs w:val="18"/>
              </w:rPr>
            </w:pPr>
            <w:r>
              <w:rPr>
                <w:rFonts w:ascii="宋体"/>
                <w:sz w:val="18"/>
              </w:rPr>
              <w:t>VOCs</w:t>
            </w:r>
          </w:p>
        </w:tc>
        <w:tc>
          <w:tcPr>
            <w:tcW w:w="6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18"/>
                <w:szCs w:val="18"/>
              </w:rPr>
            </w:pPr>
            <w:r>
              <w:rPr>
                <w:rFonts w:ascii="宋体" w:hAnsi="宋体" w:cs="宋体" w:eastAsia="宋体" w:hint="default"/>
                <w:sz w:val="18"/>
                <w:szCs w:val="18"/>
              </w:rPr>
              <w:t>Volatile Organic Compounds,</w:t>
            </w:r>
            <w:r>
              <w:rPr>
                <w:rFonts w:ascii="宋体" w:hAnsi="宋体" w:cs="宋体" w:eastAsia="宋体" w:hint="default"/>
                <w:sz w:val="18"/>
                <w:szCs w:val="18"/>
              </w:rPr>
              <w:t>即挥发性有机物</w:t>
            </w:r>
          </w:p>
        </w:tc>
      </w:tr>
      <w:tr>
        <w:trPr>
          <w:trHeight w:val="367" w:hRule="exact"/>
        </w:trPr>
        <w:tc>
          <w:tcPr>
            <w:tcW w:w="3131" w:type="dxa"/>
            <w:tcBorders>
              <w:top w:val="single" w:sz="6" w:space="0" w:color="000000"/>
              <w:left w:val="single" w:sz="12" w:space="0" w:color="000000"/>
              <w:bottom w:val="single" w:sz="12" w:space="0" w:color="000000"/>
              <w:right w:val="single" w:sz="9" w:space="0" w:color="D2D2D2"/>
            </w:tcBorders>
          </w:tcPr>
          <w:p>
            <w:pPr>
              <w:pStyle w:val="TableParagraph"/>
              <w:spacing w:line="240" w:lineRule="auto" w:before="27"/>
              <w:ind w:left="13" w:right="0"/>
              <w:jc w:val="left"/>
              <w:rPr>
                <w:rFonts w:ascii="宋体" w:hAnsi="宋体" w:cs="宋体" w:eastAsia="宋体" w:hint="default"/>
                <w:sz w:val="18"/>
                <w:szCs w:val="18"/>
              </w:rPr>
            </w:pPr>
            <w:r>
              <w:rPr>
                <w:rFonts w:ascii="宋体"/>
                <w:sz w:val="18"/>
              </w:rPr>
              <w:t>GIS</w:t>
            </w:r>
          </w:p>
        </w:tc>
        <w:tc>
          <w:tcPr>
            <w:tcW w:w="68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1"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Geographic Information System</w:t>
            </w:r>
            <w:r>
              <w:rPr>
                <w:rFonts w:ascii="宋体" w:hAnsi="宋体" w:cs="宋体" w:eastAsia="宋体" w:hint="default"/>
                <w:sz w:val="18"/>
                <w:szCs w:val="18"/>
              </w:rPr>
              <w:t>，即地理信息系统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31"/>
        <w:gridCol w:w="2306"/>
        <w:gridCol w:w="2147"/>
        <w:gridCol w:w="2186"/>
      </w:tblGrid>
      <w:tr>
        <w:trPr>
          <w:trHeight w:val="415" w:hRule="exact"/>
        </w:trPr>
        <w:tc>
          <w:tcPr>
            <w:tcW w:w="29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汉威电子</w:t>
            </w:r>
          </w:p>
        </w:tc>
        <w:tc>
          <w:tcPr>
            <w:tcW w:w="21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6"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300007</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汉威电子</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Henan Hanwei Electronics Co.,Ltd.</w:t>
            </w:r>
          </w:p>
        </w:tc>
      </w:tr>
      <w:tr>
        <w:trPr>
          <w:trHeight w:val="408"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任红军</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450001</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450001</w:t>
            </w:r>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hyperlink r:id="rId9">
              <w:r>
                <w:rPr>
                  <w:rFonts w:ascii="宋体"/>
                  <w:sz w:val="18"/>
                </w:rPr>
                <w:t>www.hanwei.cn</w:t>
              </w:r>
            </w:hyperlink>
          </w:p>
        </w:tc>
      </w:tr>
      <w:tr>
        <w:trPr>
          <w:trHeight w:val="408"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hyperlink r:id="rId10">
              <w:r>
                <w:rPr>
                  <w:rFonts w:ascii="宋体"/>
                  <w:sz w:val="18"/>
                </w:rPr>
                <w:t>hwdz@hwsensor.com</w:t>
              </w:r>
            </w:hyperlink>
          </w:p>
        </w:tc>
      </w:tr>
      <w:tr>
        <w:trPr>
          <w:trHeight w:val="407"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15" w:hRule="exact"/>
        </w:trPr>
        <w:tc>
          <w:tcPr>
            <w:tcW w:w="293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肖锋</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0371-67169159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0371-67169159</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0371-67169196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0371-67169196</w:t>
            </w: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27" w:right="0"/>
              <w:jc w:val="left"/>
              <w:rPr>
                <w:rFonts w:ascii="宋体" w:hAnsi="宋体" w:cs="宋体" w:eastAsia="宋体" w:hint="default"/>
                <w:sz w:val="18"/>
                <w:szCs w:val="18"/>
              </w:rPr>
            </w:pPr>
            <w:hyperlink r:id="rId10">
              <w:r>
                <w:rPr>
                  <w:rFonts w:ascii="宋体"/>
                  <w:sz w:val="18"/>
                </w:rPr>
                <w:t>hwdz@hwsensor.com</w:t>
              </w:r>
            </w:hyperlink>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hyperlink r:id="rId10">
              <w:r>
                <w:rPr>
                  <w:rFonts w:ascii="宋体"/>
                  <w:sz w:val="18"/>
                </w:rPr>
                <w:t>hwdz@hwsensor.com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862"/>
        <w:gridCol w:w="5707"/>
      </w:tblGrid>
      <w:tr>
        <w:trPr>
          <w:trHeight w:val="414" w:hRule="exact"/>
        </w:trPr>
        <w:tc>
          <w:tcPr>
            <w:tcW w:w="386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证券时报、证券日报</w:t>
            </w:r>
          </w:p>
        </w:tc>
      </w:tr>
      <w:tr>
        <w:trPr>
          <w:trHeight w:val="407" w:hRule="exact"/>
        </w:trPr>
        <w:tc>
          <w:tcPr>
            <w:tcW w:w="386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中国证监会指定网站 </w:t>
            </w:r>
            <w:hyperlink r:id="rId11">
              <w:r>
                <w:rPr>
                  <w:rFonts w:ascii="宋体" w:hAnsi="宋体" w:cs="宋体" w:eastAsia="宋体" w:hint="default"/>
                  <w:sz w:val="18"/>
                  <w:szCs w:val="18"/>
                </w:rPr>
                <w:t>www.cninfo.com.cn</w:t>
              </w:r>
            </w:hyperlink>
          </w:p>
        </w:tc>
      </w:tr>
      <w:tr>
        <w:trPr>
          <w:trHeight w:val="416" w:hRule="exact"/>
        </w:trPr>
        <w:tc>
          <w:tcPr>
            <w:tcW w:w="38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公司证券投资部办公室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703"/>
        <w:gridCol w:w="1560"/>
        <w:gridCol w:w="1984"/>
        <w:gridCol w:w="1559"/>
        <w:gridCol w:w="1560"/>
        <w:gridCol w:w="1202"/>
      </w:tblGrid>
      <w:tr>
        <w:trPr>
          <w:trHeight w:val="191" w:hRule="exact"/>
        </w:trPr>
        <w:tc>
          <w:tcPr>
            <w:tcW w:w="170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6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98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59" w:type="dxa"/>
            <w:vMerge w:val="restart"/>
            <w:tcBorders>
              <w:top w:val="single" w:sz="12" w:space="0" w:color="000000"/>
              <w:left w:val="single" w:sz="6" w:space="0" w:color="000000"/>
              <w:right w:val="single" w:sz="6" w:space="0" w:color="000000"/>
            </w:tcBorders>
            <w:shd w:val="clear" w:color="auto" w:fill="D2D2D2"/>
          </w:tcPr>
          <w:p>
            <w:pPr>
              <w:pStyle w:val="TableParagraph"/>
              <w:spacing w:line="360" w:lineRule="auto" w:before="51"/>
              <w:ind w:left="321" w:right="230" w:hanging="90"/>
              <w:jc w:val="left"/>
              <w:rPr>
                <w:rFonts w:ascii="宋体" w:hAnsi="宋体" w:cs="宋体" w:eastAsia="宋体" w:hint="default"/>
                <w:sz w:val="18"/>
                <w:szCs w:val="18"/>
              </w:rPr>
            </w:pPr>
            <w:r>
              <w:rPr>
                <w:rFonts w:ascii="宋体" w:hAnsi="宋体" w:cs="宋体" w:eastAsia="宋体" w:hint="default"/>
                <w:sz w:val="18"/>
                <w:szCs w:val="18"/>
              </w:rPr>
              <w:t>企业法人营业 执照注册号</w:t>
            </w:r>
          </w:p>
        </w:tc>
        <w:tc>
          <w:tcPr>
            <w:tcW w:w="156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02"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1703" w:type="dxa"/>
            <w:tcBorders>
              <w:top w:val="nil" w:sz="6" w:space="0" w:color="auto"/>
              <w:left w:val="single" w:sz="12" w:space="0" w:color="000000"/>
              <w:bottom w:val="nil" w:sz="6" w:space="0" w:color="auto"/>
              <w:right w:val="single" w:sz="6" w:space="0" w:color="000000"/>
            </w:tcBorders>
            <w:shd w:val="clear" w:color="auto" w:fill="D2D2D2"/>
          </w:tcPr>
          <w:p>
            <w:pPr/>
          </w:p>
        </w:tc>
        <w:tc>
          <w:tcPr>
            <w:tcW w:w="156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8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59" w:type="dxa"/>
            <w:vMerge/>
            <w:tcBorders>
              <w:left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233"/>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84" w:hRule="exact"/>
        </w:trPr>
        <w:tc>
          <w:tcPr>
            <w:tcW w:w="170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8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4" w:hRule="exact"/>
        </w:trPr>
        <w:tc>
          <w:tcPr>
            <w:tcW w:w="1703" w:type="dxa"/>
            <w:tcBorders>
              <w:top w:val="single" w:sz="6" w:space="0" w:color="000000"/>
              <w:left w:val="single" w:sz="12" w:space="0" w:color="000000"/>
              <w:bottom w:val="nil" w:sz="6" w:space="0" w:color="auto"/>
              <w:right w:val="single" w:sz="6" w:space="0" w:color="000000"/>
            </w:tcBorders>
            <w:shd w:val="clear" w:color="auto" w:fill="D2D2D2"/>
          </w:tcPr>
          <w:p>
            <w:pPr/>
          </w:p>
        </w:tc>
        <w:tc>
          <w:tcPr>
            <w:tcW w:w="1560" w:type="dxa"/>
            <w:vMerge w:val="restart"/>
            <w:tcBorders>
              <w:top w:val="single" w:sz="6" w:space="0" w:color="000000"/>
              <w:left w:val="single" w:sz="9" w:space="0" w:color="D2D2D2"/>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vMerge w:val="restart"/>
            <w:tcBorders>
              <w:top w:val="single" w:sz="6" w:space="0" w:color="000000"/>
              <w:left w:val="single" w:sz="6" w:space="0" w:color="000000"/>
              <w:right w:val="single" w:sz="6" w:space="0" w:color="000000"/>
            </w:tcBorders>
          </w:tcPr>
          <w:p>
            <w:pPr>
              <w:pStyle w:val="TableParagraph"/>
              <w:spacing w:line="316" w:lineRule="auto" w:before="52"/>
              <w:ind w:left="20" w:right="146"/>
              <w:jc w:val="left"/>
              <w:rPr>
                <w:rFonts w:ascii="宋体" w:hAnsi="宋体" w:cs="宋体" w:eastAsia="宋体" w:hint="default"/>
                <w:sz w:val="18"/>
                <w:szCs w:val="18"/>
              </w:rPr>
            </w:pPr>
            <w:r>
              <w:rPr>
                <w:rFonts w:ascii="宋体" w:hAnsi="宋体" w:cs="宋体" w:eastAsia="宋体" w:hint="default"/>
                <w:sz w:val="18"/>
                <w:szCs w:val="18"/>
              </w:rPr>
              <w:t>郑州高新技术开发区雪 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410000100020749</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410102706785831</w:t>
            </w:r>
          </w:p>
        </w:tc>
        <w:tc>
          <w:tcPr>
            <w:tcW w:w="1202"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70678583-1</w:t>
            </w:r>
          </w:p>
        </w:tc>
      </w:tr>
      <w:tr>
        <w:trPr>
          <w:trHeight w:val="391" w:hRule="exact"/>
        </w:trPr>
        <w:tc>
          <w:tcPr>
            <w:tcW w:w="170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60" w:type="dxa"/>
            <w:vMerge/>
            <w:tcBorders>
              <w:left w:val="single" w:sz="9" w:space="0" w:color="D2D2D2"/>
              <w:right w:val="single" w:sz="6" w:space="0" w:color="000000"/>
            </w:tcBorders>
          </w:tcPr>
          <w:p>
            <w:pPr/>
          </w:p>
        </w:tc>
        <w:tc>
          <w:tcPr>
            <w:tcW w:w="1984"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02" w:type="dxa"/>
            <w:vMerge/>
            <w:tcBorders>
              <w:left w:val="single" w:sz="6" w:space="0" w:color="000000"/>
              <w:right w:val="single" w:sz="12" w:space="0" w:color="000000"/>
            </w:tcBorders>
          </w:tcPr>
          <w:p>
            <w:pPr/>
          </w:p>
        </w:tc>
      </w:tr>
      <w:tr>
        <w:trPr>
          <w:trHeight w:val="163" w:hRule="exact"/>
        </w:trPr>
        <w:tc>
          <w:tcPr>
            <w:tcW w:w="170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60" w:type="dxa"/>
            <w:vMerge/>
            <w:tcBorders>
              <w:left w:val="single" w:sz="9" w:space="0" w:color="D2D2D2"/>
              <w:bottom w:val="single" w:sz="6" w:space="0" w:color="000000"/>
              <w:right w:val="single" w:sz="6" w:space="0" w:color="000000"/>
            </w:tcBorders>
          </w:tcPr>
          <w:p>
            <w:pPr/>
          </w:p>
        </w:tc>
        <w:tc>
          <w:tcPr>
            <w:tcW w:w="1984"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12" w:space="0" w:color="000000"/>
            </w:tcBorders>
          </w:tcPr>
          <w:p>
            <w:pPr/>
          </w:p>
        </w:tc>
      </w:tr>
      <w:tr>
        <w:trPr>
          <w:trHeight w:val="719"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资本及经营范围注册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47"/>
              <w:jc w:val="left"/>
              <w:rPr>
                <w:rFonts w:ascii="宋体" w:hAnsi="宋体" w:cs="宋体" w:eastAsia="宋体" w:hint="default"/>
                <w:sz w:val="18"/>
                <w:szCs w:val="18"/>
              </w:rPr>
            </w:pPr>
            <w:r>
              <w:rPr>
                <w:rFonts w:ascii="宋体" w:hAnsi="宋体" w:cs="宋体" w:eastAsia="宋体" w:hint="default"/>
                <w:sz w:val="18"/>
                <w:szCs w:val="18"/>
              </w:rPr>
              <w:t>郑州高新技术开发区雪 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410000100020749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sz w:val="18"/>
              </w:rPr>
              <w:t>410102706785831</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70678583-1</w:t>
            </w:r>
          </w:p>
        </w:tc>
      </w:tr>
      <w:tr>
        <w:trPr>
          <w:trHeight w:val="720"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经营范围注册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47"/>
              <w:jc w:val="left"/>
              <w:rPr>
                <w:rFonts w:ascii="宋体" w:hAnsi="宋体" w:cs="宋体" w:eastAsia="宋体" w:hint="default"/>
                <w:sz w:val="18"/>
                <w:szCs w:val="18"/>
              </w:rPr>
            </w:pPr>
            <w:r>
              <w:rPr>
                <w:rFonts w:ascii="宋体" w:hAnsi="宋体" w:cs="宋体" w:eastAsia="宋体" w:hint="default"/>
                <w:sz w:val="18"/>
                <w:szCs w:val="18"/>
              </w:rPr>
              <w:t>郑州高新技术开发区雪 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410000100020749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sz w:val="18"/>
              </w:rPr>
              <w:t>410102706785831</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70678583-1</w:t>
            </w:r>
          </w:p>
        </w:tc>
      </w:tr>
      <w:tr>
        <w:trPr>
          <w:trHeight w:val="719"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经营范围注册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47"/>
              <w:jc w:val="left"/>
              <w:rPr>
                <w:rFonts w:ascii="宋体" w:hAnsi="宋体" w:cs="宋体" w:eastAsia="宋体" w:hint="default"/>
                <w:sz w:val="18"/>
                <w:szCs w:val="18"/>
              </w:rPr>
            </w:pPr>
            <w:r>
              <w:rPr>
                <w:rFonts w:ascii="宋体" w:hAnsi="宋体" w:cs="宋体" w:eastAsia="宋体" w:hint="default"/>
                <w:sz w:val="18"/>
                <w:szCs w:val="18"/>
              </w:rPr>
              <w:t>郑州高新技术开发区雪 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410000100020749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sz w:val="18"/>
              </w:rPr>
              <w:t>410102706785831</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70678583-1</w:t>
            </w:r>
          </w:p>
        </w:tc>
      </w:tr>
      <w:tr>
        <w:trPr>
          <w:trHeight w:val="727" w:hRule="exact"/>
        </w:trPr>
        <w:tc>
          <w:tcPr>
            <w:tcW w:w="17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注册资本注册</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1"/>
              <w:ind w:left="20" w:right="147"/>
              <w:jc w:val="left"/>
              <w:rPr>
                <w:rFonts w:ascii="宋体" w:hAnsi="宋体" w:cs="宋体" w:eastAsia="宋体" w:hint="default"/>
                <w:sz w:val="18"/>
                <w:szCs w:val="18"/>
              </w:rPr>
            </w:pPr>
            <w:r>
              <w:rPr>
                <w:rFonts w:ascii="宋体" w:hAnsi="宋体" w:cs="宋体" w:eastAsia="宋体" w:hint="default"/>
                <w:sz w:val="18"/>
                <w:szCs w:val="18"/>
              </w:rPr>
              <w:t>郑州高新技术开发区雪 松路</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410000100020749</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sz w:val="18"/>
              </w:rPr>
              <w:t>410102706785831</w:t>
            </w:r>
          </w:p>
        </w:tc>
        <w:tc>
          <w:tcPr>
            <w:tcW w:w="12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70678583-1</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919998pt;margin-top:353.419983pt;width:87.5pt;height:28pt;mso-position-horizontal-relative:page;mso-position-vertical-relative:page;z-index:-910816" coordorigin="3798,7068" coordsize="1750,560">
            <v:group style="position:absolute;left:3809;top:7079;width:2;height:393" coordorigin="3809,7079" coordsize="2,393">
              <v:shape style="position:absolute;left:3809;top:7079;width:2;height:393" coordorigin="3809,7079" coordsize="0,393" path="m3809,7079l3809,7472e" filled="false" stroked="true" strokeweight="1.08pt" strokecolor="#ffffff">
                <v:path arrowok="t"/>
              </v:shape>
            </v:group>
            <v:group style="position:absolute;left:3798;top:7472;width:1750;height:156" coordorigin="3798,7472" coordsize="1750,156">
              <v:shape style="position:absolute;left:3798;top:7472;width:1750;height:156" coordorigin="3798,7472" coordsize="1750,156" path="m3798,7628l5548,7628,5548,7472,3798,7472,3798,7628xe" filled="true" fillcolor="#ffffff" stroked="false">
                <v:path arrowok="t"/>
                <v:fill type="solid"/>
              </v:shape>
            </v:group>
            <v:group style="position:absolute;left:3820;top:7079;width:1707;height:393" coordorigin="3820,7079" coordsize="1707,393">
              <v:shape style="position:absolute;left:3820;top:7079;width:1707;height:393" coordorigin="3820,7079" coordsize="1707,393" path="m3820,7472l5527,7472,5527,7079,3820,7079,3820,747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641"/>
        <w:gridCol w:w="324"/>
        <w:gridCol w:w="1449"/>
        <w:gridCol w:w="1764"/>
        <w:gridCol w:w="1763"/>
        <w:gridCol w:w="1621"/>
      </w:tblGrid>
      <w:tr>
        <w:trPr>
          <w:trHeight w:val="415" w:hRule="exact"/>
        </w:trPr>
        <w:tc>
          <w:tcPr>
            <w:tcW w:w="264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73"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469" w:right="0"/>
              <w:jc w:val="left"/>
              <w:rPr>
                <w:rFonts w:ascii="宋体" w:hAnsi="宋体" w:cs="宋体" w:eastAsia="宋体" w:hint="default"/>
                <w:sz w:val="18"/>
                <w:szCs w:val="18"/>
              </w:rPr>
            </w:pPr>
            <w:r>
              <w:rPr>
                <w:rFonts w:ascii="宋体"/>
                <w:sz w:val="18"/>
              </w:rPr>
              <w:t>399,306,830.10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302,472,419.55</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32.01%</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264,491,528.48</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469" w:right="0"/>
              <w:jc w:val="left"/>
              <w:rPr>
                <w:rFonts w:ascii="宋体" w:hAnsi="宋体" w:cs="宋体" w:eastAsia="宋体" w:hint="default"/>
                <w:sz w:val="18"/>
                <w:szCs w:val="18"/>
              </w:rPr>
            </w:pPr>
            <w:r>
              <w:rPr>
                <w:rFonts w:ascii="宋体"/>
                <w:sz w:val="18"/>
              </w:rPr>
              <w:t>200,970,081.20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143,164,242.14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40.38%</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125,237,759.71</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559" w:right="0"/>
              <w:jc w:val="left"/>
              <w:rPr>
                <w:rFonts w:ascii="宋体" w:hAnsi="宋体" w:cs="宋体" w:eastAsia="宋体" w:hint="default"/>
                <w:sz w:val="18"/>
                <w:szCs w:val="18"/>
              </w:rPr>
            </w:pPr>
            <w:r>
              <w:rPr>
                <w:rFonts w:ascii="宋体"/>
                <w:sz w:val="18"/>
              </w:rPr>
              <w:t>33,090,834.47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29,183,876.04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13.39%</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32,324,784.47</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66,455,317.43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54,740,666.72</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21.40%</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56,294,579.36</w:t>
            </w:r>
          </w:p>
        </w:tc>
      </w:tr>
      <w:tr>
        <w:trPr>
          <w:trHeight w:val="719"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sz w:val="18"/>
              </w:rPr>
              <w:t>57,341,790.34</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39,770,218.64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44.18%</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47,339,574.86</w:t>
            </w:r>
          </w:p>
        </w:tc>
      </w:tr>
      <w:tr>
        <w:trPr>
          <w:trHeight w:val="720"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24" w:type="dxa"/>
            <w:tcBorders>
              <w:top w:val="single" w:sz="6" w:space="0" w:color="000000"/>
              <w:left w:val="single" w:sz="14" w:space="0" w:color="D2D2D2"/>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4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sz w:val="18"/>
              </w:rPr>
              <w:t>38,905,730.21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24,005,910.06</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62.07%</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28,358,910.81</w:t>
            </w:r>
          </w:p>
        </w:tc>
      </w:tr>
      <w:tr>
        <w:trPr>
          <w:trHeight w:val="719"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sz w:val="18"/>
              </w:rPr>
              <w:t>50,930,042.17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77,876,415.19</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-34.60%</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25,437,893.07</w:t>
            </w:r>
          </w:p>
        </w:tc>
      </w:tr>
      <w:tr>
        <w:trPr>
          <w:trHeight w:val="719"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9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宋体" w:hAnsi="宋体" w:cs="宋体" w:eastAsia="宋体" w:hint="default"/>
                <w:sz w:val="18"/>
                <w:szCs w:val="18"/>
              </w:rPr>
              <w:t>/</w:t>
            </w:r>
            <w:r>
              <w:rPr>
                <w:rFonts w:ascii="宋体" w:hAnsi="宋体" w:cs="宋体" w:eastAsia="宋体" w:hint="default"/>
                <w:sz w:val="18"/>
                <w:szCs w:val="18"/>
              </w:rPr>
              <w:t>股）</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0.3476</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0.66</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-47.33%</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0.2156</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0.47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0.34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38.24%</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0.4</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0.47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0.34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38.24%</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0.4</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7.98%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6.36%</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1.62%</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8.04%</w:t>
            </w:r>
          </w:p>
        </w:tc>
      </w:tr>
      <w:tr>
        <w:trPr>
          <w:trHeight w:val="721"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5.41%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1.57%</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4.82%</w:t>
            </w:r>
          </w:p>
        </w:tc>
      </w:tr>
      <w:tr>
        <w:trPr>
          <w:trHeight w:val="406"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7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6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469" w:right="0"/>
              <w:jc w:val="left"/>
              <w:rPr>
                <w:rFonts w:ascii="宋体" w:hAnsi="宋体" w:cs="宋体" w:eastAsia="宋体" w:hint="default"/>
                <w:sz w:val="18"/>
                <w:szCs w:val="18"/>
              </w:rPr>
            </w:pPr>
            <w:r>
              <w:rPr>
                <w:rFonts w:ascii="宋体"/>
                <w:sz w:val="18"/>
              </w:rPr>
              <w:t>146,511,403.00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118,000,000.00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24.16%</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118,000,000.00</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289" w:right="0"/>
              <w:jc w:val="left"/>
              <w:rPr>
                <w:rFonts w:ascii="宋体" w:hAnsi="宋体" w:cs="宋体" w:eastAsia="宋体" w:hint="default"/>
                <w:sz w:val="18"/>
                <w:szCs w:val="18"/>
              </w:rPr>
            </w:pPr>
            <w:r>
              <w:rPr>
                <w:rFonts w:ascii="宋体"/>
                <w:sz w:val="18"/>
              </w:rPr>
              <w:t>1,820,379,783.98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934,232,616.06</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94.85%</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734,992,654.25</w:t>
            </w:r>
          </w:p>
        </w:tc>
      </w:tr>
      <w:tr>
        <w:trPr>
          <w:trHeight w:val="407"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469" w:right="0"/>
              <w:jc w:val="left"/>
              <w:rPr>
                <w:rFonts w:ascii="宋体" w:hAnsi="宋体" w:cs="宋体" w:eastAsia="宋体" w:hint="default"/>
                <w:sz w:val="18"/>
                <w:szCs w:val="18"/>
              </w:rPr>
            </w:pPr>
            <w:r>
              <w:rPr>
                <w:rFonts w:ascii="宋体"/>
                <w:sz w:val="18"/>
              </w:rPr>
              <w:t>574,134,405.76</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250,264,635.50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129.41%</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92,692,561.62</w:t>
            </w:r>
          </w:p>
        </w:tc>
      </w:tr>
      <w:tr>
        <w:trPr>
          <w:trHeight w:val="719"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sz w:val="18"/>
              </w:rPr>
              <w:t>1,151,237,721.66</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643,063,608.54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79.02%</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608,707,589.90</w:t>
            </w:r>
          </w:p>
        </w:tc>
      </w:tr>
      <w:tr>
        <w:trPr>
          <w:trHeight w:val="720" w:hRule="exact"/>
        </w:trPr>
        <w:tc>
          <w:tcPr>
            <w:tcW w:w="264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773" w:type="dxa"/>
            <w:gridSpan w:val="2"/>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7.8577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5.4497</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44.19%</w:t>
            </w:r>
          </w:p>
        </w:tc>
        <w:tc>
          <w:tcPr>
            <w:tcW w:w="1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5.1585</w:t>
            </w:r>
          </w:p>
        </w:tc>
      </w:tr>
      <w:tr>
        <w:trPr>
          <w:trHeight w:val="415" w:hRule="exact"/>
        </w:trPr>
        <w:tc>
          <w:tcPr>
            <w:tcW w:w="264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3" w:type="dxa"/>
            <w:gridSpan w:val="2"/>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31.54%</w:t>
            </w:r>
          </w:p>
        </w:tc>
        <w:tc>
          <w:tcPr>
            <w:tcW w:w="1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26.79%</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4.75%</w:t>
            </w:r>
          </w:p>
        </w:tc>
        <w:tc>
          <w:tcPr>
            <w:tcW w:w="16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12.61%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53" w:right="217"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16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80"/>
        <w:gridCol w:w="1530"/>
        <w:gridCol w:w="1520"/>
        <w:gridCol w:w="1522"/>
        <w:gridCol w:w="1709"/>
      </w:tblGrid>
      <w:tr>
        <w:trPr>
          <w:trHeight w:val="413" w:hRule="exact"/>
        </w:trPr>
        <w:tc>
          <w:tcPr>
            <w:tcW w:w="32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9"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-157,404.03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-431,068.56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-111,332.73</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2"/>
              <w:ind w:left="6"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23,277,695.93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21,079,757.21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22,999,409.79</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-245,272.13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-89,211.08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1,081,717.83</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3,172,843.93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2,413,426.07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2,924,880.81</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1,266,115.71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2,381,742.92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2,064,250.03</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2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18,436,060.13</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15,764,308.58</w:t>
            </w:r>
          </w:p>
        </w:tc>
        <w:tc>
          <w:tcPr>
            <w:tcW w:w="152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18,980,664.05</w:t>
            </w:r>
          </w:p>
        </w:tc>
        <w:tc>
          <w:tcPr>
            <w:tcW w:w="17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240" w:lineRule="auto" w:before="10"/>
        <w:rPr>
          <w:rFonts w:ascii="宋体" w:hAnsi="宋体" w:cs="宋体" w:eastAsia="宋体" w:hint="default"/>
          <w:sz w:val="17"/>
          <w:szCs w:val="17"/>
        </w:rPr>
      </w:pPr>
    </w:p>
    <w:p>
      <w:pPr>
        <w:spacing w:line="477" w:lineRule="auto" w:before="0"/>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9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9"/>
        <w:rPr>
          <w:rFonts w:ascii="宋体" w:hAnsi="宋体" w:cs="宋体" w:eastAsia="宋体" w:hint="default"/>
          <w:sz w:val="20"/>
          <w:szCs w:val="20"/>
        </w:rPr>
      </w:pPr>
    </w:p>
    <w:p>
      <w:pPr>
        <w:spacing w:line="477" w:lineRule="auto" w:before="0"/>
        <w:ind w:left="153"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、市场竞争风险 </w:t>
      </w:r>
      <w:r>
        <w:rPr>
          <w:spacing w:val="-1"/>
        </w:rPr>
        <w:t>公司所处行业市场存在激烈竞争，竞争者也在依靠产品与服务升级等方式来开拓市场，如果未来公司</w:t>
      </w:r>
    </w:p>
    <w:p>
      <w:pPr>
        <w:spacing w:after="0" w:line="40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53"/>
        <w:jc w:val="both"/>
      </w:pPr>
      <w:r>
        <w:rPr>
          <w:spacing w:val="-1"/>
        </w:rPr>
        <w:t>在研发创新、营销创新、业务创新等方面不能保持领先优势，将面临市场份额下降的风险。为此，公司将</w:t>
      </w:r>
      <w:r>
        <w:rPr>
          <w:spacing w:val="-83"/>
        </w:rPr>
        <w:t> </w:t>
      </w:r>
      <w:r>
        <w:rPr>
          <w:spacing w:val="-83"/>
        </w:rPr>
      </w:r>
      <w:r>
        <w:rPr/>
        <w:t>加强产品和业务的升级创新，加强市场拓展力度以保持市场领先地位。</w:t>
      </w:r>
    </w:p>
    <w:p>
      <w:pPr>
        <w:pStyle w:val="BodyText"/>
        <w:spacing w:line="408" w:lineRule="auto"/>
        <w:ind w:left="573" w:right="0"/>
        <w:jc w:val="left"/>
      </w:pPr>
      <w:r>
        <w:rPr>
          <w:rFonts w:ascii="宋体" w:hAnsi="宋体" w:cs="宋体" w:eastAsia="宋体" w:hint="default"/>
        </w:rPr>
        <w:t>2</w:t>
      </w:r>
      <w:r>
        <w:rPr/>
        <w:t>、管理风险 </w:t>
      </w:r>
      <w:r>
        <w:rPr>
          <w:spacing w:val="-1"/>
        </w:rPr>
        <w:t>随着公司外延并购策略的推进，公司旗下成员数量快速增加，业务规模、人员规模和分布地域不断扩</w:t>
      </w:r>
    </w:p>
    <w:p>
      <w:pPr>
        <w:pStyle w:val="BodyText"/>
        <w:spacing w:line="408" w:lineRule="auto"/>
        <w:ind w:right="153"/>
        <w:jc w:val="both"/>
      </w:pPr>
      <w:r>
        <w:rPr>
          <w:spacing w:val="-1"/>
        </w:rPr>
        <w:t>大，营运管理、财务管理和内部控制等管理风险逐渐增加。为此，公司将加强集团化管控，完善相关监督</w:t>
      </w:r>
      <w:r>
        <w:rPr>
          <w:spacing w:val="-83"/>
        </w:rPr>
        <w:t> </w:t>
      </w:r>
      <w:r>
        <w:rPr>
          <w:spacing w:val="-83"/>
        </w:rPr>
      </w:r>
      <w:r>
        <w:rPr/>
        <w:t>审核机制，降低扩张带来的管理风险。</w:t>
      </w:r>
    </w:p>
    <w:p>
      <w:pPr>
        <w:pStyle w:val="BodyText"/>
        <w:spacing w:line="408" w:lineRule="auto"/>
        <w:ind w:left="573" w:right="0"/>
        <w:jc w:val="left"/>
      </w:pPr>
      <w:r>
        <w:rPr>
          <w:rFonts w:ascii="宋体" w:hAnsi="宋体" w:cs="宋体" w:eastAsia="宋体" w:hint="default"/>
        </w:rPr>
        <w:t>3</w:t>
      </w:r>
      <w:r>
        <w:rPr/>
        <w:t>、产业政策风险 </w:t>
      </w:r>
      <w:r>
        <w:rPr>
          <w:spacing w:val="-1"/>
        </w:rPr>
        <w:t>公司所处产业属于国家战略新兴产业范畴，与国家产业政策相关性较高，如果政府发展感知技术与物</w:t>
      </w:r>
    </w:p>
    <w:p>
      <w:pPr>
        <w:pStyle w:val="BodyText"/>
        <w:spacing w:line="408" w:lineRule="auto"/>
        <w:ind w:right="151"/>
        <w:jc w:val="both"/>
      </w:pPr>
      <w:r>
        <w:rPr>
          <w:spacing w:val="-1"/>
        </w:rPr>
        <w:t>联网、公共事业及加强环保治理的相关政策在执行力度方面弱于预期，将有可能对公司及子公司业务拓展</w:t>
      </w:r>
      <w:r>
        <w:rPr>
          <w:spacing w:val="-81"/>
        </w:rPr>
        <w:t> </w:t>
      </w:r>
      <w:r>
        <w:rPr>
          <w:spacing w:val="-81"/>
        </w:rPr>
      </w:r>
      <w:r>
        <w:rPr>
          <w:spacing w:val="-1"/>
        </w:rPr>
        <w:t>产生影响。为此，公司将紧密跟踪国家政策变化，增强企业自身的竞争力，通过业务创新及资金优势稳固</w:t>
      </w:r>
      <w:r>
        <w:rPr>
          <w:spacing w:val="-86"/>
        </w:rPr>
        <w:t> </w:t>
      </w:r>
      <w:r>
        <w:rPr>
          <w:spacing w:val="-86"/>
        </w:rPr>
      </w:r>
      <w:r>
        <w:rPr/>
        <w:t>并扩大市场份额。</w:t>
      </w:r>
    </w:p>
    <w:p>
      <w:pPr>
        <w:pStyle w:val="BodyText"/>
        <w:spacing w:line="408" w:lineRule="auto"/>
        <w:ind w:left="573" w:right="0"/>
        <w:jc w:val="left"/>
      </w:pPr>
      <w:r>
        <w:rPr>
          <w:rFonts w:ascii="宋体" w:hAnsi="宋体" w:cs="宋体" w:eastAsia="宋体" w:hint="default"/>
        </w:rPr>
        <w:t>4</w:t>
      </w:r>
      <w:r>
        <w:rPr/>
        <w:t>、对外投资风险 </w:t>
      </w:r>
      <w:r>
        <w:rPr>
          <w:spacing w:val="-1"/>
        </w:rPr>
        <w:t>公司为构建完善的产业生态，将会开展常态化的投资并购。在投资并购方案设计时，一般会与交易对</w:t>
      </w:r>
    </w:p>
    <w:p>
      <w:pPr>
        <w:pStyle w:val="BodyText"/>
        <w:spacing w:line="408" w:lineRule="auto"/>
        <w:ind w:right="129"/>
        <w:jc w:val="both"/>
      </w:pPr>
      <w:r>
        <w:rPr>
          <w:spacing w:val="-1"/>
        </w:rPr>
        <w:t>方进行业绩对赌，尽管公司对交易对方对未来发展、盈利预测等进行了合理估计，但是由于标的公司实际</w:t>
      </w:r>
      <w:r>
        <w:rPr>
          <w:spacing w:val="-83"/>
        </w:rPr>
        <w:t> </w:t>
      </w:r>
      <w:r>
        <w:rPr>
          <w:spacing w:val="-83"/>
        </w:rPr>
      </w:r>
      <w:r>
        <w:rPr>
          <w:spacing w:val="-1"/>
        </w:rPr>
        <w:t>盈利情况受行业发展等多种因素影响，可能导致业绩承诺预测数据低于预期。为此，公司在后期整合中将</w:t>
      </w:r>
      <w:r>
        <w:rPr>
          <w:spacing w:val="-83"/>
        </w:rPr>
        <w:t> </w:t>
      </w:r>
      <w:r>
        <w:rPr>
          <w:spacing w:val="-83"/>
        </w:rPr>
      </w:r>
      <w:r>
        <w:rPr/>
        <w:t>紧密关注标的公司发展中所遇到的风险，加强业务协同、财务管控的力度，努力维护上市公司股东权益。</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主要业务回顾" w:id="20"/>
      <w:bookmarkEnd w:id="20"/>
      <w:r>
        <w:rPr>
          <w:b w:val="0"/>
          <w:bCs w:val="0"/>
        </w:rPr>
      </w:r>
      <w:r>
        <w:rPr>
          <w:rFonts w:ascii="宋体" w:hAnsi="宋体" w:cs="宋体" w:eastAsia="宋体" w:hint="default"/>
        </w:rPr>
        <w:t>1</w:t>
      </w:r>
      <w:r>
        <w:rPr/>
        <w:t>、报告期内主要业务回顾</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04" w:firstLine="420"/>
        <w:jc w:val="left"/>
      </w:pPr>
      <w:r>
        <w:rPr>
          <w:rFonts w:ascii="宋体" w:hAnsi="宋体" w:cs="宋体" w:eastAsia="宋体" w:hint="default"/>
          <w:spacing w:val="-3"/>
        </w:rPr>
        <w:t>2014</w:t>
      </w:r>
      <w:r>
        <w:rPr>
          <w:spacing w:val="-3"/>
        </w:rPr>
        <w:t>年是汉威电子发展历史中具有重要意义的一年。报告期内，公司秉持产业与资本轮动发展的理念，</w:t>
      </w:r>
      <w:r>
        <w:rPr/>
        <w:t> 成功实施了发展历程上第一次重大资产重组，产业布局得到快速完善，领先的物联网（</w:t>
      </w:r>
      <w:r>
        <w:rPr>
          <w:rFonts w:ascii="宋体" w:hAnsi="宋体" w:cs="宋体" w:eastAsia="宋体" w:hint="default"/>
        </w:rPr>
        <w:t>IOT</w:t>
      </w:r>
      <w:r>
        <w:rPr/>
        <w:t>）平台构建取</w:t>
      </w:r>
      <w:r>
        <w:rPr>
          <w:spacing w:val="-27"/>
        </w:rPr>
        <w:t> </w:t>
      </w:r>
      <w:r>
        <w:rPr>
          <w:spacing w:val="-27"/>
        </w:rPr>
      </w:r>
      <w:r>
        <w:rPr/>
        <w:t>得了长足的进展。报告期内，公司实现营业收入</w:t>
      </w:r>
      <w:r>
        <w:rPr>
          <w:rFonts w:ascii="宋体" w:hAnsi="宋体" w:cs="宋体" w:eastAsia="宋体" w:hint="default"/>
        </w:rPr>
        <w:t>39,930.68</w:t>
      </w:r>
      <w:r>
        <w:rPr/>
        <w:t>万元，比上年同期增长</w:t>
      </w:r>
      <w:r>
        <w:rPr>
          <w:rFonts w:ascii="宋体" w:hAnsi="宋体" w:cs="宋体" w:eastAsia="宋体" w:hint="default"/>
        </w:rPr>
        <w:t>32.01%</w:t>
      </w:r>
      <w:r>
        <w:rPr/>
        <w:t>；公司实现营业</w:t>
      </w:r>
      <w:r>
        <w:rPr>
          <w:spacing w:val="-27"/>
        </w:rPr>
        <w:t> </w:t>
      </w:r>
      <w:r>
        <w:rPr>
          <w:spacing w:val="-27"/>
        </w:rPr>
      </w:r>
      <w:r>
        <w:rPr/>
        <w:t>利润</w:t>
      </w:r>
      <w:r>
        <w:rPr>
          <w:rFonts w:ascii="宋体" w:hAnsi="宋体" w:cs="宋体" w:eastAsia="宋体" w:hint="default"/>
        </w:rPr>
        <w:t>3,309.08</w:t>
      </w:r>
      <w:r>
        <w:rPr/>
        <w:t>万元，比上年同期增长</w:t>
      </w:r>
      <w:r>
        <w:rPr>
          <w:rFonts w:ascii="宋体" w:hAnsi="宋体" w:cs="宋体" w:eastAsia="宋体" w:hint="default"/>
        </w:rPr>
        <w:t>13.39%</w:t>
      </w:r>
      <w:r>
        <w:rPr/>
        <w:t>；实现利润总额</w:t>
      </w:r>
      <w:r>
        <w:rPr>
          <w:rFonts w:ascii="宋体" w:hAnsi="宋体" w:cs="宋体" w:eastAsia="宋体" w:hint="default"/>
        </w:rPr>
        <w:t>6,645.53</w:t>
      </w:r>
      <w:r>
        <w:rPr/>
        <w:t>万元，比上年同期增长</w:t>
      </w:r>
      <w:r>
        <w:rPr>
          <w:rFonts w:ascii="宋体" w:hAnsi="宋体" w:cs="宋体" w:eastAsia="宋体" w:hint="default"/>
        </w:rPr>
        <w:t>21.40%</w:t>
      </w:r>
      <w:r>
        <w:rPr/>
        <w:t>；实现 归属于上市公司普通股股东的净利润</w:t>
      </w:r>
      <w:r>
        <w:rPr>
          <w:rFonts w:ascii="宋体" w:hAnsi="宋体" w:cs="宋体" w:eastAsia="宋体" w:hint="default"/>
        </w:rPr>
        <w:t>5,734.18</w:t>
      </w:r>
      <w:r>
        <w:rPr/>
        <w:t>万元，比上年同期增长</w:t>
      </w:r>
      <w:r>
        <w:rPr>
          <w:rFonts w:ascii="宋体" w:hAnsi="宋体" w:cs="宋体" w:eastAsia="宋体" w:hint="default"/>
        </w:rPr>
        <w:t>44.18%</w:t>
      </w:r>
      <w:r>
        <w:rPr/>
        <w:t>。</w:t>
      </w:r>
    </w:p>
    <w:p>
      <w:pPr>
        <w:pStyle w:val="BodyText"/>
        <w:spacing w:line="408" w:lineRule="auto"/>
        <w:ind w:left="573" w:right="173"/>
        <w:jc w:val="left"/>
      </w:pPr>
      <w:r>
        <w:rPr/>
        <w:t>报告期内，公司按照年度经营计划狠抓落实，注重成效，主要取得了以下方面成绩： 一、物联网（</w:t>
      </w:r>
      <w:r>
        <w:rPr>
          <w:rFonts w:ascii="宋体" w:hAnsi="宋体" w:cs="宋体" w:eastAsia="宋体" w:hint="default"/>
        </w:rPr>
        <w:t>IOT</w:t>
      </w:r>
      <w:r>
        <w:rPr/>
        <w:t>）平台框架初现 公司以先进感知技术为核心和基础，持续升级传感器、智能仪表、系统平台应用等产品与服务体系，</w:t>
      </w:r>
    </w:p>
    <w:p>
      <w:pPr>
        <w:pStyle w:val="BodyText"/>
        <w:spacing w:line="408" w:lineRule="auto"/>
        <w:ind w:right="210"/>
        <w:jc w:val="both"/>
      </w:pPr>
      <w:r>
        <w:rPr/>
        <w:t>以“产业互联</w:t>
      </w:r>
      <w:r>
        <w:rPr>
          <w:rFonts w:ascii="宋体" w:hAnsi="宋体" w:cs="宋体" w:eastAsia="宋体" w:hint="default"/>
        </w:rPr>
        <w:t>+</w:t>
      </w:r>
      <w:r>
        <w:rPr/>
        <w:t>健康家居”为产业布局思路，以有序的外延并购补全补强产业链条，业务布局涵盖智慧市</w:t>
      </w:r>
      <w:r>
        <w:rPr>
          <w:spacing w:val="-34"/>
        </w:rPr>
        <w:t> </w:t>
      </w:r>
      <w:r>
        <w:rPr>
          <w:spacing w:val="-34"/>
        </w:rPr>
      </w:r>
      <w:r>
        <w:rPr/>
        <w:t>政、工业安全、环保监治、居家健康等四大业务领域，实现了从单纯的电子硬件企业向“1平台</w:t>
      </w:r>
      <w:r>
        <w:rPr>
          <w:rFonts w:ascii="宋体" w:hAnsi="宋体" w:cs="宋体" w:eastAsia="宋体" w:hint="default"/>
        </w:rPr>
        <w:t>+N</w:t>
      </w:r>
      <w:r>
        <w:rPr/>
        <w:t>行业应</w:t>
      </w:r>
      <w:r>
        <w:rPr>
          <w:spacing w:val="-27"/>
        </w:rPr>
        <w:t> </w:t>
      </w:r>
      <w:r>
        <w:rPr>
          <w:spacing w:val="-27"/>
        </w:rPr>
      </w:r>
      <w:r>
        <w:rPr/>
        <w:t>用”平台的跃迁，公司已成功转型为领先的平台型物联网（</w:t>
      </w:r>
      <w:r>
        <w:rPr>
          <w:rFonts w:ascii="宋体" w:hAnsi="宋体" w:cs="宋体" w:eastAsia="宋体" w:hint="default"/>
        </w:rPr>
        <w:t>IOT</w:t>
      </w:r>
      <w:r>
        <w:rPr/>
        <w:t>）解决方案提供商（如下图</w:t>
      </w:r>
      <w:r>
        <w:rPr>
          <w:rFonts w:ascii="宋体" w:hAnsi="宋体" w:cs="宋体" w:eastAsia="宋体" w:hint="default"/>
        </w:rPr>
        <w:t>1</w:t>
      </w:r>
      <w:r>
        <w:rPr/>
        <w:t>）。</w:t>
      </w:r>
    </w:p>
    <w:p>
      <w:pPr>
        <w:spacing w:line="240" w:lineRule="auto" w:before="7"/>
        <w:rPr>
          <w:rFonts w:ascii="宋体" w:hAnsi="宋体" w:cs="宋体" w:eastAsia="宋体" w:hint="default"/>
          <w:sz w:val="2"/>
          <w:szCs w:val="2"/>
        </w:rPr>
      </w:pPr>
    </w:p>
    <w:p>
      <w:pPr>
        <w:spacing w:line="5508" w:lineRule="exact"/>
        <w:ind w:left="939"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4663439" cy="34975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663439" cy="3497579"/>
                    </a:xfrm>
                    <a:prstGeom prst="rect">
                      <a:avLst/>
                    </a:prstGeom>
                  </pic:spPr>
                </pic:pic>
              </a:graphicData>
            </a:graphic>
          </wp:inline>
        </w:drawing>
      </w:r>
      <w:r>
        <w:rPr>
          <w:rFonts w:ascii="宋体" w:hAnsi="宋体" w:cs="宋体" w:eastAsia="宋体" w:hint="default"/>
          <w:position w:val="-109"/>
          <w:sz w:val="20"/>
          <w:szCs w:val="20"/>
        </w:rPr>
      </w:r>
    </w:p>
    <w:p>
      <w:pPr>
        <w:pStyle w:val="BodyText"/>
        <w:spacing w:line="240" w:lineRule="auto" w:before="121"/>
        <w:ind w:left="2464" w:right="104"/>
        <w:jc w:val="left"/>
      </w:pPr>
      <w:r>
        <w:rPr/>
        <w:t>图</w:t>
      </w:r>
      <w:r>
        <w:rPr>
          <w:rFonts w:ascii="宋体" w:hAnsi="宋体" w:cs="宋体" w:eastAsia="宋体" w:hint="default"/>
        </w:rPr>
        <w:t>1</w:t>
      </w:r>
      <w:r>
        <w:rPr>
          <w:rFonts w:ascii="宋体" w:hAnsi="宋体" w:cs="宋体" w:eastAsia="宋体" w:hint="default"/>
          <w:spacing w:val="-3"/>
        </w:rPr>
        <w:t> </w:t>
      </w:r>
      <w:r>
        <w:rPr/>
        <w:t>汉威电子物联网（</w:t>
      </w:r>
      <w:r>
        <w:rPr>
          <w:rFonts w:ascii="宋体" w:hAnsi="宋体" w:cs="宋体" w:eastAsia="宋体" w:hint="default"/>
        </w:rPr>
        <w:t>IOT</w:t>
      </w:r>
      <w:r>
        <w:rPr/>
        <w:t>）产业平台示意图</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573" w:right="104"/>
        <w:jc w:val="left"/>
      </w:pPr>
      <w:r>
        <w:rPr/>
        <w:t>二、内生与外延双翼齐飞</w:t>
      </w:r>
    </w:p>
    <w:p>
      <w:pPr>
        <w:spacing w:line="240" w:lineRule="auto" w:before="10"/>
        <w:rPr>
          <w:rFonts w:ascii="宋体" w:hAnsi="宋体" w:cs="宋体" w:eastAsia="宋体" w:hint="default"/>
          <w:sz w:val="14"/>
          <w:szCs w:val="14"/>
        </w:rPr>
      </w:pPr>
    </w:p>
    <w:p>
      <w:pPr>
        <w:pStyle w:val="BodyText"/>
        <w:spacing w:line="408" w:lineRule="auto" w:before="0"/>
        <w:ind w:left="573" w:right="104"/>
        <w:jc w:val="left"/>
      </w:pPr>
      <w:r>
        <w:rPr/>
        <w:t>（一）内生发力：多维度加强内部管理 </w:t>
      </w:r>
      <w:r>
        <w:rPr>
          <w:spacing w:val="-1"/>
        </w:rPr>
        <w:t>报告期内，公司继续从多维度改善内部管理，为持续发展提供制度保障。一方面，公司加强对各子公</w:t>
      </w:r>
    </w:p>
    <w:p>
      <w:pPr>
        <w:pStyle w:val="BodyText"/>
        <w:spacing w:line="408" w:lineRule="auto"/>
        <w:ind w:right="211"/>
        <w:jc w:val="both"/>
      </w:pPr>
      <w:r>
        <w:rPr>
          <w:spacing w:val="-1"/>
        </w:rPr>
        <w:t>司、各业务单元经营计划的落实情况进行监督、检查和评价，加强对重大项目的监控，完善集团化风险管</w:t>
      </w:r>
      <w:r>
        <w:rPr>
          <w:spacing w:val="-86"/>
        </w:rPr>
        <w:t> </w:t>
      </w:r>
      <w:r>
        <w:rPr>
          <w:spacing w:val="-86"/>
        </w:rPr>
      </w:r>
      <w:r>
        <w:rPr>
          <w:spacing w:val="-1"/>
        </w:rPr>
        <w:t>控体系，将研、产、供、销等各职能部门建立成独立核算单位，形成内部的市场化机制；另一方面，公司</w:t>
      </w:r>
      <w:r>
        <w:rPr>
          <w:spacing w:val="-85"/>
        </w:rPr>
        <w:t> </w:t>
      </w:r>
      <w:r>
        <w:rPr>
          <w:spacing w:val="-85"/>
        </w:rPr>
      </w:r>
      <w:r>
        <w:rPr>
          <w:spacing w:val="-1"/>
        </w:rPr>
        <w:t>根据经营业务的属性和相关度，重构内部组织架构，将研发、营销及相关支撑部门重组为聚焦行业的事业</w:t>
      </w:r>
      <w:r>
        <w:rPr>
          <w:spacing w:val="-83"/>
        </w:rPr>
        <w:t> </w:t>
      </w:r>
      <w:r>
        <w:rPr>
          <w:spacing w:val="-83"/>
        </w:rPr>
      </w:r>
      <w:r>
        <w:rPr/>
        <w:t>群，强化各事业群主体的协同作战能力。经过实践，该模式的运营效果显著。</w:t>
      </w:r>
    </w:p>
    <w:p>
      <w:pPr>
        <w:pStyle w:val="BodyText"/>
        <w:spacing w:line="408" w:lineRule="auto"/>
        <w:ind w:left="573" w:right="104"/>
        <w:jc w:val="left"/>
      </w:pPr>
      <w:r>
        <w:rPr/>
        <w:t>（二）外延扩张：产业生态平台构建进展顺利 </w:t>
      </w:r>
      <w:r>
        <w:rPr>
          <w:spacing w:val="-1"/>
        </w:rPr>
        <w:t>报告期内，公司投资并购工作取得重要进展，旗下成员规模快速壮大：投资苏州能斯达，布局先进的</w:t>
      </w:r>
    </w:p>
    <w:p>
      <w:pPr>
        <w:pStyle w:val="BodyText"/>
        <w:spacing w:line="408" w:lineRule="auto"/>
        <w:ind w:right="104"/>
        <w:jc w:val="left"/>
      </w:pPr>
      <w:r>
        <w:rPr>
          <w:spacing w:val="-3"/>
        </w:rPr>
        <w:t>柔性、微纳、</w:t>
      </w:r>
      <w:r>
        <w:rPr>
          <w:rFonts w:ascii="宋体" w:hAnsi="宋体" w:cs="宋体" w:eastAsia="宋体" w:hint="default"/>
          <w:spacing w:val="-3"/>
        </w:rPr>
        <w:t>MEMS</w:t>
      </w:r>
      <w:r>
        <w:rPr>
          <w:spacing w:val="-3"/>
        </w:rPr>
        <w:t>等传感器领域；投资上海英森，切入工业消防监测市场；全资收购沈阳金建，增强在</w:t>
      </w:r>
      <w:r>
        <w:rPr>
          <w:rFonts w:ascii="宋体" w:hAnsi="宋体" w:cs="宋体" w:eastAsia="宋体" w:hint="default"/>
          <w:spacing w:val="-3"/>
        </w:rPr>
        <w:t>GIS</w:t>
      </w:r>
      <w:r>
        <w:rPr>
          <w:rFonts w:ascii="宋体" w:hAnsi="宋体" w:cs="宋体" w:eastAsia="宋体" w:hint="default"/>
          <w:spacing w:val="-87"/>
        </w:rPr>
        <w:t> </w:t>
      </w:r>
      <w:r>
        <w:rPr/>
        <w:t>与智慧城市领域的领先竞争优势；并购嘉园环保，贯通了气体检测到治理的产业链条，瞄准千亿</w:t>
      </w:r>
      <w:r>
        <w:rPr>
          <w:rFonts w:ascii="宋体" w:hAnsi="宋体" w:cs="宋体" w:eastAsia="宋体" w:hint="default"/>
        </w:rPr>
        <w:t>VOCs</w:t>
      </w:r>
      <w:r>
        <w:rPr/>
        <w:t>治理</w:t>
      </w:r>
      <w:r>
        <w:rPr>
          <w:spacing w:val="-2"/>
        </w:rPr>
        <w:t> </w:t>
      </w:r>
      <w:r>
        <w:rPr>
          <w:spacing w:val="-1"/>
        </w:rPr>
        <w:t>市场；投资鞍山易兴，将</w:t>
      </w:r>
      <w:r>
        <w:rPr>
          <w:rFonts w:ascii="宋体" w:hAnsi="宋体" w:cs="宋体" w:eastAsia="宋体" w:hint="default"/>
          <w:spacing w:val="-1"/>
        </w:rPr>
        <w:t>SCADA</w:t>
      </w:r>
      <w:r>
        <w:rPr>
          <w:spacing w:val="-1"/>
        </w:rPr>
        <w:t>系统与既有智能仪表和云平台完美衔接；合资设立郑州汉威公用事业公司，</w:t>
      </w:r>
      <w:r>
        <w:rPr>
          <w:spacing w:val="-83"/>
        </w:rPr>
        <w:t> </w:t>
      </w:r>
      <w:r>
        <w:rPr>
          <w:spacing w:val="-83"/>
        </w:rPr>
      </w:r>
      <w:r>
        <w:rPr/>
        <w:t>进军智慧水务领域，努力打造新的智慧市政增长引擎；设立北京威果，探索居家健康与消费电子市场。经</w:t>
      </w:r>
      <w:r>
        <w:rPr/>
        <w:t> 过有序的外延扩张，公司的产业生态构建成果显著，上市公司与各子公司之间形成了产业集团军，产业链 条实现了有效的拓展延伸。</w:t>
      </w:r>
    </w:p>
    <w:p>
      <w:pPr>
        <w:pStyle w:val="BodyText"/>
        <w:spacing w:line="408" w:lineRule="auto"/>
        <w:ind w:left="573" w:right="104"/>
        <w:jc w:val="left"/>
      </w:pPr>
      <w:r>
        <w:rPr/>
        <w:t>三、物联网思维驱动研发创新 公司以“物联网（</w:t>
      </w:r>
      <w:r>
        <w:rPr>
          <w:rFonts w:ascii="宋体" w:hAnsi="宋体" w:cs="宋体" w:eastAsia="宋体" w:hint="default"/>
        </w:rPr>
        <w:t>IOT</w:t>
      </w:r>
      <w:r>
        <w:rPr/>
        <w:t>）整体解决方案”的思维开展研发创新，统筹推进感知技术、智能仪表和监控</w:t>
      </w:r>
    </w:p>
    <w:p>
      <w:pPr>
        <w:pStyle w:val="BodyText"/>
        <w:spacing w:line="408" w:lineRule="auto"/>
        <w:ind w:right="212"/>
        <w:jc w:val="both"/>
      </w:pPr>
      <w:r>
        <w:rPr>
          <w:spacing w:val="-1"/>
        </w:rPr>
        <w:t>系统的迭代升级，形成了以先进智能传感器为核心的硬件产品线，以“SCADA+GIS+云平台”为核心的软件</w:t>
      </w:r>
      <w:r>
        <w:rPr>
          <w:spacing w:val="-79"/>
        </w:rPr>
        <w:t> </w:t>
      </w:r>
      <w:r>
        <w:rPr>
          <w:spacing w:val="-79"/>
        </w:rPr>
      </w:r>
      <w:r>
        <w:rPr>
          <w:spacing w:val="-1"/>
        </w:rPr>
        <w:t>产品线，软硬结合，智慧互补，共同构成了市场领先、具有自主核心知识产权的物联网解决方案。公司产</w:t>
      </w:r>
      <w:r>
        <w:rPr>
          <w:spacing w:val="-83"/>
        </w:rPr>
        <w:t> </w:t>
      </w:r>
      <w:r>
        <w:rPr>
          <w:spacing w:val="-83"/>
        </w:rPr>
      </w:r>
      <w:r>
        <w:rPr/>
        <w:t>品与服务研发创新取得新的进展，具体来讲：</w:t>
      </w:r>
    </w:p>
    <w:p>
      <w:pPr>
        <w:pStyle w:val="BodyText"/>
        <w:spacing w:line="408" w:lineRule="auto"/>
        <w:ind w:right="107" w:firstLine="360"/>
        <w:jc w:val="left"/>
      </w:pPr>
      <w:r>
        <w:rPr/>
        <w:pict>
          <v:shape style="position:absolute;margin-left:327.699982pt;margin-top:67.503677pt;width:141.75pt;height:106.149994pt;mso-position-horizontal-relative:page;mso-position-vertical-relative:paragraph;z-index:-910792" type="#_x0000_t75" stroked="false">
            <v:imagedata r:id="rId13" o:title=""/>
          </v:shape>
        </w:pict>
      </w:r>
      <w:r>
        <w:rPr/>
        <w:t>（</w:t>
      </w:r>
      <w:r>
        <w:rPr>
          <w:rFonts w:ascii="宋体" w:hAnsi="宋体" w:cs="宋体" w:eastAsia="宋体" w:hint="default"/>
        </w:rPr>
        <w:t>1</w:t>
      </w:r>
      <w:r>
        <w:rPr/>
        <w:t>）传感器方面：炜盛科技研发了高端“激光</w:t>
      </w:r>
      <w:r>
        <w:rPr>
          <w:rFonts w:ascii="宋体" w:hAnsi="宋体" w:cs="宋体" w:eastAsia="宋体" w:hint="default"/>
        </w:rPr>
        <w:t>PM2.5</w:t>
      </w:r>
      <w:r>
        <w:rPr/>
        <w:t>粉尘传感器”（如图</w:t>
      </w:r>
      <w:r>
        <w:rPr>
          <w:rFonts w:ascii="宋体" w:hAnsi="宋体" w:cs="宋体" w:eastAsia="宋体" w:hint="default"/>
        </w:rPr>
        <w:t>2</w:t>
      </w:r>
      <w:r>
        <w:rPr/>
        <w:t>）、经济型“PM2.5粉尘与 </w:t>
      </w:r>
      <w:r>
        <w:rPr>
          <w:spacing w:val="-3"/>
        </w:rPr>
        <w:t>异味二合一传感器ZPH01”、“甲醛传感器</w:t>
      </w:r>
      <w:r>
        <w:rPr>
          <w:rFonts w:ascii="宋体" w:hAnsi="宋体" w:cs="宋体" w:eastAsia="宋体" w:hint="default"/>
          <w:spacing w:val="-3"/>
        </w:rPr>
        <w:t>ME2-</w:t>
      </w:r>
      <w:r>
        <w:rPr>
          <w:spacing w:val="-3"/>
        </w:rPr>
        <w:t>CH2O”（如图</w:t>
      </w:r>
      <w:r>
        <w:rPr>
          <w:rFonts w:ascii="宋体" w:hAnsi="宋体" w:cs="宋体" w:eastAsia="宋体" w:hint="default"/>
          <w:spacing w:val="-3"/>
        </w:rPr>
        <w:t>3</w:t>
      </w:r>
      <w:r>
        <w:rPr>
          <w:spacing w:val="-3"/>
        </w:rPr>
        <w:t>），具有低功耗、高精度、高灵敏度的特点，</w:t>
      </w:r>
      <w:r>
        <w:rPr>
          <w:spacing w:val="-75"/>
        </w:rPr>
        <w:t> </w:t>
      </w:r>
      <w:r>
        <w:rPr>
          <w:spacing w:val="-75"/>
        </w:rPr>
      </w:r>
      <w:r>
        <w:rPr/>
        <w:t>打破了国外公司的垄断局面。</w:t>
      </w:r>
    </w:p>
    <w:p>
      <w:pPr>
        <w:spacing w:line="2160" w:lineRule="exact"/>
        <w:ind w:left="678"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2161809" cy="13716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2161809" cy="1371600"/>
                    </a:xfrm>
                    <a:prstGeom prst="rect">
                      <a:avLst/>
                    </a:prstGeom>
                  </pic:spPr>
                </pic:pic>
              </a:graphicData>
            </a:graphic>
          </wp:inline>
        </w:drawing>
      </w:r>
      <w:r>
        <w:rPr>
          <w:rFonts w:ascii="宋体" w:hAnsi="宋体" w:cs="宋体" w:eastAsia="宋体" w:hint="default"/>
          <w:position w:val="-42"/>
          <w:sz w:val="20"/>
          <w:szCs w:val="20"/>
        </w:rPr>
      </w:r>
    </w:p>
    <w:p>
      <w:pPr>
        <w:pStyle w:val="BodyText"/>
        <w:tabs>
          <w:tab w:pos="6349" w:val="left" w:leader="none"/>
        </w:tabs>
        <w:spacing w:line="240" w:lineRule="auto" w:before="77"/>
        <w:ind w:left="994" w:right="104"/>
        <w:jc w:val="left"/>
      </w:pPr>
      <w:r>
        <w:rPr/>
        <w:t>图</w:t>
      </w:r>
      <w:r>
        <w:rPr>
          <w:rFonts w:ascii="宋体" w:hAnsi="宋体" w:cs="宋体" w:eastAsia="宋体" w:hint="default"/>
        </w:rPr>
        <w:t>2</w:t>
      </w:r>
      <w:r>
        <w:rPr>
          <w:rFonts w:ascii="宋体" w:hAnsi="宋体" w:cs="宋体" w:eastAsia="宋体" w:hint="default"/>
          <w:spacing w:val="-3"/>
        </w:rPr>
        <w:t> </w:t>
      </w:r>
      <w:r>
        <w:rPr/>
        <w:t>激光</w:t>
      </w:r>
      <w:r>
        <w:rPr>
          <w:rFonts w:ascii="宋体" w:hAnsi="宋体" w:cs="宋体" w:eastAsia="宋体" w:hint="default"/>
        </w:rPr>
        <w:t>PM2.5</w:t>
      </w:r>
      <w:r>
        <w:rPr/>
        <w:t>粉尘传感器</w:t>
        <w:tab/>
        <w:t>图</w:t>
      </w:r>
      <w:r>
        <w:rPr>
          <w:rFonts w:ascii="宋体" w:hAnsi="宋体" w:cs="宋体" w:eastAsia="宋体" w:hint="default"/>
        </w:rPr>
        <w:t>3</w:t>
      </w:r>
      <w:r>
        <w:rPr>
          <w:rFonts w:ascii="宋体" w:hAnsi="宋体" w:cs="宋体" w:eastAsia="宋体" w:hint="default"/>
          <w:spacing w:val="-2"/>
        </w:rPr>
        <w:t> </w:t>
      </w:r>
      <w:r>
        <w:rPr/>
        <w:t>甲醛传感器</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29" w:firstLine="420"/>
        <w:jc w:val="both"/>
      </w:pPr>
      <w:r>
        <w:rPr>
          <w:spacing w:val="-9"/>
        </w:rPr>
        <w:t>（</w:t>
      </w:r>
      <w:r>
        <w:rPr>
          <w:rFonts w:ascii="宋体" w:hAnsi="宋体" w:cs="宋体" w:eastAsia="宋体" w:hint="default"/>
          <w:spacing w:val="-9"/>
        </w:rPr>
        <w:t>2</w:t>
      </w:r>
      <w:r>
        <w:rPr>
          <w:spacing w:val="-9"/>
        </w:rPr>
        <w:t>）居家健康方面：公司在第五届中国国际物联网博览会发布了威果智能家居产品空气电台（如图</w:t>
      </w:r>
      <w:r>
        <w:rPr>
          <w:rFonts w:ascii="宋体" w:hAnsi="宋体" w:cs="宋体" w:eastAsia="宋体" w:hint="default"/>
          <w:spacing w:val="-9"/>
        </w:rPr>
        <w:t>4</w:t>
      </w:r>
      <w:r>
        <w:rPr>
          <w:spacing w:val="-9"/>
        </w:rPr>
        <w:t>），</w:t>
      </w:r>
      <w:r>
        <w:rPr>
          <w:spacing w:val="-84"/>
        </w:rPr>
        <w:t> </w:t>
      </w:r>
      <w:r>
        <w:rPr>
          <w:spacing w:val="-1"/>
        </w:rPr>
        <w:t>产品核心器件气体传感器采用了自主产权的高端激光粉尘传感器、世界上最小的红外二氧化碳传感器等先</w:t>
      </w:r>
      <w:r>
        <w:rPr>
          <w:spacing w:val="-81"/>
        </w:rPr>
        <w:t> </w:t>
      </w:r>
      <w:r>
        <w:rPr>
          <w:spacing w:val="-81"/>
        </w:rPr>
      </w:r>
      <w:r>
        <w:rPr/>
        <w:t>进的气体传感器，融合了先进的无线通讯和移动互联技术，正式进军居家健康领域。</w:t>
      </w:r>
    </w:p>
    <w:p>
      <w:pPr>
        <w:spacing w:line="240" w:lineRule="auto" w:before="4"/>
        <w:rPr>
          <w:rFonts w:ascii="宋体" w:hAnsi="宋体" w:cs="宋体" w:eastAsia="宋体" w:hint="default"/>
          <w:sz w:val="7"/>
          <w:szCs w:val="7"/>
        </w:rPr>
      </w:pPr>
    </w:p>
    <w:p>
      <w:pPr>
        <w:spacing w:line="2595" w:lineRule="exact"/>
        <w:ind w:left="1568"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324599" cy="164792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4324599" cy="1647920"/>
                    </a:xfrm>
                    <a:prstGeom prst="rect">
                      <a:avLst/>
                    </a:prstGeom>
                  </pic:spPr>
                </pic:pic>
              </a:graphicData>
            </a:graphic>
          </wp:inline>
        </w:drawing>
      </w:r>
      <w:r>
        <w:rPr>
          <w:rFonts w:ascii="宋体" w:hAnsi="宋体" w:cs="宋体" w:eastAsia="宋体" w:hint="default"/>
          <w:position w:val="-51"/>
          <w:sz w:val="20"/>
          <w:szCs w:val="20"/>
        </w:rPr>
      </w:r>
    </w:p>
    <w:p>
      <w:pPr>
        <w:pStyle w:val="BodyText"/>
        <w:spacing w:line="240" w:lineRule="auto" w:before="163"/>
        <w:ind w:left="2784" w:right="2363"/>
        <w:jc w:val="center"/>
      </w:pPr>
      <w:r>
        <w:rPr/>
        <w:t>图</w:t>
      </w:r>
      <w:r>
        <w:rPr>
          <w:rFonts w:ascii="宋体" w:hAnsi="宋体" w:cs="宋体" w:eastAsia="宋体" w:hint="default"/>
        </w:rPr>
        <w:t>4</w:t>
      </w:r>
      <w:r>
        <w:rPr>
          <w:rFonts w:ascii="宋体" w:hAnsi="宋体" w:cs="宋体" w:eastAsia="宋体" w:hint="default"/>
          <w:spacing w:val="-1"/>
        </w:rPr>
        <w:t> </w:t>
      </w:r>
      <w:r>
        <w:rPr/>
        <w:t>空气电台系列</w:t>
      </w:r>
    </w:p>
    <w:p>
      <w:pPr>
        <w:spacing w:line="240" w:lineRule="auto" w:before="10"/>
        <w:rPr>
          <w:rFonts w:ascii="宋体" w:hAnsi="宋体" w:cs="宋体" w:eastAsia="宋体" w:hint="default"/>
          <w:sz w:val="14"/>
          <w:szCs w:val="14"/>
        </w:rPr>
      </w:pPr>
    </w:p>
    <w:p>
      <w:pPr>
        <w:pStyle w:val="BodyText"/>
        <w:spacing w:line="408" w:lineRule="auto" w:before="0"/>
        <w:ind w:right="130" w:firstLine="420"/>
        <w:jc w:val="both"/>
      </w:pPr>
      <w:r>
        <w:rPr>
          <w:spacing w:val="-1"/>
        </w:rPr>
        <w:t>（</w:t>
      </w:r>
      <w:r>
        <w:rPr>
          <w:rFonts w:ascii="宋体" w:hAnsi="宋体" w:cs="宋体" w:eastAsia="宋体" w:hint="default"/>
          <w:spacing w:val="-1"/>
        </w:rPr>
        <w:t>3</w:t>
      </w:r>
      <w:r>
        <w:rPr>
          <w:spacing w:val="-1"/>
        </w:rPr>
        <w:t>）整体解决方案方面：智慧燃气</w:t>
      </w:r>
      <w:r>
        <w:rPr>
          <w:rFonts w:ascii="宋体" w:hAnsi="宋体" w:cs="宋体" w:eastAsia="宋体" w:hint="default"/>
          <w:spacing w:val="-1"/>
        </w:rPr>
        <w:t>PWK</w:t>
      </w:r>
      <w:r>
        <w:rPr>
          <w:spacing w:val="-1"/>
        </w:rPr>
        <w:t>全国服务平台（如图</w:t>
      </w:r>
      <w:r>
        <w:rPr>
          <w:rFonts w:ascii="宋体" w:hAnsi="宋体" w:cs="宋体" w:eastAsia="宋体" w:hint="default"/>
          <w:spacing w:val="-1"/>
        </w:rPr>
        <w:t>5</w:t>
      </w:r>
      <w:r>
        <w:rPr>
          <w:spacing w:val="-1"/>
        </w:rPr>
        <w:t>）取得重大突破，可以看到</w:t>
      </w:r>
      <w:r>
        <w:rPr>
          <w:rFonts w:ascii="宋体" w:hAnsi="宋体" w:cs="宋体" w:eastAsia="宋体" w:hint="default"/>
          <w:spacing w:val="-1"/>
        </w:rPr>
        <w:t>GIS</w:t>
      </w:r>
      <w:r>
        <w:rPr>
          <w:spacing w:val="-1"/>
        </w:rPr>
        <w:t>平台上覆</w:t>
      </w:r>
      <w:r>
        <w:rPr/>
        <w:t> </w:t>
      </w:r>
      <w:r>
        <w:rPr>
          <w:spacing w:val="-1"/>
        </w:rPr>
        <w:t>盖项目所有监测信息，随时查看监测探点是否需要维护等，系统解决方案的领先优势显著；燃气巡检领域</w:t>
      </w:r>
      <w:r>
        <w:rPr>
          <w:spacing w:val="-83"/>
        </w:rPr>
        <w:t> </w:t>
      </w:r>
      <w:r>
        <w:rPr>
          <w:spacing w:val="-83"/>
        </w:rPr>
      </w:r>
      <w:r>
        <w:rPr/>
        <w:t>另一重磅产品为“车载激光甲烷巡检仪”（如图</w:t>
      </w:r>
      <w:r>
        <w:rPr>
          <w:rFonts w:ascii="宋体" w:hAnsi="宋体" w:cs="宋体" w:eastAsia="宋体" w:hint="default"/>
        </w:rPr>
        <w:t>6</w:t>
      </w:r>
      <w:r>
        <w:rPr/>
        <w:t>），产品由前置泵吸巡检仪、顶置遥测仪、车内控制器</w:t>
      </w:r>
      <w:r>
        <w:rPr>
          <w:spacing w:val="-31"/>
        </w:rPr>
        <w:t> </w:t>
      </w:r>
      <w:r>
        <w:rPr>
          <w:spacing w:val="-31"/>
        </w:rPr>
      </w:r>
      <w:r>
        <w:rPr/>
        <w:t>和远程监控中心构成，前置泵吸巡检仪和顶置遥测仪均是采用激光光谱分析原理，内置了多次反射腔体， </w:t>
      </w:r>
      <w:r>
        <w:rPr>
          <w:spacing w:val="-1"/>
        </w:rPr>
        <w:t>有效增加了测量光程，灵敏度达到了</w:t>
      </w:r>
      <w:r>
        <w:rPr>
          <w:rFonts w:ascii="宋体" w:hAnsi="宋体" w:cs="宋体" w:eastAsia="宋体" w:hint="default"/>
          <w:spacing w:val="-1"/>
        </w:rPr>
        <w:t>0.1ppm</w:t>
      </w:r>
      <w:r>
        <w:rPr>
          <w:spacing w:val="-1"/>
        </w:rPr>
        <w:t>，能够高速准确地检测道路燃气管网的泄漏情况，顶置遥测仪</w:t>
      </w:r>
      <w:r>
        <w:rPr>
          <w:spacing w:val="-80"/>
        </w:rPr>
        <w:t> </w:t>
      </w:r>
      <w:r>
        <w:rPr>
          <w:spacing w:val="-80"/>
        </w:rPr>
      </w:r>
      <w:r>
        <w:rPr>
          <w:spacing w:val="-1"/>
        </w:rPr>
        <w:t>采用光学遥测法，可快速检测道路两旁</w:t>
      </w:r>
      <w:r>
        <w:rPr>
          <w:rFonts w:ascii="宋体" w:hAnsi="宋体" w:cs="宋体" w:eastAsia="宋体" w:hint="default"/>
          <w:spacing w:val="-1"/>
        </w:rPr>
        <w:t>30</w:t>
      </w:r>
      <w:r>
        <w:rPr>
          <w:spacing w:val="-1"/>
        </w:rPr>
        <w:t>米内人员无法到达的地方，车内控制器可以显示检测画面和浓度</w:t>
      </w:r>
      <w:r>
        <w:rPr>
          <w:spacing w:val="-81"/>
        </w:rPr>
        <w:t> </w:t>
      </w:r>
      <w:r>
        <w:rPr>
          <w:spacing w:val="-81"/>
        </w:rPr>
      </w:r>
      <w:r>
        <w:rPr/>
        <w:t>信息，结合</w:t>
      </w:r>
      <w:r>
        <w:rPr>
          <w:rFonts w:ascii="宋体" w:hAnsi="宋体" w:cs="宋体" w:eastAsia="宋体" w:hint="default"/>
        </w:rPr>
        <w:t>GPS</w:t>
      </w:r>
      <w:r>
        <w:rPr/>
        <w:t>技术可实现漏点定位，同时把巡检信息上传至远程监控中心。</w:t>
      </w:r>
    </w:p>
    <w:p>
      <w:pPr>
        <w:spacing w:line="240" w:lineRule="auto" w:before="0"/>
        <w:rPr>
          <w:rFonts w:ascii="宋体" w:hAnsi="宋体" w:cs="宋体" w:eastAsia="宋体" w:hint="default"/>
          <w:sz w:val="3"/>
          <w:szCs w:val="3"/>
        </w:rPr>
      </w:pPr>
    </w:p>
    <w:p>
      <w:pPr>
        <w:tabs>
          <w:tab w:pos="5648" w:val="left" w:leader="none"/>
        </w:tabs>
        <w:spacing w:line="2620" w:lineRule="exact"/>
        <w:ind w:left="579" w:right="0" w:firstLine="0"/>
        <w:rPr>
          <w:rFonts w:ascii="宋体" w:hAnsi="宋体" w:cs="宋体" w:eastAsia="宋体" w:hint="default"/>
          <w:sz w:val="20"/>
          <w:szCs w:val="20"/>
        </w:rPr>
      </w:pPr>
      <w:r>
        <w:rPr>
          <w:rFonts w:ascii="宋体"/>
          <w:position w:val="-43"/>
          <w:sz w:val="20"/>
        </w:rPr>
        <w:drawing>
          <wp:inline distT="0" distB="0" distL="0" distR="0">
            <wp:extent cx="2729224" cy="1436941"/>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2729224" cy="1436941"/>
                    </a:xfrm>
                    <a:prstGeom prst="rect">
                      <a:avLst/>
                    </a:prstGeom>
                  </pic:spPr>
                </pic:pic>
              </a:graphicData>
            </a:graphic>
          </wp:inline>
        </w:drawing>
      </w:r>
      <w:r>
        <w:rPr>
          <w:rFonts w:ascii="宋体"/>
          <w:position w:val="-43"/>
          <w:sz w:val="20"/>
        </w:rPr>
      </w:r>
      <w:r>
        <w:rPr>
          <w:rFonts w:ascii="宋体"/>
          <w:position w:val="-43"/>
          <w:sz w:val="20"/>
        </w:rPr>
        <w:tab/>
      </w:r>
      <w:r>
        <w:rPr>
          <w:rFonts w:ascii="宋体"/>
          <w:position w:val="-51"/>
          <w:sz w:val="20"/>
        </w:rPr>
        <w:drawing>
          <wp:inline distT="0" distB="0" distL="0" distR="0">
            <wp:extent cx="2158715" cy="1664208"/>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7" cstate="print"/>
                    <a:stretch>
                      <a:fillRect/>
                    </a:stretch>
                  </pic:blipFill>
                  <pic:spPr>
                    <a:xfrm>
                      <a:off x="0" y="0"/>
                      <a:ext cx="2158715" cy="1664208"/>
                    </a:xfrm>
                    <a:prstGeom prst="rect">
                      <a:avLst/>
                    </a:prstGeom>
                  </pic:spPr>
                </pic:pic>
              </a:graphicData>
            </a:graphic>
          </wp:inline>
        </w:drawing>
      </w:r>
      <w:r>
        <w:rPr>
          <w:rFonts w:ascii="宋体"/>
          <w:position w:val="-51"/>
          <w:sz w:val="20"/>
        </w:rPr>
      </w:r>
    </w:p>
    <w:p>
      <w:pPr>
        <w:pStyle w:val="BodyText"/>
        <w:tabs>
          <w:tab w:pos="6033" w:val="left" w:leader="none"/>
        </w:tabs>
        <w:spacing w:line="408" w:lineRule="auto" w:before="96"/>
        <w:ind w:left="573" w:right="150" w:firstLine="1260"/>
        <w:jc w:val="left"/>
      </w:pPr>
      <w:r>
        <w:rPr/>
        <w:t>图</w:t>
      </w:r>
      <w:r>
        <w:rPr>
          <w:rFonts w:ascii="宋体" w:hAnsi="宋体" w:cs="宋体" w:eastAsia="宋体" w:hint="default"/>
        </w:rPr>
        <w:t>5</w:t>
      </w:r>
      <w:r>
        <w:rPr>
          <w:rFonts w:ascii="宋体" w:hAnsi="宋体" w:cs="宋体" w:eastAsia="宋体" w:hint="default"/>
          <w:spacing w:val="-2"/>
        </w:rPr>
        <w:t> </w:t>
      </w:r>
      <w:r>
        <w:rPr>
          <w:rFonts w:ascii="宋体" w:hAnsi="宋体" w:cs="宋体" w:eastAsia="宋体" w:hint="default"/>
        </w:rPr>
        <w:t>PWK</w:t>
      </w:r>
      <w:r>
        <w:rPr/>
        <w:t>工作平台示意图</w:t>
        <w:tab/>
        <w:t>图</w:t>
      </w:r>
      <w:r>
        <w:rPr>
          <w:rFonts w:ascii="宋体" w:hAnsi="宋体" w:cs="宋体" w:eastAsia="宋体" w:hint="default"/>
        </w:rPr>
        <w:t>6</w:t>
      </w:r>
      <w:r>
        <w:rPr>
          <w:rFonts w:ascii="宋体" w:hAnsi="宋体" w:cs="宋体" w:eastAsia="宋体" w:hint="default"/>
          <w:spacing w:val="-2"/>
        </w:rPr>
        <w:t> </w:t>
      </w:r>
      <w:r>
        <w:rPr/>
        <w:t>车载激光甲烷巡检仪” 四、业务布局多点开花 </w:t>
      </w:r>
      <w:r>
        <w:rPr>
          <w:spacing w:val="-1"/>
        </w:rPr>
        <w:t>公司以核心感知技术为基础，叠加信息通讯和互联网云平台，逐步形成了“智慧市政</w:t>
      </w:r>
      <w:r>
        <w:rPr>
          <w:rFonts w:ascii="宋体" w:hAnsi="宋体" w:cs="宋体" w:eastAsia="宋体" w:hint="default"/>
          <w:spacing w:val="-1"/>
        </w:rPr>
        <w:t>+</w:t>
      </w:r>
      <w:r>
        <w:rPr>
          <w:spacing w:val="-1"/>
        </w:rPr>
        <w:t>工业安全</w:t>
      </w:r>
      <w:r>
        <w:rPr>
          <w:rFonts w:ascii="宋体" w:hAnsi="宋体" w:cs="宋体" w:eastAsia="宋体" w:hint="default"/>
          <w:spacing w:val="-1"/>
        </w:rPr>
        <w:t>+</w:t>
      </w:r>
      <w:r>
        <w:rPr>
          <w:spacing w:val="-1"/>
        </w:rPr>
        <w:t>环境</w:t>
      </w:r>
    </w:p>
    <w:p>
      <w:pPr>
        <w:pStyle w:val="BodyText"/>
        <w:spacing w:line="240" w:lineRule="auto"/>
        <w:ind w:left="154" w:right="0"/>
        <w:jc w:val="left"/>
      </w:pPr>
      <w:r>
        <w:rPr/>
        <w:t>监治</w:t>
      </w:r>
      <w:r>
        <w:rPr>
          <w:rFonts w:ascii="宋体" w:hAnsi="宋体" w:cs="宋体" w:eastAsia="宋体" w:hint="default"/>
        </w:rPr>
        <w:t>+</w:t>
      </w:r>
      <w:r>
        <w:rPr/>
        <w:t>健康家居”四大业务领域，每个领域都属于战略新兴产业，市场空间巨大。</w:t>
      </w:r>
    </w:p>
    <w:p>
      <w:pPr>
        <w:spacing w:line="240" w:lineRule="auto" w:before="10"/>
        <w:rPr>
          <w:rFonts w:ascii="宋体" w:hAnsi="宋体" w:cs="宋体" w:eastAsia="宋体" w:hint="default"/>
          <w:sz w:val="14"/>
          <w:szCs w:val="14"/>
        </w:rPr>
      </w:pPr>
    </w:p>
    <w:p>
      <w:pPr>
        <w:pStyle w:val="BodyText"/>
        <w:spacing w:line="408" w:lineRule="auto" w:before="0"/>
        <w:ind w:left="154" w:right="152" w:firstLine="420"/>
        <w:jc w:val="both"/>
      </w:pPr>
      <w:r>
        <w:rPr>
          <w:spacing w:val="-1"/>
        </w:rPr>
        <w:t>（一）智慧市政。智慧市政是公司的重点业务布局之一，以沈阳金建、鞍山易兴等智慧城市事业群为</w:t>
      </w:r>
      <w:r>
        <w:rPr/>
        <w:t> 开拓主体，依托“监测终端</w:t>
      </w:r>
      <w:r>
        <w:rPr>
          <w:rFonts w:ascii="宋体" w:hAnsi="宋体" w:cs="宋体" w:eastAsia="宋体" w:hint="default"/>
        </w:rPr>
        <w:t>+</w:t>
      </w:r>
      <w:r>
        <w:rPr>
          <w:rFonts w:ascii="宋体" w:hAnsi="宋体" w:cs="宋体" w:eastAsia="宋体" w:hint="default"/>
          <w:spacing w:val="-24"/>
        </w:rPr>
        <w:t> </w:t>
      </w:r>
      <w:r>
        <w:rPr>
          <w:rFonts w:ascii="宋体" w:hAnsi="宋体" w:cs="宋体" w:eastAsia="宋体" w:hint="default"/>
        </w:rPr>
        <w:t>SCADA+GIS+</w:t>
      </w:r>
      <w:r>
        <w:rPr/>
        <w:t>云平台”的整体解决方案，聚焦城市专业管理、燃气、供水、排 </w:t>
      </w:r>
      <w:r>
        <w:rPr>
          <w:spacing w:val="-1"/>
        </w:rPr>
        <w:t>水、供暖、交通、安全等城市管理领域。智慧燃气已经成为公司在智慧市政领域的明星业务，未来要将在</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154" w:right="104"/>
        <w:jc w:val="left"/>
      </w:pPr>
      <w:r>
        <w:rPr>
          <w:spacing w:val="-1"/>
        </w:rPr>
        <w:t>燃气的成功经验复制到其他市政领域。</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月，公司已经通过</w:t>
      </w:r>
      <w:r>
        <w:rPr>
          <w:rFonts w:ascii="宋体" w:hAnsi="宋体" w:cs="宋体" w:eastAsia="宋体" w:hint="default"/>
          <w:spacing w:val="-1"/>
        </w:rPr>
        <w:t>PPP</w:t>
      </w:r>
      <w:r>
        <w:rPr>
          <w:spacing w:val="-1"/>
        </w:rPr>
        <w:t>模式合资设立郑州公用事业公司切入</w:t>
      </w:r>
      <w:r>
        <w:rPr>
          <w:spacing w:val="-81"/>
        </w:rPr>
        <w:t> </w:t>
      </w:r>
      <w:r>
        <w:rPr>
          <w:spacing w:val="-81"/>
        </w:rPr>
      </w:r>
      <w:r>
        <w:rPr/>
        <w:t>智慧水务领域，打造新的智慧水务标杆，创造新的业务增长引擎。</w:t>
      </w:r>
    </w:p>
    <w:p>
      <w:pPr>
        <w:pStyle w:val="BodyText"/>
        <w:spacing w:line="408" w:lineRule="auto"/>
        <w:ind w:left="154" w:right="211" w:firstLine="420"/>
        <w:jc w:val="both"/>
      </w:pPr>
      <w:r>
        <w:rPr>
          <w:spacing w:val="-1"/>
        </w:rPr>
        <w:t>（二）工业安全。随着新《安全法》及其他安全法规的实施，预计我国未来每年工业安全监控领域增</w:t>
      </w:r>
      <w:r>
        <w:rPr/>
        <w:t> 速将超</w:t>
      </w:r>
      <w:r>
        <w:rPr>
          <w:rFonts w:ascii="宋体" w:hAnsi="宋体" w:cs="宋体" w:eastAsia="宋体" w:hint="default"/>
        </w:rPr>
        <w:t>20%</w:t>
      </w:r>
      <w:r>
        <w:rPr/>
        <w:t>以上，市场空间广阔。公司的工业安全产品与服务已经广泛应用在化工、冶金、石油、煤化、</w:t>
      </w:r>
      <w:r>
        <w:rPr>
          <w:spacing w:val="-36"/>
        </w:rPr>
        <w:t> </w:t>
      </w:r>
      <w:r>
        <w:rPr>
          <w:spacing w:val="-36"/>
        </w:rPr>
      </w:r>
      <w:r>
        <w:rPr>
          <w:spacing w:val="-1"/>
        </w:rPr>
        <w:t>食品、制药等行业，主要以增值服务、系统集成、整体安全解决方案和健康管理等维度切入，通过平台为</w:t>
      </w:r>
      <w:r>
        <w:rPr>
          <w:spacing w:val="-83"/>
        </w:rPr>
        <w:t> </w:t>
      </w:r>
      <w:r>
        <w:rPr>
          <w:spacing w:val="-83"/>
        </w:rPr>
      </w:r>
      <w:r>
        <w:rPr>
          <w:spacing w:val="-1"/>
        </w:rPr>
        <w:t>客户提供服务。公司独有的安全服务云平台可以检测到全国覆盖的项目，并随时检查监测探点是否需要更</w:t>
      </w:r>
      <w:r>
        <w:rPr>
          <w:spacing w:val="-81"/>
        </w:rPr>
        <w:t> </w:t>
      </w:r>
      <w:r>
        <w:rPr>
          <w:spacing w:val="-81"/>
        </w:rPr>
      </w:r>
      <w:r>
        <w:rPr/>
        <w:t>新、替换，管理和服务成本低，效率高，竞争优势非常明显。</w:t>
      </w:r>
    </w:p>
    <w:p>
      <w:pPr>
        <w:pStyle w:val="BodyText"/>
        <w:spacing w:line="408" w:lineRule="auto"/>
        <w:ind w:left="154" w:right="210" w:firstLine="420"/>
        <w:jc w:val="both"/>
      </w:pPr>
      <w:r>
        <w:rPr>
          <w:spacing w:val="-1"/>
        </w:rPr>
        <w:t>（三）环保监治。公司在</w:t>
      </w:r>
      <w:r>
        <w:rPr>
          <w:rFonts w:ascii="宋体" w:hAnsi="宋体" w:cs="宋体" w:eastAsia="宋体" w:hint="default"/>
          <w:spacing w:val="-1"/>
        </w:rPr>
        <w:t>VOCs</w:t>
      </w:r>
      <w:r>
        <w:rPr>
          <w:spacing w:val="-1"/>
        </w:rPr>
        <w:t>气体前端检测领域拥有强大的客户基础和技术经验，而嘉园环保是国内</w:t>
      </w:r>
      <w:r>
        <w:rPr/>
        <w:t> </w:t>
      </w:r>
      <w:r>
        <w:rPr>
          <w:spacing w:val="-1"/>
        </w:rPr>
        <w:t>领先的废气、废水治理专家，是国内为数不多的拥有综合环保资质的企业之一，能够为客户提供多种解决</w:t>
      </w:r>
      <w:r>
        <w:rPr>
          <w:spacing w:val="-83"/>
        </w:rPr>
        <w:t> </w:t>
      </w:r>
      <w:r>
        <w:rPr>
          <w:spacing w:val="-83"/>
        </w:rPr>
      </w:r>
      <w:r>
        <w:rPr>
          <w:spacing w:val="-1"/>
        </w:rPr>
        <w:t>方案，两者合作贯通了从前端检测到后端治理的产业链，业务呈现较强的协同效应。未来</w:t>
      </w:r>
      <w:r>
        <w:rPr>
          <w:rFonts w:ascii="宋体" w:hAnsi="宋体" w:cs="宋体" w:eastAsia="宋体" w:hint="default"/>
          <w:spacing w:val="-1"/>
        </w:rPr>
        <w:t>VOCs</w:t>
      </w:r>
      <w:r>
        <w:rPr>
          <w:spacing w:val="-1"/>
        </w:rPr>
        <w:t>监测治理政</w:t>
      </w:r>
      <w:r>
        <w:rPr>
          <w:spacing w:val="-80"/>
        </w:rPr>
        <w:t> </w:t>
      </w:r>
      <w:r>
        <w:rPr/>
        <w:t>策将步入密集发布期，市场空间巨大，公司将努力把握正在到来的环保治理市场契机。</w:t>
      </w:r>
    </w:p>
    <w:p>
      <w:pPr>
        <w:pStyle w:val="BodyText"/>
        <w:spacing w:line="408" w:lineRule="auto"/>
        <w:ind w:left="154" w:right="91" w:firstLine="420"/>
        <w:jc w:val="left"/>
      </w:pPr>
      <w:r>
        <w:rPr/>
        <w:t>（四）居家健康。居家健康是公司布局的前瞻性业务领域，已经于“第五届中国国际物联网博览会” 上发布了第一代威果智能家居系列产品—“空气电台”，能够同时监测</w:t>
      </w:r>
      <w:r>
        <w:rPr>
          <w:rFonts w:ascii="宋体" w:hAnsi="宋体" w:cs="宋体" w:eastAsia="宋体" w:hint="default"/>
        </w:rPr>
        <w:t>PM 2.5</w:t>
      </w:r>
      <w:r>
        <w:rPr>
          <w:rFonts w:ascii="宋体" w:hAnsi="宋体" w:cs="宋体" w:eastAsia="宋体" w:hint="default"/>
          <w:spacing w:val="-24"/>
        </w:rPr>
        <w:t> </w:t>
      </w:r>
      <w:r>
        <w:rPr/>
        <w:t>、甲醛、</w:t>
      </w:r>
      <w:r>
        <w:rPr>
          <w:rFonts w:ascii="宋体" w:hAnsi="宋体" w:cs="宋体" w:eastAsia="宋体" w:hint="default"/>
        </w:rPr>
        <w:t>VOCs</w:t>
      </w:r>
      <w:r>
        <w:rPr/>
        <w:t>、二氧化碳、 温湿度等指标，可以利用家庭</w:t>
      </w:r>
      <w:r>
        <w:rPr>
          <w:rFonts w:ascii="宋体" w:hAnsi="宋体" w:cs="宋体" w:eastAsia="宋体" w:hint="default"/>
        </w:rPr>
        <w:t>Wifi</w:t>
      </w:r>
      <w:r>
        <w:rPr/>
        <w:t>实时传输数据给</w:t>
      </w:r>
      <w:r>
        <w:rPr>
          <w:rFonts w:ascii="宋体" w:hAnsi="宋体" w:cs="宋体" w:eastAsia="宋体" w:hint="default"/>
        </w:rPr>
        <w:t>APP</w:t>
      </w:r>
      <w:r>
        <w:rPr>
          <w:rFonts w:ascii="宋体" w:hAnsi="宋体" w:cs="宋体" w:eastAsia="宋体" w:hint="default"/>
          <w:spacing w:val="-13"/>
        </w:rPr>
        <w:t> </w:t>
      </w:r>
      <w:r>
        <w:rPr/>
        <w:t>及进行报警，目前已实现小批量供货。另外，公司 与苏州能斯达、浙江风向标科技有限公司、河南开云信息技术有限公司、德煦智能科技（上海）有限公司 开展股权资本合作，结合公司物联网云平台优势，探索</w:t>
      </w:r>
      <w:r>
        <w:rPr>
          <w:rFonts w:ascii="宋体" w:hAnsi="宋体" w:cs="宋体" w:eastAsia="宋体" w:hint="default"/>
        </w:rPr>
        <w:t>B2C</w:t>
      </w:r>
      <w:r>
        <w:rPr/>
        <w:t>业务模式，打造更加完善的智能家居设备、数</w:t>
      </w:r>
      <w:r>
        <w:rPr>
          <w:spacing w:val="-33"/>
        </w:rPr>
        <w:t> </w:t>
      </w:r>
      <w:r>
        <w:rPr>
          <w:spacing w:val="-33"/>
        </w:rPr>
      </w:r>
      <w:r>
        <w:rPr/>
        <w:t>据分析和方案服务。</w:t>
      </w:r>
    </w:p>
    <w:p>
      <w:pPr>
        <w:pStyle w:val="BodyText"/>
        <w:spacing w:line="408" w:lineRule="auto"/>
        <w:ind w:right="211" w:firstLine="420"/>
        <w:jc w:val="both"/>
      </w:pPr>
      <w:r>
        <w:rPr>
          <w:spacing w:val="-1"/>
        </w:rPr>
        <w:t>经过</w:t>
      </w:r>
      <w:r>
        <w:rPr>
          <w:rFonts w:ascii="宋体" w:hAnsi="宋体" w:cs="宋体" w:eastAsia="宋体" w:hint="default"/>
          <w:spacing w:val="-1"/>
        </w:rPr>
        <w:t>2014</w:t>
      </w:r>
      <w:r>
        <w:rPr>
          <w:spacing w:val="-1"/>
        </w:rPr>
        <w:t>年的锐意拓展，汉威电子已经成功开启新的发展局面，产品与服务的智慧程度显著提升，物</w:t>
      </w:r>
      <w:r>
        <w:rPr/>
        <w:t> </w:t>
      </w:r>
      <w:r>
        <w:rPr>
          <w:spacing w:val="-1"/>
        </w:rPr>
        <w:t>联网（</w:t>
      </w:r>
      <w:r>
        <w:rPr>
          <w:rFonts w:ascii="宋体" w:hAnsi="宋体" w:cs="宋体" w:eastAsia="宋体" w:hint="default"/>
          <w:spacing w:val="-1"/>
        </w:rPr>
        <w:t>IOT</w:t>
      </w:r>
      <w:r>
        <w:rPr>
          <w:spacing w:val="-1"/>
        </w:rPr>
        <w:t>）平台的优势逐渐发力。未来，公司将继续围绕成为领先的物联网（</w:t>
      </w:r>
      <w:r>
        <w:rPr>
          <w:rFonts w:ascii="宋体" w:hAnsi="宋体" w:cs="宋体" w:eastAsia="宋体" w:hint="default"/>
          <w:spacing w:val="-1"/>
        </w:rPr>
        <w:t>IOT</w:t>
      </w:r>
      <w:r>
        <w:rPr>
          <w:spacing w:val="-1"/>
        </w:rPr>
        <w:t>）解决方案提供商、服</w:t>
      </w:r>
      <w:r>
        <w:rPr>
          <w:spacing w:val="-85"/>
        </w:rPr>
        <w:t> </w:t>
      </w:r>
      <w:r>
        <w:rPr>
          <w:spacing w:val="-85"/>
        </w:rPr>
      </w:r>
      <w:r>
        <w:rPr/>
        <w:t>务商的战略目标，完善产业布局，把握正在到来的宏壮的产业互联升级浪潮。</w:t>
      </w:r>
    </w:p>
    <w:p>
      <w:pPr>
        <w:pStyle w:val="Heading3"/>
        <w:spacing w:line="240" w:lineRule="auto" w:before="88"/>
        <w:ind w:right="104"/>
        <w:jc w:val="left"/>
        <w:rPr>
          <w:b w:val="0"/>
          <w:bCs w:val="0"/>
        </w:rPr>
      </w:pPr>
      <w:bookmarkStart w:name="2、报告期内主要经营情况" w:id="21"/>
      <w:bookmarkEnd w:id="21"/>
      <w:r>
        <w:rPr>
          <w:b w:val="0"/>
          <w:bCs w:val="0"/>
        </w:rPr>
      </w:r>
      <w:r>
        <w:rPr>
          <w:rFonts w:ascii="宋体" w:hAnsi="宋体" w:cs="宋体" w:eastAsia="宋体" w:hint="default"/>
        </w:rPr>
        <w:t>2</w:t>
      </w:r>
      <w:r>
        <w:rPr/>
        <w:t>、报告期内主要经营情况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04"/>
        <w:jc w:val="left"/>
        <w:rPr>
          <w:b w:val="0"/>
          <w:bCs w:val="0"/>
        </w:rPr>
      </w:pPr>
      <w:bookmarkStart w:name="（1）主营业务分析" w:id="22"/>
      <w:bookmarkEnd w:id="22"/>
      <w:r>
        <w:rPr>
          <w:b w:val="0"/>
          <w:bCs w:val="0"/>
        </w:rPr>
      </w:r>
      <w:r>
        <w:rPr/>
        <w:t>（</w:t>
      </w:r>
      <w:r>
        <w:rPr>
          <w:rFonts w:ascii="宋体" w:hAnsi="宋体" w:cs="宋体" w:eastAsia="宋体" w:hint="default"/>
        </w:rPr>
        <w:t>1</w:t>
      </w:r>
      <w:r>
        <w:rPr/>
        <w:t>）主营业务分析</w:t>
      </w:r>
      <w:r>
        <w:rPr>
          <w:b w:val="0"/>
          <w:bCs w:val="0"/>
        </w:rPr>
      </w:r>
    </w:p>
    <w:p>
      <w:pPr>
        <w:spacing w:line="240" w:lineRule="auto" w:before="11"/>
        <w:rPr>
          <w:rFonts w:ascii="宋体" w:hAnsi="宋体" w:cs="宋体" w:eastAsia="宋体" w:hint="default"/>
          <w:b/>
          <w:bCs/>
          <w:sz w:val="27"/>
          <w:szCs w:val="27"/>
        </w:rPr>
      </w:pPr>
    </w:p>
    <w:p>
      <w:pPr>
        <w:pStyle w:val="BodyText"/>
        <w:spacing w:line="410" w:lineRule="auto" w:before="0"/>
        <w:ind w:left="154" w:right="2167"/>
        <w:jc w:val="left"/>
      </w:pPr>
      <w:r>
        <w:rPr>
          <w:rFonts w:ascii="宋体" w:hAnsi="宋体" w:cs="宋体" w:eastAsia="宋体" w:hint="default"/>
          <w:sz w:val="18"/>
          <w:szCs w:val="18"/>
        </w:rPr>
        <w:t>1</w:t>
      </w:r>
      <w:r>
        <w:rPr>
          <w:sz w:val="18"/>
          <w:szCs w:val="18"/>
        </w:rPr>
        <w:t>）概述 </w:t>
      </w:r>
      <w:r>
        <w:rPr>
          <w:rFonts w:ascii="宋体" w:hAnsi="宋体" w:cs="宋体" w:eastAsia="宋体" w:hint="default"/>
        </w:rPr>
        <w:t>a</w:t>
      </w:r>
      <w:r>
        <w:rPr/>
        <w:t>、营业收入较上年同期增长</w:t>
      </w:r>
      <w:r>
        <w:rPr>
          <w:rFonts w:ascii="宋体" w:hAnsi="宋体" w:cs="宋体" w:eastAsia="宋体" w:hint="default"/>
        </w:rPr>
        <w:t>32.01%</w:t>
      </w:r>
      <w:r>
        <w:rPr/>
        <w:t>，主要是新并入嘉园环保及鞍山易兴业务所致。 </w:t>
      </w:r>
      <w:r>
        <w:rPr>
          <w:rFonts w:ascii="宋体" w:hAnsi="宋体" w:cs="宋体" w:eastAsia="宋体" w:hint="default"/>
        </w:rPr>
        <w:t>b</w:t>
      </w:r>
      <w:r>
        <w:rPr/>
        <w:t>、营业成本较上年同期增长</w:t>
      </w:r>
      <w:r>
        <w:rPr>
          <w:rFonts w:ascii="宋体" w:hAnsi="宋体" w:cs="宋体" w:eastAsia="宋体" w:hint="default"/>
        </w:rPr>
        <w:t>40.38%</w:t>
      </w:r>
      <w:r>
        <w:rPr/>
        <w:t>，主要是营业收入及收入结构变化增长所致。</w:t>
      </w:r>
    </w:p>
    <w:p>
      <w:pPr>
        <w:spacing w:line="403" w:lineRule="auto" w:before="44"/>
        <w:ind w:left="154" w:right="697" w:firstLine="0"/>
        <w:jc w:val="left"/>
        <w:rPr>
          <w:rFonts w:ascii="宋体" w:hAnsi="宋体" w:cs="宋体" w:eastAsia="宋体" w:hint="default"/>
          <w:sz w:val="18"/>
          <w:szCs w:val="18"/>
        </w:rPr>
      </w:pPr>
      <w:r>
        <w:rPr>
          <w:rFonts w:ascii="宋体" w:hAnsi="宋体" w:cs="宋体" w:eastAsia="宋体" w:hint="default"/>
          <w:sz w:val="21"/>
          <w:szCs w:val="21"/>
        </w:rPr>
        <w:t>c</w:t>
      </w:r>
      <w:r>
        <w:rPr>
          <w:rFonts w:ascii="宋体" w:hAnsi="宋体" w:cs="宋体" w:eastAsia="宋体" w:hint="default"/>
          <w:sz w:val="21"/>
          <w:szCs w:val="21"/>
        </w:rPr>
        <w:t>、期间费用较上年同期增长</w:t>
      </w:r>
      <w:r>
        <w:rPr>
          <w:rFonts w:ascii="宋体" w:hAnsi="宋体" w:cs="宋体" w:eastAsia="宋体" w:hint="default"/>
          <w:sz w:val="21"/>
          <w:szCs w:val="21"/>
        </w:rPr>
        <w:t>25.30%</w:t>
      </w:r>
      <w:r>
        <w:rPr>
          <w:rFonts w:ascii="宋体" w:hAnsi="宋体" w:cs="宋体" w:eastAsia="宋体" w:hint="default"/>
          <w:sz w:val="21"/>
          <w:szCs w:val="21"/>
        </w:rPr>
        <w:t>，主要是本期新并入公司的费用增加及银行借款利息增加所致。 </w:t>
      </w:r>
      <w:r>
        <w:rPr>
          <w:rFonts w:ascii="宋体" w:hAnsi="宋体" w:cs="宋体" w:eastAsia="宋体" w:hint="default"/>
          <w:sz w:val="21"/>
          <w:szCs w:val="21"/>
        </w:rPr>
        <w:t>d</w:t>
      </w:r>
      <w:r>
        <w:rPr>
          <w:rFonts w:ascii="宋体" w:hAnsi="宋体" w:cs="宋体" w:eastAsia="宋体" w:hint="default"/>
          <w:sz w:val="21"/>
          <w:szCs w:val="21"/>
        </w:rPr>
        <w:t>、研发投入较上年同期增长</w:t>
      </w:r>
      <w:r>
        <w:rPr>
          <w:rFonts w:ascii="宋体" w:hAnsi="宋体" w:cs="宋体" w:eastAsia="宋体" w:hint="default"/>
          <w:sz w:val="21"/>
          <w:szCs w:val="21"/>
        </w:rPr>
        <w:t>32.36%</w:t>
      </w:r>
      <w:r>
        <w:rPr>
          <w:rFonts w:ascii="宋体" w:hAnsi="宋体" w:cs="宋体" w:eastAsia="宋体" w:hint="default"/>
          <w:sz w:val="21"/>
          <w:szCs w:val="21"/>
        </w:rPr>
        <w:t>，主要是本期加大新产品的研发投入所致。 </w:t>
      </w:r>
      <w:r>
        <w:rPr>
          <w:rFonts w:ascii="宋体" w:hAnsi="宋体" w:cs="宋体" w:eastAsia="宋体" w:hint="default"/>
          <w:sz w:val="18"/>
          <w:szCs w:val="18"/>
        </w:rPr>
        <w:t>2</w:t>
      </w:r>
      <w:r>
        <w:rPr>
          <w:rFonts w:ascii="宋体" w:hAnsi="宋体" w:cs="宋体" w:eastAsia="宋体" w:hint="default"/>
          <w:sz w:val="18"/>
          <w:szCs w:val="18"/>
        </w:rPr>
        <w:t>）报告期利润构成或利润来源发生重大变动的说明</w:t>
      </w:r>
    </w:p>
    <w:p>
      <w:pPr>
        <w:spacing w:line="230" w:lineRule="exact"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line="230" w:lineRule="exact"/>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spacing w:val="-4"/>
        </w:rPr>
        <w:t>报告期内，公司新收购嘉园环保，收入结构发生了较大变化，其中环保类收入占营业收入的比重为</w:t>
      </w:r>
      <w:r>
        <w:rPr>
          <w:rFonts w:ascii="宋体" w:hAnsi="宋体" w:cs="宋体" w:eastAsia="宋体" w:hint="default"/>
          <w:spacing w:val="-4"/>
        </w:rPr>
        <w:t>14.85</w:t>
      </w:r>
      <w:r>
        <w:rPr>
          <w:rFonts w:ascii="宋体" w:hAnsi="宋体" w:cs="宋体" w:eastAsia="宋体" w:hint="default"/>
          <w:spacing w:val="-44"/>
        </w:rPr>
        <w:t> </w:t>
      </w:r>
      <w:r>
        <w:rPr>
          <w:rFonts w:ascii="宋体" w:hAnsi="宋体" w:cs="宋体" w:eastAsia="宋体" w:hint="default"/>
        </w:rPr>
        <w:t>%</w:t>
      </w:r>
      <w:r>
        <w:rPr/>
        <w:t>。</w:t>
      </w:r>
    </w:p>
    <w:p>
      <w:pPr>
        <w:spacing w:line="240" w:lineRule="auto" w:before="11"/>
        <w:rPr>
          <w:rFonts w:ascii="宋体" w:hAnsi="宋体" w:cs="宋体" w:eastAsia="宋体" w:hint="default"/>
          <w:sz w:val="13"/>
          <w:szCs w:val="13"/>
        </w:rPr>
      </w:pPr>
    </w:p>
    <w:p>
      <w:pPr>
        <w:spacing w:before="0"/>
        <w:ind w:left="153" w:right="10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）收入</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6"/>
        <w:gridCol w:w="2403"/>
        <w:gridCol w:w="2392"/>
        <w:gridCol w:w="2391"/>
      </w:tblGrid>
      <w:tr>
        <w:trPr>
          <w:trHeight w:val="413" w:hRule="exact"/>
        </w:trPr>
        <w:tc>
          <w:tcPr>
            <w:tcW w:w="237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15" w:hRule="exact"/>
        </w:trPr>
        <w:tc>
          <w:tcPr>
            <w:tcW w:w="23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left="1097" w:right="0"/>
              <w:jc w:val="left"/>
              <w:rPr>
                <w:rFonts w:ascii="宋体" w:hAnsi="宋体" w:cs="宋体" w:eastAsia="宋体" w:hint="default"/>
                <w:sz w:val="18"/>
                <w:szCs w:val="18"/>
              </w:rPr>
            </w:pPr>
            <w:r>
              <w:rPr>
                <w:rFonts w:ascii="宋体"/>
                <w:sz w:val="18"/>
              </w:rPr>
              <w:t>399,306,830.10</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096" w:right="0"/>
              <w:jc w:val="left"/>
              <w:rPr>
                <w:rFonts w:ascii="宋体" w:hAnsi="宋体" w:cs="宋体" w:eastAsia="宋体" w:hint="default"/>
                <w:sz w:val="18"/>
                <w:szCs w:val="18"/>
              </w:rPr>
            </w:pPr>
            <w:r>
              <w:rPr>
                <w:rFonts w:ascii="宋体"/>
                <w:sz w:val="18"/>
              </w:rPr>
              <w:t>302,472,419.55</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32.01%</w:t>
            </w:r>
          </w:p>
        </w:tc>
      </w:tr>
    </w:tbl>
    <w:p>
      <w:pPr>
        <w:spacing w:line="331" w:lineRule="auto" w:before="51"/>
        <w:ind w:left="154" w:right="5422" w:firstLine="0"/>
        <w:jc w:val="left"/>
        <w:rPr>
          <w:rFonts w:ascii="宋体" w:hAnsi="宋体" w:cs="宋体" w:eastAsia="宋体" w:hint="default"/>
          <w:sz w:val="18"/>
          <w:szCs w:val="18"/>
        </w:rPr>
      </w:pPr>
      <w:r>
        <w:rPr>
          <w:rFonts w:ascii="宋体" w:hAnsi="宋体" w:cs="宋体" w:eastAsia="宋体" w:hint="default"/>
          <w:sz w:val="18"/>
          <w:szCs w:val="18"/>
        </w:rPr>
        <w:t>驱动收入变化的因素 </w:t>
      </w:r>
      <w:r>
        <w:rPr>
          <w:rFonts w:ascii="宋体" w:hAnsi="宋体" w:cs="宋体" w:eastAsia="宋体" w:hint="default"/>
          <w:sz w:val="21"/>
          <w:szCs w:val="21"/>
        </w:rPr>
        <w:t>主要是新并入子公司嘉园环保及鞍山易兴所致。</w:t>
      </w:r>
      <w:r>
        <w:rPr>
          <w:rFonts w:ascii="宋体" w:hAnsi="宋体" w:cs="宋体" w:eastAsia="宋体" w:hint="default"/>
          <w:sz w:val="21"/>
          <w:szCs w:val="21"/>
        </w:rPr>
        <w:t> </w:t>
      </w:r>
      <w:r>
        <w:rPr>
          <w:rFonts w:ascii="宋体" w:hAnsi="宋体" w:cs="宋体" w:eastAsia="宋体" w:hint="default"/>
          <w:sz w:val="18"/>
          <w:szCs w:val="18"/>
        </w:rPr>
        <w:t>公司实物销售收入是否大于劳务收入</w:t>
      </w:r>
    </w:p>
    <w:p>
      <w:pPr>
        <w:spacing w:before="49"/>
        <w:ind w:left="154" w:right="10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607"/>
        <w:gridCol w:w="1573"/>
        <w:gridCol w:w="1605"/>
        <w:gridCol w:w="1594"/>
        <w:gridCol w:w="1594"/>
        <w:gridCol w:w="1594"/>
      </w:tblGrid>
      <w:tr>
        <w:trPr>
          <w:trHeight w:val="508" w:hRule="exact"/>
        </w:trPr>
        <w:tc>
          <w:tcPr>
            <w:tcW w:w="160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8"/>
              <w:ind w:left="197"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w:t>
            </w:r>
            <w:r>
              <w:rPr>
                <w:rFonts w:ascii="宋体" w:hAnsi="宋体" w:cs="宋体" w:eastAsia="宋体" w:hint="default"/>
                <w:sz w:val="18"/>
                <w:szCs w:val="18"/>
              </w:rPr>
              <w:t>产品</w:t>
            </w:r>
          </w:p>
        </w:tc>
        <w:tc>
          <w:tcPr>
            <w:tcW w:w="1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1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49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49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8"/>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00"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1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887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694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1"/>
              <w:jc w:val="right"/>
              <w:rPr>
                <w:rFonts w:ascii="宋体" w:hAnsi="宋体" w:cs="宋体" w:eastAsia="宋体" w:hint="default"/>
                <w:sz w:val="18"/>
                <w:szCs w:val="18"/>
              </w:rPr>
            </w:pPr>
            <w:r>
              <w:rPr>
                <w:rFonts w:ascii="宋体"/>
                <w:sz w:val="18"/>
              </w:rPr>
              <w:t>27.81%</w:t>
            </w:r>
          </w:p>
        </w:tc>
      </w:tr>
      <w:tr>
        <w:trPr>
          <w:trHeight w:val="500"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1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915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715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1"/>
              <w:jc w:val="right"/>
              <w:rPr>
                <w:rFonts w:ascii="宋体" w:hAnsi="宋体" w:cs="宋体" w:eastAsia="宋体" w:hint="default"/>
                <w:sz w:val="18"/>
                <w:szCs w:val="18"/>
              </w:rPr>
            </w:pPr>
            <w:r>
              <w:rPr>
                <w:rFonts w:ascii="宋体"/>
                <w:sz w:val="18"/>
              </w:rPr>
              <w:t>27.97%</w:t>
            </w:r>
          </w:p>
        </w:tc>
      </w:tr>
      <w:tr>
        <w:trPr>
          <w:trHeight w:val="500"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left="1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9"/>
              <w:ind w:left="28" w:right="0"/>
              <w:jc w:val="left"/>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
              <w:jc w:val="right"/>
              <w:rPr>
                <w:rFonts w:ascii="宋体" w:hAnsi="宋体" w:cs="宋体" w:eastAsia="宋体" w:hint="default"/>
                <w:sz w:val="18"/>
                <w:szCs w:val="18"/>
              </w:rPr>
            </w:pPr>
            <w:r>
              <w:rPr>
                <w:rFonts w:ascii="宋体"/>
                <w:sz w:val="18"/>
              </w:rPr>
              <w:t>171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
              <w:jc w:val="right"/>
              <w:rPr>
                <w:rFonts w:ascii="宋体" w:hAnsi="宋体" w:cs="宋体" w:eastAsia="宋体" w:hint="default"/>
                <w:sz w:val="18"/>
                <w:szCs w:val="18"/>
              </w:rPr>
            </w:pPr>
            <w:r>
              <w:rPr>
                <w:rFonts w:ascii="宋体"/>
                <w:sz w:val="18"/>
              </w:rPr>
              <w:t>143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11"/>
              <w:jc w:val="right"/>
              <w:rPr>
                <w:rFonts w:ascii="宋体" w:hAnsi="宋体" w:cs="宋体" w:eastAsia="宋体" w:hint="default"/>
                <w:sz w:val="18"/>
                <w:szCs w:val="18"/>
              </w:rPr>
            </w:pPr>
            <w:r>
              <w:rPr>
                <w:rFonts w:ascii="宋体"/>
                <w:sz w:val="18"/>
              </w:rPr>
              <w:t>19.58%</w:t>
            </w:r>
          </w:p>
        </w:tc>
      </w:tr>
      <w:tr>
        <w:trPr>
          <w:trHeight w:val="500"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left="1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9"/>
              <w:ind w:left="28" w:right="0"/>
              <w:jc w:val="left"/>
              <w:rPr>
                <w:rFonts w:ascii="宋体" w:hAnsi="宋体" w:cs="宋体" w:eastAsia="宋体" w:hint="default"/>
                <w:sz w:val="18"/>
                <w:szCs w:val="18"/>
              </w:rPr>
            </w:pPr>
            <w:r>
              <w:rPr>
                <w:rFonts w:ascii="宋体" w:hAnsi="宋体" w:cs="宋体" w:eastAsia="宋体" w:hint="default"/>
                <w:sz w:val="18"/>
                <w:szCs w:val="18"/>
              </w:rPr>
              <w:t>万台（套）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
              <w:jc w:val="right"/>
              <w:rPr>
                <w:rFonts w:ascii="宋体" w:hAnsi="宋体" w:cs="宋体" w:eastAsia="宋体" w:hint="default"/>
                <w:sz w:val="18"/>
                <w:szCs w:val="18"/>
              </w:rPr>
            </w:pPr>
            <w:r>
              <w:rPr>
                <w:rFonts w:ascii="宋体"/>
                <w:sz w:val="18"/>
              </w:rPr>
              <w:t>128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
              <w:jc w:val="right"/>
              <w:rPr>
                <w:rFonts w:ascii="宋体" w:hAnsi="宋体" w:cs="宋体" w:eastAsia="宋体" w:hint="default"/>
                <w:sz w:val="18"/>
                <w:szCs w:val="18"/>
              </w:rPr>
            </w:pPr>
            <w:r>
              <w:rPr>
                <w:rFonts w:ascii="宋体"/>
                <w:sz w:val="18"/>
              </w:rPr>
              <w:t>119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11"/>
              <w:jc w:val="right"/>
              <w:rPr>
                <w:rFonts w:ascii="宋体" w:hAnsi="宋体" w:cs="宋体" w:eastAsia="宋体" w:hint="default"/>
                <w:sz w:val="18"/>
                <w:szCs w:val="18"/>
              </w:rPr>
            </w:pPr>
            <w:r>
              <w:rPr>
                <w:rFonts w:ascii="宋体"/>
                <w:sz w:val="18"/>
              </w:rPr>
              <w:t>7.56%</w:t>
            </w:r>
          </w:p>
        </w:tc>
      </w:tr>
      <w:tr>
        <w:trPr>
          <w:trHeight w:val="502"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left="1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9"/>
              <w:ind w:left="28" w:right="0"/>
              <w:jc w:val="left"/>
              <w:rPr>
                <w:rFonts w:ascii="宋体" w:hAnsi="宋体" w:cs="宋体" w:eastAsia="宋体" w:hint="default"/>
                <w:sz w:val="18"/>
                <w:szCs w:val="18"/>
              </w:rPr>
            </w:pPr>
            <w:r>
              <w:rPr>
                <w:rFonts w:ascii="宋体" w:hAnsi="宋体" w:cs="宋体" w:eastAsia="宋体" w:hint="default"/>
                <w:sz w:val="18"/>
                <w:szCs w:val="18"/>
              </w:rPr>
              <w:t>万台（套）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
              <w:jc w:val="right"/>
              <w:rPr>
                <w:rFonts w:ascii="宋体" w:hAnsi="宋体" w:cs="宋体" w:eastAsia="宋体" w:hint="default"/>
                <w:sz w:val="18"/>
                <w:szCs w:val="18"/>
              </w:rPr>
            </w:pPr>
            <w:r>
              <w:rPr>
                <w:rFonts w:ascii="宋体"/>
                <w:sz w:val="18"/>
              </w:rPr>
              <w:t>125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8"/>
              <w:jc w:val="right"/>
              <w:rPr>
                <w:rFonts w:ascii="宋体" w:hAnsi="宋体" w:cs="宋体" w:eastAsia="宋体" w:hint="default"/>
                <w:sz w:val="18"/>
                <w:szCs w:val="18"/>
              </w:rPr>
            </w:pPr>
            <w:r>
              <w:rPr>
                <w:rFonts w:ascii="宋体"/>
                <w:sz w:val="18"/>
              </w:rPr>
              <w:t>126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11"/>
              <w:jc w:val="right"/>
              <w:rPr>
                <w:rFonts w:ascii="宋体" w:hAnsi="宋体" w:cs="宋体" w:eastAsia="宋体" w:hint="default"/>
                <w:sz w:val="18"/>
                <w:szCs w:val="18"/>
              </w:rPr>
            </w:pPr>
            <w:r>
              <w:rPr>
                <w:rFonts w:ascii="宋体"/>
                <w:sz w:val="18"/>
              </w:rPr>
              <w:t>-0.79%</w:t>
            </w:r>
          </w:p>
        </w:tc>
      </w:tr>
      <w:tr>
        <w:trPr>
          <w:trHeight w:val="500"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1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万台（套）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33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36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1"/>
              <w:jc w:val="right"/>
              <w:rPr>
                <w:rFonts w:ascii="宋体" w:hAnsi="宋体" w:cs="宋体" w:eastAsia="宋体" w:hint="default"/>
                <w:sz w:val="18"/>
                <w:szCs w:val="18"/>
              </w:rPr>
            </w:pPr>
            <w:r>
              <w:rPr>
                <w:rFonts w:ascii="宋体"/>
                <w:sz w:val="18"/>
              </w:rPr>
              <w:t>-8.33%</w:t>
            </w:r>
          </w:p>
        </w:tc>
      </w:tr>
      <w:tr>
        <w:trPr>
          <w:trHeight w:val="501"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8"/>
              <w:ind w:left="1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238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319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1"/>
              <w:jc w:val="right"/>
              <w:rPr>
                <w:rFonts w:ascii="宋体" w:hAnsi="宋体" w:cs="宋体" w:eastAsia="宋体" w:hint="default"/>
                <w:sz w:val="18"/>
                <w:szCs w:val="18"/>
              </w:rPr>
            </w:pPr>
            <w:r>
              <w:rPr>
                <w:rFonts w:ascii="宋体"/>
                <w:sz w:val="18"/>
              </w:rPr>
              <w:t>-25.39%</w:t>
            </w:r>
          </w:p>
        </w:tc>
      </w:tr>
      <w:tr>
        <w:trPr>
          <w:trHeight w:val="508" w:hRule="exact"/>
        </w:trPr>
        <w:tc>
          <w:tcPr>
            <w:tcW w:w="1607" w:type="dxa"/>
            <w:vMerge/>
            <w:tcBorders>
              <w:left w:val="single" w:sz="12" w:space="0" w:color="000000"/>
              <w:bottom w:val="single" w:sz="12" w:space="0" w:color="000000"/>
              <w:right w:val="single" w:sz="14" w:space="0" w:color="D2D2D2"/>
            </w:tcBorders>
          </w:tcPr>
          <w:p>
            <w:pPr/>
          </w:p>
        </w:tc>
        <w:tc>
          <w:tcPr>
            <w:tcW w:w="157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8"/>
              <w:ind w:left="1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238</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319</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8"/>
              <w:ind w:right="11"/>
              <w:jc w:val="right"/>
              <w:rPr>
                <w:rFonts w:ascii="宋体" w:hAnsi="宋体" w:cs="宋体" w:eastAsia="宋体" w:hint="default"/>
                <w:sz w:val="18"/>
                <w:szCs w:val="18"/>
              </w:rPr>
            </w:pPr>
            <w:r>
              <w:rPr>
                <w:rFonts w:ascii="宋体"/>
                <w:sz w:val="18"/>
              </w:rPr>
              <w:t>-25.39%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2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以上的原因说明</w:t>
      </w:r>
    </w:p>
    <w:p>
      <w:pPr>
        <w:spacing w:line="357" w:lineRule="auto" w:before="117"/>
        <w:ind w:left="154" w:right="2320" w:firstLine="0"/>
        <w:jc w:val="left"/>
        <w:rPr>
          <w:rFonts w:ascii="宋体" w:hAnsi="宋体" w:cs="宋体" w:eastAsia="宋体" w:hint="default"/>
          <w:sz w:val="18"/>
          <w:szCs w:val="18"/>
        </w:rPr>
      </w:pPr>
      <w:r>
        <w:rPr>
          <w:rFonts w:ascii="宋体" w:hAnsi="宋体" w:cs="宋体" w:eastAsia="宋体" w:hint="default"/>
          <w:sz w:val="18"/>
          <w:szCs w:val="18"/>
        </w:rPr>
        <w:t>□ 适用 √ 不适用 公司重大的在手订单情况</w:t>
      </w:r>
    </w:p>
    <w:p>
      <w:pPr>
        <w:spacing w:line="360" w:lineRule="auto" w:before="28"/>
        <w:ind w:left="154" w:right="2680" w:firstLine="0"/>
        <w:jc w:val="left"/>
        <w:rPr>
          <w:rFonts w:ascii="宋体" w:hAnsi="宋体" w:cs="宋体" w:eastAsia="宋体" w:hint="default"/>
          <w:sz w:val="18"/>
          <w:szCs w:val="18"/>
        </w:rPr>
      </w:pPr>
      <w:r>
        <w:rPr>
          <w:rFonts w:ascii="宋体" w:hAnsi="宋体" w:cs="宋体" w:eastAsia="宋体" w:hint="default"/>
          <w:sz w:val="18"/>
          <w:szCs w:val="18"/>
        </w:rPr>
        <w:t>□ 适用 √ 不适用 数量分散的订单情况</w:t>
      </w:r>
    </w:p>
    <w:p>
      <w:pPr>
        <w:spacing w:line="357" w:lineRule="auto" w:before="2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57" w:lineRule="auto" w:before="29"/>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详见本报告第四节一、</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）的内容。 </w:t>
      </w:r>
      <w:r>
        <w:rPr>
          <w:rFonts w:ascii="宋体" w:hAnsi="宋体" w:cs="宋体" w:eastAsia="宋体"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4475" w:space="4445"/>
            <w:col w:w="1090"/>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15" w:hRule="exact"/>
        </w:trPr>
        <w:tc>
          <w:tcPr>
            <w:tcW w:w="159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597" w:type="dxa"/>
            <w:vMerge/>
            <w:tcBorders>
              <w:left w:val="single" w:sz="12" w:space="0" w:color="000000"/>
              <w:bottom w:val="single" w:sz="6" w:space="0" w:color="000000"/>
              <w:right w:val="single" w:sz="6" w:space="0" w:color="000000"/>
            </w:tcBorders>
            <w:shd w:val="clear" w:color="auto" w:fill="D2D2D2"/>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158,573,138.06</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78.90%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116,564,946.00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81.42%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36.04%</w:t>
            </w:r>
          </w:p>
        </w:tc>
      </w:tr>
      <w:tr>
        <w:trPr>
          <w:trHeight w:val="407"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39,204,948.80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19.51%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26,599,296.14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18.58%</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47.39%</w:t>
            </w:r>
          </w:p>
        </w:tc>
      </w:tr>
      <w:tr>
        <w:trPr>
          <w:trHeight w:val="415"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劳务费用</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3,191,994.33</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1.59%</w:t>
            </w: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60" w:bottom="1160" w:left="980" w:right="92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）费用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9"/>
        <w:gridCol w:w="1648"/>
        <w:gridCol w:w="1637"/>
        <w:gridCol w:w="1462"/>
        <w:gridCol w:w="2917"/>
      </w:tblGrid>
      <w:tr>
        <w:trPr>
          <w:trHeight w:val="413" w:hRule="exact"/>
        </w:trPr>
        <w:tc>
          <w:tcPr>
            <w:tcW w:w="189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901"/>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7"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58,277,574.38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53,673,097.23</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8.58%</w:t>
            </w:r>
          </w:p>
        </w:tc>
        <w:tc>
          <w:tcPr>
            <w:tcW w:w="2917"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88,842,573.33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68,685,945.10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29.35%</w:t>
            </w:r>
          </w:p>
        </w:tc>
        <w:tc>
          <w:tcPr>
            <w:tcW w:w="2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92"/>
              <w:jc w:val="right"/>
              <w:rPr>
                <w:rFonts w:ascii="宋体" w:hAnsi="宋体" w:cs="宋体" w:eastAsia="宋体" w:hint="default"/>
                <w:sz w:val="18"/>
                <w:szCs w:val="18"/>
              </w:rPr>
            </w:pPr>
            <w:r>
              <w:rPr>
                <w:rFonts w:ascii="宋体" w:hAnsi="宋体" w:cs="宋体" w:eastAsia="宋体" w:hint="default"/>
                <w:sz w:val="18"/>
                <w:szCs w:val="18"/>
              </w:rPr>
              <w:t>主要系合并范围变化所致</w:t>
            </w:r>
          </w:p>
        </w:tc>
      </w:tr>
      <w:tr>
        <w:trPr>
          <w:trHeight w:val="407" w:hRule="exact"/>
        </w:trPr>
        <w:tc>
          <w:tcPr>
            <w:tcW w:w="189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5,753,834.41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-354,757.01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1,721.91%</w:t>
            </w:r>
          </w:p>
        </w:tc>
        <w:tc>
          <w:tcPr>
            <w:tcW w:w="2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2"/>
              <w:jc w:val="right"/>
              <w:rPr>
                <w:rFonts w:ascii="宋体" w:hAnsi="宋体" w:cs="宋体" w:eastAsia="宋体" w:hint="default"/>
                <w:sz w:val="18"/>
                <w:szCs w:val="18"/>
              </w:rPr>
            </w:pPr>
            <w:r>
              <w:rPr>
                <w:rFonts w:ascii="宋体" w:hAnsi="宋体" w:cs="宋体" w:eastAsia="宋体" w:hint="default"/>
                <w:sz w:val="18"/>
                <w:szCs w:val="18"/>
              </w:rPr>
              <w:t>主要系银行借款增加所致</w:t>
            </w:r>
          </w:p>
        </w:tc>
      </w:tr>
      <w:tr>
        <w:trPr>
          <w:trHeight w:val="415" w:hRule="exact"/>
        </w:trPr>
        <w:tc>
          <w:tcPr>
            <w:tcW w:w="18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8,081,809.44</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6,786,213.43</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19.09%</w:t>
            </w:r>
          </w:p>
        </w:tc>
        <w:tc>
          <w:tcPr>
            <w:tcW w:w="2917" w:type="dxa"/>
            <w:tcBorders>
              <w:top w:val="single" w:sz="6" w:space="0" w:color="000000"/>
              <w:left w:val="single" w:sz="6" w:space="0" w:color="000000"/>
              <w:bottom w:val="single" w:sz="12" w:space="0" w:color="000000"/>
              <w:right w:val="single" w:sz="12"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）研发投入</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59"/>
        <w:gridCol w:w="3233"/>
        <w:gridCol w:w="1371"/>
        <w:gridCol w:w="2453"/>
        <w:gridCol w:w="2123"/>
      </w:tblGrid>
      <w:tr>
        <w:trPr>
          <w:trHeight w:val="354" w:hRule="exact"/>
        </w:trPr>
        <w:tc>
          <w:tcPr>
            <w:tcW w:w="459"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33"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371"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进展情况</w:t>
            </w:r>
          </w:p>
        </w:tc>
        <w:tc>
          <w:tcPr>
            <w:tcW w:w="2453"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679"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2123"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20"/>
              <w:ind w:left="693" w:right="0"/>
              <w:jc w:val="left"/>
              <w:rPr>
                <w:rFonts w:ascii="宋体" w:hAnsi="宋体" w:cs="宋体" w:eastAsia="宋体" w:hint="default"/>
                <w:sz w:val="18"/>
                <w:szCs w:val="18"/>
              </w:rPr>
            </w:pPr>
            <w:r>
              <w:rPr>
                <w:rFonts w:ascii="宋体" w:hAnsi="宋体" w:cs="宋体" w:eastAsia="宋体" w:hint="default"/>
                <w:sz w:val="18"/>
                <w:szCs w:val="18"/>
              </w:rPr>
              <w:t>完成情况</w:t>
            </w:r>
          </w:p>
        </w:tc>
      </w:tr>
      <w:tr>
        <w:trPr>
          <w:trHeight w:val="34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汉威云服务平台</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月完成平台搭建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已完成平台搭建</w:t>
            </w:r>
          </w:p>
        </w:tc>
      </w:tr>
      <w:tr>
        <w:trPr>
          <w:trHeight w:val="42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汉威移动</w:t>
            </w:r>
            <w:r>
              <w:rPr>
                <w:rFonts w:ascii="宋体" w:hAnsi="宋体" w:cs="宋体" w:eastAsia="宋体" w:hint="default"/>
                <w:sz w:val="18"/>
                <w:szCs w:val="18"/>
              </w:rPr>
              <w:t>APP</w:t>
            </w:r>
            <w:r>
              <w:rPr>
                <w:rFonts w:ascii="宋体" w:hAnsi="宋体" w:cs="宋体" w:eastAsia="宋体" w:hint="default"/>
                <w:sz w:val="18"/>
                <w:szCs w:val="18"/>
              </w:rPr>
              <w:t>平台</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月完成平台搭建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已完成平台搭建</w:t>
            </w:r>
          </w:p>
        </w:tc>
      </w:tr>
      <w:tr>
        <w:trPr>
          <w:trHeight w:val="426"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3</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汉威在线监控平台</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月完成平台搭建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已完成平台搭建</w:t>
            </w:r>
          </w:p>
        </w:tc>
      </w:tr>
      <w:tr>
        <w:trPr>
          <w:trHeight w:val="660"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汉威空气质量管家</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验证阶段</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月完成样机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5"/>
                <w:sz w:val="18"/>
                <w:szCs w:val="18"/>
              </w:rPr>
              <w:t>已完成正式样机，正在进行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客户试用</w:t>
            </w:r>
          </w:p>
        </w:tc>
      </w:tr>
      <w:tr>
        <w:trPr>
          <w:trHeight w:val="34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激光开路探测器气体扩展</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年底完成验证后样机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34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酒检精灵</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年底完成验证后样机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659"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54"/>
              <w:jc w:val="left"/>
              <w:rPr>
                <w:rFonts w:ascii="宋体" w:hAnsi="宋体" w:cs="宋体" w:eastAsia="宋体" w:hint="default"/>
                <w:sz w:val="18"/>
                <w:szCs w:val="18"/>
              </w:rPr>
            </w:pPr>
            <w:r>
              <w:rPr>
                <w:rFonts w:ascii="宋体" w:hAnsi="宋体" w:cs="宋体" w:eastAsia="宋体" w:hint="default"/>
                <w:sz w:val="18"/>
                <w:szCs w:val="18"/>
              </w:rPr>
              <w:t>基于拟实施的新国标的可燃气体探测器 平台升级</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验证阶段</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年具备生产能力</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4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智能标定管理平台</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月份完成平台搭建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已经完成平台搭建</w:t>
            </w:r>
          </w:p>
        </w:tc>
      </w:tr>
      <w:tr>
        <w:trPr>
          <w:trHeight w:val="34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电阻型湿度传感器研发</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月份可以量产</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已完成，可批量生产</w:t>
            </w:r>
          </w:p>
        </w:tc>
      </w:tr>
      <w:tr>
        <w:trPr>
          <w:trHeight w:val="348"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加速度传感器研发</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验证阶段</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年底完成验证后样机</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2" w:right="-5"/>
              <w:jc w:val="left"/>
              <w:rPr>
                <w:rFonts w:ascii="宋体" w:hAnsi="宋体" w:cs="宋体" w:eastAsia="宋体" w:hint="default"/>
                <w:sz w:val="18"/>
                <w:szCs w:val="18"/>
              </w:rPr>
            </w:pPr>
            <w:r>
              <w:rPr>
                <w:rFonts w:ascii="宋体" w:hAnsi="宋体" w:cs="宋体" w:eastAsia="宋体" w:hint="default"/>
                <w:spacing w:val="-5"/>
                <w:sz w:val="18"/>
                <w:szCs w:val="18"/>
              </w:rPr>
              <w:t>已完成正式样机，正在验证</w:t>
            </w:r>
          </w:p>
        </w:tc>
      </w:tr>
      <w:tr>
        <w:trPr>
          <w:trHeight w:val="347" w:hRule="exact"/>
        </w:trPr>
        <w:tc>
          <w:tcPr>
            <w:tcW w:w="4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新型压力传感器研发</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年完成</w:t>
            </w:r>
          </w:p>
        </w:tc>
        <w:tc>
          <w:tcPr>
            <w:tcW w:w="21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已完成，可批量生产</w:t>
            </w:r>
          </w:p>
        </w:tc>
      </w:tr>
      <w:tr>
        <w:trPr>
          <w:trHeight w:val="667" w:hRule="exact"/>
        </w:trPr>
        <w:tc>
          <w:tcPr>
            <w:tcW w:w="45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12</w:t>
            </w:r>
          </w:p>
        </w:tc>
        <w:tc>
          <w:tcPr>
            <w:tcW w:w="323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154"/>
              <w:jc w:val="left"/>
              <w:rPr>
                <w:rFonts w:ascii="宋体" w:hAnsi="宋体" w:cs="宋体" w:eastAsia="宋体" w:hint="default"/>
                <w:sz w:val="18"/>
                <w:szCs w:val="18"/>
              </w:rPr>
            </w:pPr>
            <w:r>
              <w:rPr>
                <w:rFonts w:ascii="宋体" w:hAnsi="宋体" w:cs="宋体" w:eastAsia="宋体" w:hint="default"/>
                <w:sz w:val="18"/>
                <w:szCs w:val="18"/>
              </w:rPr>
              <w:t>电化学式气体探测智能终端关键技术研 发及产业化项目</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年具备生产能力</w:t>
            </w:r>
          </w:p>
        </w:tc>
        <w:tc>
          <w:tcPr>
            <w:tcW w:w="21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已完成，可批量生产</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45"/>
        <w:gridCol w:w="1534"/>
        <w:gridCol w:w="2392"/>
        <w:gridCol w:w="2391"/>
      </w:tblGrid>
      <w:tr>
        <w:trPr>
          <w:trHeight w:val="569" w:hRule="exact"/>
        </w:trPr>
        <w:tc>
          <w:tcPr>
            <w:tcW w:w="324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5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9"/>
              <w:ind w:left="47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563"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30"/>
              <w:ind w:left="6"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5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36,795,231.27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27,798,980.37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26,913,188.77</w:t>
            </w:r>
          </w:p>
        </w:tc>
      </w:tr>
      <w:tr>
        <w:trPr>
          <w:trHeight w:val="564"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30"/>
              <w:ind w:left="6"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5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9.21%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9.19%</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right="11"/>
              <w:jc w:val="right"/>
              <w:rPr>
                <w:rFonts w:ascii="宋体" w:hAnsi="宋体" w:cs="宋体" w:eastAsia="宋体" w:hint="default"/>
                <w:sz w:val="18"/>
                <w:szCs w:val="18"/>
              </w:rPr>
            </w:pPr>
            <w:r>
              <w:rPr>
                <w:rFonts w:ascii="宋体"/>
                <w:sz w:val="18"/>
              </w:rPr>
              <w:t>10.18%</w:t>
            </w:r>
          </w:p>
        </w:tc>
      </w:tr>
      <w:tr>
        <w:trPr>
          <w:trHeight w:val="563"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5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w:t>
            </w:r>
          </w:p>
        </w:tc>
      </w:tr>
      <w:tr>
        <w:trPr>
          <w:trHeight w:val="563"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5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w:t>
            </w:r>
          </w:p>
        </w:tc>
      </w:tr>
      <w:tr>
        <w:trPr>
          <w:trHeight w:val="571" w:hRule="exact"/>
        </w:trPr>
        <w:tc>
          <w:tcPr>
            <w:tcW w:w="32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9"/>
              <w:ind w:left="6"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53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0.00%</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0.00%</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819"/>
        <w:gridCol w:w="1960"/>
        <w:gridCol w:w="2392"/>
        <w:gridCol w:w="2391"/>
      </w:tblGrid>
      <w:tr>
        <w:trPr>
          <w:trHeight w:val="413" w:hRule="exact"/>
        </w:trPr>
        <w:tc>
          <w:tcPr>
            <w:tcW w:w="28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379,868,693.41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337,006,483.61</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12.72%</w:t>
            </w:r>
          </w:p>
        </w:tc>
      </w:tr>
      <w:tr>
        <w:trPr>
          <w:trHeight w:val="408"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328,938,651.24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259,130,068.42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26.94%</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50,930,042.17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77,876,415.19</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-34.60%</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12,708,868.66</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-99.80%</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219,186,211.26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138,808,934.77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57.90%</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-219,161,211.26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-126,100,066.11</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-73.80%</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284,999,973.12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110,000,000.00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159.09%</w:t>
            </w:r>
          </w:p>
        </w:tc>
      </w:tr>
      <w:tr>
        <w:trPr>
          <w:trHeight w:val="408"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149,209,499.80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14,448,955.77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932.67%</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6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135,790,473.32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95,551,044.23</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42.11%</w:t>
            </w:r>
          </w:p>
        </w:tc>
      </w:tr>
      <w:tr>
        <w:trPr>
          <w:trHeight w:val="415" w:hRule="exact"/>
        </w:trPr>
        <w:tc>
          <w:tcPr>
            <w:tcW w:w="28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6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-32,365,022.87</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46,874,777.18</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-169.05%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以上的原因说明</w:t>
      </w:r>
    </w:p>
    <w:p>
      <w:pPr>
        <w:spacing w:line="408" w:lineRule="auto" w:before="117"/>
        <w:ind w:left="154" w:right="217"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21"/>
          <w:szCs w:val="21"/>
        </w:rPr>
        <w:t>a</w:t>
      </w:r>
      <w:r>
        <w:rPr>
          <w:rFonts w:ascii="宋体" w:hAnsi="宋体" w:cs="宋体" w:eastAsia="宋体" w:hint="default"/>
          <w:sz w:val="21"/>
          <w:szCs w:val="21"/>
        </w:rPr>
        <w:t>、经营活动产生的现金流量净额较上年同期减少</w:t>
      </w:r>
      <w:r>
        <w:rPr>
          <w:rFonts w:ascii="宋体" w:hAnsi="宋体" w:cs="宋体" w:eastAsia="宋体" w:hint="default"/>
          <w:sz w:val="21"/>
          <w:szCs w:val="21"/>
        </w:rPr>
        <w:t>34.60%</w:t>
      </w:r>
      <w:r>
        <w:rPr>
          <w:rFonts w:ascii="宋体" w:hAnsi="宋体" w:cs="宋体" w:eastAsia="宋体" w:hint="default"/>
          <w:sz w:val="21"/>
          <w:szCs w:val="21"/>
        </w:rPr>
        <w:t>，主要系人工支出增加及支付的税费增加所致。 </w:t>
      </w:r>
      <w:r>
        <w:rPr>
          <w:rFonts w:ascii="宋体" w:hAnsi="宋体" w:cs="宋体" w:eastAsia="宋体" w:hint="default"/>
          <w:sz w:val="21"/>
          <w:szCs w:val="21"/>
        </w:rPr>
        <w:t>b</w:t>
      </w:r>
      <w:r>
        <w:rPr>
          <w:rFonts w:ascii="宋体" w:hAnsi="宋体" w:cs="宋体" w:eastAsia="宋体" w:hint="default"/>
          <w:sz w:val="21"/>
          <w:szCs w:val="21"/>
        </w:rPr>
        <w:t>、投资活动产生的现金流量净额较上年同期减少</w:t>
      </w:r>
      <w:r>
        <w:rPr>
          <w:rFonts w:ascii="宋体" w:hAnsi="宋体" w:cs="宋体" w:eastAsia="宋体" w:hint="default"/>
          <w:sz w:val="21"/>
          <w:szCs w:val="21"/>
        </w:rPr>
        <w:t>73.80%</w:t>
      </w:r>
      <w:r>
        <w:rPr>
          <w:rFonts w:ascii="宋体" w:hAnsi="宋体" w:cs="宋体" w:eastAsia="宋体" w:hint="default"/>
          <w:sz w:val="21"/>
          <w:szCs w:val="21"/>
        </w:rPr>
        <w:t>，主要系本期收购嘉园环保、沈阳金建及鞍山易 兴部分股权导致的现金流出增加所致。 </w:t>
      </w:r>
      <w:r>
        <w:rPr>
          <w:rFonts w:ascii="宋体" w:hAnsi="宋体" w:cs="宋体" w:eastAsia="宋体" w:hint="default"/>
          <w:sz w:val="21"/>
          <w:szCs w:val="21"/>
        </w:rPr>
        <w:t>c</w:t>
      </w:r>
      <w:r>
        <w:rPr>
          <w:rFonts w:ascii="宋体" w:hAnsi="宋体" w:cs="宋体" w:eastAsia="宋体" w:hint="default"/>
          <w:sz w:val="21"/>
          <w:szCs w:val="21"/>
        </w:rPr>
        <w:t>、筹资活动产生的现金流量净额较上年同期增加</w:t>
      </w:r>
      <w:r>
        <w:rPr>
          <w:rFonts w:ascii="宋体" w:hAnsi="宋体" w:cs="宋体" w:eastAsia="宋体" w:hint="default"/>
          <w:sz w:val="21"/>
          <w:szCs w:val="21"/>
        </w:rPr>
        <w:t>42.11%</w:t>
      </w:r>
      <w:r>
        <w:rPr>
          <w:rFonts w:ascii="宋体" w:hAnsi="宋体" w:cs="宋体" w:eastAsia="宋体" w:hint="default"/>
          <w:sz w:val="21"/>
          <w:szCs w:val="21"/>
        </w:rPr>
        <w:t>，主要系本期重大资产重组配套融资所致</w:t>
      </w:r>
      <w:r>
        <w:rPr>
          <w:rFonts w:ascii="MS Gothic" w:hAnsi="MS Gothic" w:cs="MS Gothic" w:eastAsia="MS Gothic" w:hint="default"/>
          <w:sz w:val="21"/>
          <w:szCs w:val="21"/>
        </w:rPr>
        <w:t>｡ </w:t>
      </w:r>
      <w:r>
        <w:rPr>
          <w:rFonts w:ascii="宋体" w:hAnsi="宋体" w:cs="宋体" w:eastAsia="宋体" w:hint="default"/>
          <w:sz w:val="18"/>
          <w:szCs w:val="18"/>
        </w:rPr>
        <w:t>报告期内公司经营活动的现金流量与本年度净利润存在重大差异的原因说明</w:t>
      </w:r>
    </w:p>
    <w:p>
      <w:pPr>
        <w:spacing w:line="357" w:lineRule="auto" w:before="0"/>
        <w:ind w:left="154" w:right="734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8</w:t>
      </w:r>
      <w:r>
        <w:rPr>
          <w:rFonts w:ascii="宋体" w:hAnsi="宋体" w:cs="宋体" w:eastAsia="宋体" w:hint="default"/>
          <w:sz w:val="18"/>
          <w:szCs w:val="18"/>
        </w:rPr>
        <w:t>）公司主要供应商、客户情况 公司主要销售客户情况</w:t>
      </w:r>
    </w:p>
    <w:tbl>
      <w:tblPr>
        <w:tblW w:w="0" w:type="auto"/>
        <w:jc w:val="left"/>
        <w:tblInd w:w="138" w:type="dxa"/>
        <w:tblLayout w:type="fixed"/>
        <w:tblCellMar>
          <w:top w:w="0" w:type="dxa"/>
          <w:left w:w="0" w:type="dxa"/>
          <w:bottom w:w="0" w:type="dxa"/>
          <w:right w:w="0" w:type="dxa"/>
        </w:tblCellMar>
        <w:tblLook w:val="01E0"/>
      </w:tblPr>
      <w:tblGrid>
        <w:gridCol w:w="4248"/>
        <w:gridCol w:w="5321"/>
      </w:tblGrid>
      <w:tr>
        <w:trPr>
          <w:trHeight w:val="414" w:hRule="exact"/>
        </w:trPr>
        <w:tc>
          <w:tcPr>
            <w:tcW w:w="42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1"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28,006,111.80</w:t>
            </w:r>
          </w:p>
        </w:tc>
      </w:tr>
      <w:tr>
        <w:trPr>
          <w:trHeight w:val="414" w:hRule="exact"/>
        </w:trPr>
        <w:tc>
          <w:tcPr>
            <w:tcW w:w="42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1"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7.01%</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的客户资料</w:t>
      </w:r>
    </w:p>
    <w:p>
      <w:pPr>
        <w:spacing w:line="357" w:lineRule="auto" w:before="117"/>
        <w:ind w:left="154" w:right="815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38" w:type="dxa"/>
        <w:tblLayout w:type="fixed"/>
        <w:tblCellMar>
          <w:top w:w="0" w:type="dxa"/>
          <w:left w:w="0" w:type="dxa"/>
          <w:bottom w:w="0" w:type="dxa"/>
          <w:right w:w="0" w:type="dxa"/>
        </w:tblCellMar>
        <w:tblLook w:val="01E0"/>
      </w:tblPr>
      <w:tblGrid>
        <w:gridCol w:w="4248"/>
        <w:gridCol w:w="5321"/>
      </w:tblGrid>
      <w:tr>
        <w:trPr>
          <w:trHeight w:val="414" w:hRule="exact"/>
        </w:trPr>
        <w:tc>
          <w:tcPr>
            <w:tcW w:w="42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1"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24,337,501.50</w:t>
            </w:r>
          </w:p>
        </w:tc>
      </w:tr>
      <w:tr>
        <w:trPr>
          <w:trHeight w:val="415" w:hRule="exact"/>
        </w:trPr>
        <w:tc>
          <w:tcPr>
            <w:tcW w:w="42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1"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17.21%</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的客户资料</w:t>
      </w:r>
    </w:p>
    <w:p>
      <w:pPr>
        <w:spacing w:line="360" w:lineRule="auto" w:before="116"/>
        <w:ind w:left="154" w:right="626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9</w:t>
      </w:r>
      <w:r>
        <w:rPr>
          <w:rFonts w:ascii="宋体" w:hAnsi="宋体" w:cs="宋体" w:eastAsia="宋体" w:hint="default"/>
          <w:sz w:val="18"/>
          <w:szCs w:val="18"/>
        </w:rPr>
        <w:t>）公司未来发展与规划延续至报告期的说明</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line="357" w:lineRule="auto" w:before="44"/>
        <w:ind w:left="153" w:right="2053" w:firstLine="0"/>
        <w:jc w:val="left"/>
        <w:rPr>
          <w:rFonts w:ascii="宋体" w:hAnsi="宋体" w:cs="宋体" w:eastAsia="宋体" w:hint="default"/>
          <w:sz w:val="18"/>
          <w:szCs w:val="18"/>
        </w:rPr>
      </w:pPr>
      <w:r>
        <w:rPr>
          <w:rFonts w:ascii="宋体" w:hAnsi="宋体" w:cs="宋体" w:eastAsia="宋体" w:hint="default"/>
          <w:sz w:val="18"/>
          <w:szCs w:val="18"/>
        </w:rPr>
        <w:t>前期披露的发展战略和经营计划在报告期内的进展情况 前期披露的发展战略和经营计划在本报告期内的进展情况请参见本章节“一、管理层讨论与分析” 公司实际经营业绩较曾公开披露过的本年度盈利预测低于或高于</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z w:val="18"/>
          <w:szCs w:val="18"/>
        </w:rPr>
        <w:t>以上的差异原因</w:t>
      </w:r>
    </w:p>
    <w:p>
      <w:pPr>
        <w:spacing w:before="29"/>
        <w:ind w:left="153" w:right="205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2053"/>
        <w:jc w:val="left"/>
        <w:rPr>
          <w:b w:val="0"/>
          <w:bCs w:val="0"/>
        </w:rPr>
      </w:pPr>
      <w:bookmarkStart w:name="（2）主营业务分部报告" w:id="23"/>
      <w:bookmarkEnd w:id="23"/>
      <w:r>
        <w:rPr>
          <w:b w:val="0"/>
          <w:bCs w:val="0"/>
        </w:rPr>
      </w:r>
      <w:r>
        <w:rPr/>
        <w:t>（</w:t>
      </w:r>
      <w:r>
        <w:rPr>
          <w:rFonts w:ascii="宋体" w:hAnsi="宋体" w:cs="宋体" w:eastAsia="宋体" w:hint="default"/>
        </w:rPr>
        <w:t>2</w:t>
      </w:r>
      <w:r>
        <w:rPr/>
        <w:t>）主营业务分部报告</w:t>
      </w:r>
      <w:r>
        <w:rPr>
          <w:b w:val="0"/>
          <w:bCs w:val="0"/>
        </w:rPr>
      </w:r>
    </w:p>
    <w:p>
      <w:pPr>
        <w:spacing w:line="240" w:lineRule="auto" w:before="7"/>
        <w:rPr>
          <w:rFonts w:ascii="宋体" w:hAnsi="宋体" w:cs="宋体" w:eastAsia="宋体" w:hint="default"/>
          <w:b/>
          <w:bCs/>
          <w:sz w:val="24"/>
          <w:szCs w:val="24"/>
        </w:rPr>
      </w:pPr>
    </w:p>
    <w:p>
      <w:pPr>
        <w:spacing w:before="44"/>
        <w:ind w:left="154" w:right="205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）报告期主营业务收入及主营业务利润的构成</w:t>
      </w:r>
    </w:p>
    <w:p>
      <w:pPr>
        <w:spacing w:before="116"/>
        <w:ind w:left="0" w:right="17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1"/>
        <w:gridCol w:w="3191"/>
        <w:gridCol w:w="3188"/>
      </w:tblGrid>
      <w:tr>
        <w:trPr>
          <w:trHeight w:val="413"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46"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8" w:hRule="exact"/>
        </w:trPr>
        <w:tc>
          <w:tcPr>
            <w:tcW w:w="9570"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324,177,553.58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167,012,010.62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59,269,958.50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18,023,432.86</w:t>
            </w:r>
          </w:p>
        </w:tc>
      </w:tr>
      <w:tr>
        <w:trPr>
          <w:trHeight w:val="407" w:hRule="exact"/>
        </w:trPr>
        <w:tc>
          <w:tcPr>
            <w:tcW w:w="9570"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43,399,611.43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20,757,409.42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192,717,483.87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96,531,009.67</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42,337,416.99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20,995,560.43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废水污水治理</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36,178,296.68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10,314,716.20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有毒有害废气处理</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17,283,374.67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5,268,983.96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技术服务及软件开发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38,442,422.41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24,586,154.22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13,088,906.03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6,581,609.58</w:t>
            </w:r>
          </w:p>
        </w:tc>
      </w:tr>
      <w:tr>
        <w:trPr>
          <w:trHeight w:val="407" w:hRule="exact"/>
        </w:trPr>
        <w:tc>
          <w:tcPr>
            <w:tcW w:w="9570"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343,877,295.07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168,987,964.75</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39,570,217.01</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16,047,478.73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6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以上的产品、行业或地区情况</w:t>
      </w:r>
    </w:p>
    <w:p>
      <w:pPr>
        <w:spacing w:before="116"/>
        <w:ind w:left="15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60"/>
          <w:cols w:num="2" w:equalWidth="0">
            <w:col w:w="3439" w:space="5480"/>
            <w:col w:w="1051"/>
          </w:cols>
        </w:sectPr>
      </w:pP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878"/>
        <w:gridCol w:w="1417"/>
        <w:gridCol w:w="1418"/>
        <w:gridCol w:w="989"/>
        <w:gridCol w:w="1279"/>
        <w:gridCol w:w="1420"/>
        <w:gridCol w:w="1294"/>
      </w:tblGrid>
      <w:tr>
        <w:trPr>
          <w:trHeight w:val="766" w:hRule="exact"/>
        </w:trPr>
        <w:tc>
          <w:tcPr>
            <w:tcW w:w="187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1"/>
              <w:ind w:left="92" w:right="90" w:firstLine="90"/>
              <w:jc w:val="left"/>
              <w:rPr>
                <w:rFonts w:ascii="宋体" w:hAnsi="宋体" w:cs="宋体" w:eastAsia="宋体" w:hint="default"/>
                <w:sz w:val="18"/>
                <w:szCs w:val="18"/>
              </w:rPr>
            </w:pPr>
            <w:r>
              <w:rPr>
                <w:rFonts w:ascii="宋体" w:hAnsi="宋体" w:cs="宋体" w:eastAsia="宋体" w:hint="default"/>
                <w:sz w:val="18"/>
                <w:szCs w:val="18"/>
              </w:rPr>
              <w:t>营业收入比 上年同期增减</w:t>
            </w:r>
          </w:p>
        </w:tc>
        <w:tc>
          <w:tcPr>
            <w:tcW w:w="14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1"/>
              <w:ind w:left="163" w:right="161" w:firstLine="90"/>
              <w:jc w:val="left"/>
              <w:rPr>
                <w:rFonts w:ascii="宋体" w:hAnsi="宋体" w:cs="宋体" w:eastAsia="宋体" w:hint="default"/>
                <w:sz w:val="18"/>
                <w:szCs w:val="18"/>
              </w:rPr>
            </w:pPr>
            <w:r>
              <w:rPr>
                <w:rFonts w:ascii="宋体" w:hAnsi="宋体" w:cs="宋体" w:eastAsia="宋体" w:hint="default"/>
                <w:sz w:val="18"/>
                <w:szCs w:val="18"/>
              </w:rPr>
              <w:t>营业成本比 上年同期增减</w:t>
            </w:r>
          </w:p>
        </w:tc>
        <w:tc>
          <w:tcPr>
            <w:tcW w:w="12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60" w:lineRule="auto" w:before="51"/>
              <w:ind w:left="99" w:right="90" w:firstLine="180"/>
              <w:jc w:val="left"/>
              <w:rPr>
                <w:rFonts w:ascii="宋体" w:hAnsi="宋体" w:cs="宋体" w:eastAsia="宋体" w:hint="default"/>
                <w:sz w:val="18"/>
                <w:szCs w:val="18"/>
              </w:rPr>
            </w:pPr>
            <w:r>
              <w:rPr>
                <w:rFonts w:ascii="宋体" w:hAnsi="宋体" w:cs="宋体" w:eastAsia="宋体" w:hint="default"/>
                <w:sz w:val="18"/>
                <w:szCs w:val="18"/>
              </w:rPr>
              <w:t>毛利率比 上年同期增减</w:t>
            </w:r>
          </w:p>
        </w:tc>
      </w:tr>
      <w:tr>
        <w:trPr>
          <w:trHeight w:val="407" w:hRule="exact"/>
        </w:trPr>
        <w:tc>
          <w:tcPr>
            <w:tcW w:w="9695"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8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324,177,553.58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152,981,765.56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52.81%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7.87%</w:t>
            </w:r>
          </w:p>
        </w:tc>
        <w:tc>
          <w:tcPr>
            <w:tcW w:w="1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1.63%</w:t>
            </w:r>
          </w:p>
        </w:tc>
      </w:tr>
      <w:tr>
        <w:trPr>
          <w:trHeight w:val="408" w:hRule="exact"/>
        </w:trPr>
        <w:tc>
          <w:tcPr>
            <w:tcW w:w="18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59,269,958.50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40,563,218.22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31.56%</w:t>
            </w:r>
          </w:p>
        </w:tc>
        <w:tc>
          <w:tcPr>
            <w:tcW w:w="1279"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9695"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8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43,399,611.43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22,091,332.38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49.10%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24.72%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38.55%</w:t>
            </w:r>
          </w:p>
        </w:tc>
        <w:tc>
          <w:tcPr>
            <w:tcW w:w="1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-5.08%</w:t>
            </w:r>
          </w:p>
        </w:tc>
      </w:tr>
      <w:tr>
        <w:trPr>
          <w:trHeight w:val="407" w:hRule="exact"/>
        </w:trPr>
        <w:tc>
          <w:tcPr>
            <w:tcW w:w="18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192,717,483.87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93,740,318.44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51.36%</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15.66%</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9.86%</w:t>
            </w:r>
          </w:p>
        </w:tc>
        <w:tc>
          <w:tcPr>
            <w:tcW w:w="1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2.57%</w:t>
            </w:r>
          </w:p>
        </w:tc>
      </w:tr>
      <w:tr>
        <w:trPr>
          <w:trHeight w:val="415" w:hRule="exact"/>
        </w:trPr>
        <w:tc>
          <w:tcPr>
            <w:tcW w:w="18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42,337,416.99</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20,804,469.32</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50.86%</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-47.94%</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-41.38%</w:t>
            </w:r>
          </w:p>
        </w:tc>
        <w:tc>
          <w:tcPr>
            <w:tcW w:w="12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6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878"/>
        <w:gridCol w:w="1417"/>
        <w:gridCol w:w="1418"/>
        <w:gridCol w:w="989"/>
        <w:gridCol w:w="1279"/>
        <w:gridCol w:w="1420"/>
        <w:gridCol w:w="1294"/>
      </w:tblGrid>
      <w:tr>
        <w:trPr>
          <w:trHeight w:val="415" w:hRule="exact"/>
        </w:trPr>
        <w:tc>
          <w:tcPr>
            <w:tcW w:w="18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技术服务及软件开发</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38,442,422.41</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13,368,319.97</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65.23%</w:t>
            </w:r>
          </w:p>
        </w:tc>
        <w:tc>
          <w:tcPr>
            <w:tcW w:w="1279" w:type="dxa"/>
            <w:tcBorders>
              <w:top w:val="single" w:sz="12" w:space="0" w:color="000000"/>
              <w:left w:val="single" w:sz="6" w:space="0" w:color="000000"/>
              <w:bottom w:val="single" w:sz="6" w:space="0" w:color="000000"/>
              <w:right w:val="single" w:sz="6" w:space="0" w:color="000000"/>
            </w:tcBorders>
          </w:tcPr>
          <w:p>
            <w:pPr/>
          </w:p>
        </w:tc>
        <w:tc>
          <w:tcPr>
            <w:tcW w:w="1420" w:type="dxa"/>
            <w:tcBorders>
              <w:top w:val="single" w:sz="12" w:space="0" w:color="000000"/>
              <w:left w:val="single" w:sz="6" w:space="0" w:color="000000"/>
              <w:bottom w:val="single" w:sz="6" w:space="0" w:color="000000"/>
              <w:right w:val="single" w:sz="6" w:space="0" w:color="000000"/>
            </w:tcBorders>
          </w:tcPr>
          <w:p>
            <w:pPr/>
          </w:p>
        </w:tc>
        <w:tc>
          <w:tcPr>
            <w:tcW w:w="1294"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9695"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8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343,877,295.07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170,524,508.77</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50.41%</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33.91%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39.11%</w:t>
            </w:r>
          </w:p>
        </w:tc>
        <w:tc>
          <w:tcPr>
            <w:tcW w:w="1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-1.86%</w:t>
            </w:r>
          </w:p>
        </w:tc>
      </w:tr>
      <w:tr>
        <w:trPr>
          <w:trHeight w:val="415" w:hRule="exact"/>
        </w:trPr>
        <w:tc>
          <w:tcPr>
            <w:tcW w:w="18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39,570,217.01</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23,020,475.01</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41.82%</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17.46%</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19.64%</w:t>
            </w:r>
          </w:p>
        </w:tc>
        <w:tc>
          <w:tcPr>
            <w:tcW w:w="12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-1.07%</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7"/>
        <w:ind w:left="154"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104"/>
        <w:jc w:val="left"/>
        <w:rPr>
          <w:b w:val="0"/>
          <w:bCs w:val="0"/>
        </w:rPr>
      </w:pPr>
      <w:bookmarkStart w:name="（3）资产、负债状况分析" w:id="24"/>
      <w:bookmarkEnd w:id="24"/>
      <w:r>
        <w:rPr>
          <w:b w:val="0"/>
          <w:bCs w:val="0"/>
        </w:rPr>
      </w:r>
      <w:r>
        <w:rPr/>
        <w:t>（</w:t>
      </w:r>
      <w:r>
        <w:rPr>
          <w:rFonts w:ascii="宋体" w:hAnsi="宋体" w:cs="宋体" w:eastAsia="宋体" w:hint="default"/>
        </w:rPr>
        <w:t>3</w:t>
      </w:r>
      <w:r>
        <w:rPr/>
        <w:t>）资产、负债状况分析</w:t>
      </w:r>
      <w:r>
        <w:rPr>
          <w:b w:val="0"/>
          <w:bCs w:val="0"/>
        </w:rPr>
      </w:r>
    </w:p>
    <w:p>
      <w:pPr>
        <w:spacing w:line="240" w:lineRule="auto" w:before="7"/>
        <w:rPr>
          <w:rFonts w:ascii="宋体" w:hAnsi="宋体" w:cs="宋体" w:eastAsia="宋体" w:hint="default"/>
          <w:b/>
          <w:bCs/>
          <w:sz w:val="24"/>
          <w:szCs w:val="24"/>
        </w:rPr>
      </w:pPr>
    </w:p>
    <w:p>
      <w:pPr>
        <w:spacing w:before="44"/>
        <w:ind w:left="154" w:right="10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）资产项目重大变动情况</w:t>
      </w:r>
    </w:p>
    <w:p>
      <w:pPr>
        <w:spacing w:before="116"/>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52"/>
        <w:gridCol w:w="1336"/>
        <w:gridCol w:w="1134"/>
        <w:gridCol w:w="1417"/>
        <w:gridCol w:w="992"/>
        <w:gridCol w:w="1276"/>
        <w:gridCol w:w="2055"/>
      </w:tblGrid>
      <w:tr>
        <w:trPr>
          <w:trHeight w:val="414"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471"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41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76" w:type="dxa"/>
            <w:tcBorders>
              <w:top w:val="single" w:sz="12" w:space="0" w:color="000000"/>
              <w:left w:val="single" w:sz="6" w:space="0" w:color="000000"/>
              <w:bottom w:val="nil" w:sz="6" w:space="0" w:color="auto"/>
              <w:right w:val="single" w:sz="6" w:space="0" w:color="000000"/>
            </w:tcBorders>
            <w:shd w:val="clear" w:color="auto" w:fill="D2D2D2"/>
          </w:tcPr>
          <w:p>
            <w:pPr/>
          </w:p>
        </w:tc>
        <w:tc>
          <w:tcPr>
            <w:tcW w:w="2055"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83" w:hRule="exact"/>
        </w:trPr>
        <w:tc>
          <w:tcPr>
            <w:tcW w:w="1352" w:type="dxa"/>
            <w:vMerge w:val="restart"/>
            <w:tcBorders>
              <w:top w:val="nil" w:sz="6" w:space="0" w:color="auto"/>
              <w:left w:val="single" w:sz="12" w:space="0" w:color="000000"/>
              <w:right w:val="single" w:sz="6" w:space="0" w:color="000000"/>
            </w:tcBorders>
            <w:shd w:val="clear" w:color="auto" w:fill="D2D2D2"/>
          </w:tcPr>
          <w:p>
            <w:pPr/>
          </w:p>
        </w:tc>
        <w:tc>
          <w:tcPr>
            <w:tcW w:w="133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357" w:lineRule="auto" w:before="52"/>
              <w:ind w:left="379" w:right="19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tcBorders>
              <w:top w:val="single" w:sz="6" w:space="0" w:color="000000"/>
              <w:left w:val="single" w:sz="6" w:space="0" w:color="000000"/>
              <w:bottom w:val="nil" w:sz="6" w:space="0" w:color="auto"/>
              <w:right w:val="single" w:sz="6" w:space="0" w:color="000000"/>
            </w:tcBorders>
            <w:shd w:val="clear" w:color="auto" w:fill="D2D2D2"/>
          </w:tcPr>
          <w:p>
            <w:pPr/>
          </w:p>
        </w:tc>
        <w:tc>
          <w:tcPr>
            <w:tcW w:w="992" w:type="dxa"/>
            <w:vMerge w:val="restart"/>
            <w:tcBorders>
              <w:top w:val="single" w:sz="6" w:space="0" w:color="000000"/>
              <w:left w:val="single" w:sz="6" w:space="0" w:color="000000"/>
              <w:right w:val="single" w:sz="6" w:space="0" w:color="000000"/>
            </w:tcBorders>
            <w:shd w:val="clear" w:color="auto" w:fill="D2D2D2"/>
          </w:tcPr>
          <w:p>
            <w:pPr>
              <w:pStyle w:val="TableParagraph"/>
              <w:spacing w:line="357" w:lineRule="auto" w:before="52"/>
              <w:ind w:left="308" w:right="12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1"/>
              <w:ind w:left="27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1"/>
              <w:ind w:left="4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6" w:space="0" w:color="000000"/>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2055"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1352" w:type="dxa"/>
            <w:vMerge w:val="restart"/>
            <w:tcBorders>
              <w:top w:val="nil" w:sz="6" w:space="0" w:color="auto"/>
              <w:left w:val="single" w:sz="12" w:space="0" w:color="000000"/>
              <w:right w:val="single" w:sz="6" w:space="0" w:color="000000"/>
            </w:tcBorders>
            <w:shd w:val="clear" w:color="auto" w:fill="D2D2D2"/>
          </w:tcPr>
          <w:p>
            <w:pPr/>
          </w:p>
        </w:tc>
        <w:tc>
          <w:tcPr>
            <w:tcW w:w="133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992"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2055" w:type="dxa"/>
            <w:vMerge w:val="restart"/>
            <w:tcBorders>
              <w:top w:val="nil" w:sz="6" w:space="0" w:color="auto"/>
              <w:left w:val="single" w:sz="6" w:space="0" w:color="000000"/>
              <w:right w:val="single" w:sz="12" w:space="0" w:color="000000"/>
            </w:tcBorders>
            <w:shd w:val="clear" w:color="auto" w:fill="D2D2D2"/>
          </w:tcPr>
          <w:p>
            <w:pPr/>
          </w:p>
        </w:tc>
      </w:tr>
      <w:tr>
        <w:trPr>
          <w:trHeight w:val="184" w:hRule="exact"/>
        </w:trPr>
        <w:tc>
          <w:tcPr>
            <w:tcW w:w="1352" w:type="dxa"/>
            <w:vMerge/>
            <w:tcBorders>
              <w:left w:val="single" w:sz="12" w:space="0" w:color="000000"/>
              <w:bottom w:val="single" w:sz="6" w:space="0" w:color="000000"/>
              <w:right w:val="single" w:sz="6" w:space="0" w:color="000000"/>
            </w:tcBorders>
            <w:shd w:val="clear" w:color="auto" w:fill="D2D2D2"/>
          </w:tcPr>
          <w:p>
            <w:pPr/>
          </w:p>
        </w:tc>
        <w:tc>
          <w:tcPr>
            <w:tcW w:w="133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417" w:type="dxa"/>
            <w:tcBorders>
              <w:top w:val="nil" w:sz="6" w:space="0" w:color="auto"/>
              <w:left w:val="single" w:sz="6" w:space="0" w:color="000000"/>
              <w:bottom w:val="single" w:sz="6" w:space="0" w:color="000000"/>
              <w:right w:val="single" w:sz="6" w:space="0" w:color="000000"/>
            </w:tcBorders>
            <w:shd w:val="clear" w:color="auto" w:fill="D2D2D2"/>
          </w:tcPr>
          <w:p>
            <w:pPr/>
          </w:p>
        </w:tc>
        <w:tc>
          <w:tcPr>
            <w:tcW w:w="992"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2055"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242,428,256.41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260,212,710.79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-14.53%</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213,927,884.00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123,562,969.57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-1.48%</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sz w:val="18"/>
              </w:rPr>
              <w:t>179,276,609.63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69,010,233.12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2.46%</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98" w:right="0"/>
              <w:jc w:val="center"/>
              <w:rPr>
                <w:rFonts w:ascii="宋体" w:hAnsi="宋体" w:cs="宋体" w:eastAsia="宋体" w:hint="default"/>
                <w:sz w:val="18"/>
                <w:szCs w:val="18"/>
              </w:rPr>
            </w:pPr>
            <w:r>
              <w:rPr>
                <w:rFonts w:ascii="宋体"/>
                <w:sz w:val="18"/>
              </w:rPr>
              <w:t>62,099,340.22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9,766,096.63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2.36%</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left="188" w:right="0"/>
              <w:jc w:val="center"/>
              <w:rPr>
                <w:rFonts w:ascii="宋体" w:hAnsi="宋体" w:cs="宋体" w:eastAsia="宋体" w:hint="default"/>
                <w:sz w:val="18"/>
                <w:szCs w:val="18"/>
              </w:rPr>
            </w:pPr>
            <w:r>
              <w:rPr>
                <w:rFonts w:ascii="宋体"/>
                <w:sz w:val="18"/>
              </w:rPr>
              <w:t>1,677,247.41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0.09%</w:t>
            </w:r>
          </w:p>
        </w:tc>
        <w:tc>
          <w:tcPr>
            <w:tcW w:w="141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0.09%</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sz w:val="18"/>
              </w:rPr>
              <w:t>424,625,831.67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23.33%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292,189,941.65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-7.95%</w:t>
            </w:r>
          </w:p>
        </w:tc>
        <w:tc>
          <w:tcPr>
            <w:tcW w:w="2055"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188" w:right="0"/>
              <w:jc w:val="center"/>
              <w:rPr>
                <w:rFonts w:ascii="宋体" w:hAnsi="宋体" w:cs="宋体" w:eastAsia="宋体" w:hint="default"/>
                <w:sz w:val="18"/>
                <w:szCs w:val="18"/>
              </w:rPr>
            </w:pPr>
            <w:r>
              <w:rPr>
                <w:rFonts w:ascii="宋体"/>
                <w:sz w:val="18"/>
              </w:rPr>
              <w:t>5,135,899.21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0.28%</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48,673,444.15</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5.21%</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-4.93%</w:t>
            </w:r>
          </w:p>
        </w:tc>
        <w:tc>
          <w:tcPr>
            <w:tcW w:w="2055" w:type="dxa"/>
            <w:tcBorders>
              <w:top w:val="single" w:sz="6" w:space="0" w:color="000000"/>
              <w:left w:val="single" w:sz="6" w:space="0" w:color="000000"/>
              <w:bottom w:val="single" w:sz="12" w:space="0" w:color="000000"/>
              <w:right w:val="single" w:sz="12" w:space="0" w:color="000000"/>
            </w:tcBorders>
          </w:tcPr>
          <w:p>
            <w:pP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）负债项目重大变动情况</w:t>
      </w:r>
    </w:p>
    <w:p>
      <w:pPr>
        <w:spacing w:before="117"/>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362"/>
        <w:gridCol w:w="1326"/>
        <w:gridCol w:w="1134"/>
        <w:gridCol w:w="1417"/>
        <w:gridCol w:w="1276"/>
        <w:gridCol w:w="710"/>
        <w:gridCol w:w="2338"/>
      </w:tblGrid>
      <w:tr>
        <w:trPr>
          <w:trHeight w:val="218" w:hRule="exact"/>
        </w:trPr>
        <w:tc>
          <w:tcPr>
            <w:tcW w:w="1362" w:type="dxa"/>
            <w:vMerge w:val="restart"/>
            <w:tcBorders>
              <w:top w:val="single" w:sz="12" w:space="0" w:color="000000"/>
              <w:left w:val="single" w:sz="12" w:space="0" w:color="000000"/>
              <w:right w:val="single" w:sz="6" w:space="0" w:color="000000"/>
            </w:tcBorders>
            <w:shd w:val="clear" w:color="auto" w:fill="D2D2D2"/>
          </w:tcPr>
          <w:p>
            <w:pPr/>
          </w:p>
        </w:tc>
        <w:tc>
          <w:tcPr>
            <w:tcW w:w="246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93"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10"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38" w:type="dxa"/>
            <w:vMerge w:val="restart"/>
            <w:tcBorders>
              <w:top w:val="single" w:sz="12" w:space="0" w:color="000000"/>
              <w:left w:val="single" w:sz="6" w:space="0" w:color="000000"/>
              <w:right w:val="single" w:sz="12" w:space="0" w:color="000000"/>
            </w:tcBorders>
            <w:shd w:val="clear" w:color="auto" w:fill="D2D2D2"/>
          </w:tcPr>
          <w:p>
            <w:pPr/>
          </w:p>
        </w:tc>
      </w:tr>
      <w:tr>
        <w:trPr>
          <w:trHeight w:val="177" w:hRule="exact"/>
        </w:trPr>
        <w:tc>
          <w:tcPr>
            <w:tcW w:w="1362" w:type="dxa"/>
            <w:vMerge/>
            <w:tcBorders>
              <w:left w:val="single" w:sz="12" w:space="0" w:color="000000"/>
              <w:bottom w:val="nil" w:sz="6" w:space="0" w:color="auto"/>
              <w:right w:val="single" w:sz="6" w:space="0" w:color="000000"/>
            </w:tcBorders>
            <w:shd w:val="clear" w:color="auto" w:fill="D2D2D2"/>
          </w:tcPr>
          <w:p>
            <w:pPr/>
          </w:p>
        </w:tc>
        <w:tc>
          <w:tcPr>
            <w:tcW w:w="2460" w:type="dxa"/>
            <w:gridSpan w:val="2"/>
            <w:vMerge/>
            <w:tcBorders>
              <w:left w:val="single" w:sz="6" w:space="0" w:color="000000"/>
              <w:bottom w:val="single" w:sz="6" w:space="0" w:color="000000"/>
              <w:right w:val="single" w:sz="6" w:space="0" w:color="000000"/>
            </w:tcBorders>
            <w:shd w:val="clear" w:color="auto" w:fill="D2D2D2"/>
          </w:tcPr>
          <w:p>
            <w:pPr/>
          </w:p>
        </w:tc>
        <w:tc>
          <w:tcPr>
            <w:tcW w:w="2693" w:type="dxa"/>
            <w:gridSpan w:val="2"/>
            <w:vMerge/>
            <w:tcBorders>
              <w:left w:val="single" w:sz="6" w:space="0" w:color="000000"/>
              <w:bottom w:val="single" w:sz="6" w:space="0" w:color="000000"/>
              <w:right w:val="single" w:sz="6" w:space="0" w:color="000000"/>
            </w:tcBorders>
            <w:shd w:val="clear" w:color="auto" w:fill="D2D2D2"/>
          </w:tcPr>
          <w:p>
            <w:pPr/>
          </w:p>
        </w:tc>
        <w:tc>
          <w:tcPr>
            <w:tcW w:w="710"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51"/>
              <w:ind w:left="257" w:right="7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338" w:type="dxa"/>
            <w:vMerge/>
            <w:tcBorders>
              <w:left w:val="single" w:sz="6" w:space="0" w:color="000000"/>
              <w:bottom w:val="nil" w:sz="6" w:space="0" w:color="auto"/>
              <w:right w:val="single" w:sz="12" w:space="0" w:color="000000"/>
            </w:tcBorders>
            <w:shd w:val="clear" w:color="auto" w:fill="D2D2D2"/>
          </w:tcPr>
          <w:p>
            <w:pPr/>
          </w:p>
        </w:tc>
      </w:tr>
      <w:tr>
        <w:trPr>
          <w:trHeight w:val="183" w:hRule="exact"/>
        </w:trPr>
        <w:tc>
          <w:tcPr>
            <w:tcW w:w="1362" w:type="dxa"/>
            <w:vMerge w:val="restart"/>
            <w:tcBorders>
              <w:top w:val="nil" w:sz="6" w:space="0" w:color="auto"/>
              <w:left w:val="single" w:sz="12" w:space="0" w:color="000000"/>
              <w:right w:val="single" w:sz="6" w:space="0" w:color="000000"/>
            </w:tcBorders>
            <w:shd w:val="clear" w:color="auto" w:fill="D2D2D2"/>
          </w:tcPr>
          <w:p>
            <w:pPr/>
          </w:p>
        </w:tc>
        <w:tc>
          <w:tcPr>
            <w:tcW w:w="13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1"/>
              <w:ind w:left="469" w:right="10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710" w:type="dxa"/>
            <w:vMerge/>
            <w:tcBorders>
              <w:left w:val="single" w:sz="6" w:space="0" w:color="000000"/>
              <w:right w:val="single" w:sz="6" w:space="0" w:color="000000"/>
            </w:tcBorders>
            <w:shd w:val="clear" w:color="auto" w:fill="D2D2D2"/>
          </w:tcPr>
          <w:p>
            <w:pPr/>
          </w:p>
        </w:tc>
        <w:tc>
          <w:tcPr>
            <w:tcW w:w="233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0"/>
              <w:ind w:left="62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362" w:type="dxa"/>
            <w:vMerge/>
            <w:tcBorders>
              <w:left w:val="single" w:sz="12" w:space="0" w:color="000000"/>
              <w:bottom w:val="nil" w:sz="6" w:space="0" w:color="auto"/>
              <w:right w:val="single" w:sz="6" w:space="0" w:color="000000"/>
            </w:tcBorders>
            <w:shd w:val="clear" w:color="auto" w:fill="D2D2D2"/>
          </w:tcPr>
          <w:p>
            <w:pPr/>
          </w:p>
        </w:tc>
        <w:tc>
          <w:tcPr>
            <w:tcW w:w="13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6" w:space="0" w:color="000000"/>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710" w:type="dxa"/>
            <w:vMerge/>
            <w:tcBorders>
              <w:left w:val="single" w:sz="6" w:space="0" w:color="000000"/>
              <w:right w:val="single" w:sz="6" w:space="0" w:color="000000"/>
            </w:tcBorders>
            <w:shd w:val="clear" w:color="auto" w:fill="D2D2D2"/>
          </w:tcPr>
          <w:p>
            <w:pPr/>
          </w:p>
        </w:tc>
        <w:tc>
          <w:tcPr>
            <w:tcW w:w="2338"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1362" w:type="dxa"/>
            <w:vMerge w:val="restart"/>
            <w:tcBorders>
              <w:top w:val="nil" w:sz="6" w:space="0" w:color="auto"/>
              <w:left w:val="single" w:sz="12" w:space="0" w:color="000000"/>
              <w:right w:val="single" w:sz="6" w:space="0" w:color="000000"/>
            </w:tcBorders>
            <w:shd w:val="clear" w:color="auto" w:fill="D2D2D2"/>
          </w:tcPr>
          <w:p>
            <w:pPr/>
          </w:p>
        </w:tc>
        <w:tc>
          <w:tcPr>
            <w:tcW w:w="13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710" w:type="dxa"/>
            <w:vMerge/>
            <w:tcBorders>
              <w:left w:val="single" w:sz="6" w:space="0" w:color="000000"/>
              <w:bottom w:val="nil" w:sz="6" w:space="0" w:color="auto"/>
              <w:right w:val="single" w:sz="6" w:space="0" w:color="000000"/>
            </w:tcBorders>
            <w:shd w:val="clear" w:color="auto" w:fill="D2D2D2"/>
          </w:tcPr>
          <w:p>
            <w:pPr/>
          </w:p>
        </w:tc>
        <w:tc>
          <w:tcPr>
            <w:tcW w:w="2338"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362" w:type="dxa"/>
            <w:vMerge/>
            <w:tcBorders>
              <w:left w:val="single" w:sz="12" w:space="0" w:color="000000"/>
              <w:bottom w:val="single" w:sz="6" w:space="0" w:color="000000"/>
              <w:right w:val="single" w:sz="6" w:space="0" w:color="000000"/>
            </w:tcBorders>
            <w:shd w:val="clear" w:color="auto" w:fill="D2D2D2"/>
          </w:tcPr>
          <w:p>
            <w:pPr/>
          </w:p>
        </w:tc>
        <w:tc>
          <w:tcPr>
            <w:tcW w:w="1326"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4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710" w:type="dxa"/>
            <w:tcBorders>
              <w:top w:val="nil" w:sz="6" w:space="0" w:color="auto"/>
              <w:left w:val="single" w:sz="6" w:space="0" w:color="000000"/>
              <w:bottom w:val="single" w:sz="6" w:space="0" w:color="000000"/>
              <w:right w:val="single" w:sz="6" w:space="0" w:color="000000"/>
            </w:tcBorders>
            <w:shd w:val="clear" w:color="auto" w:fill="D2D2D2"/>
          </w:tcPr>
          <w:p>
            <w:pPr/>
          </w:p>
        </w:tc>
        <w:tc>
          <w:tcPr>
            <w:tcW w:w="2338"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6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168,500,000.00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9.26%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sz w:val="18"/>
              </w:rPr>
              <w:t>110,000,000.00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sz w:val="18"/>
              </w:rPr>
              <w:t>11.77%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sz w:val="18"/>
              </w:rPr>
              <w:t>-2.51%</w:t>
            </w:r>
          </w:p>
        </w:tc>
        <w:tc>
          <w:tcPr>
            <w:tcW w:w="233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42,880,000.00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w:t>
            </w:r>
          </w:p>
        </w:tc>
        <w:tc>
          <w:tcPr>
            <w:tcW w:w="1417"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
        </w:tc>
        <w:tc>
          <w:tcPr>
            <w:tcW w:w="2338" w:type="dxa"/>
            <w:tcBorders>
              <w:top w:val="single" w:sz="6" w:space="0" w:color="000000"/>
              <w:left w:val="single" w:sz="6" w:space="0" w:color="000000"/>
              <w:bottom w:val="single" w:sz="12" w:space="0" w:color="000000"/>
              <w:right w:val="single" w:sz="12" w:space="0" w:color="000000"/>
            </w:tcBorders>
          </w:tcPr>
          <w:p>
            <w:pP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）以公允价值计量的资产和负债</w:t>
      </w:r>
    </w:p>
    <w:p>
      <w:pPr>
        <w:spacing w:before="117"/>
        <w:ind w:left="153"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104"/>
        <w:jc w:val="left"/>
        <w:rPr>
          <w:b w:val="0"/>
          <w:bCs w:val="0"/>
        </w:rPr>
      </w:pPr>
      <w:bookmarkStart w:name="（4）公司竞争能力重大变化分析" w:id="25"/>
      <w:bookmarkEnd w:id="25"/>
      <w:r>
        <w:rPr>
          <w:b w:val="0"/>
          <w:bCs w:val="0"/>
        </w:rPr>
      </w:r>
      <w:r>
        <w:rPr/>
        <w:t>（</w:t>
      </w:r>
      <w:r>
        <w:rPr>
          <w:rFonts w:ascii="宋体" w:hAnsi="宋体" w:cs="宋体" w:eastAsia="宋体" w:hint="default"/>
        </w:rPr>
        <w:t>4</w:t>
      </w:r>
      <w:r>
        <w:rPr/>
        <w:t>）公司竞争能力重大变化分析</w:t>
      </w:r>
      <w:r>
        <w:rPr>
          <w:b w:val="0"/>
          <w:bCs w:val="0"/>
        </w:rPr>
      </w:r>
    </w:p>
    <w:p>
      <w:pPr>
        <w:spacing w:line="240" w:lineRule="auto" w:before="12"/>
        <w:rPr>
          <w:rFonts w:ascii="宋体" w:hAnsi="宋体" w:cs="宋体" w:eastAsia="宋体" w:hint="default"/>
          <w:b/>
          <w:bCs/>
          <w:sz w:val="27"/>
          <w:szCs w:val="27"/>
        </w:rPr>
      </w:pPr>
    </w:p>
    <w:p>
      <w:pPr>
        <w:spacing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left="154" w:right="104" w:firstLine="420"/>
        <w:jc w:val="left"/>
      </w:pPr>
      <w:r>
        <w:rPr>
          <w:spacing w:val="-1"/>
        </w:rPr>
        <w:t>报告期内，公司及子公司新增专利证书</w:t>
      </w:r>
      <w:r>
        <w:rPr>
          <w:rFonts w:ascii="宋体" w:hAnsi="宋体" w:cs="宋体" w:eastAsia="宋体" w:hint="default"/>
          <w:spacing w:val="-1"/>
        </w:rPr>
        <w:t>41</w:t>
      </w:r>
      <w:r>
        <w:rPr>
          <w:spacing w:val="-1"/>
        </w:rPr>
        <w:t>项，其中发明专利</w:t>
      </w:r>
      <w:r>
        <w:rPr>
          <w:rFonts w:ascii="宋体" w:hAnsi="宋体" w:cs="宋体" w:eastAsia="宋体" w:hint="default"/>
          <w:spacing w:val="-1"/>
        </w:rPr>
        <w:t>19</w:t>
      </w:r>
      <w:r>
        <w:rPr>
          <w:spacing w:val="-1"/>
        </w:rPr>
        <w:t>项，实用新型专利</w:t>
      </w:r>
      <w:r>
        <w:rPr>
          <w:rFonts w:ascii="宋体" w:hAnsi="宋体" w:cs="宋体" w:eastAsia="宋体" w:hint="default"/>
          <w:spacing w:val="-1"/>
        </w:rPr>
        <w:t>18</w:t>
      </w:r>
      <w:r>
        <w:rPr>
          <w:spacing w:val="-1"/>
        </w:rPr>
        <w:t>项，外观设计</w:t>
      </w:r>
      <w:r>
        <w:rPr>
          <w:rFonts w:ascii="宋体" w:hAnsi="宋体" w:cs="宋体" w:eastAsia="宋体" w:hint="default"/>
          <w:spacing w:val="-1"/>
        </w:rPr>
        <w:t>4</w:t>
      </w:r>
      <w:r>
        <w:rPr>
          <w:spacing w:val="-1"/>
        </w:rPr>
        <w:t>项；</w:t>
      </w:r>
      <w:r>
        <w:rPr>
          <w:spacing w:val="1"/>
        </w:rPr>
        <w:t> </w:t>
      </w:r>
      <w:r>
        <w:rPr/>
        <w:t>新增商标</w:t>
      </w:r>
      <w:r>
        <w:rPr>
          <w:rFonts w:ascii="宋体" w:hAnsi="宋体" w:cs="宋体" w:eastAsia="宋体" w:hint="default"/>
        </w:rPr>
        <w:t>2</w:t>
      </w:r>
      <w:r>
        <w:rPr/>
        <w:t>项；新增计算机软件著作权</w:t>
      </w:r>
      <w:r>
        <w:rPr>
          <w:rFonts w:ascii="宋体" w:hAnsi="宋体" w:cs="宋体" w:eastAsia="宋体" w:hint="default"/>
        </w:rPr>
        <w:t>11</w:t>
      </w:r>
      <w:r>
        <w:rPr/>
        <w:t>项。</w:t>
      </w:r>
    </w:p>
    <w:p>
      <w:pPr>
        <w:spacing w:after="0" w:line="408"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154" w:right="104" w:firstLine="420"/>
        <w:jc w:val="left"/>
      </w:pPr>
      <w:r>
        <w:rPr>
          <w:spacing w:val="-1"/>
        </w:rPr>
        <w:t>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日，汉威电子公司及子公司拥有的无形资产如下：专利</w:t>
      </w:r>
      <w:r>
        <w:rPr>
          <w:rFonts w:ascii="宋体" w:hAnsi="宋体" w:cs="宋体" w:eastAsia="宋体" w:hint="default"/>
          <w:spacing w:val="-1"/>
        </w:rPr>
        <w:t>293</w:t>
      </w:r>
      <w:r>
        <w:rPr>
          <w:spacing w:val="-1"/>
        </w:rPr>
        <w:t>项，其中发明专利</w:t>
      </w:r>
      <w:r>
        <w:rPr>
          <w:rFonts w:ascii="宋体" w:hAnsi="宋体" w:cs="宋体" w:eastAsia="宋体" w:hint="default"/>
          <w:spacing w:val="-1"/>
        </w:rPr>
        <w:t>50</w:t>
      </w:r>
      <w:r>
        <w:rPr>
          <w:spacing w:val="-1"/>
        </w:rPr>
        <w:t>项，</w:t>
      </w:r>
      <w:r>
        <w:rPr>
          <w:spacing w:val="1"/>
        </w:rPr>
        <w:t> </w:t>
      </w:r>
      <w:r>
        <w:rPr/>
        <w:t>实用新型专利</w:t>
      </w:r>
      <w:r>
        <w:rPr>
          <w:rFonts w:ascii="宋体" w:hAnsi="宋体" w:cs="宋体" w:eastAsia="宋体" w:hint="default"/>
        </w:rPr>
        <w:t>194</w:t>
      </w:r>
      <w:r>
        <w:rPr/>
        <w:t>项，外观设计专利</w:t>
      </w:r>
      <w:r>
        <w:rPr>
          <w:rFonts w:ascii="宋体" w:hAnsi="宋体" w:cs="宋体" w:eastAsia="宋体" w:hint="default"/>
        </w:rPr>
        <w:t>49</w:t>
      </w:r>
      <w:r>
        <w:rPr/>
        <w:t>项；计算机软件著作权</w:t>
      </w:r>
      <w:r>
        <w:rPr>
          <w:rFonts w:ascii="宋体" w:hAnsi="宋体" w:cs="宋体" w:eastAsia="宋体" w:hint="default"/>
        </w:rPr>
        <w:t>100</w:t>
      </w:r>
      <w:r>
        <w:rPr/>
        <w:t>项；商标</w:t>
      </w:r>
      <w:r>
        <w:rPr>
          <w:rFonts w:ascii="宋体" w:hAnsi="宋体" w:cs="宋体" w:eastAsia="宋体" w:hint="default"/>
        </w:rPr>
        <w:t>53</w:t>
      </w:r>
      <w:r>
        <w:rPr/>
        <w:t>项；土地使用权</w:t>
      </w:r>
      <w:r>
        <w:rPr>
          <w:rFonts w:ascii="宋体" w:hAnsi="宋体" w:cs="宋体" w:eastAsia="宋体" w:hint="default"/>
        </w:rPr>
        <w:t>7</w:t>
      </w:r>
      <w:r>
        <w:rPr/>
        <w:t>宗。</w:t>
      </w:r>
    </w:p>
    <w:p>
      <w:pPr>
        <w:pStyle w:val="BodyText"/>
        <w:spacing w:line="408" w:lineRule="auto"/>
        <w:ind w:right="104" w:firstLine="420"/>
        <w:jc w:val="left"/>
      </w:pPr>
      <w:r>
        <w:rPr>
          <w:spacing w:val="-1"/>
        </w:rPr>
        <w:t>上述专利及计算机软件的取得，将有利于公司及子公司发挥主导产品的自主知识产权优势，形成持续</w:t>
      </w:r>
      <w:r>
        <w:rPr/>
        <w:t> 创新机制，保持技术的领先。</w:t>
      </w:r>
    </w:p>
    <w:p>
      <w:pPr>
        <w:pStyle w:val="BodyText"/>
        <w:spacing w:line="240" w:lineRule="auto"/>
        <w:ind w:left="573" w:right="104"/>
        <w:jc w:val="left"/>
      </w:pPr>
      <w:r>
        <w:rPr/>
        <w:t>（</w:t>
      </w:r>
      <w:r>
        <w:rPr>
          <w:rFonts w:ascii="宋体" w:hAnsi="宋体" w:cs="宋体" w:eastAsia="宋体" w:hint="default"/>
        </w:rPr>
        <w:t>1</w:t>
      </w:r>
      <w:r>
        <w:rPr/>
        <w:t>）报告期内，公司及子公司新增专利证书如下：</w:t>
      </w:r>
    </w:p>
    <w:p>
      <w:pPr>
        <w:spacing w:line="240" w:lineRule="auto" w:before="12"/>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602"/>
        <w:gridCol w:w="1586"/>
        <w:gridCol w:w="3574"/>
        <w:gridCol w:w="995"/>
        <w:gridCol w:w="1055"/>
        <w:gridCol w:w="824"/>
        <w:gridCol w:w="1004"/>
      </w:tblGrid>
      <w:tr>
        <w:trPr>
          <w:trHeight w:val="349" w:hRule="exact"/>
        </w:trPr>
        <w:tc>
          <w:tcPr>
            <w:tcW w:w="60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14"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35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9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0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8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100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专利权人</w:t>
            </w:r>
          </w:p>
        </w:tc>
      </w:tr>
      <w:tr>
        <w:trPr>
          <w:trHeight w:val="352"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 w:right="0"/>
              <w:jc w:val="left"/>
              <w:rPr>
                <w:rFonts w:ascii="宋体" w:hAnsi="宋体" w:cs="宋体" w:eastAsia="宋体" w:hint="default"/>
                <w:sz w:val="20"/>
                <w:szCs w:val="20"/>
              </w:rPr>
            </w:pPr>
            <w:r>
              <w:rPr>
                <w:rFonts w:ascii="宋体"/>
                <w:sz w:val="20"/>
              </w:rPr>
              <w:t>201110242446.1</w:t>
            </w:r>
          </w:p>
        </w:tc>
        <w:tc>
          <w:tcPr>
            <w:tcW w:w="35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呼出气体采集装置</w:t>
            </w:r>
          </w:p>
        </w:tc>
        <w:tc>
          <w:tcPr>
            <w:tcW w:w="99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2011-8-23</w:t>
            </w:r>
          </w:p>
        </w:tc>
        <w:tc>
          <w:tcPr>
            <w:tcW w:w="8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10" w:space="0" w:color="000000"/>
              <w:left w:val="single" w:sz="6" w:space="0" w:color="000000"/>
              <w:bottom w:val="single" w:sz="6"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201110281119.7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主动温补型气体探测器及其温补方法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2011-9-21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201110358542.2</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太阳能气体探测器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2011-11-14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201110358537.1</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快速气流气体浓度检测装置及检测方法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2011-11-14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201110372833.7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可变波长气体红外传感器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2011-11-22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60"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sz w:val="20"/>
              </w:rPr>
              <w:t>201110372863.8</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6"/>
                <w:sz w:val="18"/>
                <w:szCs w:val="18"/>
              </w:rPr>
              <w:t>气体探测器及其传感器识别方法和传感器连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接检测方法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2011-11-22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7</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sz w:val="20"/>
              </w:rPr>
              <w:t>201110372831.8</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可燃气体检测仪及其除硫方法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2011-11-22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201110417306.3</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城市地下管网气体检测装置及检测方法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2011-12-14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201110417347.2</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井盖式气体监测装置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2011-12-14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201210102352.9</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三通道红外气体传感器的</w:t>
            </w:r>
            <w:r>
              <w:rPr>
                <w:rFonts w:ascii="宋体" w:hAnsi="宋体" w:cs="宋体" w:eastAsia="宋体" w:hint="default"/>
                <w:sz w:val="18"/>
                <w:szCs w:val="18"/>
              </w:rPr>
              <w:t>CO</w:t>
            </w:r>
            <w:r>
              <w:rPr>
                <w:rFonts w:ascii="宋体" w:hAnsi="宋体" w:cs="宋体" w:eastAsia="宋体" w:hint="default"/>
                <w:sz w:val="18"/>
                <w:szCs w:val="18"/>
              </w:rPr>
              <w:t>气体测量方法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2012-4-10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201210267407.1</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电磁阀控制电路及其电磁阀接入自检方法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2012-7-31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8"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201210267458.4</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电磁阀控制电路及其电磁阀关闭自检方法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2012-7-31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13</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sz w:val="20"/>
              </w:rPr>
              <w:t>201210267377.4</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新型预付费燃气表及其目标气体计量方法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2012-7-31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201210267325.7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目标气体计量燃气表及其目标气体计量方法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2012-7-31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659"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sz w:val="20"/>
              </w:rPr>
              <w:t>201210271086.2</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6"/>
                <w:sz w:val="18"/>
                <w:szCs w:val="18"/>
              </w:rPr>
              <w:t>目标气体计量预付费燃气表及其目标气体计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量方法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2012-7-31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16</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201210328575.7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目标气体计量表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2012-9-7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17</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201320412716.3</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可调节激光气体遥测仪</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2013-7-12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8"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18</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201320412684.7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反射式开路激光气体检测系统</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2013-7-12</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sz w:val="20"/>
              </w:rPr>
              <w:t>201320440932.9</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光电复合缆连接装置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2013-7-24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201320646008.6</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多参数气体检测仪</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2013-10-21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21</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201320645944.5</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低功耗气泵调速控制电路</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2013-10-21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201320884815.1</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呼出气体酒精含量检测仪</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2013-12-31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23</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201320882129.0</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具有开关功能的气体监测装置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2013-12-31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8"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24</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201320883174.8</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车内气体检测和自动开窗装置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2013-12-31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25</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sz w:val="20"/>
              </w:rPr>
              <w:t>201420032406.3</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电池欠压保护电路</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2014-1-20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26</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201330494916.3</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笔式检漏仪</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2013-10-21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27</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201330494903.6</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家用</w:t>
            </w:r>
            <w:r>
              <w:rPr>
                <w:rFonts w:ascii="宋体" w:hAnsi="宋体" w:cs="宋体" w:eastAsia="宋体" w:hint="default"/>
                <w:sz w:val="18"/>
                <w:szCs w:val="18"/>
              </w:rPr>
              <w:t>CO</w:t>
            </w:r>
            <w:r>
              <w:rPr>
                <w:rFonts w:ascii="宋体" w:hAnsi="宋体" w:cs="宋体" w:eastAsia="宋体" w:hint="default"/>
                <w:sz w:val="18"/>
                <w:szCs w:val="18"/>
              </w:rPr>
              <w:t>气体报警器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2013-10-21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28</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201330494917.8</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家用</w:t>
            </w:r>
            <w:r>
              <w:rPr>
                <w:rFonts w:ascii="宋体" w:hAnsi="宋体" w:cs="宋体" w:eastAsia="宋体" w:hint="default"/>
                <w:sz w:val="18"/>
                <w:szCs w:val="18"/>
              </w:rPr>
              <w:t>CH4</w:t>
            </w:r>
            <w:r>
              <w:rPr>
                <w:rFonts w:ascii="宋体" w:hAnsi="宋体" w:cs="宋体" w:eastAsia="宋体" w:hint="default"/>
                <w:sz w:val="18"/>
                <w:szCs w:val="18"/>
              </w:rPr>
              <w:t>气体探测器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2013-10-21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201430226469.8</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点型气体探测器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2014-7-8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汉威电子</w:t>
            </w:r>
          </w:p>
        </w:tc>
      </w:tr>
      <w:tr>
        <w:trPr>
          <w:trHeight w:val="356" w:hRule="exact"/>
        </w:trPr>
        <w:tc>
          <w:tcPr>
            <w:tcW w:w="6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w:t>
            </w: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201010610870.2</w:t>
            </w:r>
          </w:p>
        </w:tc>
        <w:tc>
          <w:tcPr>
            <w:tcW w:w="3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双通道热释电红外传感器</w:t>
            </w:r>
          </w:p>
        </w:tc>
        <w:tc>
          <w:tcPr>
            <w:tcW w:w="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2010-12-29</w:t>
            </w:r>
          </w:p>
        </w:tc>
        <w:tc>
          <w:tcPr>
            <w:tcW w:w="8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炜盛电子</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602"/>
        <w:gridCol w:w="1586"/>
        <w:gridCol w:w="3574"/>
        <w:gridCol w:w="995"/>
        <w:gridCol w:w="1055"/>
        <w:gridCol w:w="824"/>
        <w:gridCol w:w="1004"/>
      </w:tblGrid>
      <w:tr>
        <w:trPr>
          <w:trHeight w:val="355" w:hRule="exact"/>
        </w:trPr>
        <w:tc>
          <w:tcPr>
            <w:tcW w:w="6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31</w:t>
            </w:r>
          </w:p>
        </w:tc>
        <w:tc>
          <w:tcPr>
            <w:tcW w:w="15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sz w:val="20"/>
              </w:rPr>
              <w:t>201110443212.3</w:t>
            </w:r>
          </w:p>
        </w:tc>
        <w:tc>
          <w:tcPr>
            <w:tcW w:w="3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电阻型湿敏元件及其制备方法</w:t>
            </w:r>
          </w:p>
        </w:tc>
        <w:tc>
          <w:tcPr>
            <w:tcW w:w="9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68"/>
              <w:jc w:val="right"/>
              <w:rPr>
                <w:rFonts w:ascii="宋体" w:hAnsi="宋体" w:cs="宋体" w:eastAsia="宋体" w:hint="default"/>
                <w:sz w:val="18"/>
                <w:szCs w:val="18"/>
              </w:rPr>
            </w:pPr>
            <w:r>
              <w:rPr>
                <w:rFonts w:ascii="宋体"/>
                <w:sz w:val="18"/>
              </w:rPr>
              <w:t>2011-12-27</w:t>
            </w:r>
          </w:p>
        </w:tc>
        <w:tc>
          <w:tcPr>
            <w:tcW w:w="8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2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left="133" w:right="0"/>
              <w:jc w:val="left"/>
              <w:rPr>
                <w:rFonts w:ascii="宋体" w:hAnsi="宋体" w:cs="宋体" w:eastAsia="宋体" w:hint="default"/>
                <w:sz w:val="18"/>
                <w:szCs w:val="18"/>
              </w:rPr>
            </w:pPr>
            <w:r>
              <w:rPr>
                <w:rFonts w:ascii="宋体" w:hAnsi="宋体" w:cs="宋体" w:eastAsia="宋体" w:hint="default"/>
                <w:sz w:val="18"/>
                <w:szCs w:val="18"/>
              </w:rPr>
              <w:t>炜盛电子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32</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sz w:val="20"/>
              </w:rPr>
              <w:t>201210211984.9</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电化学</w:t>
            </w:r>
            <w:r>
              <w:rPr>
                <w:rFonts w:ascii="宋体" w:hAnsi="宋体" w:cs="宋体" w:eastAsia="宋体" w:hint="default"/>
                <w:sz w:val="18"/>
                <w:szCs w:val="18"/>
              </w:rPr>
              <w:t>CO</w:t>
            </w:r>
            <w:r>
              <w:rPr>
                <w:rFonts w:ascii="宋体" w:hAnsi="宋体" w:cs="宋体" w:eastAsia="宋体" w:hint="default"/>
                <w:sz w:val="18"/>
                <w:szCs w:val="18"/>
              </w:rPr>
              <w:t>气体传感器及其制备方法</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3" w:right="0"/>
              <w:jc w:val="left"/>
              <w:rPr>
                <w:rFonts w:ascii="宋体" w:hAnsi="宋体" w:cs="宋体" w:eastAsia="宋体" w:hint="default"/>
                <w:sz w:val="18"/>
                <w:szCs w:val="18"/>
              </w:rPr>
            </w:pPr>
            <w:r>
              <w:rPr>
                <w:rFonts w:ascii="宋体"/>
                <w:sz w:val="18"/>
              </w:rPr>
              <w:t>2012-6-26</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133" w:right="0"/>
              <w:jc w:val="left"/>
              <w:rPr>
                <w:rFonts w:ascii="宋体" w:hAnsi="宋体" w:cs="宋体" w:eastAsia="宋体" w:hint="default"/>
                <w:sz w:val="18"/>
                <w:szCs w:val="18"/>
              </w:rPr>
            </w:pPr>
            <w:r>
              <w:rPr>
                <w:rFonts w:ascii="宋体" w:hAnsi="宋体" w:cs="宋体" w:eastAsia="宋体" w:hint="default"/>
                <w:sz w:val="18"/>
                <w:szCs w:val="18"/>
              </w:rPr>
              <w:t>炜盛电子</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33</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201320444067.5</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基于智能手机的测试仪</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 w:right="0"/>
              <w:jc w:val="left"/>
              <w:rPr>
                <w:rFonts w:ascii="宋体" w:hAnsi="宋体" w:cs="宋体" w:eastAsia="宋体" w:hint="default"/>
                <w:sz w:val="18"/>
                <w:szCs w:val="18"/>
              </w:rPr>
            </w:pPr>
            <w:r>
              <w:rPr>
                <w:rFonts w:ascii="宋体"/>
                <w:sz w:val="18"/>
              </w:rPr>
              <w:t>2013-7-24</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炜盛电子</w:t>
            </w:r>
          </w:p>
        </w:tc>
      </w:tr>
      <w:tr>
        <w:trPr>
          <w:trHeight w:val="659"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34</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sz w:val="20"/>
              </w:rPr>
              <w:t>201420371588.7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5"/>
              <w:jc w:val="left"/>
              <w:rPr>
                <w:rFonts w:ascii="宋体" w:hAnsi="宋体" w:cs="宋体" w:eastAsia="宋体" w:hint="default"/>
                <w:sz w:val="18"/>
                <w:szCs w:val="18"/>
              </w:rPr>
            </w:pPr>
            <w:r>
              <w:rPr>
                <w:rFonts w:ascii="宋体" w:hAnsi="宋体" w:cs="宋体" w:eastAsia="宋体" w:hint="default"/>
                <w:spacing w:val="6"/>
                <w:sz w:val="18"/>
                <w:szCs w:val="18"/>
              </w:rPr>
              <w:t>用于甲烷气体传感器信号处理的正反馈处理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电路</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9" w:right="0"/>
              <w:jc w:val="left"/>
              <w:rPr>
                <w:rFonts w:ascii="宋体" w:hAnsi="宋体" w:cs="宋体" w:eastAsia="宋体" w:hint="default"/>
                <w:sz w:val="18"/>
                <w:szCs w:val="18"/>
              </w:rPr>
            </w:pPr>
            <w:r>
              <w:rPr>
                <w:rFonts w:ascii="宋体"/>
                <w:sz w:val="18"/>
              </w:rPr>
              <w:t>2014-7-8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创威煤安</w:t>
            </w:r>
          </w:p>
        </w:tc>
      </w:tr>
      <w:tr>
        <w:trPr>
          <w:trHeight w:val="659"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35</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sz w:val="20"/>
              </w:rPr>
              <w:t>201420373314.1</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用于气体传感器的可关断自控型</w:t>
            </w:r>
            <w:r>
              <w:rPr>
                <w:rFonts w:ascii="宋体" w:hAnsi="宋体" w:cs="宋体" w:eastAsia="宋体" w:hint="default"/>
                <w:sz w:val="18"/>
                <w:szCs w:val="18"/>
              </w:rPr>
              <w:t>PWM</w:t>
            </w:r>
            <w:r>
              <w:rPr>
                <w:rFonts w:ascii="宋体" w:hAnsi="宋体" w:cs="宋体" w:eastAsia="宋体" w:hint="default"/>
                <w:sz w:val="18"/>
                <w:szCs w:val="18"/>
              </w:rPr>
              <w:t>波控制电</w:t>
            </w:r>
            <w:r>
              <w:rPr>
                <w:rFonts w:ascii="宋体" w:hAnsi="宋体" w:cs="宋体" w:eastAsia="宋体" w:hint="default"/>
                <w:spacing w:val="-53"/>
                <w:sz w:val="18"/>
                <w:szCs w:val="18"/>
              </w:rPr>
              <w:t> </w:t>
            </w:r>
            <w:r>
              <w:rPr>
                <w:rFonts w:ascii="宋体" w:hAnsi="宋体" w:cs="宋体" w:eastAsia="宋体" w:hint="default"/>
                <w:sz w:val="18"/>
                <w:szCs w:val="18"/>
              </w:rPr>
              <w:t>源电路</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9" w:right="0"/>
              <w:jc w:val="left"/>
              <w:rPr>
                <w:rFonts w:ascii="宋体" w:hAnsi="宋体" w:cs="宋体" w:eastAsia="宋体" w:hint="default"/>
                <w:sz w:val="18"/>
                <w:szCs w:val="18"/>
              </w:rPr>
            </w:pPr>
            <w:r>
              <w:rPr>
                <w:rFonts w:ascii="宋体"/>
                <w:sz w:val="18"/>
              </w:rPr>
              <w:t>2014-7-8</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创威煤安</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36</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201320687563.3</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一种蓄热式热力焚烧炉结构</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68"/>
              <w:jc w:val="right"/>
              <w:rPr>
                <w:rFonts w:ascii="宋体" w:hAnsi="宋体" w:cs="宋体" w:eastAsia="宋体" w:hint="default"/>
                <w:sz w:val="20"/>
                <w:szCs w:val="20"/>
              </w:rPr>
            </w:pPr>
            <w:r>
              <w:rPr>
                <w:rFonts w:ascii="宋体"/>
                <w:spacing w:val="-1"/>
                <w:sz w:val="20"/>
              </w:rPr>
              <w:t>2013-11-1</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left="92"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348"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37</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201320893969.7</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一种有机废气除尘装置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9"/>
              <w:jc w:val="right"/>
              <w:rPr>
                <w:rFonts w:ascii="宋体" w:hAnsi="宋体" w:cs="宋体" w:eastAsia="宋体" w:hint="default"/>
                <w:sz w:val="20"/>
                <w:szCs w:val="20"/>
              </w:rPr>
            </w:pPr>
            <w:r>
              <w:rPr>
                <w:rFonts w:ascii="宋体"/>
                <w:spacing w:val="-1"/>
                <w:sz w:val="20"/>
              </w:rPr>
              <w:t>2013-12-31</w:t>
            </w:r>
            <w:r>
              <w:rPr>
                <w:rFonts w:ascii="宋体"/>
                <w:sz w:val="20"/>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left="92" w:right="0"/>
              <w:jc w:val="left"/>
              <w:rPr>
                <w:rFonts w:ascii="宋体" w:hAnsi="宋体" w:cs="宋体" w:eastAsia="宋体" w:hint="default"/>
                <w:sz w:val="20"/>
                <w:szCs w:val="20"/>
              </w:rPr>
            </w:pPr>
            <w:r>
              <w:rPr>
                <w:rFonts w:ascii="宋体" w:hAnsi="宋体" w:cs="宋体" w:eastAsia="宋体" w:hint="default"/>
                <w:sz w:val="20"/>
                <w:szCs w:val="20"/>
              </w:rPr>
              <w:t>嘉园环保</w:t>
            </w:r>
          </w:p>
        </w:tc>
      </w:tr>
      <w:tr>
        <w:trPr>
          <w:trHeight w:val="971"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38</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0"/>
                <w:szCs w:val="20"/>
              </w:rPr>
            </w:pPr>
            <w:r>
              <w:rPr>
                <w:rFonts w:ascii="宋体"/>
                <w:sz w:val="20"/>
              </w:rPr>
              <w:t>201320763610.8</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一种污水的膜处理设备辅助架</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20"/>
                <w:szCs w:val="20"/>
              </w:rPr>
            </w:pPr>
            <w:r>
              <w:rPr>
                <w:rFonts w:ascii="宋体"/>
                <w:spacing w:val="-1"/>
                <w:sz w:val="20"/>
              </w:rPr>
              <w:t>2013-11-27</w:t>
            </w:r>
            <w:r>
              <w:rPr>
                <w:rFonts w:ascii="宋体"/>
                <w:sz w:val="20"/>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4"/>
              <w:ind w:left="2" w:right="-3"/>
              <w:jc w:val="both"/>
              <w:rPr>
                <w:rFonts w:ascii="宋体" w:hAnsi="宋体" w:cs="宋体" w:eastAsia="宋体" w:hint="default"/>
                <w:sz w:val="20"/>
                <w:szCs w:val="20"/>
              </w:rPr>
            </w:pPr>
            <w:r>
              <w:rPr>
                <w:rFonts w:ascii="宋体" w:hAnsi="宋体" w:cs="宋体" w:eastAsia="宋体" w:hint="default"/>
                <w:sz w:val="20"/>
                <w:szCs w:val="20"/>
              </w:rPr>
              <w:t>福</w:t>
            </w:r>
            <w:r>
              <w:rPr>
                <w:rFonts w:ascii="宋体" w:hAnsi="宋体" w:cs="宋体" w:eastAsia="宋体" w:hint="default"/>
                <w:spacing w:val="-41"/>
                <w:sz w:val="20"/>
                <w:szCs w:val="20"/>
              </w:rPr>
              <w:t> </w:t>
            </w:r>
            <w:r>
              <w:rPr>
                <w:rFonts w:ascii="宋体" w:hAnsi="宋体" w:cs="宋体" w:eastAsia="宋体" w:hint="default"/>
                <w:sz w:val="20"/>
                <w:szCs w:val="20"/>
              </w:rPr>
              <w:t>建</w:t>
            </w:r>
            <w:r>
              <w:rPr>
                <w:rFonts w:ascii="宋体" w:hAnsi="宋体" w:cs="宋体" w:eastAsia="宋体" w:hint="default"/>
                <w:spacing w:val="-40"/>
                <w:sz w:val="20"/>
                <w:szCs w:val="20"/>
              </w:rPr>
              <w:t> </w:t>
            </w:r>
            <w:r>
              <w:rPr>
                <w:rFonts w:ascii="宋体" w:hAnsi="宋体" w:cs="宋体" w:eastAsia="宋体" w:hint="default"/>
                <w:sz w:val="20"/>
                <w:szCs w:val="20"/>
              </w:rPr>
              <w:t>恒</w:t>
            </w:r>
            <w:r>
              <w:rPr>
                <w:rFonts w:ascii="宋体" w:hAnsi="宋体" w:cs="宋体" w:eastAsia="宋体" w:hint="default"/>
                <w:spacing w:val="-41"/>
                <w:sz w:val="20"/>
                <w:szCs w:val="20"/>
              </w:rPr>
              <w:t> </w:t>
            </w:r>
            <w:r>
              <w:rPr>
                <w:rFonts w:ascii="宋体" w:hAnsi="宋体" w:cs="宋体" w:eastAsia="宋体" w:hint="default"/>
                <w:sz w:val="20"/>
                <w:szCs w:val="20"/>
              </w:rPr>
              <w:t>嘉</w:t>
            </w:r>
            <w:r>
              <w:rPr>
                <w:rFonts w:ascii="宋体" w:hAnsi="宋体" w:cs="宋体" w:eastAsia="宋体" w:hint="default"/>
                <w:w w:val="100"/>
                <w:sz w:val="20"/>
                <w:szCs w:val="20"/>
              </w:rPr>
              <w:t> </w:t>
            </w:r>
            <w:r>
              <w:rPr>
                <w:rFonts w:ascii="宋体" w:hAnsi="宋体" w:cs="宋体" w:eastAsia="宋体" w:hint="default"/>
                <w:sz w:val="20"/>
                <w:szCs w:val="20"/>
              </w:rPr>
              <w:t>环</w:t>
            </w:r>
            <w:r>
              <w:rPr>
                <w:rFonts w:ascii="宋体" w:hAnsi="宋体" w:cs="宋体" w:eastAsia="宋体" w:hint="default"/>
                <w:spacing w:val="-41"/>
                <w:sz w:val="20"/>
                <w:szCs w:val="20"/>
              </w:rPr>
              <w:t> </w:t>
            </w:r>
            <w:r>
              <w:rPr>
                <w:rFonts w:ascii="宋体" w:hAnsi="宋体" w:cs="宋体" w:eastAsia="宋体" w:hint="default"/>
                <w:sz w:val="20"/>
                <w:szCs w:val="20"/>
              </w:rPr>
              <w:t>保</w:t>
            </w:r>
            <w:r>
              <w:rPr>
                <w:rFonts w:ascii="宋体" w:hAnsi="宋体" w:cs="宋体" w:eastAsia="宋体" w:hint="default"/>
                <w:spacing w:val="-40"/>
                <w:sz w:val="20"/>
                <w:szCs w:val="20"/>
              </w:rPr>
              <w:t> </w:t>
            </w:r>
            <w:r>
              <w:rPr>
                <w:rFonts w:ascii="宋体" w:hAnsi="宋体" w:cs="宋体" w:eastAsia="宋体" w:hint="default"/>
                <w:sz w:val="20"/>
                <w:szCs w:val="20"/>
              </w:rPr>
              <w:t>设</w:t>
            </w:r>
            <w:r>
              <w:rPr>
                <w:rFonts w:ascii="宋体" w:hAnsi="宋体" w:cs="宋体" w:eastAsia="宋体" w:hint="default"/>
                <w:spacing w:val="-41"/>
                <w:sz w:val="20"/>
                <w:szCs w:val="20"/>
              </w:rPr>
              <w:t> </w:t>
            </w:r>
            <w:r>
              <w:rPr>
                <w:rFonts w:ascii="宋体" w:hAnsi="宋体" w:cs="宋体" w:eastAsia="宋体" w:hint="default"/>
                <w:sz w:val="20"/>
                <w:szCs w:val="20"/>
              </w:rPr>
              <w:t>备</w:t>
            </w:r>
            <w:r>
              <w:rPr>
                <w:rFonts w:ascii="宋体" w:hAnsi="宋体" w:cs="宋体" w:eastAsia="宋体" w:hint="default"/>
                <w:w w:val="100"/>
                <w:sz w:val="20"/>
                <w:szCs w:val="20"/>
              </w:rPr>
              <w:t> </w:t>
            </w:r>
            <w:r>
              <w:rPr>
                <w:rFonts w:ascii="宋体" w:hAnsi="宋体" w:cs="宋体" w:eastAsia="宋体" w:hint="default"/>
                <w:sz w:val="20"/>
                <w:szCs w:val="20"/>
              </w:rPr>
              <w:t>有限公司</w:t>
            </w:r>
          </w:p>
        </w:tc>
      </w:tr>
      <w:tr>
        <w:trPr>
          <w:trHeight w:val="971"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39</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0"/>
                <w:szCs w:val="20"/>
              </w:rPr>
            </w:pPr>
            <w:r>
              <w:rPr>
                <w:rFonts w:ascii="宋体"/>
                <w:sz w:val="20"/>
              </w:rPr>
              <w:t>201320798059.0</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一种高效节能的冷凝装置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68"/>
              <w:jc w:val="right"/>
              <w:rPr>
                <w:rFonts w:ascii="宋体" w:hAnsi="宋体" w:cs="宋体" w:eastAsia="宋体" w:hint="default"/>
                <w:sz w:val="20"/>
                <w:szCs w:val="20"/>
              </w:rPr>
            </w:pPr>
            <w:r>
              <w:rPr>
                <w:rFonts w:ascii="宋体"/>
                <w:spacing w:val="-1"/>
                <w:sz w:val="20"/>
              </w:rPr>
              <w:t>2013-12-6</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85" w:lineRule="auto" w:before="5"/>
              <w:ind w:left="2" w:right="-3"/>
              <w:jc w:val="both"/>
              <w:rPr>
                <w:rFonts w:ascii="宋体" w:hAnsi="宋体" w:cs="宋体" w:eastAsia="宋体" w:hint="default"/>
                <w:sz w:val="20"/>
                <w:szCs w:val="20"/>
              </w:rPr>
            </w:pPr>
            <w:r>
              <w:rPr>
                <w:rFonts w:ascii="宋体" w:hAnsi="宋体" w:cs="宋体" w:eastAsia="宋体" w:hint="default"/>
                <w:sz w:val="20"/>
                <w:szCs w:val="20"/>
              </w:rPr>
              <w:t>福</w:t>
            </w:r>
            <w:r>
              <w:rPr>
                <w:rFonts w:ascii="宋体" w:hAnsi="宋体" w:cs="宋体" w:eastAsia="宋体" w:hint="default"/>
                <w:spacing w:val="-41"/>
                <w:sz w:val="20"/>
                <w:szCs w:val="20"/>
              </w:rPr>
              <w:t> </w:t>
            </w:r>
            <w:r>
              <w:rPr>
                <w:rFonts w:ascii="宋体" w:hAnsi="宋体" w:cs="宋体" w:eastAsia="宋体" w:hint="default"/>
                <w:sz w:val="20"/>
                <w:szCs w:val="20"/>
              </w:rPr>
              <w:t>建</w:t>
            </w:r>
            <w:r>
              <w:rPr>
                <w:rFonts w:ascii="宋体" w:hAnsi="宋体" w:cs="宋体" w:eastAsia="宋体" w:hint="default"/>
                <w:spacing w:val="-40"/>
                <w:sz w:val="20"/>
                <w:szCs w:val="20"/>
              </w:rPr>
              <w:t> </w:t>
            </w:r>
            <w:r>
              <w:rPr>
                <w:rFonts w:ascii="宋体" w:hAnsi="宋体" w:cs="宋体" w:eastAsia="宋体" w:hint="default"/>
                <w:sz w:val="20"/>
                <w:szCs w:val="20"/>
              </w:rPr>
              <w:t>恒</w:t>
            </w:r>
            <w:r>
              <w:rPr>
                <w:rFonts w:ascii="宋体" w:hAnsi="宋体" w:cs="宋体" w:eastAsia="宋体" w:hint="default"/>
                <w:spacing w:val="-41"/>
                <w:sz w:val="20"/>
                <w:szCs w:val="20"/>
              </w:rPr>
              <w:t> </w:t>
            </w:r>
            <w:r>
              <w:rPr>
                <w:rFonts w:ascii="宋体" w:hAnsi="宋体" w:cs="宋体" w:eastAsia="宋体" w:hint="default"/>
                <w:sz w:val="20"/>
                <w:szCs w:val="20"/>
              </w:rPr>
              <w:t>嘉</w:t>
            </w:r>
            <w:r>
              <w:rPr>
                <w:rFonts w:ascii="宋体" w:hAnsi="宋体" w:cs="宋体" w:eastAsia="宋体" w:hint="default"/>
                <w:w w:val="100"/>
                <w:sz w:val="20"/>
                <w:szCs w:val="20"/>
              </w:rPr>
              <w:t> </w:t>
            </w:r>
            <w:r>
              <w:rPr>
                <w:rFonts w:ascii="宋体" w:hAnsi="宋体" w:cs="宋体" w:eastAsia="宋体" w:hint="default"/>
                <w:sz w:val="20"/>
                <w:szCs w:val="20"/>
              </w:rPr>
              <w:t>环</w:t>
            </w:r>
            <w:r>
              <w:rPr>
                <w:rFonts w:ascii="宋体" w:hAnsi="宋体" w:cs="宋体" w:eastAsia="宋体" w:hint="default"/>
                <w:spacing w:val="-41"/>
                <w:sz w:val="20"/>
                <w:szCs w:val="20"/>
              </w:rPr>
              <w:t> </w:t>
            </w:r>
            <w:r>
              <w:rPr>
                <w:rFonts w:ascii="宋体" w:hAnsi="宋体" w:cs="宋体" w:eastAsia="宋体" w:hint="default"/>
                <w:sz w:val="20"/>
                <w:szCs w:val="20"/>
              </w:rPr>
              <w:t>保</w:t>
            </w:r>
            <w:r>
              <w:rPr>
                <w:rFonts w:ascii="宋体" w:hAnsi="宋体" w:cs="宋体" w:eastAsia="宋体" w:hint="default"/>
                <w:spacing w:val="-40"/>
                <w:sz w:val="20"/>
                <w:szCs w:val="20"/>
              </w:rPr>
              <w:t> </w:t>
            </w:r>
            <w:r>
              <w:rPr>
                <w:rFonts w:ascii="宋体" w:hAnsi="宋体" w:cs="宋体" w:eastAsia="宋体" w:hint="default"/>
                <w:sz w:val="20"/>
                <w:szCs w:val="20"/>
              </w:rPr>
              <w:t>设</w:t>
            </w:r>
            <w:r>
              <w:rPr>
                <w:rFonts w:ascii="宋体" w:hAnsi="宋体" w:cs="宋体" w:eastAsia="宋体" w:hint="default"/>
                <w:spacing w:val="-41"/>
                <w:sz w:val="20"/>
                <w:szCs w:val="20"/>
              </w:rPr>
              <w:t> </w:t>
            </w:r>
            <w:r>
              <w:rPr>
                <w:rFonts w:ascii="宋体" w:hAnsi="宋体" w:cs="宋体" w:eastAsia="宋体" w:hint="default"/>
                <w:sz w:val="20"/>
                <w:szCs w:val="20"/>
              </w:rPr>
              <w:t>备</w:t>
            </w:r>
            <w:r>
              <w:rPr>
                <w:rFonts w:ascii="宋体" w:hAnsi="宋体" w:cs="宋体" w:eastAsia="宋体" w:hint="default"/>
                <w:w w:val="100"/>
                <w:sz w:val="20"/>
                <w:szCs w:val="20"/>
              </w:rPr>
              <w:t> </w:t>
            </w:r>
            <w:r>
              <w:rPr>
                <w:rFonts w:ascii="宋体" w:hAnsi="宋体" w:cs="宋体" w:eastAsia="宋体" w:hint="default"/>
                <w:sz w:val="20"/>
                <w:szCs w:val="20"/>
              </w:rPr>
              <w:t>有限公司</w:t>
            </w:r>
          </w:p>
        </w:tc>
      </w:tr>
      <w:tr>
        <w:trPr>
          <w:trHeight w:val="347" w:hRule="exact"/>
        </w:trPr>
        <w:tc>
          <w:tcPr>
            <w:tcW w:w="6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40</w:t>
            </w:r>
          </w:p>
        </w:tc>
        <w:tc>
          <w:tcPr>
            <w:tcW w:w="1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sz w:val="20"/>
              </w:rPr>
              <w:t>201320577640.X</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一种螺旋气柜测高仪</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68"/>
              <w:jc w:val="right"/>
              <w:rPr>
                <w:rFonts w:ascii="宋体" w:hAnsi="宋体" w:cs="宋体" w:eastAsia="宋体" w:hint="default"/>
                <w:sz w:val="20"/>
                <w:szCs w:val="20"/>
              </w:rPr>
            </w:pPr>
            <w:r>
              <w:rPr>
                <w:rFonts w:ascii="宋体"/>
                <w:spacing w:val="-1"/>
                <w:sz w:val="20"/>
              </w:rPr>
              <w:t>2013-9-17</w:t>
            </w:r>
            <w:r>
              <w:rPr>
                <w:rFonts w:ascii="宋体"/>
                <w:sz w:val="20"/>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0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left="92" w:right="0"/>
              <w:jc w:val="left"/>
              <w:rPr>
                <w:rFonts w:ascii="宋体" w:hAnsi="宋体" w:cs="宋体" w:eastAsia="宋体" w:hint="default"/>
                <w:sz w:val="20"/>
                <w:szCs w:val="20"/>
              </w:rPr>
            </w:pPr>
            <w:r>
              <w:rPr>
                <w:rFonts w:ascii="宋体" w:hAnsi="宋体" w:cs="宋体" w:eastAsia="宋体" w:hint="default"/>
                <w:sz w:val="20"/>
                <w:szCs w:val="20"/>
              </w:rPr>
              <w:t>鞍山易兴</w:t>
            </w:r>
          </w:p>
        </w:tc>
      </w:tr>
      <w:tr>
        <w:trPr>
          <w:trHeight w:val="667" w:hRule="exact"/>
        </w:trPr>
        <w:tc>
          <w:tcPr>
            <w:tcW w:w="6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41</w:t>
            </w: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2" w:right="0"/>
              <w:jc w:val="left"/>
              <w:rPr>
                <w:rFonts w:ascii="宋体" w:hAnsi="宋体" w:cs="宋体" w:eastAsia="宋体" w:hint="default"/>
                <w:sz w:val="20"/>
                <w:szCs w:val="20"/>
              </w:rPr>
            </w:pPr>
            <w:r>
              <w:rPr>
                <w:rFonts w:ascii="宋体"/>
                <w:sz w:val="20"/>
              </w:rPr>
              <w:t>201420275175.9</w:t>
            </w:r>
          </w:p>
        </w:tc>
        <w:tc>
          <w:tcPr>
            <w:tcW w:w="3574"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2" w:right="3"/>
              <w:jc w:val="left"/>
              <w:rPr>
                <w:rFonts w:ascii="宋体" w:hAnsi="宋体" w:cs="宋体" w:eastAsia="宋体" w:hint="default"/>
                <w:sz w:val="20"/>
                <w:szCs w:val="20"/>
              </w:rPr>
            </w:pPr>
            <w:r>
              <w:rPr>
                <w:rFonts w:ascii="宋体" w:hAnsi="宋体" w:cs="宋体" w:eastAsia="宋体" w:hint="default"/>
                <w:spacing w:val="7"/>
                <w:sz w:val="20"/>
                <w:szCs w:val="20"/>
              </w:rPr>
              <w:t>一种用于天然气长输管线的带视频监控</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的阀门控制系统</w:t>
            </w:r>
          </w:p>
        </w:tc>
        <w:tc>
          <w:tcPr>
            <w:tcW w:w="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1" w:right="0"/>
              <w:jc w:val="center"/>
              <w:rPr>
                <w:rFonts w:ascii="宋体" w:hAnsi="宋体" w:cs="宋体" w:eastAsia="宋体" w:hint="default"/>
                <w:sz w:val="20"/>
                <w:szCs w:val="20"/>
              </w:rPr>
            </w:pPr>
            <w:r>
              <w:rPr>
                <w:rFonts w:ascii="宋体" w:hAnsi="宋体" w:cs="宋体" w:eastAsia="宋体" w:hint="default"/>
                <w:sz w:val="20"/>
                <w:szCs w:val="20"/>
              </w:rPr>
              <w:t>实用新型</w:t>
            </w:r>
          </w:p>
        </w:tc>
        <w:tc>
          <w:tcPr>
            <w:tcW w:w="10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right="68"/>
              <w:jc w:val="right"/>
              <w:rPr>
                <w:rFonts w:ascii="宋体" w:hAnsi="宋体" w:cs="宋体" w:eastAsia="宋体" w:hint="default"/>
                <w:sz w:val="20"/>
                <w:szCs w:val="20"/>
              </w:rPr>
            </w:pPr>
            <w:r>
              <w:rPr>
                <w:rFonts w:ascii="宋体"/>
                <w:spacing w:val="-1"/>
                <w:sz w:val="20"/>
              </w:rPr>
              <w:t>2014-5-27</w:t>
            </w:r>
            <w:r>
              <w:rPr>
                <w:rFonts w:ascii="宋体"/>
                <w:sz w:val="20"/>
              </w:rPr>
            </w:r>
          </w:p>
        </w:tc>
        <w:tc>
          <w:tcPr>
            <w:tcW w:w="8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205"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z w:val="20"/>
                <w:szCs w:val="20"/>
              </w:rPr>
              <w:t>年</w:t>
            </w:r>
          </w:p>
        </w:tc>
        <w:tc>
          <w:tcPr>
            <w:tcW w:w="10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1"/>
              <w:ind w:left="92" w:right="0"/>
              <w:jc w:val="left"/>
              <w:rPr>
                <w:rFonts w:ascii="宋体" w:hAnsi="宋体" w:cs="宋体" w:eastAsia="宋体" w:hint="default"/>
                <w:sz w:val="20"/>
                <w:szCs w:val="20"/>
              </w:rPr>
            </w:pPr>
            <w:r>
              <w:rPr>
                <w:rFonts w:ascii="宋体" w:hAnsi="宋体" w:cs="宋体" w:eastAsia="宋体" w:hint="default"/>
                <w:sz w:val="20"/>
                <w:szCs w:val="20"/>
              </w:rPr>
              <w:t>鞍山易兴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）报告期内，公司及子公司新增商标情况如下：</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67"/>
        <w:gridCol w:w="857"/>
        <w:gridCol w:w="991"/>
        <w:gridCol w:w="4316"/>
        <w:gridCol w:w="1923"/>
        <w:gridCol w:w="1001"/>
      </w:tblGrid>
      <w:tr>
        <w:trPr>
          <w:trHeight w:val="434" w:hRule="exact"/>
        </w:trPr>
        <w:tc>
          <w:tcPr>
            <w:tcW w:w="56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85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61" w:right="0"/>
              <w:jc w:val="left"/>
              <w:rPr>
                <w:rFonts w:ascii="宋体" w:hAnsi="宋体" w:cs="宋体" w:eastAsia="宋体" w:hint="default"/>
                <w:sz w:val="18"/>
                <w:szCs w:val="18"/>
              </w:rPr>
            </w:pPr>
            <w:r>
              <w:rPr>
                <w:rFonts w:ascii="宋体" w:hAnsi="宋体" w:cs="宋体" w:eastAsia="宋体" w:hint="default"/>
                <w:sz w:val="18"/>
                <w:szCs w:val="18"/>
              </w:rPr>
              <w:t>注册商标</w:t>
            </w:r>
          </w:p>
        </w:tc>
        <w:tc>
          <w:tcPr>
            <w:tcW w:w="9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216"/>
              <w:jc w:val="right"/>
              <w:rPr>
                <w:rFonts w:ascii="宋体" w:hAnsi="宋体" w:cs="宋体" w:eastAsia="宋体" w:hint="default"/>
                <w:sz w:val="18"/>
                <w:szCs w:val="18"/>
              </w:rPr>
            </w:pPr>
            <w:r>
              <w:rPr>
                <w:rFonts w:ascii="宋体" w:hAnsi="宋体" w:cs="宋体" w:eastAsia="宋体" w:hint="default"/>
                <w:sz w:val="18"/>
                <w:szCs w:val="18"/>
              </w:rPr>
              <w:t>商标号</w:t>
            </w:r>
          </w:p>
        </w:tc>
        <w:tc>
          <w:tcPr>
            <w:tcW w:w="43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430" w:right="0"/>
              <w:jc w:val="left"/>
              <w:rPr>
                <w:rFonts w:ascii="宋体" w:hAnsi="宋体" w:cs="宋体" w:eastAsia="宋体" w:hint="default"/>
                <w:sz w:val="18"/>
                <w:szCs w:val="18"/>
              </w:rPr>
            </w:pPr>
            <w:r>
              <w:rPr>
                <w:rFonts w:ascii="宋体" w:hAnsi="宋体" w:cs="宋体" w:eastAsia="宋体" w:hint="default"/>
                <w:sz w:val="18"/>
                <w:szCs w:val="18"/>
              </w:rPr>
              <w:t>核准具体使用商品</w:t>
            </w:r>
          </w:p>
        </w:tc>
        <w:tc>
          <w:tcPr>
            <w:tcW w:w="19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有效期限</w:t>
            </w:r>
          </w:p>
        </w:tc>
        <w:tc>
          <w:tcPr>
            <w:tcW w:w="10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注册人</w:t>
            </w:r>
          </w:p>
        </w:tc>
      </w:tr>
      <w:tr>
        <w:trPr>
          <w:trHeight w:val="1364" w:hRule="exact"/>
        </w:trPr>
        <w:tc>
          <w:tcPr>
            <w:tcW w:w="5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sz w:val="18"/>
              </w:rPr>
              <w:t>ExFas</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52"/>
              <w:jc w:val="right"/>
              <w:rPr>
                <w:rFonts w:ascii="宋体" w:hAnsi="宋体" w:cs="宋体" w:eastAsia="宋体" w:hint="default"/>
                <w:sz w:val="18"/>
                <w:szCs w:val="18"/>
              </w:rPr>
            </w:pPr>
            <w:r>
              <w:rPr>
                <w:rFonts w:ascii="宋体"/>
                <w:sz w:val="18"/>
              </w:rPr>
              <w:t>11290516</w:t>
            </w:r>
          </w:p>
        </w:tc>
        <w:tc>
          <w:tcPr>
            <w:tcW w:w="43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3"/>
              <w:jc w:val="both"/>
              <w:rPr>
                <w:rFonts w:ascii="宋体" w:hAnsi="宋体" w:cs="宋体" w:eastAsia="宋体" w:hint="default"/>
                <w:sz w:val="18"/>
                <w:szCs w:val="18"/>
              </w:rPr>
            </w:pPr>
            <w:r>
              <w:rPr>
                <w:rFonts w:ascii="宋体" w:hAnsi="宋体" w:cs="宋体" w:eastAsia="宋体" w:hint="default"/>
                <w:spacing w:val="2"/>
                <w:sz w:val="18"/>
                <w:szCs w:val="18"/>
              </w:rPr>
              <w:t>第</w:t>
            </w:r>
            <w:r>
              <w:rPr>
                <w:rFonts w:ascii="宋体" w:hAnsi="宋体" w:cs="宋体" w:eastAsia="宋体" w:hint="default"/>
                <w:spacing w:val="2"/>
                <w:sz w:val="18"/>
                <w:szCs w:val="18"/>
              </w:rPr>
              <w:t>9</w:t>
            </w:r>
            <w:r>
              <w:rPr>
                <w:rFonts w:ascii="宋体" w:hAnsi="宋体" w:cs="宋体" w:eastAsia="宋体" w:hint="default"/>
                <w:spacing w:val="2"/>
                <w:sz w:val="18"/>
                <w:szCs w:val="18"/>
              </w:rPr>
              <w:t>类。探测器；测量装置；计量仪表；光学器械和仪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器；传感器；灭火设备；</w:t>
            </w:r>
            <w:r>
              <w:rPr>
                <w:rFonts w:ascii="宋体" w:hAnsi="宋体" w:cs="宋体" w:eastAsia="宋体" w:hint="default"/>
                <w:spacing w:val="8"/>
                <w:sz w:val="18"/>
                <w:szCs w:val="18"/>
              </w:rPr>
              <w:t> </w:t>
            </w:r>
            <w:r>
              <w:rPr>
                <w:rFonts w:ascii="宋体" w:hAnsi="宋体" w:cs="宋体" w:eastAsia="宋体" w:hint="default"/>
                <w:spacing w:val="2"/>
                <w:sz w:val="18"/>
                <w:szCs w:val="18"/>
              </w:rPr>
              <w:t>灭火洒水系统；个人用防事</w:t>
            </w:r>
            <w:r>
              <w:rPr>
                <w:rFonts w:ascii="宋体" w:hAnsi="宋体" w:cs="宋体" w:eastAsia="宋体" w:hint="default"/>
                <w:sz w:val="18"/>
                <w:szCs w:val="18"/>
              </w:rPr>
              <w:t> </w:t>
            </w:r>
            <w:r>
              <w:rPr>
                <w:rFonts w:ascii="宋体" w:hAnsi="宋体" w:cs="宋体" w:eastAsia="宋体" w:hint="default"/>
                <w:spacing w:val="2"/>
                <w:sz w:val="18"/>
                <w:szCs w:val="18"/>
              </w:rPr>
              <w:t>故装置；防事故、防辐射和防火服装；</w:t>
            </w:r>
            <w:r>
              <w:rPr>
                <w:rFonts w:ascii="宋体" w:hAnsi="宋体" w:cs="宋体" w:eastAsia="宋体" w:hint="default"/>
                <w:spacing w:val="19"/>
                <w:sz w:val="18"/>
                <w:szCs w:val="18"/>
              </w:rPr>
              <w:t> </w:t>
            </w:r>
            <w:r>
              <w:rPr>
                <w:rFonts w:ascii="宋体" w:hAnsi="宋体" w:cs="宋体" w:eastAsia="宋体" w:hint="default"/>
                <w:sz w:val="18"/>
                <w:szCs w:val="18"/>
              </w:rPr>
              <w:t>声音警报器；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报警器；报警电铃； 警笛；火灾报警器；烟雾探测器</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1"/>
              <w:jc w:val="center"/>
              <w:rPr>
                <w:rFonts w:ascii="宋体" w:hAnsi="宋体" w:cs="宋体" w:eastAsia="宋体" w:hint="default"/>
                <w:sz w:val="18"/>
                <w:szCs w:val="18"/>
              </w:rPr>
            </w:pPr>
            <w:r>
              <w:rPr>
                <w:rFonts w:ascii="宋体"/>
                <w:sz w:val="18"/>
              </w:rPr>
              <w:t>2013.12.28-2023.12.27</w:t>
            </w:r>
          </w:p>
        </w:tc>
        <w:tc>
          <w:tcPr>
            <w:tcW w:w="10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上海英森</w:t>
            </w:r>
          </w:p>
        </w:tc>
      </w:tr>
      <w:tr>
        <w:trPr>
          <w:trHeight w:val="1059" w:hRule="exact"/>
        </w:trPr>
        <w:tc>
          <w:tcPr>
            <w:tcW w:w="5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sz w:val="18"/>
              </w:rPr>
              <w:t>2</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sz w:val="18"/>
              </w:rPr>
              <w:t>NTMOS</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52"/>
              <w:jc w:val="right"/>
              <w:rPr>
                <w:rFonts w:ascii="宋体" w:hAnsi="宋体" w:cs="宋体" w:eastAsia="宋体" w:hint="default"/>
                <w:sz w:val="18"/>
                <w:szCs w:val="18"/>
              </w:rPr>
            </w:pPr>
            <w:r>
              <w:rPr>
                <w:rFonts w:ascii="宋体"/>
                <w:sz w:val="18"/>
              </w:rPr>
              <w:t>11368093</w:t>
            </w:r>
          </w:p>
        </w:tc>
        <w:tc>
          <w:tcPr>
            <w:tcW w:w="431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2"/>
              <w:ind w:left="3" w:right="1"/>
              <w:jc w:val="both"/>
              <w:rPr>
                <w:rFonts w:ascii="宋体" w:hAnsi="宋体" w:cs="宋体" w:eastAsia="宋体" w:hint="default"/>
                <w:sz w:val="18"/>
                <w:szCs w:val="18"/>
              </w:rPr>
            </w:pPr>
            <w:r>
              <w:rPr>
                <w:rFonts w:ascii="宋体" w:hAnsi="宋体" w:cs="宋体" w:eastAsia="宋体" w:hint="default"/>
                <w:spacing w:val="2"/>
                <w:sz w:val="18"/>
                <w:szCs w:val="18"/>
              </w:rPr>
              <w:t>第</w:t>
            </w:r>
            <w:r>
              <w:rPr>
                <w:rFonts w:ascii="宋体" w:hAnsi="宋体" w:cs="宋体" w:eastAsia="宋体" w:hint="default"/>
                <w:spacing w:val="2"/>
                <w:sz w:val="18"/>
                <w:szCs w:val="18"/>
              </w:rPr>
              <w:t>9</w:t>
            </w:r>
            <w:r>
              <w:rPr>
                <w:rFonts w:ascii="宋体" w:hAnsi="宋体" w:cs="宋体" w:eastAsia="宋体" w:hint="default"/>
                <w:spacing w:val="2"/>
                <w:sz w:val="18"/>
                <w:szCs w:val="18"/>
              </w:rPr>
              <w:t>类。传感器；灭火设备；个人用防事故装置；防事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故、防辐射和防火服装；声音警报器；报警器；报警电</w:t>
            </w:r>
            <w:r>
              <w:rPr>
                <w:rFonts w:ascii="宋体" w:hAnsi="宋体" w:cs="宋体" w:eastAsia="宋体" w:hint="default"/>
                <w:sz w:val="18"/>
                <w:szCs w:val="18"/>
              </w:rPr>
              <w:t> 铃；警笛；火灾报警器；烟雾探测器</w:t>
            </w:r>
          </w:p>
        </w:tc>
        <w:tc>
          <w:tcPr>
            <w:tcW w:w="1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1"/>
              <w:jc w:val="center"/>
              <w:rPr>
                <w:rFonts w:ascii="宋体" w:hAnsi="宋体" w:cs="宋体" w:eastAsia="宋体" w:hint="default"/>
                <w:sz w:val="18"/>
                <w:szCs w:val="18"/>
              </w:rPr>
            </w:pPr>
            <w:r>
              <w:rPr>
                <w:rFonts w:ascii="宋体"/>
                <w:sz w:val="18"/>
              </w:rPr>
              <w:t>2014.01.21-2024.01.20</w:t>
            </w:r>
          </w:p>
        </w:tc>
        <w:tc>
          <w:tcPr>
            <w:tcW w:w="10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 w:right="0"/>
              <w:jc w:val="center"/>
              <w:rPr>
                <w:rFonts w:ascii="宋体" w:hAnsi="宋体" w:cs="宋体" w:eastAsia="宋体" w:hint="default"/>
                <w:sz w:val="18"/>
                <w:szCs w:val="18"/>
              </w:rPr>
            </w:pPr>
            <w:r>
              <w:rPr>
                <w:rFonts w:ascii="宋体" w:hAnsi="宋体" w:cs="宋体" w:eastAsia="宋体" w:hint="default"/>
                <w:sz w:val="18"/>
                <w:szCs w:val="18"/>
              </w:rPr>
              <w:t>上海英森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）报告期内，公司及子公司新增软件著作权情况如下：</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17"/>
        <w:gridCol w:w="3264"/>
        <w:gridCol w:w="1361"/>
        <w:gridCol w:w="1252"/>
        <w:gridCol w:w="1020"/>
        <w:gridCol w:w="1042"/>
        <w:gridCol w:w="1289"/>
      </w:tblGrid>
      <w:tr>
        <w:trPr>
          <w:trHeight w:val="442" w:hRule="exact"/>
        </w:trPr>
        <w:tc>
          <w:tcPr>
            <w:tcW w:w="41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著作权名称</w:t>
            </w:r>
          </w:p>
        </w:tc>
        <w:tc>
          <w:tcPr>
            <w:tcW w:w="13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著作权号</w:t>
            </w:r>
          </w:p>
        </w:tc>
        <w:tc>
          <w:tcPr>
            <w:tcW w:w="12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0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10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28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1"/>
              <w:ind w:left="277" w:right="0"/>
              <w:jc w:val="left"/>
              <w:rPr>
                <w:rFonts w:ascii="宋体" w:hAnsi="宋体" w:cs="宋体" w:eastAsia="宋体" w:hint="default"/>
                <w:sz w:val="18"/>
                <w:szCs w:val="18"/>
              </w:rPr>
            </w:pPr>
            <w:r>
              <w:rPr>
                <w:rFonts w:ascii="宋体" w:hAnsi="宋体" w:cs="宋体" w:eastAsia="宋体" w:hint="default"/>
                <w:sz w:val="18"/>
                <w:szCs w:val="18"/>
              </w:rPr>
              <w:t>所有权人</w:t>
            </w:r>
          </w:p>
        </w:tc>
      </w:tr>
      <w:tr>
        <w:trPr>
          <w:trHeight w:val="427"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电厂主要污染物排放量核算系统</w:t>
            </w:r>
            <w:r>
              <w:rPr>
                <w:rFonts w:ascii="宋体" w:hAnsi="宋体" w:cs="宋体" w:eastAsia="宋体" w:hint="default"/>
                <w:sz w:val="18"/>
                <w:szCs w:val="18"/>
              </w:rPr>
              <w:t>V2.0</w:t>
            </w:r>
          </w:p>
        </w:tc>
        <w:tc>
          <w:tcPr>
            <w:tcW w:w="13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2014SR172665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2014-11-14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277" w:right="0"/>
              <w:jc w:val="left"/>
              <w:rPr>
                <w:rFonts w:ascii="宋体" w:hAnsi="宋体" w:cs="宋体" w:eastAsia="宋体" w:hint="default"/>
                <w:sz w:val="18"/>
                <w:szCs w:val="18"/>
              </w:rPr>
            </w:pPr>
            <w:r>
              <w:rPr>
                <w:rFonts w:ascii="宋体" w:hAnsi="宋体" w:cs="宋体" w:eastAsia="宋体" w:hint="default"/>
                <w:sz w:val="18"/>
                <w:szCs w:val="18"/>
              </w:rPr>
              <w:t>沈阳金建</w:t>
            </w:r>
          </w:p>
        </w:tc>
      </w:tr>
      <w:tr>
        <w:trPr>
          <w:trHeight w:val="427"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易兴城市燃气管网地理信息系统</w:t>
            </w:r>
            <w:r>
              <w:rPr>
                <w:rFonts w:ascii="宋体" w:hAnsi="宋体" w:cs="宋体" w:eastAsia="宋体" w:hint="default"/>
                <w:sz w:val="18"/>
                <w:szCs w:val="18"/>
              </w:rPr>
              <w:t>V1.0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2014SR066191</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2014-5-26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6"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3</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易兴燃气输配调度管理系统</w:t>
            </w:r>
            <w:r>
              <w:rPr>
                <w:rFonts w:ascii="宋体" w:hAnsi="宋体" w:cs="宋体" w:eastAsia="宋体" w:hint="default"/>
                <w:sz w:val="18"/>
                <w:szCs w:val="18"/>
              </w:rPr>
              <w:t>V1.0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2014SR066199</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sz w:val="18"/>
              </w:rPr>
              <w:t>2014-5-26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27"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易兴燃气管网巡检系统</w:t>
            </w:r>
            <w:r>
              <w:rPr>
                <w:rFonts w:ascii="宋体" w:hAnsi="宋体" w:cs="宋体" w:eastAsia="宋体" w:hint="default"/>
                <w:sz w:val="18"/>
                <w:szCs w:val="18"/>
              </w:rPr>
              <w:t>V1.0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2014SR066197</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2014-5-26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749"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7"/>
              <w:ind w:left="2" w:right="3"/>
              <w:jc w:val="left"/>
              <w:rPr>
                <w:rFonts w:ascii="宋体" w:hAnsi="宋体" w:cs="宋体" w:eastAsia="宋体" w:hint="default"/>
                <w:sz w:val="18"/>
                <w:szCs w:val="18"/>
              </w:rPr>
            </w:pPr>
            <w:r>
              <w:rPr>
                <w:rFonts w:ascii="宋体" w:hAnsi="宋体" w:cs="宋体" w:eastAsia="宋体" w:hint="default"/>
                <w:sz w:val="18"/>
                <w:szCs w:val="18"/>
              </w:rPr>
              <w:t>易兴压缩天然气与液化天然气站控系统软 件</w:t>
            </w:r>
            <w:r>
              <w:rPr>
                <w:rFonts w:ascii="宋体" w:hAnsi="宋体" w:cs="宋体" w:eastAsia="宋体" w:hint="default"/>
                <w:sz w:val="18"/>
                <w:szCs w:val="18"/>
              </w:rPr>
              <w:t>V1.0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2014SR066350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2014-5-26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746" w:hRule="exact"/>
        </w:trPr>
        <w:tc>
          <w:tcPr>
            <w:tcW w:w="4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3264"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易兴燃气、供水管网数据采集与监测系统 数据中心通讯软件</w:t>
            </w:r>
            <w:r>
              <w:rPr>
                <w:rFonts w:ascii="宋体" w:hAnsi="宋体" w:cs="宋体" w:eastAsia="宋体" w:hint="default"/>
                <w:sz w:val="18"/>
                <w:szCs w:val="18"/>
              </w:rPr>
              <w:t>V1.0</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2014SR066164</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2014-5-26</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17"/>
        <w:gridCol w:w="3264"/>
        <w:gridCol w:w="1361"/>
        <w:gridCol w:w="1252"/>
        <w:gridCol w:w="1020"/>
        <w:gridCol w:w="1042"/>
        <w:gridCol w:w="1289"/>
      </w:tblGrid>
      <w:tr>
        <w:trPr>
          <w:trHeight w:val="740" w:hRule="exact"/>
        </w:trPr>
        <w:tc>
          <w:tcPr>
            <w:tcW w:w="41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3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易兴城市排水防涝</w:t>
            </w:r>
            <w:r>
              <w:rPr>
                <w:rFonts w:ascii="宋体" w:hAnsi="宋体" w:cs="宋体" w:eastAsia="宋体" w:hint="default"/>
                <w:sz w:val="18"/>
                <w:szCs w:val="18"/>
              </w:rPr>
              <w:t>SCADA</w:t>
            </w:r>
            <w:r>
              <w:rPr>
                <w:rFonts w:ascii="宋体" w:hAnsi="宋体" w:cs="宋体" w:eastAsia="宋体" w:hint="default"/>
                <w:sz w:val="18"/>
                <w:szCs w:val="18"/>
              </w:rPr>
              <w:t>系统软件</w:t>
            </w:r>
            <w:r>
              <w:rPr>
                <w:rFonts w:ascii="宋体" w:hAnsi="宋体" w:cs="宋体" w:eastAsia="宋体" w:hint="default"/>
                <w:sz w:val="18"/>
                <w:szCs w:val="18"/>
              </w:rPr>
              <w:t>V1.0</w:t>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2014SR104544</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2014-7-24</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740"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8</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易兴压缩天然气与液化天然气站控系统软 件</w:t>
            </w:r>
            <w:r>
              <w:rPr>
                <w:rFonts w:ascii="宋体" w:hAnsi="宋体" w:cs="宋体" w:eastAsia="宋体" w:hint="default"/>
                <w:sz w:val="18"/>
                <w:szCs w:val="18"/>
              </w:rPr>
              <w:t>V2.0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2014SR106365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2014-7-28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748"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9</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7"/>
              <w:ind w:left="2" w:right="3"/>
              <w:jc w:val="left"/>
              <w:rPr>
                <w:rFonts w:ascii="宋体" w:hAnsi="宋体" w:cs="宋体" w:eastAsia="宋体" w:hint="default"/>
                <w:sz w:val="18"/>
                <w:szCs w:val="18"/>
              </w:rPr>
            </w:pPr>
            <w:r>
              <w:rPr>
                <w:rFonts w:ascii="宋体" w:hAnsi="宋体" w:cs="宋体" w:eastAsia="宋体" w:hint="default"/>
                <w:sz w:val="18"/>
                <w:szCs w:val="18"/>
              </w:rPr>
              <w:t>易兴燃气、供水管网数据采集与监测系统 数据中心通讯软件</w:t>
            </w:r>
            <w:r>
              <w:rPr>
                <w:rFonts w:ascii="宋体" w:hAnsi="宋体" w:cs="宋体" w:eastAsia="宋体" w:hint="default"/>
                <w:sz w:val="18"/>
                <w:szCs w:val="18"/>
              </w:rPr>
              <w:t>V2.0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2014SR106180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2014-7-28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27" w:hRule="exact"/>
        </w:trPr>
        <w:tc>
          <w:tcPr>
            <w:tcW w:w="4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10</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易兴</w:t>
            </w:r>
            <w:r>
              <w:rPr>
                <w:rFonts w:ascii="宋体" w:hAnsi="宋体" w:cs="宋体" w:eastAsia="宋体" w:hint="default"/>
                <w:sz w:val="18"/>
                <w:szCs w:val="18"/>
              </w:rPr>
              <w:t>CDM</w:t>
            </w:r>
            <w:r>
              <w:rPr>
                <w:rFonts w:ascii="宋体" w:hAnsi="宋体" w:cs="宋体" w:eastAsia="宋体" w:hint="default"/>
                <w:sz w:val="18"/>
                <w:szCs w:val="18"/>
              </w:rPr>
              <w:t>计算机监测系统</w:t>
            </w:r>
            <w:r>
              <w:rPr>
                <w:rFonts w:ascii="宋体" w:hAnsi="宋体" w:cs="宋体" w:eastAsia="宋体" w:hint="default"/>
                <w:sz w:val="18"/>
                <w:szCs w:val="18"/>
              </w:rPr>
              <w:t>V2.0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2014SR106368</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2014-7-28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757" w:hRule="exact"/>
        </w:trPr>
        <w:tc>
          <w:tcPr>
            <w:tcW w:w="4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11</w:t>
            </w:r>
          </w:p>
        </w:tc>
        <w:tc>
          <w:tcPr>
            <w:tcW w:w="326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7"/>
              <w:ind w:left="2" w:right="3"/>
              <w:jc w:val="left"/>
              <w:rPr>
                <w:rFonts w:ascii="宋体" w:hAnsi="宋体" w:cs="宋体" w:eastAsia="宋体" w:hint="default"/>
                <w:sz w:val="18"/>
                <w:szCs w:val="18"/>
              </w:rPr>
            </w:pPr>
            <w:r>
              <w:rPr>
                <w:rFonts w:ascii="宋体" w:hAnsi="宋体" w:cs="宋体" w:eastAsia="宋体" w:hint="default"/>
                <w:sz w:val="18"/>
                <w:szCs w:val="18"/>
              </w:rPr>
              <w:t>易兴城市燃气管网计算机遥测调度指挥系 统</w:t>
            </w:r>
            <w:r>
              <w:rPr>
                <w:rFonts w:ascii="宋体" w:hAnsi="宋体" w:cs="宋体" w:eastAsia="宋体" w:hint="default"/>
                <w:sz w:val="18"/>
                <w:szCs w:val="18"/>
              </w:rPr>
              <w:t>V2.0</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2014SR106187</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2014-7-28</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2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鞍山易兴</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投资状况分析" w:id="26"/>
      <w:bookmarkEnd w:id="26"/>
      <w:r>
        <w:rPr>
          <w:b w:val="0"/>
          <w:bCs w:val="0"/>
        </w:rPr>
      </w:r>
      <w:r>
        <w:rPr/>
        <w:t>（</w:t>
      </w:r>
      <w:r>
        <w:rPr>
          <w:rFonts w:ascii="宋体" w:hAnsi="宋体" w:cs="宋体" w:eastAsia="宋体" w:hint="default"/>
        </w:rPr>
        <w:t>5</w:t>
      </w:r>
      <w:r>
        <w:rPr/>
        <w:t>）投资状况分析</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）对外投资情况</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995"/>
        <w:gridCol w:w="1842"/>
        <w:gridCol w:w="355"/>
        <w:gridCol w:w="1062"/>
        <w:gridCol w:w="1702"/>
        <w:gridCol w:w="426"/>
        <w:gridCol w:w="1202"/>
        <w:gridCol w:w="1207"/>
        <w:gridCol w:w="779"/>
      </w:tblGrid>
      <w:tr>
        <w:trPr>
          <w:trHeight w:val="415" w:hRule="exact"/>
        </w:trPr>
        <w:tc>
          <w:tcPr>
            <w:tcW w:w="9570" w:type="dxa"/>
            <w:gridSpan w:val="9"/>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7" w:hRule="exact"/>
        </w:trPr>
        <w:tc>
          <w:tcPr>
            <w:tcW w:w="3192"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7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8" w:type="dxa"/>
            <w:gridSpan w:val="3"/>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7" w:hRule="exact"/>
        </w:trPr>
        <w:tc>
          <w:tcPr>
            <w:tcW w:w="319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889" w:right="0"/>
              <w:jc w:val="left"/>
              <w:rPr>
                <w:rFonts w:ascii="宋体" w:hAnsi="宋体" w:cs="宋体" w:eastAsia="宋体" w:hint="default"/>
                <w:sz w:val="18"/>
                <w:szCs w:val="18"/>
              </w:rPr>
            </w:pPr>
            <w:r>
              <w:rPr>
                <w:rFonts w:ascii="宋体"/>
                <w:sz w:val="18"/>
              </w:rPr>
              <w:t>541,114,188.91</w:t>
            </w:r>
          </w:p>
        </w:tc>
        <w:tc>
          <w:tcPr>
            <w:tcW w:w="31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985" w:right="0"/>
              <w:jc w:val="left"/>
              <w:rPr>
                <w:rFonts w:ascii="宋体" w:hAnsi="宋体" w:cs="宋体" w:eastAsia="宋体" w:hint="default"/>
                <w:sz w:val="18"/>
                <w:szCs w:val="18"/>
              </w:rPr>
            </w:pPr>
            <w:r>
              <w:rPr>
                <w:rFonts w:ascii="宋体"/>
                <w:sz w:val="18"/>
              </w:rPr>
              <w:t>35,968,000.00</w:t>
            </w:r>
          </w:p>
        </w:tc>
        <w:tc>
          <w:tcPr>
            <w:tcW w:w="3188"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1,404.44%</w:t>
            </w:r>
          </w:p>
        </w:tc>
      </w:tr>
      <w:tr>
        <w:trPr>
          <w:trHeight w:val="408" w:hRule="exact"/>
        </w:trPr>
        <w:tc>
          <w:tcPr>
            <w:tcW w:w="9570" w:type="dxa"/>
            <w:gridSpan w:val="9"/>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9" w:hRule="exact"/>
        </w:trPr>
        <w:tc>
          <w:tcPr>
            <w:tcW w:w="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0" w:right="70"/>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6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本期投资盈亏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上海英森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仪器仪表、技术服务</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sz w:val="18"/>
              </w:rPr>
              <w:t>51.11%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6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原股东李鑫等人</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-413,464.06</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环境工程、市政工程</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30" w:right="0"/>
              <w:jc w:val="left"/>
              <w:rPr>
                <w:rFonts w:ascii="宋体" w:hAnsi="宋体" w:cs="宋体" w:eastAsia="宋体" w:hint="default"/>
                <w:sz w:val="18"/>
                <w:szCs w:val="18"/>
              </w:rPr>
            </w:pPr>
            <w:r>
              <w:rPr>
                <w:rFonts w:ascii="宋体"/>
                <w:sz w:val="18"/>
              </w:rPr>
              <w:t>80.00%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发行股份及募集资金</w:t>
            </w:r>
          </w:p>
        </w:tc>
        <w:tc>
          <w:tcPr>
            <w:tcW w:w="16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原股东陈泽枝等人</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8,176,978.28</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GIS</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86" w:right="0"/>
              <w:jc w:val="left"/>
              <w:rPr>
                <w:rFonts w:ascii="宋体" w:hAnsi="宋体" w:cs="宋体" w:eastAsia="宋体" w:hint="default"/>
                <w:sz w:val="18"/>
                <w:szCs w:val="18"/>
              </w:rPr>
            </w:pPr>
            <w:r>
              <w:rPr>
                <w:rFonts w:ascii="宋体"/>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发行股份及募集资金</w:t>
            </w:r>
          </w:p>
        </w:tc>
        <w:tc>
          <w:tcPr>
            <w:tcW w:w="16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原股东尚剑红</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4,295,676.91</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50"/>
              <w:jc w:val="left"/>
              <w:rPr>
                <w:rFonts w:ascii="宋体" w:hAnsi="宋体" w:cs="宋体" w:eastAsia="宋体" w:hint="default"/>
                <w:sz w:val="18"/>
                <w:szCs w:val="18"/>
              </w:rPr>
            </w:pPr>
            <w:r>
              <w:rPr>
                <w:rFonts w:ascii="宋体" w:hAnsi="宋体" w:cs="宋体" w:eastAsia="宋体" w:hint="default"/>
                <w:sz w:val="18"/>
                <w:szCs w:val="18"/>
              </w:rPr>
              <w:t>SCADA</w:t>
            </w:r>
            <w:r>
              <w:rPr>
                <w:rFonts w:ascii="宋体" w:hAnsi="宋体" w:cs="宋体" w:eastAsia="宋体" w:hint="default"/>
                <w:spacing w:val="-46"/>
                <w:sz w:val="18"/>
                <w:szCs w:val="18"/>
              </w:rPr>
              <w:t> </w:t>
            </w:r>
            <w:r>
              <w:rPr>
                <w:rFonts w:ascii="宋体" w:hAnsi="宋体" w:cs="宋体" w:eastAsia="宋体" w:hint="default"/>
                <w:sz w:val="18"/>
                <w:szCs w:val="18"/>
              </w:rPr>
              <w:t>系统、工业自动 化等</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sz w:val="18"/>
              </w:rPr>
              <w:t>51.00%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6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原股东王明慧等人</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1,502,907.50</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9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苏州能斯达</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传感器研发</w:t>
            </w:r>
          </w:p>
        </w:tc>
        <w:tc>
          <w:tcPr>
            <w:tcW w:w="141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30" w:right="0"/>
              <w:jc w:val="left"/>
              <w:rPr>
                <w:rFonts w:ascii="宋体" w:hAnsi="宋体" w:cs="宋体" w:eastAsia="宋体" w:hint="default"/>
                <w:sz w:val="18"/>
                <w:szCs w:val="18"/>
              </w:rPr>
            </w:pPr>
            <w:r>
              <w:rPr>
                <w:rFonts w:ascii="宋体"/>
                <w:sz w:val="18"/>
              </w:rPr>
              <w:t>43.00%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6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75" w:right="0"/>
              <w:jc w:val="left"/>
              <w:rPr>
                <w:rFonts w:ascii="宋体" w:hAnsi="宋体" w:cs="宋体" w:eastAsia="宋体" w:hint="default"/>
                <w:sz w:val="18"/>
                <w:szCs w:val="18"/>
              </w:rPr>
            </w:pPr>
            <w:r>
              <w:rPr>
                <w:rFonts w:ascii="宋体" w:hAnsi="宋体" w:cs="宋体" w:eastAsia="宋体" w:hint="default"/>
                <w:sz w:val="18"/>
                <w:szCs w:val="18"/>
              </w:rPr>
              <w:t>原股东张珽等人</w:t>
            </w:r>
          </w:p>
        </w:tc>
        <w:tc>
          <w:tcPr>
            <w:tcW w:w="1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-472,752.59</w:t>
            </w:r>
          </w:p>
        </w:tc>
        <w:tc>
          <w:tcPr>
            <w:tcW w:w="7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）募集资金使用情况</w:t>
      </w:r>
    </w:p>
    <w:p>
      <w:pPr>
        <w:spacing w:line="360" w:lineRule="auto" w:before="11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1.</w:t>
      </w:r>
      <w:r>
        <w:rPr>
          <w:rFonts w:ascii="宋体" w:hAnsi="宋体" w:cs="宋体" w:eastAsia="宋体" w:hint="default"/>
          <w:sz w:val="18"/>
          <w:szCs w:val="18"/>
        </w:rPr>
        <w:t>募集资金总体使用情况</w:t>
      </w:r>
    </w:p>
    <w:p>
      <w:pPr>
        <w:spacing w:before="2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35" w:space="6605"/>
            <w:col w:w="1210"/>
          </w:cols>
        </w:sectPr>
      </w:pP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091"/>
        <w:gridCol w:w="5478"/>
      </w:tblGrid>
      <w:tr>
        <w:trPr>
          <w:trHeight w:val="414" w:hRule="exact"/>
        </w:trPr>
        <w:tc>
          <w:tcPr>
            <w:tcW w:w="40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8"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52,863.95</w:t>
            </w:r>
          </w:p>
        </w:tc>
      </w:tr>
      <w:tr>
        <w:trPr>
          <w:trHeight w:val="407" w:hRule="exact"/>
        </w:trPr>
        <w:tc>
          <w:tcPr>
            <w:tcW w:w="4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19,094.28</w:t>
            </w:r>
          </w:p>
        </w:tc>
      </w:tr>
      <w:tr>
        <w:trPr>
          <w:trHeight w:val="408" w:hRule="exact"/>
        </w:trPr>
        <w:tc>
          <w:tcPr>
            <w:tcW w:w="4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52,561.66</w:t>
            </w:r>
          </w:p>
        </w:tc>
      </w:tr>
      <w:tr>
        <w:trPr>
          <w:trHeight w:val="407" w:hRule="exact"/>
        </w:trPr>
        <w:tc>
          <w:tcPr>
            <w:tcW w:w="4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w:t>
            </w:r>
          </w:p>
        </w:tc>
      </w:tr>
      <w:tr>
        <w:trPr>
          <w:trHeight w:val="414" w:hRule="exact"/>
        </w:trPr>
        <w:tc>
          <w:tcPr>
            <w:tcW w:w="40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8"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398" w:type="dxa"/>
        <w:tblLayout w:type="fixed"/>
        <w:tblCellMar>
          <w:top w:w="0" w:type="dxa"/>
          <w:left w:w="0" w:type="dxa"/>
          <w:bottom w:w="0" w:type="dxa"/>
          <w:right w:w="0" w:type="dxa"/>
        </w:tblCellMar>
        <w:tblLook w:val="01E0"/>
      </w:tblPr>
      <w:tblGrid>
        <w:gridCol w:w="4091"/>
        <w:gridCol w:w="5478"/>
      </w:tblGrid>
      <w:tr>
        <w:trPr>
          <w:trHeight w:val="422" w:hRule="exact"/>
        </w:trPr>
        <w:tc>
          <w:tcPr>
            <w:tcW w:w="40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78"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0"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39" w:hRule="exact"/>
        </w:trPr>
        <w:tc>
          <w:tcPr>
            <w:tcW w:w="9569"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截至报告期末，公司所有募集资金已经投入</w:t>
            </w:r>
            <w:r>
              <w:rPr>
                <w:rFonts w:ascii="宋体" w:hAnsi="宋体" w:cs="宋体" w:eastAsia="宋体" w:hint="default"/>
                <w:spacing w:val="-46"/>
                <w:sz w:val="18"/>
                <w:szCs w:val="18"/>
              </w:rPr>
              <w:t> </w:t>
            </w:r>
            <w:r>
              <w:rPr>
                <w:rFonts w:ascii="宋体" w:hAnsi="宋体" w:cs="宋体" w:eastAsia="宋体" w:hint="default"/>
                <w:sz w:val="18"/>
                <w:szCs w:val="18"/>
              </w:rPr>
              <w:t>52,561.65</w:t>
            </w:r>
            <w:r>
              <w:rPr>
                <w:rFonts w:ascii="宋体" w:hAnsi="宋体" w:cs="宋体" w:eastAsia="宋体" w:hint="default"/>
                <w:spacing w:val="-44"/>
                <w:sz w:val="18"/>
                <w:szCs w:val="18"/>
              </w:rPr>
              <w:t> </w:t>
            </w:r>
            <w:r>
              <w:rPr>
                <w:rFonts w:ascii="宋体" w:hAnsi="宋体" w:cs="宋体" w:eastAsia="宋体" w:hint="default"/>
                <w:sz w:val="18"/>
                <w:szCs w:val="18"/>
              </w:rPr>
              <w:t>万元（详细情况见下表</w:t>
            </w:r>
            <w:r>
              <w:rPr>
                <w:rFonts w:ascii="宋体" w:hAnsi="宋体" w:cs="宋体" w:eastAsia="宋体" w:hint="default"/>
                <w:spacing w:val="-90"/>
                <w:sz w:val="18"/>
                <w:szCs w:val="18"/>
              </w:rPr>
              <w:t>）</w:t>
            </w:r>
            <w:r>
              <w:rPr>
                <w:rFonts w:ascii="宋体" w:hAnsi="宋体" w:cs="宋体" w:eastAsia="宋体" w:hint="default"/>
                <w:sz w:val="18"/>
                <w:szCs w:val="18"/>
              </w:rPr>
              <w:t>，剩余资金</w:t>
            </w:r>
            <w:r>
              <w:rPr>
                <w:rFonts w:ascii="宋体" w:hAnsi="宋体" w:cs="宋体" w:eastAsia="宋体" w:hint="default"/>
                <w:spacing w:val="-46"/>
                <w:sz w:val="18"/>
                <w:szCs w:val="18"/>
              </w:rPr>
              <w:t> </w:t>
            </w:r>
            <w:r>
              <w:rPr>
                <w:rFonts w:ascii="宋体" w:hAnsi="宋体" w:cs="宋体" w:eastAsia="宋体" w:hint="default"/>
                <w:sz w:val="18"/>
                <w:szCs w:val="18"/>
              </w:rPr>
              <w:t>1,730.19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其中包括首次</w:t>
            </w:r>
          </w:p>
          <w:p>
            <w:pPr>
              <w:pStyle w:val="TableParagraph"/>
              <w:spacing w:line="319" w:lineRule="auto" w:before="77"/>
              <w:ind w:left="13" w:right="120"/>
              <w:jc w:val="left"/>
              <w:rPr>
                <w:rFonts w:ascii="宋体" w:hAnsi="宋体" w:cs="宋体" w:eastAsia="宋体" w:hint="default"/>
                <w:sz w:val="18"/>
                <w:szCs w:val="18"/>
              </w:rPr>
            </w:pPr>
            <w:r>
              <w:rPr>
                <w:rFonts w:ascii="宋体" w:hAnsi="宋体" w:cs="宋体" w:eastAsia="宋体" w:hint="default"/>
                <w:sz w:val="18"/>
                <w:szCs w:val="18"/>
              </w:rPr>
              <w:t>公开发行剩余募集资金</w:t>
            </w:r>
            <w:r>
              <w:rPr>
                <w:rFonts w:ascii="宋体" w:hAnsi="宋体" w:cs="宋体" w:eastAsia="宋体" w:hint="default"/>
                <w:spacing w:val="-45"/>
                <w:sz w:val="18"/>
                <w:szCs w:val="18"/>
              </w:rPr>
              <w:t> </w:t>
            </w:r>
            <w:r>
              <w:rPr>
                <w:rFonts w:ascii="宋体" w:hAnsi="宋体" w:cs="宋体" w:eastAsia="宋体" w:hint="default"/>
                <w:sz w:val="18"/>
                <w:szCs w:val="18"/>
              </w:rPr>
              <w:t>1,552.78</w:t>
            </w:r>
            <w:r>
              <w:rPr>
                <w:rFonts w:ascii="宋体" w:hAnsi="宋体" w:cs="宋体" w:eastAsia="宋体" w:hint="default"/>
                <w:spacing w:val="-45"/>
                <w:sz w:val="18"/>
                <w:szCs w:val="18"/>
              </w:rPr>
              <w:t> </w:t>
            </w:r>
            <w:r>
              <w:rPr>
                <w:rFonts w:ascii="宋体" w:hAnsi="宋体" w:cs="宋体" w:eastAsia="宋体" w:hint="default"/>
                <w:sz w:val="18"/>
                <w:szCs w:val="18"/>
              </w:rPr>
              <w:t>万元（含累计利息</w:t>
            </w:r>
            <w:r>
              <w:rPr>
                <w:rFonts w:ascii="宋体" w:hAnsi="宋体" w:cs="宋体" w:eastAsia="宋体" w:hint="default"/>
                <w:spacing w:val="-45"/>
                <w:sz w:val="18"/>
                <w:szCs w:val="18"/>
              </w:rPr>
              <w:t> </w:t>
            </w:r>
            <w:r>
              <w:rPr>
                <w:rFonts w:ascii="宋体" w:hAnsi="宋体" w:cs="宋体" w:eastAsia="宋体" w:hint="default"/>
                <w:sz w:val="18"/>
                <w:szCs w:val="18"/>
              </w:rPr>
              <w:t>1,427.44</w:t>
            </w:r>
            <w:r>
              <w:rPr>
                <w:rFonts w:ascii="宋体" w:hAnsi="宋体" w:cs="宋体" w:eastAsia="宋体" w:hint="default"/>
                <w:spacing w:val="-45"/>
                <w:sz w:val="18"/>
                <w:szCs w:val="18"/>
              </w:rPr>
              <w:t> </w:t>
            </w:r>
            <w:r>
              <w:rPr>
                <w:rFonts w:ascii="宋体" w:hAnsi="宋体" w:cs="宋体" w:eastAsia="宋体" w:hint="default"/>
                <w:spacing w:val="-7"/>
                <w:sz w:val="18"/>
                <w:szCs w:val="18"/>
              </w:rPr>
              <w:t>万元），重大资产重组配套资金</w:t>
            </w:r>
            <w:r>
              <w:rPr>
                <w:rFonts w:ascii="宋体" w:hAnsi="宋体" w:cs="宋体" w:eastAsia="宋体" w:hint="default"/>
                <w:spacing w:val="-45"/>
                <w:sz w:val="18"/>
                <w:szCs w:val="18"/>
              </w:rPr>
              <w:t> </w:t>
            </w:r>
            <w:r>
              <w:rPr>
                <w:rFonts w:ascii="宋体" w:hAnsi="宋体" w:cs="宋体" w:eastAsia="宋体" w:hint="default"/>
                <w:sz w:val="18"/>
                <w:szCs w:val="18"/>
              </w:rPr>
              <w:t>177.41</w:t>
            </w:r>
            <w:r>
              <w:rPr>
                <w:rFonts w:ascii="宋体" w:hAnsi="宋体" w:cs="宋体" w:eastAsia="宋体" w:hint="default"/>
                <w:spacing w:val="-45"/>
                <w:sz w:val="18"/>
                <w:szCs w:val="18"/>
              </w:rPr>
              <w:t> </w:t>
            </w:r>
            <w:r>
              <w:rPr>
                <w:rFonts w:ascii="宋体" w:hAnsi="宋体" w:cs="宋体" w:eastAsia="宋体" w:hint="default"/>
                <w:sz w:val="18"/>
                <w:szCs w:val="18"/>
              </w:rPr>
              <w:t>万元（含利息</w:t>
            </w:r>
            <w:r>
              <w:rPr>
                <w:rFonts w:ascii="宋体" w:hAnsi="宋体" w:cs="宋体" w:eastAsia="宋体" w:hint="default"/>
                <w:spacing w:val="-45"/>
                <w:sz w:val="18"/>
                <w:szCs w:val="18"/>
              </w:rPr>
              <w:t> </w:t>
            </w:r>
            <w:r>
              <w:rPr>
                <w:rFonts w:ascii="宋体" w:hAnsi="宋体" w:cs="宋体" w:eastAsia="宋体" w:hint="default"/>
                <w:sz w:val="18"/>
                <w:szCs w:val="18"/>
              </w:rPr>
              <w:t>0.45 </w:t>
            </w:r>
            <w:r>
              <w:rPr>
                <w:rFonts w:ascii="宋体" w:hAnsi="宋体" w:cs="宋体" w:eastAsia="宋体" w:hint="default"/>
                <w:sz w:val="18"/>
                <w:szCs w:val="18"/>
              </w:rPr>
              <w:t>万元）存放于募集资金专户。</w:t>
            </w:r>
          </w:p>
        </w:tc>
      </w:tr>
    </w:tbl>
    <w:p>
      <w:pPr>
        <w:spacing w:after="0" w:line="319" w:lineRule="auto"/>
        <w:jc w:val="left"/>
        <w:rPr>
          <w:rFonts w:ascii="宋体" w:hAnsi="宋体" w:cs="宋体" w:eastAsia="宋体" w:hint="default"/>
          <w:sz w:val="18"/>
          <w:szCs w:val="18"/>
        </w:rPr>
        <w:sectPr>
          <w:pgSz w:w="11910" w:h="16840"/>
          <w:pgMar w:header="747" w:footer="979" w:top="1060" w:bottom="1160" w:left="720" w:right="960"/>
        </w:sectPr>
      </w:pPr>
    </w:p>
    <w:p>
      <w:pPr>
        <w:spacing w:before="51"/>
        <w:ind w:left="414" w:right="-2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募集资金承诺项目情况</w:t>
      </w:r>
    </w:p>
    <w:p>
      <w:pPr>
        <w:spacing w:before="117"/>
        <w:ind w:left="41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41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720" w:right="960"/>
          <w:cols w:num="2" w:equalWidth="0">
            <w:col w:w="2395" w:space="6345"/>
            <w:col w:w="1490"/>
          </w:cols>
        </w:sectPr>
      </w:pP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66"/>
        <w:gridCol w:w="612"/>
        <w:gridCol w:w="769"/>
        <w:gridCol w:w="923"/>
        <w:gridCol w:w="917"/>
        <w:gridCol w:w="1003"/>
        <w:gridCol w:w="979"/>
        <w:gridCol w:w="842"/>
        <w:gridCol w:w="776"/>
        <w:gridCol w:w="970"/>
        <w:gridCol w:w="432"/>
        <w:gridCol w:w="562"/>
      </w:tblGrid>
      <w:tr>
        <w:trPr>
          <w:trHeight w:val="2287" w:hRule="exact"/>
        </w:trPr>
        <w:tc>
          <w:tcPr>
            <w:tcW w:w="11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8" w:right="33"/>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6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8" w:right="26"/>
              <w:jc w:val="center"/>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 部分变 更</w:t>
            </w:r>
            <w:r>
              <w:rPr>
                <w:rFonts w:ascii="宋体" w:hAnsi="宋体" w:cs="宋体" w:eastAsia="宋体" w:hint="default"/>
                <w:sz w:val="18"/>
                <w:szCs w:val="18"/>
              </w:rPr>
              <w:t>)</w:t>
            </w:r>
          </w:p>
        </w:tc>
        <w:tc>
          <w:tcPr>
            <w:tcW w:w="7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 w:right="18"/>
              <w:jc w:val="both"/>
              <w:rPr>
                <w:rFonts w:ascii="宋体" w:hAnsi="宋体" w:cs="宋体" w:eastAsia="宋体" w:hint="default"/>
                <w:sz w:val="18"/>
                <w:szCs w:val="18"/>
              </w:rPr>
            </w:pPr>
            <w:r>
              <w:rPr>
                <w:rFonts w:ascii="宋体" w:hAnsi="宋体" w:cs="宋体" w:eastAsia="宋体" w:hint="default"/>
                <w:spacing w:val="43"/>
                <w:sz w:val="18"/>
                <w:szCs w:val="18"/>
              </w:rPr>
              <w:t>募集</w:t>
            </w:r>
            <w:r>
              <w:rPr>
                <w:rFonts w:ascii="宋体" w:hAnsi="宋体" w:cs="宋体" w:eastAsia="宋体" w:hint="default"/>
                <w:spacing w:val="-4"/>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43"/>
                <w:sz w:val="18"/>
                <w:szCs w:val="18"/>
              </w:rPr>
              <w:t>金承</w:t>
            </w:r>
            <w:r>
              <w:rPr>
                <w:rFonts w:ascii="宋体" w:hAnsi="宋体" w:cs="宋体" w:eastAsia="宋体" w:hint="default"/>
                <w:spacing w:val="-4"/>
                <w:sz w:val="18"/>
                <w:szCs w:val="18"/>
              </w:rPr>
              <w:t> </w:t>
            </w:r>
            <w:r>
              <w:rPr>
                <w:rFonts w:ascii="宋体" w:hAnsi="宋体" w:cs="宋体" w:eastAsia="宋体" w:hint="default"/>
                <w:sz w:val="18"/>
                <w:szCs w:val="18"/>
              </w:rPr>
              <w:t>诺</w:t>
            </w:r>
            <w:r>
              <w:rPr>
                <w:rFonts w:ascii="宋体" w:hAnsi="宋体" w:cs="宋体" w:eastAsia="宋体" w:hint="default"/>
                <w:sz w:val="18"/>
                <w:szCs w:val="18"/>
              </w:rPr>
              <w:t> </w:t>
            </w:r>
            <w:r>
              <w:rPr>
                <w:rFonts w:ascii="宋体" w:hAnsi="宋体" w:cs="宋体" w:eastAsia="宋体" w:hint="default"/>
                <w:spacing w:val="43"/>
                <w:sz w:val="18"/>
                <w:szCs w:val="18"/>
              </w:rPr>
              <w:t>投资</w:t>
            </w:r>
            <w:r>
              <w:rPr>
                <w:rFonts w:ascii="宋体" w:hAnsi="宋体" w:cs="宋体" w:eastAsia="宋体" w:hint="default"/>
                <w:spacing w:val="-4"/>
                <w:sz w:val="18"/>
                <w:szCs w:val="18"/>
              </w:rPr>
              <w:t> </w:t>
            </w:r>
            <w:r>
              <w:rPr>
                <w:rFonts w:ascii="宋体" w:hAnsi="宋体" w:cs="宋体" w:eastAsia="宋体" w:hint="default"/>
                <w:sz w:val="18"/>
                <w:szCs w:val="18"/>
              </w:rPr>
              <w:t>总</w:t>
            </w:r>
            <w:r>
              <w:rPr>
                <w:rFonts w:ascii="宋体" w:hAnsi="宋体" w:cs="宋体" w:eastAsia="宋体" w:hint="default"/>
                <w:sz w:val="18"/>
                <w:szCs w:val="18"/>
              </w:rPr>
              <w:t> 额</w:t>
            </w:r>
          </w:p>
        </w:tc>
        <w:tc>
          <w:tcPr>
            <w:tcW w:w="92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9" w:right="47" w:firstLine="44"/>
              <w:jc w:val="left"/>
              <w:rPr>
                <w:rFonts w:ascii="宋体" w:hAnsi="宋体" w:cs="宋体" w:eastAsia="宋体" w:hint="default"/>
                <w:sz w:val="18"/>
                <w:szCs w:val="18"/>
              </w:rPr>
            </w:pPr>
            <w:r>
              <w:rPr>
                <w:rFonts w:ascii="宋体" w:hAnsi="宋体" w:cs="宋体" w:eastAsia="宋体" w:hint="default"/>
                <w:sz w:val="18"/>
                <w:szCs w:val="18"/>
              </w:rPr>
              <w:t>调整后投 资总额</w:t>
            </w:r>
            <w:r>
              <w:rPr>
                <w:rFonts w:ascii="宋体" w:hAnsi="宋体" w:cs="宋体" w:eastAsia="宋体" w:hint="default"/>
                <w:sz w:val="18"/>
                <w:szCs w:val="18"/>
              </w:rPr>
              <w:t>(1)</w:t>
            </w:r>
          </w:p>
        </w:tc>
        <w:tc>
          <w:tcPr>
            <w:tcW w:w="9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2" w:right="8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0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4" w:right="42"/>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9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7" w:right="30" w:hanging="46"/>
              <w:jc w:val="left"/>
              <w:rPr>
                <w:rFonts w:ascii="宋体" w:hAnsi="宋体" w:cs="宋体" w:eastAsia="宋体" w:hint="default"/>
                <w:sz w:val="18"/>
                <w:szCs w:val="18"/>
              </w:rPr>
            </w:pPr>
            <w:r>
              <w:rPr>
                <w:rFonts w:ascii="宋体" w:hAnsi="宋体" w:cs="宋体" w:eastAsia="宋体" w:hint="default"/>
                <w:sz w:val="18"/>
                <w:szCs w:val="18"/>
              </w:rPr>
              <w:t>截至期末投 资进度</w:t>
            </w:r>
            <w:r>
              <w:rPr>
                <w:rFonts w:ascii="宋体" w:hAnsi="宋体" w:cs="宋体" w:eastAsia="宋体" w:hint="default"/>
                <w:sz w:val="18"/>
                <w:szCs w:val="18"/>
              </w:rPr>
              <w:t>(3)</w:t>
            </w:r>
          </w:p>
          <w:p>
            <w:pPr>
              <w:pStyle w:val="TableParagraph"/>
              <w:spacing w:line="240" w:lineRule="auto" w:before="20"/>
              <w:ind w:left="7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p>
        </w:tc>
        <w:tc>
          <w:tcPr>
            <w:tcW w:w="8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2" w:right="5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0" w:right="1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 w:right="25"/>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4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 w:right="29"/>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6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93" w:right="8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7" w:hRule="exact"/>
        </w:trPr>
        <w:tc>
          <w:tcPr>
            <w:tcW w:w="9952"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5" w:hRule="exact"/>
        </w:trPr>
        <w:tc>
          <w:tcPr>
            <w:tcW w:w="1166"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4" w:right="47"/>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万支红 外气体传感器 及</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pacing w:val="-46"/>
                <w:sz w:val="18"/>
                <w:szCs w:val="18"/>
              </w:rPr>
              <w:t> </w:t>
            </w:r>
            <w:r>
              <w:rPr>
                <w:rFonts w:ascii="宋体" w:hAnsi="宋体" w:cs="宋体" w:eastAsia="宋体" w:hint="default"/>
                <w:sz w:val="18"/>
                <w:szCs w:val="18"/>
              </w:rPr>
              <w:t>万台红 外气体检测仪 器仪表项目</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7,020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7,079.63</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8.5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7,002.69</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98.91%</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109.68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1,342.51</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3" w:hRule="exact"/>
        </w:trPr>
        <w:tc>
          <w:tcPr>
            <w:tcW w:w="116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4" w:right="4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万台 电化学气体检 测仪器仪表项 目</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8,560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10,378.85</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1,054.61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8,946.89</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86.20%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1,224.5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4,214</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16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4" w:right="47"/>
              <w:jc w:val="left"/>
              <w:rPr>
                <w:rFonts w:ascii="宋体" w:hAnsi="宋体" w:cs="宋体" w:eastAsia="宋体" w:hint="default"/>
                <w:sz w:val="18"/>
                <w:szCs w:val="18"/>
              </w:rPr>
            </w:pPr>
            <w:r>
              <w:rPr>
                <w:rFonts w:ascii="宋体" w:hAnsi="宋体" w:cs="宋体" w:eastAsia="宋体" w:hint="default"/>
                <w:sz w:val="18"/>
                <w:szCs w:val="18"/>
              </w:rPr>
              <w:t>客户营销服务 网络建设项目</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2,577</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2,500.66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2,500.66</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06</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1" w:hRule="exact"/>
        </w:trPr>
        <w:tc>
          <w:tcPr>
            <w:tcW w:w="116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4" w:right="18"/>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年重大资 产重组配套融 资</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15,500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15,500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15,323.04</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15,323.04</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98.86%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166" w:type="dxa"/>
            <w:vMerge w:val="restart"/>
            <w:tcBorders>
              <w:top w:val="single" w:sz="6" w:space="0" w:color="000000"/>
              <w:left w:val="single" w:sz="12" w:space="0" w:color="000000"/>
              <w:right w:val="single" w:sz="6" w:space="0" w:color="000000"/>
            </w:tcBorders>
            <w:shd w:val="clear" w:color="auto" w:fill="D2D2D2"/>
          </w:tcPr>
          <w:p>
            <w:pPr>
              <w:pStyle w:val="TableParagraph"/>
              <w:spacing w:line="319" w:lineRule="auto" w:before="51"/>
              <w:ind w:left="14" w:right="47"/>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612" w:type="dxa"/>
            <w:tcBorders>
              <w:top w:val="single" w:sz="6" w:space="0" w:color="000000"/>
              <w:left w:val="single" w:sz="6" w:space="0" w:color="000000"/>
              <w:bottom w:val="nil" w:sz="6" w:space="0" w:color="auto"/>
              <w:right w:val="single" w:sz="6" w:space="0" w:color="000000"/>
            </w:tcBorders>
            <w:shd w:val="clear" w:color="auto" w:fill="D2D2D2"/>
          </w:tcPr>
          <w:p>
            <w:pPr/>
          </w:p>
        </w:tc>
        <w:tc>
          <w:tcPr>
            <w:tcW w:w="769" w:type="dxa"/>
            <w:vMerge w:val="restart"/>
            <w:tcBorders>
              <w:top w:val="single" w:sz="6" w:space="0" w:color="000000"/>
              <w:left w:val="single" w:sz="8"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33,657</w:t>
            </w:r>
          </w:p>
        </w:tc>
        <w:tc>
          <w:tcPr>
            <w:tcW w:w="9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sz w:val="18"/>
              </w:rPr>
              <w:t>35,459.14</w:t>
            </w:r>
          </w:p>
        </w:tc>
        <w:tc>
          <w:tcPr>
            <w:tcW w:w="91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16,386.15</w:t>
            </w:r>
          </w:p>
        </w:tc>
        <w:tc>
          <w:tcPr>
            <w:tcW w:w="1003" w:type="dxa"/>
            <w:vMerge w:val="restart"/>
            <w:tcBorders>
              <w:top w:val="single" w:sz="6" w:space="0" w:color="000000"/>
              <w:left w:val="single" w:sz="6"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sz w:val="18"/>
              </w:rPr>
              <w:t>33,773.28</w:t>
            </w:r>
          </w:p>
        </w:tc>
        <w:tc>
          <w:tcPr>
            <w:tcW w:w="979" w:type="dxa"/>
            <w:tcBorders>
              <w:top w:val="single" w:sz="6" w:space="0" w:color="000000"/>
              <w:left w:val="single" w:sz="6" w:space="0" w:color="000000"/>
              <w:bottom w:val="nil" w:sz="6" w:space="0" w:color="auto"/>
              <w:right w:val="single" w:sz="6" w:space="0" w:color="000000"/>
            </w:tcBorders>
            <w:shd w:val="clear" w:color="auto" w:fill="D2D2D2"/>
          </w:tcPr>
          <w:p>
            <w:pPr/>
          </w:p>
        </w:tc>
        <w:tc>
          <w:tcPr>
            <w:tcW w:w="842" w:type="dxa"/>
            <w:tcBorders>
              <w:top w:val="single" w:sz="6" w:space="0" w:color="000000"/>
              <w:left w:val="single" w:sz="6" w:space="0" w:color="000000"/>
              <w:bottom w:val="nil" w:sz="6" w:space="0" w:color="auto"/>
              <w:right w:val="single" w:sz="6" w:space="0" w:color="000000"/>
            </w:tcBorders>
            <w:shd w:val="clear" w:color="auto" w:fill="D2D2D2"/>
          </w:tcPr>
          <w:p>
            <w:pPr/>
          </w:p>
        </w:tc>
        <w:tc>
          <w:tcPr>
            <w:tcW w:w="776"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sz w:val="18"/>
              </w:rPr>
              <w:t>1,334.18</w:t>
            </w:r>
          </w:p>
        </w:tc>
        <w:tc>
          <w:tcPr>
            <w:tcW w:w="970" w:type="dxa"/>
            <w:vMerge w:val="restart"/>
            <w:tcBorders>
              <w:top w:val="single" w:sz="6" w:space="0" w:color="000000"/>
              <w:left w:val="single" w:sz="6" w:space="0" w:color="000000"/>
              <w:right w:val="single" w:sz="8"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sz w:val="18"/>
              </w:rPr>
              <w:t>5,556.51</w:t>
            </w:r>
          </w:p>
        </w:tc>
        <w:tc>
          <w:tcPr>
            <w:tcW w:w="432" w:type="dxa"/>
            <w:tcBorders>
              <w:top w:val="single" w:sz="6" w:space="0" w:color="000000"/>
              <w:left w:val="single" w:sz="6" w:space="0" w:color="000000"/>
              <w:bottom w:val="nil" w:sz="6" w:space="0" w:color="auto"/>
              <w:right w:val="single" w:sz="6" w:space="0" w:color="000000"/>
            </w:tcBorders>
            <w:shd w:val="clear" w:color="auto" w:fill="D2D2D2"/>
          </w:tcPr>
          <w:p>
            <w:pPr/>
          </w:p>
        </w:tc>
        <w:tc>
          <w:tcPr>
            <w:tcW w:w="562"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2" w:hRule="exact"/>
        </w:trPr>
        <w:tc>
          <w:tcPr>
            <w:tcW w:w="1166" w:type="dxa"/>
            <w:vMerge/>
            <w:tcBorders>
              <w:left w:val="single" w:sz="12" w:space="0" w:color="000000"/>
              <w:right w:val="single" w:sz="6" w:space="0" w:color="000000"/>
            </w:tcBorders>
            <w:shd w:val="clear" w:color="auto" w:fill="D2D2D2"/>
          </w:tcPr>
          <w:p>
            <w:pPr/>
          </w:p>
        </w:tc>
        <w:tc>
          <w:tcPr>
            <w:tcW w:w="61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69" w:type="dxa"/>
            <w:vMerge/>
            <w:tcBorders>
              <w:left w:val="single" w:sz="8" w:space="0" w:color="D2D2D2"/>
              <w:right w:val="single" w:sz="6" w:space="0" w:color="000000"/>
            </w:tcBorders>
          </w:tcPr>
          <w:p>
            <w:pPr/>
          </w:p>
        </w:tc>
        <w:tc>
          <w:tcPr>
            <w:tcW w:w="923" w:type="dxa"/>
            <w:vMerge/>
            <w:tcBorders>
              <w:left w:val="single" w:sz="6" w:space="0" w:color="000000"/>
              <w:right w:val="single" w:sz="6" w:space="0" w:color="000000"/>
            </w:tcBorders>
          </w:tcPr>
          <w:p>
            <w:pPr/>
          </w:p>
        </w:tc>
        <w:tc>
          <w:tcPr>
            <w:tcW w:w="917" w:type="dxa"/>
            <w:vMerge/>
            <w:tcBorders>
              <w:left w:val="single" w:sz="6" w:space="0" w:color="000000"/>
              <w:right w:val="single" w:sz="6" w:space="0" w:color="000000"/>
            </w:tcBorders>
          </w:tcPr>
          <w:p>
            <w:pPr/>
          </w:p>
        </w:tc>
        <w:tc>
          <w:tcPr>
            <w:tcW w:w="1003" w:type="dxa"/>
            <w:vMerge/>
            <w:tcBorders>
              <w:left w:val="single" w:sz="6" w:space="0" w:color="000000"/>
              <w:right w:val="single" w:sz="9" w:space="0" w:color="D2D2D2"/>
            </w:tcBorders>
          </w:tcPr>
          <w:p>
            <w:pPr/>
          </w:p>
        </w:tc>
        <w:tc>
          <w:tcPr>
            <w:tcW w:w="97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6" w:type="dxa"/>
            <w:vMerge/>
            <w:tcBorders>
              <w:left w:val="single" w:sz="9" w:space="0" w:color="D2D2D2"/>
              <w:right w:val="single" w:sz="6" w:space="0" w:color="000000"/>
            </w:tcBorders>
          </w:tcPr>
          <w:p>
            <w:pPr/>
          </w:p>
        </w:tc>
        <w:tc>
          <w:tcPr>
            <w:tcW w:w="970" w:type="dxa"/>
            <w:vMerge/>
            <w:tcBorders>
              <w:left w:val="single" w:sz="6" w:space="0" w:color="000000"/>
              <w:right w:val="single" w:sz="8" w:space="0" w:color="D2D2D2"/>
            </w:tcBorders>
          </w:tcPr>
          <w:p>
            <w:pPr/>
          </w:p>
        </w:tc>
        <w:tc>
          <w:tcPr>
            <w:tcW w:w="4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562"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宋体"/>
                <w:sz w:val="18"/>
              </w:rPr>
              <w:t>--</w:t>
            </w:r>
          </w:p>
        </w:tc>
      </w:tr>
      <w:tr>
        <w:trPr>
          <w:trHeight w:val="163" w:hRule="exact"/>
        </w:trPr>
        <w:tc>
          <w:tcPr>
            <w:tcW w:w="1166" w:type="dxa"/>
            <w:vMerge/>
            <w:tcBorders>
              <w:left w:val="single" w:sz="12" w:space="0" w:color="000000"/>
              <w:bottom w:val="single" w:sz="6" w:space="0" w:color="000000"/>
              <w:right w:val="single" w:sz="6" w:space="0" w:color="000000"/>
            </w:tcBorders>
            <w:shd w:val="clear" w:color="auto" w:fill="D2D2D2"/>
          </w:tcPr>
          <w:p>
            <w:pPr/>
          </w:p>
        </w:tc>
        <w:tc>
          <w:tcPr>
            <w:tcW w:w="612" w:type="dxa"/>
            <w:tcBorders>
              <w:top w:val="nil" w:sz="6" w:space="0" w:color="auto"/>
              <w:left w:val="single" w:sz="6" w:space="0" w:color="000000"/>
              <w:bottom w:val="single" w:sz="6" w:space="0" w:color="000000"/>
              <w:right w:val="single" w:sz="6" w:space="0" w:color="000000"/>
            </w:tcBorders>
            <w:shd w:val="clear" w:color="auto" w:fill="D2D2D2"/>
          </w:tcPr>
          <w:p>
            <w:pPr/>
          </w:p>
        </w:tc>
        <w:tc>
          <w:tcPr>
            <w:tcW w:w="769" w:type="dxa"/>
            <w:vMerge/>
            <w:tcBorders>
              <w:left w:val="single" w:sz="8" w:space="0" w:color="D2D2D2"/>
              <w:bottom w:val="single" w:sz="6" w:space="0" w:color="000000"/>
              <w:right w:val="single" w:sz="6" w:space="0" w:color="000000"/>
            </w:tcBorders>
          </w:tcPr>
          <w:p>
            <w:pPr/>
          </w:p>
        </w:tc>
        <w:tc>
          <w:tcPr>
            <w:tcW w:w="923" w:type="dxa"/>
            <w:vMerge/>
            <w:tcBorders>
              <w:left w:val="single" w:sz="6" w:space="0" w:color="000000"/>
              <w:bottom w:val="single" w:sz="6" w:space="0" w:color="000000"/>
              <w:right w:val="single" w:sz="6" w:space="0" w:color="000000"/>
            </w:tcBorders>
          </w:tcPr>
          <w:p>
            <w:pPr/>
          </w:p>
        </w:tc>
        <w:tc>
          <w:tcPr>
            <w:tcW w:w="917" w:type="dxa"/>
            <w:vMerge/>
            <w:tcBorders>
              <w:left w:val="single" w:sz="6" w:space="0" w:color="000000"/>
              <w:bottom w:val="single" w:sz="6" w:space="0" w:color="000000"/>
              <w:right w:val="single" w:sz="6" w:space="0" w:color="000000"/>
            </w:tcBorders>
          </w:tcPr>
          <w:p>
            <w:pPr/>
          </w:p>
        </w:tc>
        <w:tc>
          <w:tcPr>
            <w:tcW w:w="1003" w:type="dxa"/>
            <w:vMerge/>
            <w:tcBorders>
              <w:left w:val="single" w:sz="6" w:space="0" w:color="000000"/>
              <w:bottom w:val="single" w:sz="6" w:space="0" w:color="000000"/>
              <w:right w:val="single" w:sz="9" w:space="0" w:color="D2D2D2"/>
            </w:tcBorders>
          </w:tcPr>
          <w:p>
            <w:pPr/>
          </w:p>
        </w:tc>
        <w:tc>
          <w:tcPr>
            <w:tcW w:w="979" w:type="dxa"/>
            <w:tcBorders>
              <w:top w:val="nil" w:sz="6" w:space="0" w:color="auto"/>
              <w:left w:val="single" w:sz="6" w:space="0" w:color="000000"/>
              <w:bottom w:val="single" w:sz="6" w:space="0" w:color="000000"/>
              <w:right w:val="single" w:sz="6" w:space="0" w:color="000000"/>
            </w:tcBorders>
            <w:shd w:val="clear" w:color="auto" w:fill="D2D2D2"/>
          </w:tcPr>
          <w:p>
            <w:pPr/>
          </w:p>
        </w:tc>
        <w:tc>
          <w:tcPr>
            <w:tcW w:w="842" w:type="dxa"/>
            <w:tcBorders>
              <w:top w:val="nil" w:sz="6" w:space="0" w:color="auto"/>
              <w:left w:val="single" w:sz="6" w:space="0" w:color="000000"/>
              <w:bottom w:val="single" w:sz="6" w:space="0" w:color="000000"/>
              <w:right w:val="single" w:sz="6" w:space="0" w:color="000000"/>
            </w:tcBorders>
            <w:shd w:val="clear" w:color="auto" w:fill="D2D2D2"/>
          </w:tcPr>
          <w:p>
            <w:pPr/>
          </w:p>
        </w:tc>
        <w:tc>
          <w:tcPr>
            <w:tcW w:w="776" w:type="dxa"/>
            <w:vMerge/>
            <w:tcBorders>
              <w:left w:val="single" w:sz="9" w:space="0" w:color="D2D2D2"/>
              <w:bottom w:val="single" w:sz="6" w:space="0" w:color="000000"/>
              <w:right w:val="single" w:sz="6" w:space="0" w:color="000000"/>
            </w:tcBorders>
          </w:tcPr>
          <w:p>
            <w:pPr/>
          </w:p>
        </w:tc>
        <w:tc>
          <w:tcPr>
            <w:tcW w:w="970" w:type="dxa"/>
            <w:vMerge/>
            <w:tcBorders>
              <w:left w:val="single" w:sz="6" w:space="0" w:color="000000"/>
              <w:bottom w:val="single" w:sz="6" w:space="0" w:color="000000"/>
              <w:right w:val="single" w:sz="8" w:space="0" w:color="D2D2D2"/>
            </w:tcBorders>
          </w:tcPr>
          <w:p>
            <w:pPr/>
          </w:p>
        </w:tc>
        <w:tc>
          <w:tcPr>
            <w:tcW w:w="432" w:type="dxa"/>
            <w:tcBorders>
              <w:top w:val="nil" w:sz="6" w:space="0" w:color="auto"/>
              <w:left w:val="single" w:sz="6" w:space="0" w:color="000000"/>
              <w:bottom w:val="single" w:sz="6" w:space="0" w:color="000000"/>
              <w:right w:val="single" w:sz="6" w:space="0" w:color="000000"/>
            </w:tcBorders>
            <w:shd w:val="clear" w:color="auto" w:fill="D2D2D2"/>
          </w:tcPr>
          <w:p>
            <w:pPr/>
          </w:p>
        </w:tc>
        <w:tc>
          <w:tcPr>
            <w:tcW w:w="56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9952"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9" w:hRule="exact"/>
        </w:trPr>
        <w:tc>
          <w:tcPr>
            <w:tcW w:w="116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4" w:right="47"/>
              <w:jc w:val="left"/>
              <w:rPr>
                <w:rFonts w:ascii="宋体" w:hAnsi="宋体" w:cs="宋体" w:eastAsia="宋体" w:hint="default"/>
                <w:sz w:val="18"/>
                <w:szCs w:val="18"/>
              </w:rPr>
            </w:pPr>
            <w:r>
              <w:rPr>
                <w:rFonts w:ascii="宋体" w:hAnsi="宋体" w:cs="宋体" w:eastAsia="宋体" w:hint="default"/>
                <w:sz w:val="18"/>
                <w:szCs w:val="18"/>
              </w:rPr>
              <w:t>投资设立智威 宇讯</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4,900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06</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-49.57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-157.36</w:t>
            </w:r>
          </w:p>
        </w:tc>
        <w:tc>
          <w:tcPr>
            <w:tcW w:w="432"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166"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4" w:right="47"/>
              <w:jc w:val="left"/>
              <w:rPr>
                <w:rFonts w:ascii="宋体" w:hAnsi="宋体" w:cs="宋体" w:eastAsia="宋体" w:hint="default"/>
                <w:sz w:val="18"/>
                <w:szCs w:val="18"/>
              </w:rPr>
            </w:pPr>
            <w:r>
              <w:rPr>
                <w:rFonts w:ascii="宋体" w:hAnsi="宋体" w:cs="宋体" w:eastAsia="宋体" w:hint="default"/>
                <w:sz w:val="18"/>
                <w:szCs w:val="18"/>
              </w:rPr>
              <w:t>增资子公司创 威煤安</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3,000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06</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340.03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1,872.52</w:t>
            </w:r>
          </w:p>
        </w:tc>
        <w:tc>
          <w:tcPr>
            <w:tcW w:w="432"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8" w:hRule="exact"/>
        </w:trPr>
        <w:tc>
          <w:tcPr>
            <w:tcW w:w="116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扩建研发中心</w:t>
            </w:r>
          </w:p>
        </w:tc>
        <w:tc>
          <w:tcPr>
            <w:tcW w:w="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4,500</w:t>
            </w:r>
          </w:p>
        </w:tc>
        <w:tc>
          <w:tcPr>
            <w:tcW w:w="9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4,500</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1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4,556.99</w:t>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101.27%</w:t>
            </w:r>
          </w:p>
        </w:tc>
        <w:tc>
          <w:tcPr>
            <w:tcW w:w="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432" w:type="dxa"/>
            <w:tcBorders>
              <w:top w:val="single" w:sz="6" w:space="0" w:color="000000"/>
              <w:left w:val="single" w:sz="6" w:space="0" w:color="000000"/>
              <w:bottom w:val="single" w:sz="12" w:space="0" w:color="000000"/>
              <w:right w:val="single" w:sz="6" w:space="0" w:color="000000"/>
            </w:tcBorders>
          </w:tcPr>
          <w:p>
            <w:pPr/>
          </w:p>
        </w:tc>
        <w:tc>
          <w:tcPr>
            <w:tcW w:w="5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720" w:right="960"/>
        </w:sectPr>
      </w:pPr>
    </w:p>
    <w:p>
      <w:pPr>
        <w:spacing w:line="240" w:lineRule="auto" w:before="0"/>
        <w:rPr>
          <w:rFonts w:ascii="宋体" w:hAnsi="宋体" w:cs="宋体" w:eastAsia="宋体" w:hint="default"/>
          <w:sz w:val="20"/>
          <w:szCs w:val="20"/>
        </w:rPr>
      </w:pPr>
      <w:r>
        <w:rPr/>
        <w:pict>
          <v:shape style="position:absolute;margin-left:41.700001pt;margin-top:71.999985pt;width:499.85pt;height:667.4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6"/>
                    <w:gridCol w:w="602"/>
                    <w:gridCol w:w="779"/>
                    <w:gridCol w:w="923"/>
                    <w:gridCol w:w="917"/>
                    <w:gridCol w:w="1003"/>
                    <w:gridCol w:w="979"/>
                    <w:gridCol w:w="842"/>
                    <w:gridCol w:w="776"/>
                    <w:gridCol w:w="970"/>
                    <w:gridCol w:w="432"/>
                    <w:gridCol w:w="562"/>
                  </w:tblGrid>
                  <w:tr>
                    <w:trPr>
                      <w:trHeight w:val="727" w:hRule="exact"/>
                    </w:trPr>
                    <w:tc>
                      <w:tcPr>
                        <w:tcW w:w="1166"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51"/>
                          <w:ind w:left="14" w:right="47"/>
                          <w:jc w:val="left"/>
                          <w:rPr>
                            <w:rFonts w:ascii="宋体" w:hAnsi="宋体" w:cs="宋体" w:eastAsia="宋体" w:hint="default"/>
                            <w:sz w:val="18"/>
                            <w:szCs w:val="18"/>
                          </w:rPr>
                        </w:pPr>
                        <w:r>
                          <w:rPr>
                            <w:rFonts w:ascii="宋体" w:hAnsi="宋体" w:cs="宋体" w:eastAsia="宋体" w:hint="default"/>
                            <w:sz w:val="18"/>
                            <w:szCs w:val="18"/>
                          </w:rPr>
                          <w:t>购买物联网产 业园土地</w:t>
                        </w:r>
                      </w:p>
                    </w:tc>
                    <w:tc>
                      <w:tcPr>
                        <w:tcW w:w="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w:t>
                        </w:r>
                      </w:p>
                    </w:tc>
                    <w:tc>
                      <w:tcPr>
                        <w:tcW w:w="9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2,623.25</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0</w:t>
                        </w:r>
                      </w:p>
                    </w:tc>
                    <w:tc>
                      <w:tcPr>
                        <w:tcW w:w="10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2,623.25</w:t>
                        </w:r>
                      </w:p>
                    </w:tc>
                    <w:tc>
                      <w:tcPr>
                        <w:tcW w:w="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100.00%</w:t>
                        </w:r>
                      </w:p>
                    </w:tc>
                    <w:tc>
                      <w:tcPr>
                        <w:tcW w:w="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432" w:type="dxa"/>
                        <w:tcBorders>
                          <w:top w:val="single" w:sz="12" w:space="0" w:color="000000"/>
                          <w:left w:val="single" w:sz="6" w:space="0" w:color="000000"/>
                          <w:bottom w:val="single" w:sz="6" w:space="0" w:color="000000"/>
                          <w:right w:val="single" w:sz="6" w:space="0" w:color="000000"/>
                        </w:tcBorders>
                      </w:tcPr>
                      <w:p>
                        <w:pPr/>
                      </w:p>
                    </w:tc>
                    <w:tc>
                      <w:tcPr>
                        <w:tcW w:w="56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6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96"/>
                          <w:jc w:val="right"/>
                          <w:rPr>
                            <w:rFonts w:ascii="宋体" w:hAnsi="宋体" w:cs="宋体" w:eastAsia="宋体" w:hint="default"/>
                            <w:sz w:val="18"/>
                            <w:szCs w:val="18"/>
                          </w:rPr>
                        </w:pPr>
                        <w:r>
                          <w:rPr>
                            <w:rFonts w:ascii="宋体"/>
                            <w:sz w:val="18"/>
                          </w:rPr>
                          <w:t>--</w:t>
                        </w:r>
                      </w:p>
                    </w:tc>
                    <w:tc>
                      <w:tcPr>
                        <w:tcW w:w="7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979"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left="314" w:right="0"/>
                          <w:jc w:val="lef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56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174"/>
                          <w:jc w:val="right"/>
                          <w:rPr>
                            <w:rFonts w:ascii="宋体" w:hAnsi="宋体" w:cs="宋体" w:eastAsia="宋体" w:hint="default"/>
                            <w:sz w:val="18"/>
                            <w:szCs w:val="18"/>
                          </w:rPr>
                        </w:pPr>
                        <w:r>
                          <w:rPr>
                            <w:rFonts w:ascii="宋体"/>
                            <w:sz w:val="18"/>
                          </w:rPr>
                          <w:t>--</w:t>
                        </w:r>
                      </w:p>
                    </w:tc>
                  </w:tr>
                  <w:tr>
                    <w:trPr>
                      <w:trHeight w:val="163" w:hRule="exact"/>
                    </w:trPr>
                    <w:tc>
                      <w:tcPr>
                        <w:tcW w:w="1166" w:type="dxa"/>
                        <w:vMerge w:val="restart"/>
                        <w:tcBorders>
                          <w:top w:val="single" w:sz="6" w:space="0" w:color="000000"/>
                          <w:left w:val="single" w:sz="12" w:space="0" w:color="000000"/>
                          <w:right w:val="single" w:sz="6" w:space="0" w:color="000000"/>
                        </w:tcBorders>
                        <w:shd w:val="clear" w:color="auto" w:fill="D2D2D2"/>
                      </w:tcPr>
                      <w:p>
                        <w:pPr>
                          <w:pStyle w:val="TableParagraph"/>
                          <w:spacing w:line="319" w:lineRule="auto" w:before="51"/>
                          <w:ind w:left="14" w:right="47"/>
                          <w:jc w:val="left"/>
                          <w:rPr>
                            <w:rFonts w:ascii="宋体" w:hAnsi="宋体" w:cs="宋体" w:eastAsia="宋体" w:hint="default"/>
                            <w:sz w:val="18"/>
                            <w:szCs w:val="18"/>
                          </w:rPr>
                        </w:pPr>
                        <w:r>
                          <w:rPr>
                            <w:rFonts w:ascii="宋体" w:hAnsi="宋体" w:cs="宋体" w:eastAsia="宋体" w:hint="default"/>
                            <w:sz w:val="18"/>
                            <w:szCs w:val="18"/>
                          </w:rPr>
                          <w:t>永久补充流动 资金</w:t>
                        </w:r>
                      </w:p>
                    </w:tc>
                    <w:tc>
                      <w:tcPr>
                        <w:tcW w:w="602" w:type="dxa"/>
                        <w:tcBorders>
                          <w:top w:val="single" w:sz="6" w:space="0" w:color="000000"/>
                          <w:left w:val="single" w:sz="6" w:space="0" w:color="000000"/>
                          <w:bottom w:val="nil" w:sz="6" w:space="0" w:color="auto"/>
                          <w:right w:val="single" w:sz="6" w:space="0" w:color="000000"/>
                        </w:tcBorders>
                        <w:shd w:val="clear" w:color="auto" w:fill="D2D2D2"/>
                      </w:tcPr>
                      <w:p>
                        <w:pPr/>
                      </w:p>
                    </w:tc>
                    <w:tc>
                      <w:tcPr>
                        <w:tcW w:w="779" w:type="dxa"/>
                        <w:vMerge w:val="restart"/>
                        <w:tcBorders>
                          <w:top w:val="single" w:sz="6" w:space="0" w:color="000000"/>
                          <w:left w:val="single" w:sz="8"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2,708.13</w:t>
                        </w:r>
                      </w:p>
                    </w:tc>
                    <w:tc>
                      <w:tcPr>
                        <w:tcW w:w="91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2,708.13</w:t>
                        </w:r>
                      </w:p>
                    </w:tc>
                    <w:tc>
                      <w:tcPr>
                        <w:tcW w:w="100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sz w:val="18"/>
                          </w:rPr>
                          <w:t>2,708.13</w:t>
                        </w:r>
                      </w:p>
                    </w:tc>
                    <w:tc>
                      <w:tcPr>
                        <w:tcW w:w="979" w:type="dxa"/>
                        <w:vMerge w:val="restart"/>
                        <w:tcBorders>
                          <w:top w:val="single" w:sz="6" w:space="0" w:color="000000"/>
                          <w:left w:val="single" w:sz="6" w:space="0" w:color="000000"/>
                          <w:right w:val="single" w:sz="8"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nil" w:sz="6" w:space="0" w:color="auto"/>
                          <w:right w:val="single" w:sz="6" w:space="0" w:color="000000"/>
                        </w:tcBorders>
                        <w:shd w:val="clear" w:color="auto" w:fill="D2D2D2"/>
                      </w:tcPr>
                      <w:p>
                        <w:pPr/>
                      </w:p>
                    </w:tc>
                    <w:tc>
                      <w:tcPr>
                        <w:tcW w:w="77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0" w:type="dxa"/>
                        <w:tcBorders>
                          <w:top w:val="single" w:sz="6" w:space="0" w:color="000000"/>
                          <w:left w:val="single" w:sz="6" w:space="0" w:color="000000"/>
                          <w:bottom w:val="nil" w:sz="6" w:space="0" w:color="auto"/>
                          <w:right w:val="single" w:sz="6" w:space="0" w:color="000000"/>
                        </w:tcBorders>
                        <w:shd w:val="clear" w:color="auto" w:fill="D2D2D2"/>
                      </w:tcPr>
                      <w:p>
                        <w:pPr/>
                      </w:p>
                    </w:tc>
                    <w:tc>
                      <w:tcPr>
                        <w:tcW w:w="432" w:type="dxa"/>
                        <w:tcBorders>
                          <w:top w:val="single" w:sz="6" w:space="0" w:color="000000"/>
                          <w:left w:val="single" w:sz="6" w:space="0" w:color="000000"/>
                          <w:bottom w:val="nil" w:sz="6" w:space="0" w:color="auto"/>
                          <w:right w:val="single" w:sz="6" w:space="0" w:color="000000"/>
                        </w:tcBorders>
                        <w:shd w:val="clear" w:color="auto" w:fill="D2D2D2"/>
                      </w:tcPr>
                      <w:p>
                        <w:pPr/>
                      </w:p>
                    </w:tc>
                    <w:tc>
                      <w:tcPr>
                        <w:tcW w:w="562"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3" w:hRule="exact"/>
                    </w:trPr>
                    <w:tc>
                      <w:tcPr>
                        <w:tcW w:w="1166" w:type="dxa"/>
                        <w:vMerge/>
                        <w:tcBorders>
                          <w:left w:val="single" w:sz="12" w:space="0" w:color="000000"/>
                          <w:right w:val="single" w:sz="6" w:space="0" w:color="000000"/>
                        </w:tcBorders>
                        <w:shd w:val="clear" w:color="auto" w:fill="D2D2D2"/>
                      </w:tcPr>
                      <w:p>
                        <w:pPr/>
                      </w:p>
                    </w:tc>
                    <w:tc>
                      <w:tcPr>
                        <w:tcW w:w="6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96"/>
                          <w:jc w:val="right"/>
                          <w:rPr>
                            <w:rFonts w:ascii="宋体" w:hAnsi="宋体" w:cs="宋体" w:eastAsia="宋体" w:hint="default"/>
                            <w:sz w:val="18"/>
                            <w:szCs w:val="18"/>
                          </w:rPr>
                        </w:pPr>
                        <w:r>
                          <w:rPr>
                            <w:rFonts w:ascii="宋体"/>
                            <w:sz w:val="18"/>
                          </w:rPr>
                          <w:t>--</w:t>
                        </w:r>
                      </w:p>
                    </w:tc>
                    <w:tc>
                      <w:tcPr>
                        <w:tcW w:w="779" w:type="dxa"/>
                        <w:vMerge/>
                        <w:tcBorders>
                          <w:left w:val="single" w:sz="8" w:space="0" w:color="D2D2D2"/>
                          <w:right w:val="single" w:sz="6" w:space="0" w:color="000000"/>
                        </w:tcBorders>
                      </w:tcPr>
                      <w:p>
                        <w:pPr/>
                      </w:p>
                    </w:tc>
                    <w:tc>
                      <w:tcPr>
                        <w:tcW w:w="923" w:type="dxa"/>
                        <w:vMerge/>
                        <w:tcBorders>
                          <w:left w:val="single" w:sz="6" w:space="0" w:color="000000"/>
                          <w:right w:val="single" w:sz="6" w:space="0" w:color="000000"/>
                        </w:tcBorders>
                      </w:tcPr>
                      <w:p>
                        <w:pPr/>
                      </w:p>
                    </w:tc>
                    <w:tc>
                      <w:tcPr>
                        <w:tcW w:w="917" w:type="dxa"/>
                        <w:vMerge/>
                        <w:tcBorders>
                          <w:left w:val="single" w:sz="6" w:space="0" w:color="000000"/>
                          <w:right w:val="single" w:sz="6" w:space="0" w:color="000000"/>
                        </w:tcBorders>
                      </w:tcPr>
                      <w:p>
                        <w:pPr/>
                      </w:p>
                    </w:tc>
                    <w:tc>
                      <w:tcPr>
                        <w:tcW w:w="1003" w:type="dxa"/>
                        <w:vMerge/>
                        <w:tcBorders>
                          <w:left w:val="single" w:sz="6" w:space="0" w:color="000000"/>
                          <w:right w:val="single" w:sz="6" w:space="0" w:color="000000"/>
                        </w:tcBorders>
                      </w:tcPr>
                      <w:p>
                        <w:pPr/>
                      </w:p>
                    </w:tc>
                    <w:tc>
                      <w:tcPr>
                        <w:tcW w:w="979" w:type="dxa"/>
                        <w:vMerge/>
                        <w:tcBorders>
                          <w:left w:val="single" w:sz="6" w:space="0" w:color="000000"/>
                          <w:right w:val="single" w:sz="8" w:space="0" w:color="D2D2D2"/>
                        </w:tcBorders>
                      </w:tcPr>
                      <w:p>
                        <w:pPr/>
                      </w:p>
                    </w:tc>
                    <w:tc>
                      <w:tcPr>
                        <w:tcW w:w="8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7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562"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right="174"/>
                          <w:jc w:val="right"/>
                          <w:rPr>
                            <w:rFonts w:ascii="宋体" w:hAnsi="宋体" w:cs="宋体" w:eastAsia="宋体" w:hint="default"/>
                            <w:sz w:val="18"/>
                            <w:szCs w:val="18"/>
                          </w:rPr>
                        </w:pPr>
                        <w:r>
                          <w:rPr>
                            <w:rFonts w:ascii="宋体"/>
                            <w:sz w:val="18"/>
                          </w:rPr>
                          <w:t>--</w:t>
                        </w:r>
                      </w:p>
                    </w:tc>
                  </w:tr>
                  <w:tr>
                    <w:trPr>
                      <w:trHeight w:val="163" w:hRule="exact"/>
                    </w:trPr>
                    <w:tc>
                      <w:tcPr>
                        <w:tcW w:w="1166" w:type="dxa"/>
                        <w:vMerge/>
                        <w:tcBorders>
                          <w:left w:val="single" w:sz="12" w:space="0" w:color="000000"/>
                          <w:bottom w:val="single" w:sz="6" w:space="0" w:color="000000"/>
                          <w:right w:val="single" w:sz="6" w:space="0" w:color="000000"/>
                        </w:tcBorders>
                        <w:shd w:val="clear" w:color="auto" w:fill="D2D2D2"/>
                      </w:tcPr>
                      <w:p>
                        <w:pPr/>
                      </w:p>
                    </w:tc>
                    <w:tc>
                      <w:tcPr>
                        <w:tcW w:w="602" w:type="dxa"/>
                        <w:tcBorders>
                          <w:top w:val="nil" w:sz="6" w:space="0" w:color="auto"/>
                          <w:left w:val="single" w:sz="6" w:space="0" w:color="000000"/>
                          <w:bottom w:val="single" w:sz="6" w:space="0" w:color="000000"/>
                          <w:right w:val="single" w:sz="6" w:space="0" w:color="000000"/>
                        </w:tcBorders>
                        <w:shd w:val="clear" w:color="auto" w:fill="D2D2D2"/>
                      </w:tcPr>
                      <w:p>
                        <w:pPr/>
                      </w:p>
                    </w:tc>
                    <w:tc>
                      <w:tcPr>
                        <w:tcW w:w="779" w:type="dxa"/>
                        <w:vMerge/>
                        <w:tcBorders>
                          <w:left w:val="single" w:sz="8" w:space="0" w:color="D2D2D2"/>
                          <w:bottom w:val="single" w:sz="6" w:space="0" w:color="000000"/>
                          <w:right w:val="single" w:sz="6" w:space="0" w:color="000000"/>
                        </w:tcBorders>
                      </w:tcPr>
                      <w:p>
                        <w:pPr/>
                      </w:p>
                    </w:tc>
                    <w:tc>
                      <w:tcPr>
                        <w:tcW w:w="923" w:type="dxa"/>
                        <w:vMerge/>
                        <w:tcBorders>
                          <w:left w:val="single" w:sz="6" w:space="0" w:color="000000"/>
                          <w:bottom w:val="single" w:sz="6" w:space="0" w:color="000000"/>
                          <w:right w:val="single" w:sz="6" w:space="0" w:color="000000"/>
                        </w:tcBorders>
                      </w:tcPr>
                      <w:p>
                        <w:pPr/>
                      </w:p>
                    </w:tc>
                    <w:tc>
                      <w:tcPr>
                        <w:tcW w:w="917" w:type="dxa"/>
                        <w:vMerge/>
                        <w:tcBorders>
                          <w:left w:val="single" w:sz="6" w:space="0" w:color="000000"/>
                          <w:bottom w:val="single" w:sz="6" w:space="0" w:color="000000"/>
                          <w:right w:val="single" w:sz="6" w:space="0" w:color="000000"/>
                        </w:tcBorders>
                      </w:tcPr>
                      <w:p>
                        <w:pPr/>
                      </w:p>
                    </w:tc>
                    <w:tc>
                      <w:tcPr>
                        <w:tcW w:w="1003" w:type="dxa"/>
                        <w:vMerge/>
                        <w:tcBorders>
                          <w:left w:val="single" w:sz="6" w:space="0" w:color="000000"/>
                          <w:bottom w:val="single" w:sz="6" w:space="0" w:color="000000"/>
                          <w:right w:val="single" w:sz="6" w:space="0" w:color="000000"/>
                        </w:tcBorders>
                      </w:tcPr>
                      <w:p>
                        <w:pPr/>
                      </w:p>
                    </w:tc>
                    <w:tc>
                      <w:tcPr>
                        <w:tcW w:w="979" w:type="dxa"/>
                        <w:vMerge/>
                        <w:tcBorders>
                          <w:left w:val="single" w:sz="6" w:space="0" w:color="000000"/>
                          <w:bottom w:val="single" w:sz="6" w:space="0" w:color="000000"/>
                          <w:right w:val="single" w:sz="8" w:space="0" w:color="D2D2D2"/>
                        </w:tcBorders>
                      </w:tcPr>
                      <w:p>
                        <w:pPr/>
                      </w:p>
                    </w:tc>
                    <w:tc>
                      <w:tcPr>
                        <w:tcW w:w="842" w:type="dxa"/>
                        <w:tcBorders>
                          <w:top w:val="nil" w:sz="6" w:space="0" w:color="auto"/>
                          <w:left w:val="single" w:sz="6" w:space="0" w:color="000000"/>
                          <w:bottom w:val="single" w:sz="6" w:space="0" w:color="000000"/>
                          <w:right w:val="single" w:sz="6" w:space="0" w:color="000000"/>
                        </w:tcBorders>
                        <w:shd w:val="clear" w:color="auto" w:fill="D2D2D2"/>
                      </w:tcPr>
                      <w:p>
                        <w:pPr/>
                      </w:p>
                    </w:tc>
                    <w:tc>
                      <w:tcPr>
                        <w:tcW w:w="77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0" w:type="dxa"/>
                        <w:tcBorders>
                          <w:top w:val="nil" w:sz="6" w:space="0" w:color="auto"/>
                          <w:left w:val="single" w:sz="6" w:space="0" w:color="000000"/>
                          <w:bottom w:val="single" w:sz="6" w:space="0" w:color="000000"/>
                          <w:right w:val="single" w:sz="6" w:space="0" w:color="000000"/>
                        </w:tcBorders>
                        <w:shd w:val="clear" w:color="auto" w:fill="D2D2D2"/>
                      </w:tcPr>
                      <w:p>
                        <w:pPr/>
                      </w:p>
                    </w:tc>
                    <w:tc>
                      <w:tcPr>
                        <w:tcW w:w="432" w:type="dxa"/>
                        <w:tcBorders>
                          <w:top w:val="nil" w:sz="6" w:space="0" w:color="auto"/>
                          <w:left w:val="single" w:sz="6" w:space="0" w:color="000000"/>
                          <w:bottom w:val="single" w:sz="6" w:space="0" w:color="000000"/>
                          <w:right w:val="single" w:sz="6" w:space="0" w:color="000000"/>
                        </w:tcBorders>
                        <w:shd w:val="clear" w:color="auto" w:fill="D2D2D2"/>
                      </w:tcPr>
                      <w:p>
                        <w:pPr/>
                      </w:p>
                    </w:tc>
                    <w:tc>
                      <w:tcPr>
                        <w:tcW w:w="56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3" w:hRule="exact"/>
                    </w:trPr>
                    <w:tc>
                      <w:tcPr>
                        <w:tcW w:w="1166" w:type="dxa"/>
                        <w:vMerge w:val="restart"/>
                        <w:tcBorders>
                          <w:top w:val="single" w:sz="6" w:space="0" w:color="000000"/>
                          <w:left w:val="single" w:sz="12" w:space="0" w:color="000000"/>
                          <w:right w:val="single" w:sz="6" w:space="0" w:color="000000"/>
                        </w:tcBorders>
                        <w:shd w:val="clear" w:color="auto" w:fill="D2D2D2"/>
                      </w:tcPr>
                      <w:p>
                        <w:pPr>
                          <w:pStyle w:val="TableParagraph"/>
                          <w:spacing w:line="319" w:lineRule="auto" w:before="51"/>
                          <w:ind w:left="14" w:right="47"/>
                          <w:jc w:val="left"/>
                          <w:rPr>
                            <w:rFonts w:ascii="宋体" w:hAnsi="宋体" w:cs="宋体" w:eastAsia="宋体" w:hint="default"/>
                            <w:sz w:val="18"/>
                            <w:szCs w:val="18"/>
                          </w:rPr>
                        </w:pPr>
                        <w:r>
                          <w:rPr>
                            <w:rFonts w:ascii="宋体" w:hAnsi="宋体" w:cs="宋体" w:eastAsia="宋体" w:hint="default"/>
                            <w:sz w:val="18"/>
                            <w:szCs w:val="18"/>
                          </w:rPr>
                          <w:t>超募资金投向 小计</w:t>
                        </w:r>
                      </w:p>
                    </w:tc>
                    <w:tc>
                      <w:tcPr>
                        <w:tcW w:w="602" w:type="dxa"/>
                        <w:tcBorders>
                          <w:top w:val="single" w:sz="6" w:space="0" w:color="000000"/>
                          <w:left w:val="single" w:sz="6" w:space="0" w:color="000000"/>
                          <w:bottom w:val="nil" w:sz="6" w:space="0" w:color="auto"/>
                          <w:right w:val="single" w:sz="6" w:space="0" w:color="000000"/>
                        </w:tcBorders>
                        <w:shd w:val="clear" w:color="auto" w:fill="D2D2D2"/>
                      </w:tcPr>
                      <w:p>
                        <w:pPr/>
                      </w:p>
                    </w:tc>
                    <w:tc>
                      <w:tcPr>
                        <w:tcW w:w="779" w:type="dxa"/>
                        <w:vMerge w:val="restart"/>
                        <w:tcBorders>
                          <w:top w:val="single" w:sz="6" w:space="0" w:color="000000"/>
                          <w:left w:val="single" w:sz="8"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sz w:val="18"/>
                          </w:rPr>
                          <w:t>18,400</w:t>
                        </w:r>
                      </w:p>
                    </w:tc>
                    <w:tc>
                      <w:tcPr>
                        <w:tcW w:w="9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sz w:val="18"/>
                          </w:rPr>
                          <w:t>18,731.38</w:t>
                        </w:r>
                      </w:p>
                    </w:tc>
                    <w:tc>
                      <w:tcPr>
                        <w:tcW w:w="91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2,708.13</w:t>
                        </w:r>
                      </w:p>
                    </w:tc>
                    <w:tc>
                      <w:tcPr>
                        <w:tcW w:w="1003" w:type="dxa"/>
                        <w:vMerge w:val="restart"/>
                        <w:tcBorders>
                          <w:top w:val="single" w:sz="6" w:space="0" w:color="000000"/>
                          <w:left w:val="single" w:sz="6"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sz w:val="18"/>
                          </w:rPr>
                          <w:t>18,788.37</w:t>
                        </w:r>
                      </w:p>
                    </w:tc>
                    <w:tc>
                      <w:tcPr>
                        <w:tcW w:w="979" w:type="dxa"/>
                        <w:tcBorders>
                          <w:top w:val="single" w:sz="6" w:space="0" w:color="000000"/>
                          <w:left w:val="single" w:sz="6" w:space="0" w:color="000000"/>
                          <w:bottom w:val="nil" w:sz="6" w:space="0" w:color="auto"/>
                          <w:right w:val="single" w:sz="6" w:space="0" w:color="000000"/>
                        </w:tcBorders>
                        <w:shd w:val="clear" w:color="auto" w:fill="D2D2D2"/>
                      </w:tcPr>
                      <w:p>
                        <w:pPr/>
                      </w:p>
                    </w:tc>
                    <w:tc>
                      <w:tcPr>
                        <w:tcW w:w="842" w:type="dxa"/>
                        <w:tcBorders>
                          <w:top w:val="single" w:sz="6" w:space="0" w:color="000000"/>
                          <w:left w:val="single" w:sz="6" w:space="0" w:color="000000"/>
                          <w:bottom w:val="nil" w:sz="6" w:space="0" w:color="auto"/>
                          <w:right w:val="single" w:sz="6" w:space="0" w:color="000000"/>
                        </w:tcBorders>
                        <w:shd w:val="clear" w:color="auto" w:fill="D2D2D2"/>
                      </w:tcPr>
                      <w:p>
                        <w:pPr/>
                      </w:p>
                    </w:tc>
                    <w:tc>
                      <w:tcPr>
                        <w:tcW w:w="776"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sz w:val="18"/>
                          </w:rPr>
                          <w:t>290.46</w:t>
                        </w:r>
                      </w:p>
                    </w:tc>
                    <w:tc>
                      <w:tcPr>
                        <w:tcW w:w="970" w:type="dxa"/>
                        <w:vMerge w:val="restart"/>
                        <w:tcBorders>
                          <w:top w:val="single" w:sz="6" w:space="0" w:color="000000"/>
                          <w:left w:val="single" w:sz="6" w:space="0" w:color="000000"/>
                          <w:right w:val="single" w:sz="8"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sz w:val="18"/>
                          </w:rPr>
                          <w:t>1,715.16</w:t>
                        </w:r>
                      </w:p>
                    </w:tc>
                    <w:tc>
                      <w:tcPr>
                        <w:tcW w:w="432" w:type="dxa"/>
                        <w:tcBorders>
                          <w:top w:val="single" w:sz="6" w:space="0" w:color="000000"/>
                          <w:left w:val="single" w:sz="6" w:space="0" w:color="000000"/>
                          <w:bottom w:val="nil" w:sz="6" w:space="0" w:color="auto"/>
                          <w:right w:val="single" w:sz="6" w:space="0" w:color="000000"/>
                        </w:tcBorders>
                        <w:shd w:val="clear" w:color="auto" w:fill="D2D2D2"/>
                      </w:tcPr>
                      <w:p>
                        <w:pPr/>
                      </w:p>
                    </w:tc>
                    <w:tc>
                      <w:tcPr>
                        <w:tcW w:w="562"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2" w:hRule="exact"/>
                    </w:trPr>
                    <w:tc>
                      <w:tcPr>
                        <w:tcW w:w="1166" w:type="dxa"/>
                        <w:vMerge/>
                        <w:tcBorders>
                          <w:left w:val="single" w:sz="12" w:space="0" w:color="000000"/>
                          <w:right w:val="single" w:sz="6" w:space="0" w:color="000000"/>
                        </w:tcBorders>
                        <w:shd w:val="clear" w:color="auto" w:fill="D2D2D2"/>
                      </w:tcPr>
                      <w:p>
                        <w:pPr/>
                      </w:p>
                    </w:tc>
                    <w:tc>
                      <w:tcPr>
                        <w:tcW w:w="6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96"/>
                          <w:jc w:val="right"/>
                          <w:rPr>
                            <w:rFonts w:ascii="宋体" w:hAnsi="宋体" w:cs="宋体" w:eastAsia="宋体" w:hint="default"/>
                            <w:sz w:val="18"/>
                            <w:szCs w:val="18"/>
                          </w:rPr>
                        </w:pPr>
                        <w:r>
                          <w:rPr>
                            <w:rFonts w:ascii="宋体"/>
                            <w:sz w:val="18"/>
                          </w:rPr>
                          <w:t>--</w:t>
                        </w:r>
                      </w:p>
                    </w:tc>
                    <w:tc>
                      <w:tcPr>
                        <w:tcW w:w="779" w:type="dxa"/>
                        <w:vMerge/>
                        <w:tcBorders>
                          <w:left w:val="single" w:sz="8" w:space="0" w:color="D2D2D2"/>
                          <w:right w:val="single" w:sz="6" w:space="0" w:color="000000"/>
                        </w:tcBorders>
                      </w:tcPr>
                      <w:p>
                        <w:pPr/>
                      </w:p>
                    </w:tc>
                    <w:tc>
                      <w:tcPr>
                        <w:tcW w:w="923" w:type="dxa"/>
                        <w:vMerge/>
                        <w:tcBorders>
                          <w:left w:val="single" w:sz="6" w:space="0" w:color="000000"/>
                          <w:right w:val="single" w:sz="6" w:space="0" w:color="000000"/>
                        </w:tcBorders>
                      </w:tcPr>
                      <w:p>
                        <w:pPr/>
                      </w:p>
                    </w:tc>
                    <w:tc>
                      <w:tcPr>
                        <w:tcW w:w="917" w:type="dxa"/>
                        <w:vMerge/>
                        <w:tcBorders>
                          <w:left w:val="single" w:sz="6" w:space="0" w:color="000000"/>
                          <w:right w:val="single" w:sz="6" w:space="0" w:color="000000"/>
                        </w:tcBorders>
                      </w:tcPr>
                      <w:p>
                        <w:pPr/>
                      </w:p>
                    </w:tc>
                    <w:tc>
                      <w:tcPr>
                        <w:tcW w:w="1003" w:type="dxa"/>
                        <w:vMerge/>
                        <w:tcBorders>
                          <w:left w:val="single" w:sz="6" w:space="0" w:color="000000"/>
                          <w:right w:val="single" w:sz="9" w:space="0" w:color="D2D2D2"/>
                        </w:tcBorders>
                      </w:tcPr>
                      <w:p>
                        <w:pPr/>
                      </w:p>
                    </w:tc>
                    <w:tc>
                      <w:tcPr>
                        <w:tcW w:w="97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392" w:right="0"/>
                          <w:jc w:val="left"/>
                          <w:rPr>
                            <w:rFonts w:ascii="宋体" w:hAnsi="宋体" w:cs="宋体" w:eastAsia="宋体" w:hint="default"/>
                            <w:sz w:val="18"/>
                            <w:szCs w:val="18"/>
                          </w:rPr>
                        </w:pPr>
                        <w:r>
                          <w:rPr>
                            <w:rFonts w:ascii="宋体"/>
                            <w:sz w:val="18"/>
                          </w:rPr>
                          <w:t>--</w:t>
                        </w:r>
                      </w:p>
                    </w:tc>
                    <w:tc>
                      <w:tcPr>
                        <w:tcW w:w="8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76" w:type="dxa"/>
                        <w:vMerge/>
                        <w:tcBorders>
                          <w:left w:val="single" w:sz="9" w:space="0" w:color="D2D2D2"/>
                          <w:right w:val="single" w:sz="6" w:space="0" w:color="000000"/>
                        </w:tcBorders>
                      </w:tcPr>
                      <w:p>
                        <w:pPr/>
                      </w:p>
                    </w:tc>
                    <w:tc>
                      <w:tcPr>
                        <w:tcW w:w="970" w:type="dxa"/>
                        <w:vMerge/>
                        <w:tcBorders>
                          <w:left w:val="single" w:sz="6" w:space="0" w:color="000000"/>
                          <w:right w:val="single" w:sz="8" w:space="0" w:color="D2D2D2"/>
                        </w:tcBorders>
                      </w:tcPr>
                      <w:p>
                        <w:pPr/>
                      </w:p>
                    </w:tc>
                    <w:tc>
                      <w:tcPr>
                        <w:tcW w:w="4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562"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right="174"/>
                          <w:jc w:val="right"/>
                          <w:rPr>
                            <w:rFonts w:ascii="宋体" w:hAnsi="宋体" w:cs="宋体" w:eastAsia="宋体" w:hint="default"/>
                            <w:sz w:val="18"/>
                            <w:szCs w:val="18"/>
                          </w:rPr>
                        </w:pPr>
                        <w:r>
                          <w:rPr>
                            <w:rFonts w:ascii="宋体"/>
                            <w:sz w:val="18"/>
                          </w:rPr>
                          <w:t>--</w:t>
                        </w:r>
                      </w:p>
                    </w:tc>
                  </w:tr>
                  <w:tr>
                    <w:trPr>
                      <w:trHeight w:val="163" w:hRule="exact"/>
                    </w:trPr>
                    <w:tc>
                      <w:tcPr>
                        <w:tcW w:w="1166" w:type="dxa"/>
                        <w:vMerge/>
                        <w:tcBorders>
                          <w:left w:val="single" w:sz="12" w:space="0" w:color="000000"/>
                          <w:bottom w:val="single" w:sz="6" w:space="0" w:color="000000"/>
                          <w:right w:val="single" w:sz="6" w:space="0" w:color="000000"/>
                        </w:tcBorders>
                        <w:shd w:val="clear" w:color="auto" w:fill="D2D2D2"/>
                      </w:tcPr>
                      <w:p>
                        <w:pPr/>
                      </w:p>
                    </w:tc>
                    <w:tc>
                      <w:tcPr>
                        <w:tcW w:w="602" w:type="dxa"/>
                        <w:tcBorders>
                          <w:top w:val="nil" w:sz="6" w:space="0" w:color="auto"/>
                          <w:left w:val="single" w:sz="6" w:space="0" w:color="000000"/>
                          <w:bottom w:val="single" w:sz="6" w:space="0" w:color="000000"/>
                          <w:right w:val="single" w:sz="6" w:space="0" w:color="000000"/>
                        </w:tcBorders>
                        <w:shd w:val="clear" w:color="auto" w:fill="D2D2D2"/>
                      </w:tcPr>
                      <w:p>
                        <w:pPr/>
                      </w:p>
                    </w:tc>
                    <w:tc>
                      <w:tcPr>
                        <w:tcW w:w="779" w:type="dxa"/>
                        <w:vMerge/>
                        <w:tcBorders>
                          <w:left w:val="single" w:sz="8" w:space="0" w:color="D2D2D2"/>
                          <w:bottom w:val="single" w:sz="6" w:space="0" w:color="000000"/>
                          <w:right w:val="single" w:sz="6" w:space="0" w:color="000000"/>
                        </w:tcBorders>
                      </w:tcPr>
                      <w:p>
                        <w:pPr/>
                      </w:p>
                    </w:tc>
                    <w:tc>
                      <w:tcPr>
                        <w:tcW w:w="923" w:type="dxa"/>
                        <w:vMerge/>
                        <w:tcBorders>
                          <w:left w:val="single" w:sz="6" w:space="0" w:color="000000"/>
                          <w:bottom w:val="single" w:sz="6" w:space="0" w:color="000000"/>
                          <w:right w:val="single" w:sz="6" w:space="0" w:color="000000"/>
                        </w:tcBorders>
                      </w:tcPr>
                      <w:p>
                        <w:pPr/>
                      </w:p>
                    </w:tc>
                    <w:tc>
                      <w:tcPr>
                        <w:tcW w:w="917" w:type="dxa"/>
                        <w:vMerge/>
                        <w:tcBorders>
                          <w:left w:val="single" w:sz="6" w:space="0" w:color="000000"/>
                          <w:bottom w:val="single" w:sz="6" w:space="0" w:color="000000"/>
                          <w:right w:val="single" w:sz="6" w:space="0" w:color="000000"/>
                        </w:tcBorders>
                      </w:tcPr>
                      <w:p>
                        <w:pPr/>
                      </w:p>
                    </w:tc>
                    <w:tc>
                      <w:tcPr>
                        <w:tcW w:w="1003" w:type="dxa"/>
                        <w:vMerge/>
                        <w:tcBorders>
                          <w:left w:val="single" w:sz="6" w:space="0" w:color="000000"/>
                          <w:bottom w:val="single" w:sz="6" w:space="0" w:color="000000"/>
                          <w:right w:val="single" w:sz="9" w:space="0" w:color="D2D2D2"/>
                        </w:tcBorders>
                      </w:tcPr>
                      <w:p>
                        <w:pPr/>
                      </w:p>
                    </w:tc>
                    <w:tc>
                      <w:tcPr>
                        <w:tcW w:w="979" w:type="dxa"/>
                        <w:tcBorders>
                          <w:top w:val="nil" w:sz="6" w:space="0" w:color="auto"/>
                          <w:left w:val="single" w:sz="6" w:space="0" w:color="000000"/>
                          <w:bottom w:val="single" w:sz="6" w:space="0" w:color="000000"/>
                          <w:right w:val="single" w:sz="6" w:space="0" w:color="000000"/>
                        </w:tcBorders>
                        <w:shd w:val="clear" w:color="auto" w:fill="D2D2D2"/>
                      </w:tcPr>
                      <w:p>
                        <w:pPr/>
                      </w:p>
                    </w:tc>
                    <w:tc>
                      <w:tcPr>
                        <w:tcW w:w="842" w:type="dxa"/>
                        <w:tcBorders>
                          <w:top w:val="nil" w:sz="6" w:space="0" w:color="auto"/>
                          <w:left w:val="single" w:sz="6" w:space="0" w:color="000000"/>
                          <w:bottom w:val="single" w:sz="6" w:space="0" w:color="000000"/>
                          <w:right w:val="single" w:sz="6" w:space="0" w:color="000000"/>
                        </w:tcBorders>
                        <w:shd w:val="clear" w:color="auto" w:fill="D2D2D2"/>
                      </w:tcPr>
                      <w:p>
                        <w:pPr/>
                      </w:p>
                    </w:tc>
                    <w:tc>
                      <w:tcPr>
                        <w:tcW w:w="776" w:type="dxa"/>
                        <w:vMerge/>
                        <w:tcBorders>
                          <w:left w:val="single" w:sz="9" w:space="0" w:color="D2D2D2"/>
                          <w:bottom w:val="single" w:sz="6" w:space="0" w:color="000000"/>
                          <w:right w:val="single" w:sz="6" w:space="0" w:color="000000"/>
                        </w:tcBorders>
                      </w:tcPr>
                      <w:p>
                        <w:pPr/>
                      </w:p>
                    </w:tc>
                    <w:tc>
                      <w:tcPr>
                        <w:tcW w:w="970" w:type="dxa"/>
                        <w:vMerge/>
                        <w:tcBorders>
                          <w:left w:val="single" w:sz="6" w:space="0" w:color="000000"/>
                          <w:bottom w:val="single" w:sz="6" w:space="0" w:color="000000"/>
                          <w:right w:val="single" w:sz="8" w:space="0" w:color="D2D2D2"/>
                        </w:tcBorders>
                      </w:tcPr>
                      <w:p>
                        <w:pPr/>
                      </w:p>
                    </w:tc>
                    <w:tc>
                      <w:tcPr>
                        <w:tcW w:w="432" w:type="dxa"/>
                        <w:tcBorders>
                          <w:top w:val="nil" w:sz="6" w:space="0" w:color="auto"/>
                          <w:left w:val="single" w:sz="6" w:space="0" w:color="000000"/>
                          <w:bottom w:val="single" w:sz="6" w:space="0" w:color="000000"/>
                          <w:right w:val="single" w:sz="6" w:space="0" w:color="000000"/>
                        </w:tcBorders>
                        <w:shd w:val="clear" w:color="auto" w:fill="D2D2D2"/>
                      </w:tcPr>
                      <w:p>
                        <w:pPr/>
                      </w:p>
                    </w:tc>
                    <w:tc>
                      <w:tcPr>
                        <w:tcW w:w="56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96"/>
                          <w:jc w:val="right"/>
                          <w:rPr>
                            <w:rFonts w:ascii="宋体" w:hAnsi="宋体" w:cs="宋体" w:eastAsia="宋体" w:hint="default"/>
                            <w:sz w:val="18"/>
                            <w:szCs w:val="18"/>
                          </w:rPr>
                        </w:pPr>
                        <w:r>
                          <w:rPr>
                            <w:rFonts w:ascii="宋体"/>
                            <w:sz w:val="18"/>
                          </w:rPr>
                          <w:t>--</w:t>
                        </w:r>
                      </w:p>
                    </w:tc>
                    <w:tc>
                      <w:tcPr>
                        <w:tcW w:w="77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52,057</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54,190.52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19,094.28</w:t>
                        </w:r>
                      </w:p>
                    </w:tc>
                    <w:tc>
                      <w:tcPr>
                        <w:tcW w:w="1003"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52,561.65</w:t>
                        </w:r>
                      </w:p>
                    </w:tc>
                    <w:tc>
                      <w:tcPr>
                        <w:tcW w:w="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宋体"/>
                            <w:sz w:val="18"/>
                          </w:rPr>
                          <w:t>--</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77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1,624.64</w:t>
                        </w:r>
                      </w:p>
                    </w:tc>
                    <w:tc>
                      <w:tcPr>
                        <w:tcW w:w="970"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7,271.67</w:t>
                        </w:r>
                      </w:p>
                    </w:tc>
                    <w:tc>
                      <w:tcPr>
                        <w:tcW w:w="4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sz w:val="18"/>
                          </w:rPr>
                          <w:t>--</w:t>
                        </w:r>
                      </w:p>
                    </w:tc>
                    <w:tc>
                      <w:tcPr>
                        <w:tcW w:w="56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right="174"/>
                          <w:jc w:val="right"/>
                          <w:rPr>
                            <w:rFonts w:ascii="宋体" w:hAnsi="宋体" w:cs="宋体" w:eastAsia="宋体" w:hint="default"/>
                            <w:sz w:val="18"/>
                            <w:szCs w:val="18"/>
                          </w:rPr>
                        </w:pPr>
                        <w:r>
                          <w:rPr>
                            <w:rFonts w:ascii="宋体"/>
                            <w:sz w:val="18"/>
                          </w:rPr>
                          <w:t>--</w:t>
                        </w:r>
                      </w:p>
                    </w:tc>
                  </w:tr>
                  <w:tr>
                    <w:trPr>
                      <w:trHeight w:val="1031"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4" w:right="47"/>
                          <w:jc w:val="both"/>
                          <w:rPr>
                            <w:rFonts w:ascii="宋体" w:hAnsi="宋体" w:cs="宋体" w:eastAsia="宋体" w:hint="default"/>
                            <w:sz w:val="18"/>
                            <w:szCs w:val="18"/>
                          </w:rPr>
                        </w:pPr>
                        <w:r>
                          <w:rPr>
                            <w:rFonts w:ascii="宋体" w:hAnsi="宋体" w:cs="宋体" w:eastAsia="宋体" w:hint="default"/>
                            <w:sz w:val="18"/>
                            <w:szCs w:val="18"/>
                          </w:rPr>
                          <w:t>未达到计划进 度或预计收益 的情况和原因</w:t>
                        </w:r>
                      </w:p>
                    </w:tc>
                    <w:tc>
                      <w:tcPr>
                        <w:tcW w:w="8785" w:type="dxa"/>
                        <w:gridSpan w:val="11"/>
                        <w:tcBorders>
                          <w:top w:val="single" w:sz="6" w:space="0" w:color="000000"/>
                          <w:left w:val="single" w:sz="14" w:space="0" w:color="D2D2D2"/>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2"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4" w:right="47"/>
                          <w:jc w:val="both"/>
                          <w:rPr>
                            <w:rFonts w:ascii="宋体" w:hAnsi="宋体" w:cs="宋体" w:eastAsia="宋体" w:hint="default"/>
                            <w:sz w:val="18"/>
                            <w:szCs w:val="18"/>
                          </w:rPr>
                        </w:pPr>
                        <w:r>
                          <w:rPr>
                            <w:rFonts w:ascii="宋体" w:hAnsi="宋体" w:cs="宋体" w:eastAsia="宋体" w:hint="default"/>
                            <w:sz w:val="18"/>
                            <w:szCs w:val="18"/>
                          </w:rPr>
                          <w:t>项目可行性发 生重大变化的 情况说明</w:t>
                        </w:r>
                      </w:p>
                    </w:tc>
                    <w:tc>
                      <w:tcPr>
                        <w:tcW w:w="8785" w:type="dxa"/>
                        <w:gridSpan w:val="11"/>
                        <w:tcBorders>
                          <w:top w:val="single" w:sz="6" w:space="0" w:color="000000"/>
                          <w:left w:val="single" w:sz="14" w:space="0" w:color="D2D2D2"/>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报告期内，公司募集资金投资项目未发生重大变化。</w:t>
                        </w:r>
                      </w:p>
                    </w:tc>
                  </w:tr>
                  <w:tr>
                    <w:trPr>
                      <w:trHeight w:val="407" w:hRule="exact"/>
                    </w:trPr>
                    <w:tc>
                      <w:tcPr>
                        <w:tcW w:w="1166" w:type="dxa"/>
                        <w:vMerge w:val="restart"/>
                        <w:tcBorders>
                          <w:top w:val="single" w:sz="6" w:space="0" w:color="000000"/>
                          <w:left w:val="single" w:sz="12" w:space="0" w:color="000000"/>
                          <w:right w:val="single" w:sz="6" w:space="0" w:color="000000"/>
                        </w:tcBorders>
                        <w:shd w:val="clear" w:color="auto" w:fill="D2D2D2"/>
                      </w:tcPr>
                      <w:p>
                        <w:pPr/>
                      </w:p>
                    </w:tc>
                    <w:tc>
                      <w:tcPr>
                        <w:tcW w:w="8785" w:type="dxa"/>
                        <w:gridSpan w:val="11"/>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20" w:hRule="exact"/>
                    </w:trPr>
                    <w:tc>
                      <w:tcPr>
                        <w:tcW w:w="1166" w:type="dxa"/>
                        <w:vMerge/>
                        <w:tcBorders>
                          <w:left w:val="single" w:sz="12" w:space="0" w:color="000000"/>
                          <w:bottom w:val="nil" w:sz="6" w:space="0" w:color="auto"/>
                          <w:right w:val="single" w:sz="6" w:space="0" w:color="000000"/>
                        </w:tcBorders>
                        <w:shd w:val="clear" w:color="auto" w:fill="D2D2D2"/>
                      </w:tcPr>
                      <w:p>
                        <w:pPr/>
                      </w:p>
                    </w:tc>
                    <w:tc>
                      <w:tcPr>
                        <w:tcW w:w="8785" w:type="dxa"/>
                        <w:gridSpan w:val="11"/>
                        <w:vMerge w:val="restart"/>
                        <w:tcBorders>
                          <w:top w:val="single" w:sz="6" w:space="0" w:color="000000"/>
                          <w:left w:val="single" w:sz="8" w:space="0" w:color="D2D2D2"/>
                          <w:right w:val="single" w:sz="12" w:space="0" w:color="000000"/>
                        </w:tcBorders>
                      </w:tcPr>
                      <w:p>
                        <w:pPr>
                          <w:pStyle w:val="TableParagraph"/>
                          <w:spacing w:line="240" w:lineRule="auto" w:before="51"/>
                          <w:ind w:left="18" w:right="0"/>
                          <w:jc w:val="both"/>
                          <w:rPr>
                            <w:rFonts w:ascii="宋体" w:hAnsi="宋体" w:cs="宋体" w:eastAsia="宋体" w:hint="default"/>
                            <w:sz w:val="18"/>
                            <w:szCs w:val="18"/>
                          </w:rPr>
                        </w:pPr>
                        <w:r>
                          <w:rPr>
                            <w:rFonts w:ascii="宋体" w:hAnsi="宋体" w:cs="宋体" w:eastAsia="宋体" w:hint="default"/>
                            <w:sz w:val="18"/>
                            <w:szCs w:val="18"/>
                          </w:rPr>
                          <w:t>公司共取得超募资金</w:t>
                        </w:r>
                        <w:r>
                          <w:rPr>
                            <w:rFonts w:ascii="宋体" w:hAnsi="宋体" w:cs="宋体" w:eastAsia="宋体" w:hint="default"/>
                            <w:spacing w:val="-46"/>
                            <w:sz w:val="18"/>
                            <w:szCs w:val="18"/>
                          </w:rPr>
                          <w:t> </w:t>
                        </w:r>
                        <w:r>
                          <w:rPr>
                            <w:rFonts w:ascii="宋体" w:hAnsi="宋体" w:cs="宋体" w:eastAsia="宋体" w:hint="default"/>
                            <w:sz w:val="18"/>
                            <w:szCs w:val="18"/>
                          </w:rPr>
                          <w:t>19,206.95</w:t>
                        </w:r>
                        <w:r>
                          <w:rPr>
                            <w:rFonts w:ascii="宋体" w:hAnsi="宋体" w:cs="宋体" w:eastAsia="宋体" w:hint="default"/>
                            <w:spacing w:val="-46"/>
                            <w:sz w:val="18"/>
                            <w:szCs w:val="18"/>
                          </w:rPr>
                          <w:t> </w:t>
                        </w:r>
                        <w:r>
                          <w:rPr>
                            <w:rFonts w:ascii="宋体" w:hAnsi="宋体" w:cs="宋体" w:eastAsia="宋体" w:hint="default"/>
                            <w:sz w:val="18"/>
                            <w:szCs w:val="18"/>
                          </w:rPr>
                          <w:t>万元，其中：</w:t>
                        </w:r>
                      </w:p>
                      <w:p>
                        <w:pPr>
                          <w:pStyle w:val="TableParagraph"/>
                          <w:spacing w:line="240" w:lineRule="auto" w:before="116"/>
                          <w:ind w:left="108"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、投资设立智威宇讯公司投入超募资金</w:t>
                        </w:r>
                        <w:r>
                          <w:rPr>
                            <w:rFonts w:ascii="宋体" w:hAnsi="宋体" w:cs="宋体" w:eastAsia="宋体" w:hint="default"/>
                            <w:spacing w:val="-62"/>
                            <w:sz w:val="18"/>
                            <w:szCs w:val="18"/>
                          </w:rPr>
                          <w:t> </w:t>
                        </w:r>
                        <w:r>
                          <w:rPr>
                            <w:rFonts w:ascii="宋体" w:hAnsi="宋体" w:cs="宋体" w:eastAsia="宋体" w:hint="default"/>
                            <w:sz w:val="18"/>
                            <w:szCs w:val="18"/>
                          </w:rPr>
                          <w:t>4,900.00</w:t>
                        </w:r>
                        <w:r>
                          <w:rPr>
                            <w:rFonts w:ascii="宋体" w:hAnsi="宋体" w:cs="宋体" w:eastAsia="宋体" w:hint="default"/>
                            <w:spacing w:val="-62"/>
                            <w:sz w:val="18"/>
                            <w:szCs w:val="18"/>
                          </w:rPr>
                          <w:t> </w:t>
                        </w:r>
                        <w:r>
                          <w:rPr>
                            <w:rFonts w:ascii="宋体" w:hAnsi="宋体" w:cs="宋体" w:eastAsia="宋体" w:hint="default"/>
                            <w:sz w:val="18"/>
                            <w:szCs w:val="18"/>
                          </w:rPr>
                          <w:t>万元，增资全资子公司创威煤安公司投入超募资金</w:t>
                        </w:r>
                        <w:r>
                          <w:rPr>
                            <w:rFonts w:ascii="宋体" w:hAnsi="宋体" w:cs="宋体" w:eastAsia="宋体" w:hint="default"/>
                            <w:spacing w:val="-62"/>
                            <w:sz w:val="18"/>
                            <w:szCs w:val="18"/>
                          </w:rPr>
                          <w:t> </w:t>
                        </w:r>
                        <w:r>
                          <w:rPr>
                            <w:rFonts w:ascii="宋体" w:hAnsi="宋体" w:cs="宋体" w:eastAsia="宋体" w:hint="default"/>
                            <w:sz w:val="18"/>
                            <w:szCs w:val="18"/>
                          </w:rPr>
                          <w:t>3,000.00</w:t>
                        </w:r>
                      </w:p>
                      <w:p>
                        <w:pPr>
                          <w:pStyle w:val="TableParagraph"/>
                          <w:spacing w:line="240" w:lineRule="auto" w:before="77"/>
                          <w:ind w:left="18" w:right="0"/>
                          <w:jc w:val="both"/>
                          <w:rPr>
                            <w:rFonts w:ascii="宋体" w:hAnsi="宋体" w:cs="宋体" w:eastAsia="宋体" w:hint="default"/>
                            <w:sz w:val="18"/>
                            <w:szCs w:val="18"/>
                          </w:rPr>
                        </w:pPr>
                        <w:r>
                          <w:rPr>
                            <w:rFonts w:ascii="宋体" w:hAnsi="宋体" w:cs="宋体" w:eastAsia="宋体" w:hint="default"/>
                            <w:sz w:val="18"/>
                            <w:szCs w:val="18"/>
                          </w:rPr>
                          <w:t>万元，上述两子公司均已于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月完成工商变更事项。</w:t>
                        </w:r>
                      </w:p>
                      <w:p>
                        <w:pPr>
                          <w:pStyle w:val="TableParagraph"/>
                          <w:spacing w:line="240" w:lineRule="auto" w:before="116"/>
                          <w:ind w:left="18"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月使用超募资金归还银行贷款</w:t>
                        </w:r>
                        <w:r>
                          <w:rPr>
                            <w:rFonts w:ascii="宋体" w:hAnsi="宋体" w:cs="宋体" w:eastAsia="宋体" w:hint="default"/>
                            <w:spacing w:val="-46"/>
                            <w:sz w:val="18"/>
                            <w:szCs w:val="18"/>
                          </w:rPr>
                          <w:t> </w:t>
                        </w: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319" w:lineRule="auto" w:before="116"/>
                          <w:ind w:left="18" w:right="1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、扩建研发中心计划使用</w:t>
                        </w:r>
                        <w:r>
                          <w:rPr>
                            <w:rFonts w:ascii="宋体" w:hAnsi="宋体" w:cs="宋体" w:eastAsia="宋体" w:hint="default"/>
                            <w:spacing w:val="-46"/>
                            <w:sz w:val="18"/>
                            <w:szCs w:val="18"/>
                          </w:rPr>
                          <w:t> </w:t>
                        </w:r>
                        <w:r>
                          <w:rPr>
                            <w:rFonts w:ascii="宋体" w:hAnsi="宋体" w:cs="宋体" w:eastAsia="宋体" w:hint="default"/>
                            <w:sz w:val="18"/>
                            <w:szCs w:val="18"/>
                          </w:rPr>
                          <w:t>4,500.00</w:t>
                        </w:r>
                        <w:r>
                          <w:rPr>
                            <w:rFonts w:ascii="宋体" w:hAnsi="宋体" w:cs="宋体" w:eastAsia="宋体" w:hint="default"/>
                            <w:spacing w:val="-46"/>
                            <w:sz w:val="18"/>
                            <w:szCs w:val="18"/>
                          </w:rPr>
                          <w:t> </w:t>
                        </w:r>
                        <w:r>
                          <w:rPr>
                            <w:rFonts w:ascii="宋体" w:hAnsi="宋体" w:cs="宋体" w:eastAsia="宋体" w:hint="default"/>
                            <w:sz w:val="18"/>
                            <w:szCs w:val="18"/>
                          </w:rPr>
                          <w:t>万元，实际使用</w:t>
                        </w:r>
                        <w:r>
                          <w:rPr>
                            <w:rFonts w:ascii="宋体" w:hAnsi="宋体" w:cs="宋体" w:eastAsia="宋体" w:hint="default"/>
                            <w:spacing w:val="-46"/>
                            <w:sz w:val="18"/>
                            <w:szCs w:val="18"/>
                          </w:rPr>
                          <w:t> </w:t>
                        </w:r>
                        <w:r>
                          <w:rPr>
                            <w:rFonts w:ascii="宋体" w:hAnsi="宋体" w:cs="宋体" w:eastAsia="宋体" w:hint="default"/>
                            <w:sz w:val="18"/>
                            <w:szCs w:val="18"/>
                          </w:rPr>
                          <w:t>4,557.00</w:t>
                        </w:r>
                        <w:r>
                          <w:rPr>
                            <w:rFonts w:ascii="宋体" w:hAnsi="宋体" w:cs="宋体" w:eastAsia="宋体" w:hint="default"/>
                            <w:spacing w:val="-46"/>
                            <w:sz w:val="18"/>
                            <w:szCs w:val="18"/>
                          </w:rPr>
                          <w:t> </w:t>
                        </w:r>
                        <w:r>
                          <w:rPr>
                            <w:rFonts w:ascii="宋体" w:hAnsi="宋体" w:cs="宋体" w:eastAsia="宋体" w:hint="default"/>
                            <w:sz w:val="18"/>
                            <w:szCs w:val="18"/>
                          </w:rPr>
                          <w:t>万元，超出部分用超募资金的利息支付。截止报 告期末，项目主体工程已经完工。</w:t>
                        </w:r>
                      </w:p>
                      <w:p>
                        <w:pPr>
                          <w:pStyle w:val="TableParagraph"/>
                          <w:spacing w:line="240" w:lineRule="auto" w:before="55"/>
                          <w:ind w:left="18"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、购置物联网产业园土地，原计划使用超募资金不超过</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万元，后期根据土地招拍挂情况，调整投资</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9"/>
                            <w:sz w:val="18"/>
                            <w:szCs w:val="18"/>
                          </w:rPr>
                          <w:t> </w:t>
                        </w:r>
                        <w:r>
                          <w:rPr>
                            <w:rFonts w:ascii="宋体" w:hAnsi="宋体" w:cs="宋体" w:eastAsia="宋体" w:hint="default"/>
                            <w:sz w:val="18"/>
                            <w:szCs w:val="18"/>
                          </w:rPr>
                          <w:t>4,000.00</w:t>
                        </w:r>
                        <w:r>
                          <w:rPr>
                            <w:rFonts w:ascii="宋体" w:hAnsi="宋体" w:cs="宋体" w:eastAsia="宋体" w:hint="default"/>
                            <w:spacing w:val="-49"/>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日，公司第二届董事会第二十次会议及第二届监事会第十五次会议审议</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通过了《关于使用自有资金置换部分已投入募集资金的议案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，同意公司使用自有资金</w:t>
                        </w:r>
                        <w:r>
                          <w:rPr>
                            <w:rFonts w:ascii="宋体" w:hAnsi="宋体" w:cs="宋体" w:eastAsia="宋体" w:hint="default"/>
                            <w:spacing w:val="-45"/>
                            <w:sz w:val="18"/>
                            <w:szCs w:val="18"/>
                          </w:rPr>
                          <w:t> </w:t>
                        </w:r>
                        <w:r>
                          <w:rPr>
                            <w:rFonts w:ascii="宋体" w:hAnsi="宋体" w:cs="宋体" w:eastAsia="宋体" w:hint="default"/>
                            <w:sz w:val="18"/>
                            <w:szCs w:val="18"/>
                          </w:rPr>
                          <w:t>1,376.75</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元置换已投</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入的用于购买“郑政出</w:t>
                        </w:r>
                        <w:r>
                          <w:rPr>
                            <w:rFonts w:ascii="宋体" w:hAnsi="宋体" w:cs="宋体" w:eastAsia="宋体" w:hint="default"/>
                            <w:sz w:val="18"/>
                            <w:szCs w:val="18"/>
                          </w:rPr>
                          <w:t>[2011]13</w:t>
                        </w:r>
                        <w:r>
                          <w:rPr>
                            <w:rFonts w:ascii="宋体" w:hAnsi="宋体" w:cs="宋体" w:eastAsia="宋体" w:hint="default"/>
                            <w:spacing w:val="-46"/>
                            <w:sz w:val="18"/>
                            <w:szCs w:val="18"/>
                          </w:rPr>
                          <w:t> </w:t>
                        </w:r>
                        <w:r>
                          <w:rPr>
                            <w:rFonts w:ascii="宋体" w:hAnsi="宋体" w:cs="宋体" w:eastAsia="宋体" w:hint="default"/>
                            <w:spacing w:val="-3"/>
                            <w:sz w:val="18"/>
                            <w:szCs w:val="18"/>
                          </w:rPr>
                          <w:t>号”土地的募集资金，内容详见公司于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日在中国证监会指定创</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业板信息披露网站上的公告。</w:t>
                        </w: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6"/>
                            <w:sz w:val="18"/>
                            <w:szCs w:val="18"/>
                          </w:rPr>
                          <w:t> </w:t>
                        </w:r>
                        <w:r>
                          <w:rPr>
                            <w:rFonts w:ascii="宋体" w:hAnsi="宋体" w:cs="宋体" w:eastAsia="宋体" w:hint="default"/>
                            <w:sz w:val="18"/>
                            <w:szCs w:val="18"/>
                          </w:rPr>
                          <w:t>月，公司使用自有资金</w:t>
                        </w:r>
                        <w:r>
                          <w:rPr>
                            <w:rFonts w:ascii="宋体" w:hAnsi="宋体" w:cs="宋体" w:eastAsia="宋体" w:hint="default"/>
                            <w:spacing w:val="-56"/>
                            <w:sz w:val="18"/>
                            <w:szCs w:val="18"/>
                          </w:rPr>
                          <w:t> </w:t>
                        </w:r>
                        <w:r>
                          <w:rPr>
                            <w:rFonts w:ascii="宋体" w:hAnsi="宋体" w:cs="宋体" w:eastAsia="宋体" w:hint="default"/>
                            <w:sz w:val="18"/>
                            <w:szCs w:val="18"/>
                          </w:rPr>
                          <w:t>1,376.75</w:t>
                        </w:r>
                        <w:r>
                          <w:rPr>
                            <w:rFonts w:ascii="宋体" w:hAnsi="宋体" w:cs="宋体" w:eastAsia="宋体" w:hint="default"/>
                            <w:spacing w:val="-56"/>
                            <w:sz w:val="18"/>
                            <w:szCs w:val="18"/>
                          </w:rPr>
                          <w:t> </w:t>
                        </w:r>
                        <w:r>
                          <w:rPr>
                            <w:rFonts w:ascii="宋体" w:hAnsi="宋体" w:cs="宋体" w:eastAsia="宋体" w:hint="default"/>
                            <w:sz w:val="18"/>
                            <w:szCs w:val="18"/>
                          </w:rPr>
                          <w:t>万元置换了已投入的募集资金。截至报</w:t>
                        </w:r>
                      </w:p>
                      <w:p>
                        <w:pPr>
                          <w:pStyle w:val="TableParagraph"/>
                          <w:spacing w:line="240" w:lineRule="auto" w:before="77"/>
                          <w:ind w:left="18" w:right="0"/>
                          <w:jc w:val="both"/>
                          <w:rPr>
                            <w:rFonts w:ascii="宋体" w:hAnsi="宋体" w:cs="宋体" w:eastAsia="宋体" w:hint="default"/>
                            <w:sz w:val="18"/>
                            <w:szCs w:val="18"/>
                          </w:rPr>
                        </w:pPr>
                        <w:r>
                          <w:rPr>
                            <w:rFonts w:ascii="宋体" w:hAnsi="宋体" w:cs="宋体" w:eastAsia="宋体" w:hint="default"/>
                            <w:sz w:val="18"/>
                            <w:szCs w:val="18"/>
                          </w:rPr>
                          <w:t>告期末，该项目累计使用</w:t>
                        </w:r>
                        <w:r>
                          <w:rPr>
                            <w:rFonts w:ascii="宋体" w:hAnsi="宋体" w:cs="宋体" w:eastAsia="宋体" w:hint="default"/>
                            <w:spacing w:val="-46"/>
                            <w:sz w:val="18"/>
                            <w:szCs w:val="18"/>
                          </w:rPr>
                          <w:t> </w:t>
                        </w:r>
                        <w:r>
                          <w:rPr>
                            <w:rFonts w:ascii="宋体" w:hAnsi="宋体" w:cs="宋体" w:eastAsia="宋体" w:hint="default"/>
                            <w:sz w:val="18"/>
                            <w:szCs w:val="18"/>
                          </w:rPr>
                          <w:t>2,623.25</w:t>
                        </w:r>
                        <w:r>
                          <w:rPr>
                            <w:rFonts w:ascii="宋体" w:hAnsi="宋体" w:cs="宋体" w:eastAsia="宋体" w:hint="default"/>
                            <w:spacing w:val="-46"/>
                            <w:sz w:val="18"/>
                            <w:szCs w:val="18"/>
                          </w:rPr>
                          <w:t> </w:t>
                        </w:r>
                        <w:r>
                          <w:rPr>
                            <w:rFonts w:ascii="宋体" w:hAnsi="宋体" w:cs="宋体" w:eastAsia="宋体" w:hint="default"/>
                            <w:sz w:val="18"/>
                            <w:szCs w:val="18"/>
                          </w:rPr>
                          <w:t>万元，投资已完毕。</w:t>
                        </w:r>
                      </w:p>
                      <w:p>
                        <w:pPr>
                          <w:pStyle w:val="TableParagraph"/>
                          <w:spacing w:line="240" w:lineRule="auto" w:before="115"/>
                          <w:ind w:left="18"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日，公司第二届董事会第二十四次会议和第二届监事会第十八次会议分别审议通过了《关于</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，公司从“年产</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万台电化学气体检测仪器仪表项目”</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尚未使用的闲置募集资金中</w:t>
                        </w:r>
                        <w:r>
                          <w:rPr>
                            <w:rFonts w:ascii="宋体" w:hAnsi="宋体" w:cs="宋体" w:eastAsia="宋体" w:hint="default"/>
                            <w:spacing w:val="-76"/>
                            <w:sz w:val="18"/>
                            <w:szCs w:val="18"/>
                          </w:rPr>
                          <w:t>，</w:t>
                        </w: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宋体" w:hAnsi="宋体" w:cs="宋体" w:eastAsia="宋体" w:hint="default"/>
                            <w:sz w:val="18"/>
                            <w:szCs w:val="18"/>
                          </w:rPr>
                          <w:t>400.00</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元用于暂时补充流动资金</w:t>
                        </w:r>
                        <w:r>
                          <w:rPr>
                            <w:rFonts w:ascii="宋体" w:hAnsi="宋体" w:cs="宋体" w:eastAsia="宋体" w:hint="default"/>
                            <w:spacing w:val="-76"/>
                            <w:sz w:val="18"/>
                            <w:szCs w:val="18"/>
                          </w:rPr>
                          <w:t>；</w:t>
                        </w:r>
                        <w:r>
                          <w:rPr>
                            <w:rFonts w:ascii="宋体" w:hAnsi="宋体" w:cs="宋体" w:eastAsia="宋体" w:hint="default"/>
                            <w:sz w:val="18"/>
                            <w:szCs w:val="18"/>
                          </w:rPr>
                          <w:t>从未计划使用超募资金中</w:t>
                        </w:r>
                        <w:r>
                          <w:rPr>
                            <w:rFonts w:ascii="宋体" w:hAnsi="宋体" w:cs="宋体" w:eastAsia="宋体" w:hint="default"/>
                            <w:spacing w:val="-76"/>
                            <w:sz w:val="18"/>
                            <w:szCs w:val="18"/>
                          </w:rPr>
                          <w:t>，</w:t>
                        </w: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宋体" w:hAnsi="宋体" w:cs="宋体" w:eastAsia="宋体" w:hint="default"/>
                            <w:sz w:val="18"/>
                            <w:szCs w:val="18"/>
                          </w:rPr>
                          <w:t>3,100.00</w:t>
                        </w:r>
                      </w:p>
                      <w:p>
                        <w:pPr>
                          <w:pStyle w:val="TableParagraph"/>
                          <w:spacing w:line="240" w:lineRule="auto" w:before="77"/>
                          <w:ind w:left="18" w:right="0"/>
                          <w:jc w:val="both"/>
                          <w:rPr>
                            <w:rFonts w:ascii="宋体" w:hAnsi="宋体" w:cs="宋体" w:eastAsia="宋体" w:hint="default"/>
                            <w:sz w:val="18"/>
                            <w:szCs w:val="18"/>
                          </w:rPr>
                        </w:pPr>
                        <w:r>
                          <w:rPr>
                            <w:rFonts w:ascii="宋体" w:hAnsi="宋体" w:cs="宋体" w:eastAsia="宋体" w:hint="default"/>
                            <w:spacing w:val="-3"/>
                            <w:sz w:val="18"/>
                            <w:szCs w:val="18"/>
                          </w:rPr>
                          <w:t>万元用于暂时补充流动资金。</w:t>
                        </w:r>
                        <w:r>
                          <w:rPr>
                            <w:rFonts w:ascii="宋体" w:hAnsi="宋体" w:cs="宋体" w:eastAsia="宋体" w:hint="default"/>
                            <w:spacing w:val="-3"/>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pacing w:val="-6"/>
                            <w:sz w:val="18"/>
                            <w:szCs w:val="18"/>
                          </w:rPr>
                          <w:t>日，公司已将合计</w:t>
                        </w:r>
                        <w:r>
                          <w:rPr>
                            <w:rFonts w:ascii="宋体" w:hAnsi="宋体" w:cs="宋体" w:eastAsia="宋体" w:hint="default"/>
                            <w:spacing w:val="-46"/>
                            <w:sz w:val="18"/>
                            <w:szCs w:val="18"/>
                          </w:rPr>
                          <w:t> </w:t>
                        </w:r>
                        <w:r>
                          <w:rPr>
                            <w:rFonts w:ascii="宋体" w:hAnsi="宋体" w:cs="宋体" w:eastAsia="宋体" w:hint="default"/>
                            <w:sz w:val="18"/>
                            <w:szCs w:val="18"/>
                          </w:rPr>
                          <w:t>3,500.00</w:t>
                        </w:r>
                        <w:r>
                          <w:rPr>
                            <w:rFonts w:ascii="宋体" w:hAnsi="宋体" w:cs="宋体" w:eastAsia="宋体" w:hint="default"/>
                            <w:spacing w:val="1"/>
                            <w:sz w:val="18"/>
                            <w:szCs w:val="18"/>
                          </w:rPr>
                          <w:t> </w:t>
                        </w:r>
                        <w:r>
                          <w:rPr>
                            <w:rFonts w:ascii="宋体" w:hAnsi="宋体" w:cs="宋体" w:eastAsia="宋体" w:hint="default"/>
                            <w:sz w:val="18"/>
                            <w:szCs w:val="18"/>
                          </w:rPr>
                          <w:t>万元人民币归还至公司募集资金专户</w:t>
                        </w:r>
                      </w:p>
                      <w:p>
                        <w:pPr>
                          <w:pStyle w:val="TableParagraph"/>
                          <w:spacing w:line="240" w:lineRule="auto" w:before="116"/>
                          <w:ind w:left="18" w:right="0"/>
                          <w:jc w:val="both"/>
                          <w:rPr>
                            <w:rFonts w:ascii="宋体" w:hAnsi="宋体" w:cs="宋体" w:eastAsia="宋体" w:hint="default"/>
                            <w:sz w:val="18"/>
                            <w:szCs w:val="18"/>
                          </w:rPr>
                        </w:pPr>
                        <w:r>
                          <w:rPr>
                            <w:rFonts w:ascii="宋体" w:hAnsi="宋体" w:cs="宋体" w:eastAsia="宋体" w:hint="default"/>
                            <w:spacing w:val="-10"/>
                            <w:sz w:val="18"/>
                            <w:szCs w:val="18"/>
                          </w:rPr>
                          <w:t>6</w:t>
                        </w:r>
                        <w:r>
                          <w:rPr>
                            <w:rFonts w:ascii="宋体" w:hAnsi="宋体" w:cs="宋体" w:eastAsia="宋体" w:hint="default"/>
                            <w:spacing w:val="-10"/>
                            <w:sz w:val="18"/>
                            <w:szCs w:val="18"/>
                          </w:rPr>
                          <w:t>、</w:t>
                        </w:r>
                        <w:r>
                          <w:rPr>
                            <w:rFonts w:ascii="宋体" w:hAnsi="宋体" w:cs="宋体" w:eastAsia="宋体" w:hint="default"/>
                            <w:spacing w:val="-10"/>
                            <w:sz w:val="18"/>
                            <w:szCs w:val="18"/>
                          </w:rPr>
                          <w:t>2013</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30</w:t>
                        </w:r>
                        <w:r>
                          <w:rPr>
                            <w:rFonts w:ascii="宋体" w:hAnsi="宋体" w:cs="宋体" w:eastAsia="宋体" w:hint="default"/>
                            <w:spacing w:val="-39"/>
                            <w:sz w:val="18"/>
                            <w:szCs w:val="18"/>
                          </w:rPr>
                          <w:t> </w:t>
                        </w:r>
                        <w:r>
                          <w:rPr>
                            <w:rFonts w:ascii="宋体" w:hAnsi="宋体" w:cs="宋体" w:eastAsia="宋体" w:hint="default"/>
                            <w:spacing w:val="-5"/>
                            <w:sz w:val="18"/>
                            <w:szCs w:val="18"/>
                          </w:rPr>
                          <w:t>日，公司第二届董事会第二十八次会议和第二届监事会第二十一次会议，分别审议通过了《关</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于使用部分节余超募资金永久补充流动资金的议案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，使用剩余未制定使用计划超募资金</w:t>
                        </w:r>
                        <w:r>
                          <w:rPr>
                            <w:rFonts w:ascii="宋体" w:hAnsi="宋体" w:cs="宋体" w:eastAsia="宋体" w:hint="default"/>
                            <w:spacing w:val="-45"/>
                            <w:sz w:val="18"/>
                            <w:szCs w:val="18"/>
                          </w:rPr>
                          <w:t> </w:t>
                        </w:r>
                        <w:r>
                          <w:rPr>
                            <w:rFonts w:ascii="宋体" w:hAnsi="宋体" w:cs="宋体" w:eastAsia="宋体" w:hint="default"/>
                            <w:sz w:val="18"/>
                            <w:szCs w:val="18"/>
                          </w:rPr>
                          <w:t>2,267.04</w:t>
                        </w:r>
                        <w:r>
                          <w:rPr>
                            <w:rFonts w:ascii="宋体" w:hAnsi="宋体" w:cs="宋体" w:eastAsia="宋体" w:hint="default"/>
                            <w:spacing w:val="-45"/>
                            <w:sz w:val="18"/>
                            <w:szCs w:val="18"/>
                          </w:rPr>
                          <w:t> </w:t>
                        </w:r>
                        <w:r>
                          <w:rPr>
                            <w:rFonts w:ascii="宋体" w:hAnsi="宋体" w:cs="宋体" w:eastAsia="宋体" w:hint="default"/>
                            <w:sz w:val="18"/>
                            <w:szCs w:val="18"/>
                          </w:rPr>
                          <w:t>万元及全部</w:t>
                        </w:r>
                      </w:p>
                      <w:p>
                        <w:pPr>
                          <w:pStyle w:val="TableParagraph"/>
                          <w:spacing w:line="240" w:lineRule="auto" w:before="76"/>
                          <w:ind w:left="18" w:right="0"/>
                          <w:jc w:val="both"/>
                          <w:rPr>
                            <w:rFonts w:ascii="宋体" w:hAnsi="宋体" w:cs="宋体" w:eastAsia="宋体" w:hint="default"/>
                            <w:sz w:val="18"/>
                            <w:szCs w:val="18"/>
                          </w:rPr>
                        </w:pPr>
                        <w:r>
                          <w:rPr>
                            <w:rFonts w:ascii="宋体" w:hAnsi="宋体" w:cs="宋体" w:eastAsia="宋体" w:hint="default"/>
                            <w:sz w:val="18"/>
                            <w:szCs w:val="18"/>
                          </w:rPr>
                          <w:t>超募资金利息</w:t>
                        </w:r>
                        <w:r>
                          <w:rPr>
                            <w:rFonts w:ascii="宋体" w:hAnsi="宋体" w:cs="宋体" w:eastAsia="宋体" w:hint="default"/>
                            <w:spacing w:val="-46"/>
                            <w:sz w:val="18"/>
                            <w:szCs w:val="18"/>
                          </w:rPr>
                          <w:t> </w:t>
                        </w:r>
                        <w:r>
                          <w:rPr>
                            <w:rFonts w:ascii="宋体" w:hAnsi="宋体" w:cs="宋体" w:eastAsia="宋体" w:hint="default"/>
                            <w:sz w:val="18"/>
                            <w:szCs w:val="18"/>
                          </w:rPr>
                          <w:t>441.09</w:t>
                        </w:r>
                        <w:r>
                          <w:rPr>
                            <w:rFonts w:ascii="宋体" w:hAnsi="宋体" w:cs="宋体" w:eastAsia="宋体" w:hint="default"/>
                            <w:spacing w:val="-46"/>
                            <w:sz w:val="18"/>
                            <w:szCs w:val="18"/>
                          </w:rPr>
                          <w:t> </w:t>
                        </w:r>
                        <w:r>
                          <w:rPr>
                            <w:rFonts w:ascii="宋体" w:hAnsi="宋体" w:cs="宋体" w:eastAsia="宋体" w:hint="default"/>
                            <w:sz w:val="18"/>
                            <w:szCs w:val="18"/>
                          </w:rPr>
                          <w:t>万元（合计</w:t>
                        </w:r>
                        <w:r>
                          <w:rPr>
                            <w:rFonts w:ascii="宋体" w:hAnsi="宋体" w:cs="宋体" w:eastAsia="宋体" w:hint="default"/>
                            <w:spacing w:val="-46"/>
                            <w:sz w:val="18"/>
                            <w:szCs w:val="18"/>
                          </w:rPr>
                          <w:t> </w:t>
                        </w:r>
                        <w:r>
                          <w:rPr>
                            <w:rFonts w:ascii="宋体" w:hAnsi="宋体" w:cs="宋体" w:eastAsia="宋体" w:hint="default"/>
                            <w:sz w:val="18"/>
                            <w:szCs w:val="18"/>
                          </w:rPr>
                          <w:t>2,708.13</w:t>
                        </w:r>
                        <w:r>
                          <w:rPr>
                            <w:rFonts w:ascii="宋体" w:hAnsi="宋体" w:cs="宋体" w:eastAsia="宋体" w:hint="default"/>
                            <w:spacing w:val="-46"/>
                            <w:sz w:val="18"/>
                            <w:szCs w:val="18"/>
                          </w:rPr>
                          <w:t> </w:t>
                        </w:r>
                        <w:r>
                          <w:rPr>
                            <w:rFonts w:ascii="宋体" w:hAnsi="宋体" w:cs="宋体" w:eastAsia="宋体" w:hint="default"/>
                            <w:sz w:val="18"/>
                            <w:szCs w:val="18"/>
                          </w:rPr>
                          <w:t>万元）用于永久补充流动资金。根据相关规定，该次董事会将该议</w:t>
                        </w:r>
                      </w:p>
                      <w:p>
                        <w:pPr>
                          <w:pStyle w:val="TableParagraph"/>
                          <w:spacing w:line="319" w:lineRule="auto" w:before="76"/>
                          <w:ind w:left="18" w:right="10"/>
                          <w:jc w:val="left"/>
                          <w:rPr>
                            <w:rFonts w:ascii="宋体" w:hAnsi="宋体" w:cs="宋体" w:eastAsia="宋体" w:hint="default"/>
                            <w:sz w:val="18"/>
                            <w:szCs w:val="18"/>
                          </w:rPr>
                        </w:pPr>
                        <w:r>
                          <w:rPr>
                            <w:rFonts w:ascii="宋体" w:hAnsi="宋体" w:cs="宋体" w:eastAsia="宋体" w:hint="default"/>
                            <w:sz w:val="18"/>
                            <w:szCs w:val="18"/>
                          </w:rPr>
                          <w:t>案提交给了股东大会审议。具体内容请查看公司于</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日在中国证监会指定创业板信息披露网站刊登 的公告。</w:t>
                        </w:r>
                      </w:p>
                      <w:p>
                        <w:pPr>
                          <w:pStyle w:val="TableParagraph"/>
                          <w:spacing w:line="319" w:lineRule="auto" w:before="55"/>
                          <w:ind w:left="18" w:right="9"/>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17</w:t>
                        </w:r>
                        <w:r>
                          <w:rPr>
                            <w:rFonts w:ascii="宋体" w:hAnsi="宋体" w:cs="宋体" w:eastAsia="宋体" w:hint="default"/>
                            <w:spacing w:val="-53"/>
                            <w:sz w:val="18"/>
                            <w:szCs w:val="18"/>
                          </w:rPr>
                          <w:t> </w:t>
                        </w:r>
                        <w:r>
                          <w:rPr>
                            <w:rFonts w:ascii="宋体" w:hAnsi="宋体" w:cs="宋体" w:eastAsia="宋体" w:hint="default"/>
                            <w:sz w:val="18"/>
                            <w:szCs w:val="18"/>
                          </w:rPr>
                          <w:t>日，公司召开</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年第一次临时股东大会，审议通过了《关于使用部分节余超募资金永久补 </w:t>
                        </w:r>
                        <w:r>
                          <w:rPr>
                            <w:rFonts w:ascii="宋体" w:hAnsi="宋体" w:cs="宋体" w:eastAsia="宋体" w:hint="default"/>
                            <w:spacing w:val="-2"/>
                            <w:sz w:val="18"/>
                            <w:szCs w:val="18"/>
                          </w:rPr>
                          <w:t>充流动资金的议案》，同意公司使用剩余未制定使用计划超募资金用于永久补充流动资金。具体内容请查看公司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日在中国证监会指定创业板信息披露网站刊登的公告。</w:t>
                        </w:r>
                      </w:p>
                    </w:tc>
                  </w:tr>
                  <w:tr>
                    <w:trPr>
                      <w:trHeight w:val="1016" w:hRule="exact"/>
                    </w:trPr>
                    <w:tc>
                      <w:tcPr>
                        <w:tcW w:w="116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9" w:lineRule="auto" w:before="51"/>
                          <w:ind w:left="14" w:right="47"/>
                          <w:jc w:val="both"/>
                          <w:rPr>
                            <w:rFonts w:ascii="宋体" w:hAnsi="宋体" w:cs="宋体" w:eastAsia="宋体" w:hint="default"/>
                            <w:sz w:val="18"/>
                            <w:szCs w:val="18"/>
                          </w:rPr>
                        </w:pPr>
                        <w:r>
                          <w:rPr>
                            <w:rFonts w:ascii="宋体" w:hAnsi="宋体" w:cs="宋体" w:eastAsia="宋体" w:hint="default"/>
                            <w:sz w:val="18"/>
                            <w:szCs w:val="18"/>
                          </w:rPr>
                          <w:t>超募资金的金 额、用途及使 用进展情况</w:t>
                        </w:r>
                      </w:p>
                    </w:tc>
                    <w:tc>
                      <w:tcPr>
                        <w:tcW w:w="8785" w:type="dxa"/>
                        <w:gridSpan w:val="11"/>
                        <w:vMerge/>
                        <w:tcBorders>
                          <w:left w:val="single" w:sz="8" w:space="0" w:color="D2D2D2"/>
                          <w:right w:val="single" w:sz="12" w:space="0" w:color="000000"/>
                        </w:tcBorders>
                      </w:tcPr>
                      <w:p>
                        <w:pPr/>
                      </w:p>
                    </w:tc>
                  </w:tr>
                  <w:tr>
                    <w:trPr>
                      <w:trHeight w:val="3635" w:hRule="exact"/>
                    </w:trPr>
                    <w:tc>
                      <w:tcPr>
                        <w:tcW w:w="1166" w:type="dxa"/>
                        <w:tcBorders>
                          <w:top w:val="nil" w:sz="6" w:space="0" w:color="auto"/>
                          <w:left w:val="single" w:sz="12" w:space="0" w:color="000000"/>
                          <w:bottom w:val="single" w:sz="12" w:space="0" w:color="000000"/>
                          <w:right w:val="single" w:sz="6" w:space="0" w:color="000000"/>
                        </w:tcBorders>
                        <w:shd w:val="clear" w:color="auto" w:fill="D2D2D2"/>
                      </w:tcPr>
                      <w:p>
                        <w:pPr/>
                      </w:p>
                    </w:tc>
                    <w:tc>
                      <w:tcPr>
                        <w:tcW w:w="8785" w:type="dxa"/>
                        <w:gridSpan w:val="11"/>
                        <w:vMerge/>
                        <w:tcBorders>
                          <w:left w:val="single" w:sz="8" w:space="0" w:color="D2D2D2"/>
                          <w:bottom w:val="single" w:sz="12" w:space="0" w:color="000000"/>
                          <w:right w:val="single" w:sz="12"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44"/>
        <w:ind w:left="0" w:right="1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720" w:right="94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166"/>
        <w:gridCol w:w="8785"/>
      </w:tblGrid>
      <w:tr>
        <w:trPr>
          <w:trHeight w:val="1048" w:hRule="exact"/>
        </w:trPr>
        <w:tc>
          <w:tcPr>
            <w:tcW w:w="11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6"/>
              <w:ind w:left="13" w:right="47"/>
              <w:jc w:val="both"/>
              <w:rPr>
                <w:rFonts w:ascii="宋体" w:hAnsi="宋体" w:cs="宋体" w:eastAsia="宋体" w:hint="default"/>
                <w:sz w:val="18"/>
                <w:szCs w:val="18"/>
              </w:rPr>
            </w:pPr>
            <w:r>
              <w:rPr>
                <w:rFonts w:ascii="宋体" w:hAnsi="宋体" w:cs="宋体" w:eastAsia="宋体" w:hint="default"/>
                <w:sz w:val="18"/>
                <w:szCs w:val="18"/>
              </w:rPr>
              <w:t>募集资金投资 项目实施地点 变更情况</w:t>
            </w:r>
          </w:p>
        </w:tc>
        <w:tc>
          <w:tcPr>
            <w:tcW w:w="87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36"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55"/>
              <w:ind w:left="13" w:right="47"/>
              <w:jc w:val="both"/>
              <w:rPr>
                <w:rFonts w:ascii="宋体" w:hAnsi="宋体" w:cs="宋体" w:eastAsia="宋体" w:hint="default"/>
                <w:sz w:val="18"/>
                <w:szCs w:val="18"/>
              </w:rPr>
            </w:pPr>
            <w:r>
              <w:rPr>
                <w:rFonts w:ascii="宋体" w:hAnsi="宋体" w:cs="宋体" w:eastAsia="宋体" w:hint="default"/>
                <w:sz w:val="18"/>
                <w:szCs w:val="18"/>
              </w:rPr>
              <w:t>募集资金投资 项目实施方式 调整情况</w:t>
            </w:r>
          </w:p>
        </w:tc>
        <w:tc>
          <w:tcPr>
            <w:tcW w:w="8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46"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9"/>
              <w:ind w:left="13" w:right="47"/>
              <w:jc w:val="both"/>
              <w:rPr>
                <w:rFonts w:ascii="宋体" w:hAnsi="宋体" w:cs="宋体" w:eastAsia="宋体" w:hint="default"/>
                <w:sz w:val="18"/>
                <w:szCs w:val="18"/>
              </w:rPr>
            </w:pPr>
            <w:r>
              <w:rPr>
                <w:rFonts w:ascii="宋体" w:hAnsi="宋体" w:cs="宋体" w:eastAsia="宋体" w:hint="default"/>
                <w:sz w:val="18"/>
                <w:szCs w:val="18"/>
              </w:rPr>
              <w:t>募集资金投资 项目先期投入 及置换情况</w:t>
            </w:r>
          </w:p>
        </w:tc>
        <w:tc>
          <w:tcPr>
            <w:tcW w:w="8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45"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8"/>
              <w:ind w:left="13" w:right="47"/>
              <w:jc w:val="both"/>
              <w:rPr>
                <w:rFonts w:ascii="宋体" w:hAnsi="宋体" w:cs="宋体" w:eastAsia="宋体" w:hint="default"/>
                <w:sz w:val="18"/>
                <w:szCs w:val="18"/>
              </w:rPr>
            </w:pPr>
            <w:r>
              <w:rPr>
                <w:rFonts w:ascii="宋体" w:hAnsi="宋体" w:cs="宋体" w:eastAsia="宋体" w:hint="default"/>
                <w:sz w:val="18"/>
                <w:szCs w:val="18"/>
              </w:rPr>
              <w:t>用闲置募集资 金暂时补充流 动资金情况</w:t>
            </w:r>
          </w:p>
        </w:tc>
        <w:tc>
          <w:tcPr>
            <w:tcW w:w="8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166"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13" w:right="47"/>
              <w:jc w:val="both"/>
              <w:rPr>
                <w:rFonts w:ascii="宋体" w:hAnsi="宋体" w:cs="宋体" w:eastAsia="宋体" w:hint="default"/>
                <w:sz w:val="18"/>
                <w:szCs w:val="18"/>
              </w:rPr>
            </w:pPr>
            <w:r>
              <w:rPr>
                <w:rFonts w:ascii="宋体" w:hAnsi="宋体" w:cs="宋体" w:eastAsia="宋体" w:hint="default"/>
                <w:sz w:val="18"/>
                <w:szCs w:val="18"/>
              </w:rPr>
              <w:t>项目实施出现 募集资金结余 的金额及原因</w:t>
            </w:r>
          </w:p>
        </w:tc>
        <w:tc>
          <w:tcPr>
            <w:tcW w:w="8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46" w:hRule="exact"/>
        </w:trPr>
        <w:tc>
          <w:tcPr>
            <w:tcW w:w="1166" w:type="dxa"/>
            <w:vMerge/>
            <w:tcBorders>
              <w:left w:val="single" w:sz="12" w:space="0" w:color="000000"/>
              <w:bottom w:val="single" w:sz="6" w:space="0" w:color="000000"/>
              <w:right w:val="single" w:sz="6" w:space="0" w:color="000000"/>
            </w:tcBorders>
            <w:shd w:val="clear" w:color="auto" w:fill="D2D2D2"/>
          </w:tcPr>
          <w:p>
            <w:pPr/>
          </w:p>
        </w:tc>
        <w:tc>
          <w:tcPr>
            <w:tcW w:w="8785" w:type="dxa"/>
            <w:tcBorders>
              <w:top w:val="single" w:sz="6" w:space="0" w:color="000000"/>
              <w:left w:val="single" w:sz="6" w:space="0" w:color="000000"/>
              <w:bottom w:val="single" w:sz="6" w:space="0" w:color="000000"/>
              <w:right w:val="single" w:sz="12" w:space="0" w:color="000000"/>
            </w:tcBorders>
          </w:tcPr>
          <w:p>
            <w:pPr>
              <w:pStyle w:val="TableParagraph"/>
              <w:spacing w:line="338"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公司从项目实际情况出发，本着节约、合理及有效的原则使用募集资金，出现募集资金节余主要原因为： </w:t>
            </w:r>
            <w:r>
              <w:rPr>
                <w:rFonts w:ascii="宋体" w:hAnsi="宋体" w:cs="宋体" w:eastAsia="宋体" w:hint="default"/>
                <w:sz w:val="18"/>
                <w:szCs w:val="18"/>
              </w:rPr>
              <w:t>1</w:t>
            </w:r>
            <w:r>
              <w:rPr>
                <w:rFonts w:ascii="宋体" w:hAnsi="宋体" w:cs="宋体" w:eastAsia="宋体" w:hint="default"/>
                <w:sz w:val="18"/>
                <w:szCs w:val="18"/>
              </w:rPr>
              <w:t>、关于承诺投资项目，公司上市募投项目在</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年进行规划并进行投资概算，建设期间项目实施的内外环境 发生着变化，不同项目所需要的原材料、设备、服务、人力等价格变化不一，致使募集资金投资项目资金使用</w:t>
            </w:r>
          </w:p>
          <w:p>
            <w:pPr>
              <w:pStyle w:val="TableParagraph"/>
              <w:spacing w:line="338" w:lineRule="auto" w:before="4"/>
              <w:ind w:left="21" w:right="9"/>
              <w:jc w:val="left"/>
              <w:rPr>
                <w:rFonts w:ascii="宋体" w:hAnsi="宋体" w:cs="宋体" w:eastAsia="宋体" w:hint="default"/>
                <w:sz w:val="18"/>
                <w:szCs w:val="18"/>
              </w:rPr>
            </w:pPr>
            <w:r>
              <w:rPr>
                <w:rFonts w:ascii="宋体" w:hAnsi="宋体" w:cs="宋体" w:eastAsia="宋体" w:hint="default"/>
                <w:sz w:val="18"/>
                <w:szCs w:val="18"/>
              </w:rPr>
              <w:t>和节余情况与规划时存在差异。 </w:t>
            </w:r>
            <w:r>
              <w:rPr>
                <w:rFonts w:ascii="宋体" w:hAnsi="宋体" w:cs="宋体" w:eastAsia="宋体" w:hint="default"/>
                <w:sz w:val="18"/>
                <w:szCs w:val="18"/>
              </w:rPr>
              <w:t>2</w:t>
            </w:r>
            <w:r>
              <w:rPr>
                <w:rFonts w:ascii="宋体" w:hAnsi="宋体" w:cs="宋体" w:eastAsia="宋体" w:hint="default"/>
                <w:sz w:val="18"/>
                <w:szCs w:val="18"/>
              </w:rPr>
              <w:t>、关于超募资金投资项目，公司进行投资前对目标市场进行了充分调研并开展了研讨论证，对投资项目进行了 取舍，同时在保证项目质量的前提下合理使用超募资金，节约了投资成本，从而节余了上述超募资金。</w:t>
            </w:r>
          </w:p>
        </w:tc>
      </w:tr>
      <w:tr>
        <w:trPr>
          <w:trHeight w:val="1031" w:hRule="exact"/>
        </w:trPr>
        <w:tc>
          <w:tcPr>
            <w:tcW w:w="11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3"/>
              <w:ind w:left="13" w:right="47"/>
              <w:jc w:val="both"/>
              <w:rPr>
                <w:rFonts w:ascii="宋体" w:hAnsi="宋体" w:cs="宋体" w:eastAsia="宋体" w:hint="default"/>
                <w:sz w:val="18"/>
                <w:szCs w:val="18"/>
              </w:rPr>
            </w:pPr>
            <w:r>
              <w:rPr>
                <w:rFonts w:ascii="宋体" w:hAnsi="宋体" w:cs="宋体" w:eastAsia="宋体" w:hint="default"/>
                <w:sz w:val="18"/>
                <w:szCs w:val="18"/>
              </w:rPr>
              <w:t>尚未使用的募 集资金用途及 去向</w:t>
            </w:r>
          </w:p>
        </w:tc>
        <w:tc>
          <w:tcPr>
            <w:tcW w:w="8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截至报告期末，尚未使用的募集资金均存放于募集资金专户</w:t>
            </w:r>
          </w:p>
        </w:tc>
      </w:tr>
      <w:tr>
        <w:trPr>
          <w:trHeight w:val="2055" w:hRule="exact"/>
        </w:trPr>
        <w:tc>
          <w:tcPr>
            <w:tcW w:w="116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3" w:right="47"/>
              <w:jc w:val="both"/>
              <w:rPr>
                <w:rFonts w:ascii="宋体" w:hAnsi="宋体" w:cs="宋体" w:eastAsia="宋体" w:hint="default"/>
                <w:sz w:val="18"/>
                <w:szCs w:val="18"/>
              </w:rPr>
            </w:pPr>
            <w:r>
              <w:rPr>
                <w:rFonts w:ascii="宋体" w:hAnsi="宋体" w:cs="宋体" w:eastAsia="宋体" w:hint="default"/>
                <w:sz w:val="18"/>
                <w:szCs w:val="18"/>
              </w:rPr>
              <w:t>募集资金使用 及披露中存在 的问题或其他 情况</w:t>
            </w:r>
          </w:p>
        </w:tc>
        <w:tc>
          <w:tcPr>
            <w:tcW w:w="8785" w:type="dxa"/>
            <w:tcBorders>
              <w:top w:val="single" w:sz="6" w:space="0" w:color="000000"/>
              <w:left w:val="single" w:sz="6" w:space="0" w:color="000000"/>
              <w:bottom w:val="single" w:sz="12" w:space="0" w:color="000000"/>
              <w:right w:val="single" w:sz="12" w:space="0" w:color="000000"/>
            </w:tcBorders>
          </w:tcPr>
          <w:p>
            <w:pPr>
              <w:pStyle w:val="TableParagraph"/>
              <w:spacing w:line="338" w:lineRule="auto" w:before="52"/>
              <w:ind w:left="21" w:right="1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、“调整后投资总额”系根据</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日第二届董事会第二十八次会议和</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 一次临时股东大会的决议进行调整，具体请查询公司刊登在巨潮资讯网的公告。 </w:t>
            </w:r>
            <w:r>
              <w:rPr>
                <w:rFonts w:ascii="宋体" w:hAnsi="宋体" w:cs="宋体" w:eastAsia="宋体" w:hint="default"/>
                <w:sz w:val="18"/>
                <w:szCs w:val="18"/>
              </w:rPr>
              <w:t>2</w:t>
            </w:r>
            <w:r>
              <w:rPr>
                <w:rFonts w:ascii="宋体" w:hAnsi="宋体" w:cs="宋体" w:eastAsia="宋体" w:hint="default"/>
                <w:sz w:val="18"/>
                <w:szCs w:val="18"/>
              </w:rPr>
              <w:t>、调整后投资总额合计总数大于募集资金总额系募集资金利息所致。</w:t>
            </w:r>
          </w:p>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、根据公司重大资产重组方案的实施结果，最终确定的非公开发行价格为</w:t>
            </w:r>
            <w:r>
              <w:rPr>
                <w:rFonts w:ascii="宋体" w:hAnsi="宋体" w:cs="宋体" w:eastAsia="宋体" w:hint="default"/>
                <w:spacing w:val="-62"/>
                <w:sz w:val="18"/>
                <w:szCs w:val="18"/>
              </w:rPr>
              <w:t> </w:t>
            </w:r>
            <w:r>
              <w:rPr>
                <w:rFonts w:ascii="宋体" w:hAnsi="宋体" w:cs="宋体" w:eastAsia="宋体" w:hint="default"/>
                <w:sz w:val="18"/>
                <w:szCs w:val="18"/>
              </w:rPr>
              <w:t>29.52</w:t>
            </w:r>
            <w:r>
              <w:rPr>
                <w:rFonts w:ascii="宋体" w:hAnsi="宋体" w:cs="宋体" w:eastAsia="宋体" w:hint="default"/>
                <w:spacing w:val="-6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股，发行数量为</w:t>
            </w:r>
            <w:r>
              <w:rPr>
                <w:rFonts w:ascii="宋体" w:hAnsi="宋体" w:cs="宋体" w:eastAsia="宋体" w:hint="default"/>
                <w:spacing w:val="-62"/>
                <w:sz w:val="18"/>
                <w:szCs w:val="18"/>
              </w:rPr>
              <w:t> </w:t>
            </w:r>
            <w:r>
              <w:rPr>
                <w:rFonts w:ascii="宋体" w:hAnsi="宋体" w:cs="宋体" w:eastAsia="宋体" w:hint="default"/>
                <w:sz w:val="18"/>
                <w:szCs w:val="18"/>
              </w:rPr>
              <w:t>5,691,056</w:t>
            </w:r>
          </w:p>
          <w:p>
            <w:pPr>
              <w:pStyle w:val="TableParagraph"/>
              <w:spacing w:line="319" w:lineRule="auto" w:before="76"/>
              <w:ind w:left="21" w:right="101"/>
              <w:jc w:val="left"/>
              <w:rPr>
                <w:rFonts w:ascii="宋体" w:hAnsi="宋体" w:cs="宋体" w:eastAsia="宋体" w:hint="default"/>
                <w:sz w:val="18"/>
                <w:szCs w:val="18"/>
              </w:rPr>
            </w:pPr>
            <w:r>
              <w:rPr>
                <w:rFonts w:ascii="宋体" w:hAnsi="宋体" w:cs="宋体" w:eastAsia="宋体" w:hint="default"/>
                <w:sz w:val="18"/>
                <w:szCs w:val="18"/>
              </w:rPr>
              <w:t>股，募集资金总额为</w:t>
            </w:r>
            <w:r>
              <w:rPr>
                <w:rFonts w:ascii="宋体" w:hAnsi="宋体" w:cs="宋体" w:eastAsia="宋体" w:hint="default"/>
                <w:spacing w:val="-46"/>
                <w:sz w:val="18"/>
                <w:szCs w:val="18"/>
              </w:rPr>
              <w:t>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亿元，扣除</w:t>
            </w:r>
            <w:r>
              <w:rPr>
                <w:rFonts w:ascii="宋体" w:hAnsi="宋体" w:cs="宋体" w:eastAsia="宋体" w:hint="default"/>
                <w:spacing w:val="-46"/>
                <w:sz w:val="18"/>
                <w:szCs w:val="18"/>
              </w:rPr>
              <w:t> </w:t>
            </w:r>
            <w:r>
              <w:rPr>
                <w:rFonts w:ascii="宋体" w:hAnsi="宋体" w:cs="宋体" w:eastAsia="宋体" w:hint="default"/>
                <w:sz w:val="18"/>
                <w:szCs w:val="18"/>
              </w:rPr>
              <w:t>1,300</w:t>
            </w:r>
            <w:r>
              <w:rPr>
                <w:rFonts w:ascii="宋体" w:hAnsi="宋体" w:cs="宋体" w:eastAsia="宋体" w:hint="default"/>
                <w:spacing w:val="-46"/>
                <w:sz w:val="18"/>
                <w:szCs w:val="18"/>
              </w:rPr>
              <w:t> </w:t>
            </w:r>
            <w:r>
              <w:rPr>
                <w:rFonts w:ascii="宋体" w:hAnsi="宋体" w:cs="宋体" w:eastAsia="宋体" w:hint="default"/>
                <w:sz w:val="18"/>
                <w:szCs w:val="18"/>
              </w:rPr>
              <w:t>万元独立财务顾问费，募集资金净额为</w:t>
            </w:r>
            <w:r>
              <w:rPr>
                <w:rFonts w:ascii="宋体" w:hAnsi="宋体" w:cs="宋体" w:eastAsia="宋体" w:hint="default"/>
                <w:spacing w:val="-46"/>
                <w:sz w:val="18"/>
                <w:szCs w:val="18"/>
              </w:rPr>
              <w:t> </w:t>
            </w:r>
            <w:r>
              <w:rPr>
                <w:rFonts w:ascii="宋体" w:hAnsi="宋体" w:cs="宋体" w:eastAsia="宋体" w:hint="default"/>
                <w:sz w:val="18"/>
                <w:szCs w:val="18"/>
              </w:rPr>
              <w:t>15,500</w:t>
            </w:r>
            <w:r>
              <w:rPr>
                <w:rFonts w:ascii="宋体" w:hAnsi="宋体" w:cs="宋体" w:eastAsia="宋体" w:hint="default"/>
                <w:spacing w:val="-46"/>
                <w:sz w:val="18"/>
                <w:szCs w:val="18"/>
              </w:rPr>
              <w:t> </w:t>
            </w:r>
            <w:r>
              <w:rPr>
                <w:rFonts w:ascii="宋体" w:hAnsi="宋体" w:cs="宋体" w:eastAsia="宋体" w:hint="default"/>
                <w:sz w:val="18"/>
                <w:szCs w:val="18"/>
              </w:rPr>
              <w:t>万元，具体使用情 况请见上述列表。</w:t>
            </w:r>
          </w:p>
        </w:tc>
      </w:tr>
    </w:tbl>
    <w:p>
      <w:pPr>
        <w:spacing w:before="51"/>
        <w:ind w:left="414" w:right="6372"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募集资金变更项目情况</w:t>
      </w:r>
    </w:p>
    <w:p>
      <w:pPr>
        <w:spacing w:line="360" w:lineRule="auto" w:before="117"/>
        <w:ind w:left="414" w:right="63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 </w:t>
      </w:r>
      <w:r>
        <w:rPr>
          <w:rFonts w:ascii="宋体" w:hAnsi="宋体" w:cs="宋体" w:eastAsia="宋体" w:hint="default"/>
          <w:sz w:val="18"/>
          <w:szCs w:val="18"/>
        </w:rPr>
        <w:t>3</w:t>
      </w:r>
      <w:r>
        <w:rPr>
          <w:rFonts w:ascii="宋体" w:hAnsi="宋体" w:cs="宋体" w:eastAsia="宋体" w:hint="default"/>
          <w:sz w:val="18"/>
          <w:szCs w:val="18"/>
        </w:rPr>
        <w:t>）非募集资金投资的重大项目情况</w:t>
      </w:r>
    </w:p>
    <w:p>
      <w:pPr>
        <w:spacing w:line="360" w:lineRule="auto" w:before="26"/>
        <w:ind w:left="414" w:right="63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公司报告期无非募集资金投资的重大项目。 </w:t>
      </w:r>
      <w:r>
        <w:rPr>
          <w:rFonts w:ascii="宋体" w:hAnsi="宋体" w:cs="宋体" w:eastAsia="宋体" w:hint="default"/>
          <w:sz w:val="18"/>
          <w:szCs w:val="18"/>
        </w:rPr>
        <w:t>4</w:t>
      </w:r>
      <w:r>
        <w:rPr>
          <w:rFonts w:ascii="宋体" w:hAnsi="宋体" w:cs="宋体" w:eastAsia="宋体" w:hint="default"/>
          <w:sz w:val="18"/>
          <w:szCs w:val="18"/>
        </w:rPr>
        <w:t>）持有其他上市公司股权情况</w:t>
      </w:r>
    </w:p>
    <w:p>
      <w:pPr>
        <w:spacing w:line="357" w:lineRule="auto" w:before="26"/>
        <w:ind w:left="414" w:right="772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5</w:t>
      </w:r>
      <w:r>
        <w:rPr>
          <w:rFonts w:ascii="宋体" w:hAnsi="宋体" w:cs="宋体" w:eastAsia="宋体" w:hint="default"/>
          <w:sz w:val="18"/>
          <w:szCs w:val="18"/>
        </w:rPr>
        <w:t>）持有金融企业股权情况</w:t>
      </w:r>
    </w:p>
    <w:p>
      <w:pPr>
        <w:spacing w:line="357" w:lineRule="auto" w:before="29"/>
        <w:ind w:left="414" w:right="70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公司报告期未持有金融企业股权。</w:t>
      </w:r>
    </w:p>
    <w:p>
      <w:pPr>
        <w:spacing w:after="0" w:line="357" w:lineRule="auto"/>
        <w:jc w:val="left"/>
        <w:rPr>
          <w:rFonts w:ascii="宋体" w:hAnsi="宋体" w:cs="宋体" w:eastAsia="宋体" w:hint="default"/>
          <w:sz w:val="18"/>
          <w:szCs w:val="18"/>
        </w:rPr>
        <w:sectPr>
          <w:pgSz w:w="11910" w:h="16840"/>
          <w:pgMar w:header="747" w:footer="979" w:top="1060" w:bottom="1160" w:left="720" w:right="960"/>
        </w:sectPr>
      </w:pPr>
    </w:p>
    <w:p>
      <w:pPr>
        <w:spacing w:line="240" w:lineRule="auto" w:before="13"/>
        <w:rPr>
          <w:rFonts w:ascii="宋体" w:hAnsi="宋体" w:cs="宋体" w:eastAsia="宋体" w:hint="default"/>
          <w:sz w:val="25"/>
          <w:szCs w:val="25"/>
        </w:rPr>
      </w:pPr>
    </w:p>
    <w:p>
      <w:pPr>
        <w:spacing w:before="44"/>
        <w:ind w:left="413" w:right="6372"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）买卖其他上市公司股份的情况</w:t>
      </w:r>
    </w:p>
    <w:p>
      <w:pPr>
        <w:spacing w:line="360" w:lineRule="auto" w:before="116"/>
        <w:ind w:left="414" w:right="7362"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z w:val="18"/>
          <w:szCs w:val="18"/>
        </w:rPr>
        <w:t>7</w:t>
      </w:r>
      <w:r>
        <w:rPr>
          <w:rFonts w:ascii="宋体" w:hAnsi="宋体" w:cs="宋体" w:eastAsia="宋体" w:hint="default"/>
          <w:sz w:val="18"/>
          <w:szCs w:val="18"/>
        </w:rPr>
        <w:t>）以公允价值计量的金融资产</w:t>
      </w:r>
    </w:p>
    <w:p>
      <w:pPr>
        <w:spacing w:before="26"/>
        <w:ind w:left="414" w:right="637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414" w:right="6372"/>
        <w:jc w:val="left"/>
        <w:rPr>
          <w:b w:val="0"/>
          <w:bCs w:val="0"/>
        </w:rPr>
      </w:pPr>
      <w:bookmarkStart w:name="（6）主要控股参股公司分析" w:id="27"/>
      <w:bookmarkEnd w:id="27"/>
      <w:r>
        <w:rPr>
          <w:b w:val="0"/>
          <w:bCs w:val="0"/>
        </w:rPr>
      </w:r>
      <w:r>
        <w:rPr/>
        <w:t>（</w:t>
      </w:r>
      <w:r>
        <w:rPr>
          <w:rFonts w:ascii="宋体" w:hAnsi="宋体" w:cs="宋体" w:eastAsia="宋体" w:hint="default"/>
        </w:rPr>
        <w:t>6</w:t>
      </w:r>
      <w:r>
        <w:rPr/>
        <w:t>）主要控股参股公司分析</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720" w:right="960"/>
        </w:sectPr>
      </w:pPr>
    </w:p>
    <w:p>
      <w:pPr>
        <w:spacing w:line="357" w:lineRule="auto" w:before="44"/>
        <w:ind w:left="414" w:right="-20" w:firstLine="0"/>
        <w:jc w:val="left"/>
        <w:rPr>
          <w:rFonts w:ascii="宋体" w:hAnsi="宋体" w:cs="宋体" w:eastAsia="宋体" w:hint="default"/>
          <w:sz w:val="18"/>
          <w:szCs w:val="18"/>
        </w:rPr>
      </w:pPr>
      <w:r>
        <w:rPr>
          <w:rFonts w:ascii="宋体" w:hAnsi="宋体" w:cs="宋体" w:eastAsia="宋体" w:hint="default"/>
          <w:sz w:val="18"/>
          <w:szCs w:val="18"/>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4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720" w:right="960"/>
          <w:cols w:num="2" w:equalWidth="0">
            <w:col w:w="2575" w:space="6345"/>
            <w:col w:w="1310"/>
          </w:cols>
        </w:sectPr>
      </w:pP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893"/>
        <w:gridCol w:w="584"/>
        <w:gridCol w:w="682"/>
        <w:gridCol w:w="761"/>
        <w:gridCol w:w="632"/>
        <w:gridCol w:w="1316"/>
        <w:gridCol w:w="1316"/>
        <w:gridCol w:w="1317"/>
        <w:gridCol w:w="1225"/>
        <w:gridCol w:w="1226"/>
      </w:tblGrid>
      <w:tr>
        <w:trPr>
          <w:trHeight w:val="1039" w:hRule="exact"/>
        </w:trPr>
        <w:tc>
          <w:tcPr>
            <w:tcW w:w="8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4" w:right="10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6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7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6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3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2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9" w:hRule="exact"/>
        </w:trPr>
        <w:tc>
          <w:tcPr>
            <w:tcW w:w="8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18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1800</w:t>
            </w:r>
            <w:r>
              <w:rPr>
                <w:rFonts w:ascii="宋体" w:hAnsi="宋体" w:cs="宋体" w:eastAsia="宋体" w:hint="default"/>
                <w:spacing w:val="-54"/>
                <w:sz w:val="18"/>
                <w:szCs w:val="18"/>
              </w:rPr>
              <w:t> </w:t>
            </w:r>
            <w:r>
              <w:rPr>
                <w:rFonts w:ascii="宋体" w:hAnsi="宋体" w:cs="宋体" w:eastAsia="宋体" w:hint="default"/>
                <w:sz w:val="18"/>
                <w:szCs w:val="18"/>
              </w:rPr>
              <w:t>万</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63,925,132.38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52,482,977.06</w:t>
            </w:r>
          </w:p>
        </w:tc>
        <w:tc>
          <w:tcPr>
            <w:tcW w:w="1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63,355,927.26</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17,211,883.63</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15,667,164.92</w:t>
            </w:r>
          </w:p>
        </w:tc>
      </w:tr>
      <w:tr>
        <w:trPr>
          <w:trHeight w:val="719" w:hRule="exact"/>
        </w:trPr>
        <w:tc>
          <w:tcPr>
            <w:tcW w:w="8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18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GIS</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1100</w:t>
            </w:r>
            <w:r>
              <w:rPr>
                <w:rFonts w:ascii="宋体" w:hAnsi="宋体" w:cs="宋体" w:eastAsia="宋体" w:hint="default"/>
                <w:spacing w:val="-54"/>
                <w:sz w:val="18"/>
                <w:szCs w:val="18"/>
              </w:rPr>
              <w:t> </w:t>
            </w:r>
            <w:r>
              <w:rPr>
                <w:rFonts w:ascii="宋体" w:hAnsi="宋体" w:cs="宋体" w:eastAsia="宋体" w:hint="default"/>
                <w:sz w:val="18"/>
                <w:szCs w:val="18"/>
              </w:rPr>
              <w:t>万</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42,902,002.34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39,080,375.67</w:t>
            </w:r>
          </w:p>
        </w:tc>
        <w:tc>
          <w:tcPr>
            <w:tcW w:w="1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28,304,113.95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13,779,002.91</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11,774,202.33</w:t>
            </w:r>
          </w:p>
        </w:tc>
      </w:tr>
      <w:tr>
        <w:trPr>
          <w:trHeight w:val="1039" w:hRule="exact"/>
        </w:trPr>
        <w:tc>
          <w:tcPr>
            <w:tcW w:w="8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 w:right="187"/>
              <w:jc w:val="left"/>
              <w:rPr>
                <w:rFonts w:ascii="宋体" w:hAnsi="宋体" w:cs="宋体" w:eastAsia="宋体" w:hint="default"/>
                <w:sz w:val="18"/>
                <w:szCs w:val="18"/>
              </w:rPr>
            </w:pPr>
            <w:r>
              <w:rPr>
                <w:rFonts w:ascii="宋体" w:hAnsi="宋体" w:cs="宋体" w:eastAsia="宋体" w:hint="default"/>
                <w:sz w:val="18"/>
                <w:szCs w:val="18"/>
              </w:rPr>
              <w:t>子公 司</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环保</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8"/>
              <w:jc w:val="left"/>
              <w:rPr>
                <w:rFonts w:ascii="宋体" w:hAnsi="宋体" w:cs="宋体" w:eastAsia="宋体" w:hint="default"/>
                <w:sz w:val="18"/>
                <w:szCs w:val="18"/>
              </w:rPr>
            </w:pPr>
            <w:r>
              <w:rPr>
                <w:rFonts w:ascii="宋体" w:hAnsi="宋体" w:cs="宋体" w:eastAsia="宋体" w:hint="default"/>
                <w:sz w:val="18"/>
                <w:szCs w:val="18"/>
              </w:rPr>
              <w:t>环境工 </w:t>
            </w:r>
            <w:r>
              <w:rPr>
                <w:rFonts w:ascii="宋体" w:hAnsi="宋体" w:cs="宋体" w:eastAsia="宋体" w:hint="default"/>
                <w:spacing w:val="-4"/>
                <w:sz w:val="18"/>
                <w:szCs w:val="18"/>
              </w:rPr>
              <w:t>程、市政</w:t>
            </w:r>
            <w:r>
              <w:rPr>
                <w:rFonts w:ascii="宋体" w:hAnsi="宋体" w:cs="宋体" w:eastAsia="宋体" w:hint="default"/>
                <w:sz w:val="18"/>
                <w:szCs w:val="18"/>
              </w:rPr>
              <w:t> 工程</w:t>
            </w:r>
          </w:p>
        </w:tc>
        <w:tc>
          <w:tcPr>
            <w:tcW w:w="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54"/>
                <w:sz w:val="18"/>
                <w:szCs w:val="18"/>
              </w:rPr>
              <w:t> </w:t>
            </w:r>
            <w:r>
              <w:rPr>
                <w:rFonts w:ascii="宋体" w:hAnsi="宋体" w:cs="宋体" w:eastAsia="宋体" w:hint="default"/>
                <w:sz w:val="18"/>
                <w:szCs w:val="18"/>
              </w:rPr>
              <w:t>万</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488,792,146.11</w:t>
            </w:r>
          </w:p>
        </w:tc>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227,568,598.44</w:t>
            </w:r>
          </w:p>
        </w:tc>
        <w:tc>
          <w:tcPr>
            <w:tcW w:w="13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193,614,051.94</w:t>
            </w:r>
          </w:p>
        </w:tc>
        <w:tc>
          <w:tcPr>
            <w:tcW w:w="12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37,788,995.81</w:t>
            </w:r>
          </w:p>
        </w:tc>
        <w:tc>
          <w:tcPr>
            <w:tcW w:w="12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宋体" w:hAnsi="宋体" w:cs="宋体" w:eastAsia="宋体" w:hint="default"/>
                <w:sz w:val="18"/>
                <w:szCs w:val="18"/>
              </w:rPr>
            </w:pPr>
            <w:r>
              <w:rPr>
                <w:rFonts w:ascii="宋体"/>
                <w:sz w:val="18"/>
              </w:rPr>
              <w:t>37,597,818.97</w:t>
            </w:r>
          </w:p>
        </w:tc>
      </w:tr>
    </w:tbl>
    <w:p>
      <w:pPr>
        <w:spacing w:before="51"/>
        <w:ind w:left="414" w:right="637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12"/>
        <w:rPr>
          <w:rFonts w:ascii="宋体" w:hAnsi="宋体" w:cs="宋体" w:eastAsia="宋体" w:hint="default"/>
          <w:sz w:val="12"/>
          <w:szCs w:val="12"/>
        </w:rPr>
      </w:pPr>
    </w:p>
    <w:p>
      <w:pPr>
        <w:pStyle w:val="BodyText"/>
        <w:spacing w:line="408" w:lineRule="auto" w:before="0"/>
        <w:ind w:left="834" w:right="237"/>
        <w:jc w:val="left"/>
      </w:pPr>
      <w:r>
        <w:rPr>
          <w:rFonts w:ascii="宋体" w:hAnsi="宋体" w:cs="宋体" w:eastAsia="宋体" w:hint="default"/>
        </w:rPr>
        <w:t>1</w:t>
      </w:r>
      <w:r>
        <w:rPr/>
        <w:t>、郑州炜盛电子科技有限公司 炜盛电子为公司的全资子公司，注册资本</w:t>
      </w:r>
      <w:r>
        <w:rPr>
          <w:rFonts w:ascii="宋体" w:hAnsi="宋体" w:cs="宋体" w:eastAsia="宋体" w:hint="default"/>
        </w:rPr>
        <w:t>1,800</w:t>
      </w:r>
      <w:r>
        <w:rPr/>
        <w:t>万元。法定代表人：陈凌飞。公司住所：郑州高新技</w:t>
      </w:r>
    </w:p>
    <w:p>
      <w:pPr>
        <w:pStyle w:val="BodyText"/>
        <w:spacing w:line="408" w:lineRule="auto"/>
        <w:ind w:left="414" w:right="237"/>
        <w:jc w:val="left"/>
      </w:pPr>
      <w:r>
        <w:rPr/>
        <w:t>术开发区金梭路</w:t>
      </w:r>
      <w:r>
        <w:rPr>
          <w:rFonts w:ascii="宋体" w:hAnsi="宋体" w:cs="宋体" w:eastAsia="宋体" w:hint="default"/>
        </w:rPr>
        <w:t>299</w:t>
      </w:r>
      <w:r>
        <w:rPr/>
        <w:t>号。主要经营范围：气敏元件、传感器、检测控制仪表、电子产品的开发、生产、销 售；提供技术转让、技术服务、技术咨询；进出口贸易。</w:t>
      </w:r>
    </w:p>
    <w:p>
      <w:pPr>
        <w:pStyle w:val="BodyText"/>
        <w:spacing w:line="408" w:lineRule="auto"/>
        <w:ind w:left="833" w:right="238"/>
        <w:jc w:val="left"/>
      </w:pPr>
      <w:r>
        <w:rPr/>
        <w:t>经审计，炜盛电子</w:t>
      </w:r>
      <w:r>
        <w:rPr>
          <w:rFonts w:ascii="宋体" w:hAnsi="宋体" w:cs="宋体" w:eastAsia="宋体" w:hint="default"/>
        </w:rPr>
        <w:t>2014</w:t>
      </w:r>
      <w:r>
        <w:rPr/>
        <w:t>年度实现营业收入</w:t>
      </w:r>
      <w:r>
        <w:rPr>
          <w:rFonts w:ascii="宋体" w:hAnsi="宋体" w:cs="宋体" w:eastAsia="宋体" w:hint="default"/>
        </w:rPr>
        <w:t>6,335.59</w:t>
      </w:r>
      <w:r>
        <w:rPr/>
        <w:t>万元，实现净利润</w:t>
      </w:r>
      <w:r>
        <w:rPr>
          <w:rFonts w:ascii="宋体" w:hAnsi="宋体" w:cs="宋体" w:eastAsia="宋体" w:hint="default"/>
        </w:rPr>
        <w:t>1,566.72</w:t>
      </w:r>
      <w:r>
        <w:rPr/>
        <w:t>万元。 </w:t>
      </w:r>
      <w:r>
        <w:rPr>
          <w:rFonts w:ascii="宋体" w:hAnsi="宋体" w:cs="宋体" w:eastAsia="宋体" w:hint="default"/>
        </w:rPr>
        <w:t>2</w:t>
      </w:r>
      <w:r>
        <w:rPr/>
        <w:t>、沈阳金建数字城市软件有限公司 沈阳金建为公司的全资子公司，注册资本</w:t>
      </w:r>
      <w:r>
        <w:rPr>
          <w:rFonts w:ascii="宋体" w:hAnsi="宋体" w:cs="宋体" w:eastAsia="宋体" w:hint="default"/>
        </w:rPr>
        <w:t>1,100</w:t>
      </w:r>
      <w:r>
        <w:rPr/>
        <w:t>万元。法定代表人：尚剑红。公司住所：沈阳市浑南</w:t>
      </w:r>
    </w:p>
    <w:p>
      <w:pPr>
        <w:pStyle w:val="BodyText"/>
        <w:spacing w:line="408" w:lineRule="auto"/>
        <w:ind w:left="414" w:right="237"/>
        <w:jc w:val="left"/>
      </w:pPr>
      <w:r>
        <w:rPr/>
        <w:t>新区天赐街</w:t>
      </w:r>
      <w:r>
        <w:rPr>
          <w:rFonts w:ascii="宋体" w:hAnsi="宋体" w:cs="宋体" w:eastAsia="宋体" w:hint="default"/>
        </w:rPr>
        <w:t>7-3</w:t>
      </w:r>
      <w:r>
        <w:rPr/>
        <w:t>号</w:t>
      </w:r>
      <w:r>
        <w:rPr>
          <w:rFonts w:ascii="宋体" w:hAnsi="宋体" w:cs="宋体" w:eastAsia="宋体" w:hint="default"/>
        </w:rPr>
        <w:t>14</w:t>
      </w:r>
      <w:r>
        <w:rPr/>
        <w:t>层。主要经营范围：电子地图、地理信息项目开发、办公自动化、系统集成、计算机 软硬件开发、网络综合布线、计算机及辅助设备零售、批发。</w:t>
      </w:r>
    </w:p>
    <w:p>
      <w:pPr>
        <w:pStyle w:val="BodyText"/>
        <w:spacing w:line="408" w:lineRule="auto"/>
        <w:ind w:left="413" w:right="0" w:firstLine="420"/>
        <w:jc w:val="left"/>
      </w:pPr>
      <w:r>
        <w:rPr/>
        <w:t>经审计，沈阳金建</w:t>
      </w:r>
      <w:r>
        <w:rPr>
          <w:rFonts w:ascii="宋体" w:hAnsi="宋体" w:cs="宋体" w:eastAsia="宋体" w:hint="default"/>
        </w:rPr>
        <w:t>2014</w:t>
      </w:r>
      <w:r>
        <w:rPr/>
        <w:t>年度实现营业收入</w:t>
      </w:r>
      <w:r>
        <w:rPr>
          <w:rFonts w:ascii="宋体" w:hAnsi="宋体" w:cs="宋体" w:eastAsia="宋体" w:hint="default"/>
        </w:rPr>
        <w:t>2,830.41</w:t>
      </w:r>
      <w:r>
        <w:rPr/>
        <w:t>万元，实现净利润</w:t>
      </w:r>
      <w:r>
        <w:rPr>
          <w:rFonts w:ascii="宋体" w:hAnsi="宋体" w:cs="宋体" w:eastAsia="宋体" w:hint="default"/>
        </w:rPr>
        <w:t>1,177.42</w:t>
      </w:r>
      <w:r>
        <w:rPr/>
        <w:t>万元</w:t>
      </w:r>
      <w:r>
        <w:rPr>
          <w:rFonts w:ascii="宋体" w:hAnsi="宋体" w:cs="宋体" w:eastAsia="宋体" w:hint="default"/>
        </w:rPr>
        <w:t>,</w:t>
      </w:r>
      <w:r>
        <w:rPr/>
        <w:t>营业收入与净利 </w:t>
      </w:r>
      <w:r>
        <w:rPr>
          <w:spacing w:val="-1"/>
        </w:rPr>
        <w:t>润分别较上年度增长</w:t>
      </w:r>
      <w:r>
        <w:rPr>
          <w:rFonts w:ascii="宋体" w:hAnsi="宋体" w:cs="宋体" w:eastAsia="宋体" w:hint="default"/>
          <w:spacing w:val="-1"/>
        </w:rPr>
        <w:t>29.86%</w:t>
      </w:r>
      <w:r>
        <w:rPr>
          <w:spacing w:val="-1"/>
        </w:rPr>
        <w:t>、</w:t>
      </w:r>
      <w:r>
        <w:rPr>
          <w:rFonts w:ascii="宋体" w:hAnsi="宋体" w:cs="宋体" w:eastAsia="宋体" w:hint="default"/>
          <w:spacing w:val="-1"/>
        </w:rPr>
        <w:t>40.53%,</w:t>
      </w:r>
      <w:r>
        <w:rPr>
          <w:spacing w:val="-1"/>
        </w:rPr>
        <w:t>主要原因为注重产品研发，不断拓宽</w:t>
      </w:r>
      <w:r>
        <w:rPr>
          <w:rFonts w:ascii="宋体" w:hAnsi="宋体" w:cs="宋体" w:eastAsia="宋体" w:hint="default"/>
          <w:spacing w:val="-1"/>
        </w:rPr>
        <w:t>GIS</w:t>
      </w:r>
      <w:r>
        <w:rPr>
          <w:spacing w:val="-1"/>
        </w:rPr>
        <w:t>市场销售领域，筛选重点行</w:t>
      </w:r>
      <w:r>
        <w:rPr>
          <w:spacing w:val="-79"/>
        </w:rPr>
        <w:t> </w:t>
      </w:r>
      <w:r>
        <w:rPr>
          <w:spacing w:val="-79"/>
        </w:rPr>
      </w:r>
      <w:r>
        <w:rPr/>
        <w:t>业解决方案，市场份额不断扩大。</w:t>
      </w:r>
    </w:p>
    <w:p>
      <w:pPr>
        <w:pStyle w:val="BodyText"/>
        <w:spacing w:line="408" w:lineRule="auto"/>
        <w:ind w:left="834" w:right="237"/>
        <w:jc w:val="left"/>
      </w:pPr>
      <w:r>
        <w:rPr>
          <w:rFonts w:ascii="宋体" w:hAnsi="宋体" w:cs="宋体" w:eastAsia="宋体" w:hint="default"/>
        </w:rPr>
        <w:t>3</w:t>
      </w:r>
      <w:r>
        <w:rPr/>
        <w:t>、嘉园环保有限公司 嘉园环保为公司的控股子公司，注册资本</w:t>
      </w:r>
      <w:r>
        <w:rPr>
          <w:rFonts w:ascii="宋体" w:hAnsi="宋体" w:cs="宋体" w:eastAsia="宋体" w:hint="default"/>
        </w:rPr>
        <w:t>6,000</w:t>
      </w:r>
      <w:r>
        <w:rPr/>
        <w:t>万元。法定代表人：陈泽枝。公司住所：福州市鼓楼</w:t>
      </w:r>
    </w:p>
    <w:p>
      <w:pPr>
        <w:spacing w:after="0" w:line="408" w:lineRule="auto"/>
        <w:jc w:val="left"/>
        <w:sectPr>
          <w:type w:val="continuous"/>
          <w:pgSz w:w="11910" w:h="16840"/>
          <w:pgMar w:top="1060" w:bottom="1160" w:left="720" w:right="960"/>
        </w:sectPr>
      </w:pPr>
    </w:p>
    <w:p>
      <w:pPr>
        <w:spacing w:line="240" w:lineRule="auto" w:before="0"/>
        <w:rPr>
          <w:rFonts w:ascii="宋体" w:hAnsi="宋体" w:cs="宋体" w:eastAsia="宋体" w:hint="default"/>
          <w:sz w:val="20"/>
          <w:szCs w:val="20"/>
        </w:rPr>
      </w:pPr>
    </w:p>
    <w:p>
      <w:pPr>
        <w:pStyle w:val="BodyText"/>
        <w:spacing w:line="408" w:lineRule="auto" w:before="174"/>
        <w:ind w:right="104"/>
        <w:jc w:val="left"/>
      </w:pPr>
      <w:r>
        <w:rPr>
          <w:spacing w:val="-3"/>
        </w:rPr>
        <w:t>区软件大道</w:t>
      </w:r>
      <w:r>
        <w:rPr>
          <w:rFonts w:ascii="宋体" w:hAnsi="宋体" w:cs="宋体" w:eastAsia="宋体" w:hint="default"/>
          <w:spacing w:val="-3"/>
        </w:rPr>
        <w:t>89</w:t>
      </w:r>
      <w:r>
        <w:rPr>
          <w:spacing w:val="-3"/>
        </w:rPr>
        <w:t>号福州软件园</w:t>
      </w:r>
      <w:r>
        <w:rPr>
          <w:rFonts w:ascii="宋体" w:hAnsi="宋体" w:cs="宋体" w:eastAsia="宋体" w:hint="default"/>
          <w:spacing w:val="-3"/>
        </w:rPr>
        <w:t>C</w:t>
      </w:r>
      <w:r>
        <w:rPr>
          <w:spacing w:val="-3"/>
        </w:rPr>
        <w:t>区</w:t>
      </w:r>
      <w:r>
        <w:rPr>
          <w:rFonts w:ascii="宋体" w:hAnsi="宋体" w:cs="宋体" w:eastAsia="宋体" w:hint="default"/>
          <w:spacing w:val="-3"/>
        </w:rPr>
        <w:t>27</w:t>
      </w:r>
      <w:r>
        <w:rPr>
          <w:spacing w:val="-3"/>
        </w:rPr>
        <w:t>号楼。公司持股比例为</w:t>
      </w:r>
      <w:r>
        <w:rPr>
          <w:rFonts w:ascii="宋体" w:hAnsi="宋体" w:cs="宋体" w:eastAsia="宋体" w:hint="default"/>
          <w:spacing w:val="-3"/>
        </w:rPr>
        <w:t>80%</w:t>
      </w:r>
      <w:r>
        <w:rPr>
          <w:spacing w:val="-3"/>
        </w:rPr>
        <w:t>。主要经营范围：环境工程与市政工程的咨询、</w:t>
      </w:r>
      <w:r>
        <w:rPr>
          <w:spacing w:val="-85"/>
        </w:rPr>
        <w:t> </w:t>
      </w:r>
      <w:r>
        <w:rPr>
          <w:spacing w:val="-85"/>
        </w:rPr>
      </w:r>
      <w:r>
        <w:rPr/>
        <w:t>设计、施工、总承包、运营；房屋建筑工程的设计、施工、总承包；环保设备、材料及机电设备的研发、 制造、销售、安装；环保软件开发、销售；环保技术服务；自营和代理各类商品和技术的进出口、但国家</w:t>
      </w:r>
      <w:r>
        <w:rPr/>
        <w:t> 限定公司经营或禁止进出口的商品和技术除外。</w:t>
      </w:r>
    </w:p>
    <w:p>
      <w:pPr>
        <w:pStyle w:val="BodyText"/>
        <w:spacing w:line="240" w:lineRule="auto"/>
        <w:ind w:left="574" w:right="104"/>
        <w:jc w:val="left"/>
      </w:pPr>
      <w:r>
        <w:rPr/>
        <w:t>经审计，嘉园环保</w:t>
      </w:r>
      <w:r>
        <w:rPr>
          <w:rFonts w:ascii="宋体" w:hAnsi="宋体" w:cs="宋体" w:eastAsia="宋体" w:hint="default"/>
        </w:rPr>
        <w:t>2014</w:t>
      </w:r>
      <w:r>
        <w:rPr/>
        <w:t>年度实现营业收入</w:t>
      </w:r>
      <w:r>
        <w:rPr>
          <w:rFonts w:ascii="宋体" w:hAnsi="宋体" w:cs="宋体" w:eastAsia="宋体" w:hint="default"/>
        </w:rPr>
        <w:t>19,361.41</w:t>
      </w:r>
      <w:r>
        <w:rPr/>
        <w:t>万元，实现净利润</w:t>
      </w:r>
      <w:r>
        <w:rPr>
          <w:rFonts w:ascii="宋体" w:hAnsi="宋体" w:cs="宋体" w:eastAsia="宋体" w:hint="default"/>
        </w:rPr>
        <w:t>3,759.78</w:t>
      </w:r>
      <w:r>
        <w:rPr/>
        <w:t>万元。</w:t>
      </w:r>
    </w:p>
    <w:p>
      <w:pPr>
        <w:spacing w:line="240" w:lineRule="auto" w:before="11"/>
        <w:rPr>
          <w:rFonts w:ascii="宋体" w:hAnsi="宋体" w:cs="宋体" w:eastAsia="宋体" w:hint="default"/>
          <w:sz w:val="13"/>
          <w:szCs w:val="13"/>
        </w:rPr>
      </w:pPr>
    </w:p>
    <w:p>
      <w:pPr>
        <w:spacing w:before="0"/>
        <w:ind w:left="153" w:right="10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852"/>
        <w:gridCol w:w="3686"/>
        <w:gridCol w:w="2268"/>
        <w:gridCol w:w="2763"/>
      </w:tblGrid>
      <w:tr>
        <w:trPr>
          <w:trHeight w:val="766" w:hRule="exact"/>
        </w:trPr>
        <w:tc>
          <w:tcPr>
            <w:tcW w:w="85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6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2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60" w:lineRule="auto" w:before="51"/>
              <w:ind w:left="495" w:right="497"/>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7"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8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切入环保领域，完善公司产业布局</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发行股份和支付现金收购</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实现归属于母公司净利润</w:t>
            </w:r>
            <w:r>
              <w:rPr>
                <w:rFonts w:ascii="宋体" w:hAnsi="宋体" w:cs="宋体" w:eastAsia="宋体" w:hint="default"/>
                <w:spacing w:val="-46"/>
                <w:sz w:val="18"/>
                <w:szCs w:val="18"/>
              </w:rPr>
              <w:t> </w:t>
            </w:r>
            <w:r>
              <w:rPr>
                <w:rFonts w:ascii="宋体" w:hAnsi="宋体" w:cs="宋体" w:eastAsia="宋体" w:hint="default"/>
                <w:sz w:val="18"/>
                <w:szCs w:val="18"/>
              </w:rPr>
              <w:t>817</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7"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81"/>
              <w:jc w:val="center"/>
              <w:rPr>
                <w:rFonts w:ascii="宋体" w:hAnsi="宋体" w:cs="宋体" w:eastAsia="宋体" w:hint="default"/>
                <w:sz w:val="18"/>
                <w:szCs w:val="18"/>
              </w:rPr>
            </w:pPr>
            <w:r>
              <w:rPr>
                <w:rFonts w:ascii="宋体" w:hAnsi="宋体" w:cs="宋体" w:eastAsia="宋体" w:hint="default"/>
                <w:sz w:val="18"/>
                <w:szCs w:val="18"/>
              </w:rPr>
              <w:t>上海英森</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完善公司行业布局，增强物联网解决方案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支付现金收购</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实现归属于母公司净利润</w:t>
            </w: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15" w:hRule="exact"/>
        </w:trPr>
        <w:tc>
          <w:tcPr>
            <w:tcW w:w="8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8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3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补全</w:t>
            </w:r>
            <w:r>
              <w:rPr>
                <w:rFonts w:ascii="宋体" w:hAnsi="宋体" w:cs="宋体" w:eastAsia="宋体" w:hint="default"/>
                <w:spacing w:val="-46"/>
                <w:sz w:val="18"/>
                <w:szCs w:val="18"/>
              </w:rPr>
              <w:t> </w:t>
            </w:r>
            <w:r>
              <w:rPr>
                <w:rFonts w:ascii="宋体" w:hAnsi="宋体" w:cs="宋体" w:eastAsia="宋体" w:hint="default"/>
                <w:sz w:val="18"/>
                <w:szCs w:val="18"/>
              </w:rPr>
              <w:t>SCADA</w:t>
            </w:r>
            <w:r>
              <w:rPr>
                <w:rFonts w:ascii="宋体" w:hAnsi="宋体" w:cs="宋体" w:eastAsia="宋体" w:hint="default"/>
                <w:spacing w:val="-46"/>
                <w:sz w:val="18"/>
                <w:szCs w:val="18"/>
              </w:rPr>
              <w:t> </w:t>
            </w:r>
            <w:r>
              <w:rPr>
                <w:rFonts w:ascii="宋体" w:hAnsi="宋体" w:cs="宋体" w:eastAsia="宋体" w:hint="default"/>
                <w:sz w:val="18"/>
                <w:szCs w:val="18"/>
              </w:rPr>
              <w:t>系统，完善公司物联网解决方案</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支付现金收购</w:t>
            </w:r>
          </w:p>
        </w:tc>
        <w:tc>
          <w:tcPr>
            <w:tcW w:w="27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实现归属于母公司净利润</w:t>
            </w:r>
            <w:r>
              <w:rPr>
                <w:rFonts w:ascii="宋体" w:hAnsi="宋体" w:cs="宋体" w:eastAsia="宋体" w:hint="default"/>
                <w:spacing w:val="-46"/>
                <w:sz w:val="18"/>
                <w:szCs w:val="18"/>
              </w:rPr>
              <w:t> </w:t>
            </w:r>
            <w:r>
              <w:rPr>
                <w:rFonts w:ascii="宋体" w:hAnsi="宋体" w:cs="宋体" w:eastAsia="宋体" w:hint="default"/>
                <w:sz w:val="18"/>
                <w:szCs w:val="18"/>
              </w:rPr>
              <w:t>150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7）公司控制的特殊目的主体情况" w:id="28"/>
      <w:bookmarkEnd w:id="28"/>
      <w:r>
        <w:rPr>
          <w:b w:val="0"/>
          <w:bCs w:val="0"/>
        </w:rPr>
      </w:r>
      <w:r>
        <w:rPr/>
        <w:t>（</w:t>
      </w:r>
      <w:r>
        <w:rPr>
          <w:rFonts w:ascii="宋体" w:hAnsi="宋体" w:cs="宋体" w:eastAsia="宋体" w:hint="default"/>
        </w:rPr>
        <w:t>7</w:t>
      </w:r>
      <w:r>
        <w:rPr/>
        <w:t>）公司控制的特殊目的主体情况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both"/>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636" w:right="202"/>
        <w:jc w:val="left"/>
      </w:pPr>
      <w:r>
        <w:rPr>
          <w:rFonts w:ascii="宋体" w:hAnsi="宋体" w:cs="宋体" w:eastAsia="宋体" w:hint="default"/>
        </w:rPr>
        <w:t>(</w:t>
      </w:r>
      <w:r>
        <w:rPr/>
        <w:t>一</w:t>
      </w:r>
      <w:r>
        <w:rPr>
          <w:rFonts w:ascii="宋体" w:hAnsi="宋体" w:cs="宋体" w:eastAsia="宋体" w:hint="default"/>
        </w:rPr>
        <w:t>)</w:t>
      </w:r>
      <w:r>
        <w:rPr/>
        <w:t>行业发展情况 </w:t>
      </w:r>
      <w:r>
        <w:rPr>
          <w:rFonts w:ascii="宋体" w:hAnsi="宋体" w:cs="宋体" w:eastAsia="宋体" w:hint="default"/>
          <w:spacing w:val="-2"/>
        </w:rPr>
        <w:t>2015</w:t>
      </w:r>
      <w:r>
        <w:rPr>
          <w:spacing w:val="-2"/>
        </w:rPr>
        <w:t>年是“十二五”规划的收官之年，经济发展、依法治国、社会科学等方面都步入了全新的发展阶</w:t>
      </w:r>
    </w:p>
    <w:p>
      <w:pPr>
        <w:pStyle w:val="BodyText"/>
        <w:spacing w:line="408" w:lineRule="auto"/>
        <w:ind w:left="154" w:right="213"/>
        <w:jc w:val="both"/>
      </w:pPr>
      <w:r>
        <w:rPr>
          <w:spacing w:val="-1"/>
        </w:rPr>
        <w:t>段，涌现出众多市场机遇。同时随着全球信息化的发展，物联网受到了前所未有的关注，万物互联已成为</w:t>
      </w:r>
      <w:r>
        <w:rPr>
          <w:spacing w:val="-86"/>
        </w:rPr>
        <w:t> </w:t>
      </w:r>
      <w:r>
        <w:rPr>
          <w:spacing w:val="-86"/>
        </w:rPr>
      </w:r>
      <w:r>
        <w:rPr/>
        <w:t>大势所趋，深刻改变着各个行业的发展模式和生态。</w:t>
      </w:r>
    </w:p>
    <w:p>
      <w:pPr>
        <w:pStyle w:val="BodyText"/>
        <w:spacing w:line="408" w:lineRule="auto"/>
        <w:ind w:left="636" w:right="204"/>
        <w:jc w:val="left"/>
      </w:pPr>
      <w:r>
        <w:rPr/>
        <w:t>（</w:t>
      </w:r>
      <w:r>
        <w:rPr>
          <w:rFonts w:ascii="宋体" w:hAnsi="宋体" w:cs="宋体" w:eastAsia="宋体" w:hint="default"/>
        </w:rPr>
        <w:t>1</w:t>
      </w:r>
      <w:r>
        <w:rPr/>
        <w:t>）传感行业 </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月，工信部电子科学技术情报研究所发布了《中国传感器产业发展白皮书》，报告显示未来</w:t>
      </w:r>
    </w:p>
    <w:p>
      <w:pPr>
        <w:pStyle w:val="BodyText"/>
        <w:spacing w:line="408" w:lineRule="auto"/>
        <w:ind w:right="214"/>
        <w:jc w:val="both"/>
      </w:pPr>
      <w:r>
        <w:rPr/>
        <w:t>几年全球传感器市场将保持</w:t>
      </w:r>
      <w:r>
        <w:rPr>
          <w:rFonts w:ascii="宋体" w:hAnsi="宋体" w:cs="宋体" w:eastAsia="宋体" w:hint="default"/>
        </w:rPr>
        <w:t>20%</w:t>
      </w:r>
      <w:r>
        <w:rPr/>
        <w:t>以上的增长速度，而传感器是物联网最核心、最基础的部分，随着万物互</w:t>
      </w:r>
      <w:r>
        <w:rPr>
          <w:spacing w:val="-33"/>
        </w:rPr>
        <w:t> </w:t>
      </w:r>
      <w:r>
        <w:rPr>
          <w:spacing w:val="-33"/>
        </w:rPr>
      </w:r>
      <w:r>
        <w:rPr/>
        <w:t>联浪潮的来临，传感器行业未来几年将受益于物联网、工业</w:t>
      </w:r>
      <w:r>
        <w:rPr>
          <w:rFonts w:ascii="宋体" w:hAnsi="宋体" w:cs="宋体" w:eastAsia="宋体" w:hint="default"/>
        </w:rPr>
        <w:t>4.0</w:t>
      </w:r>
      <w:r>
        <w:rPr/>
        <w:t>、大数据的发展。公司作为传感器龙头民</w:t>
      </w:r>
      <w:r>
        <w:rPr>
          <w:spacing w:val="-29"/>
        </w:rPr>
        <w:t> </w:t>
      </w:r>
      <w:r>
        <w:rPr>
          <w:spacing w:val="-29"/>
        </w:rPr>
      </w:r>
      <w:r>
        <w:rPr/>
        <w:t>族企业，未来将继续加大研发力度，加快推进传感器向智能化、微型化、低功耗、无线传输方向发展。</w:t>
      </w:r>
    </w:p>
    <w:p>
      <w:pPr>
        <w:pStyle w:val="BodyText"/>
        <w:spacing w:line="408" w:lineRule="auto"/>
        <w:ind w:left="636" w:right="198"/>
        <w:jc w:val="left"/>
      </w:pPr>
      <w:r>
        <w:rPr>
          <w:rFonts w:ascii="宋体" w:hAnsi="宋体" w:cs="宋体" w:eastAsia="宋体" w:hint="default"/>
        </w:rPr>
        <w:t>(2)</w:t>
      </w:r>
      <w:r>
        <w:rPr/>
        <w:t>智慧市政 </w:t>
      </w:r>
      <w:r>
        <w:rPr>
          <w:spacing w:val="-2"/>
        </w:rPr>
        <w:t>随着新型城镇化进程的推进，政府对精细化城市管理的需求日益迫切，国务院及相关部委出台了系列</w:t>
      </w:r>
    </w:p>
    <w:p>
      <w:pPr>
        <w:pStyle w:val="BodyText"/>
        <w:spacing w:line="408" w:lineRule="auto"/>
        <w:ind w:right="190"/>
        <w:jc w:val="both"/>
      </w:pPr>
      <w:r>
        <w:rPr/>
        <w:t>促进城市管网、公共事业、公共安全的政策，</w:t>
      </w:r>
      <w:r>
        <w:rPr>
          <w:rFonts w:ascii="宋体" w:hAnsi="宋体" w:cs="宋体" w:eastAsia="宋体" w:hint="default"/>
        </w:rPr>
        <w:t>PPP</w:t>
      </w:r>
      <w:r>
        <w:rPr/>
        <w:t>模式、第三方治理等机遇众多，催生巨大的市场空间。</w:t>
      </w:r>
      <w:r>
        <w:rPr>
          <w:spacing w:val="-31"/>
        </w:rPr>
        <w:t> </w:t>
      </w:r>
      <w:r>
        <w:rPr>
          <w:spacing w:val="-31"/>
        </w:rPr>
      </w:r>
      <w:r>
        <w:rPr/>
        <w:t>目前，汉威电子及子公司沈阳金建、鞍山易兴以“SCADA+GIS+云平台”为基础，已经在市政燃气、供水、</w:t>
      </w:r>
      <w:r>
        <w:rPr/>
        <w:t> 排水、供热等领域形成全产业链布局，同时积极向其他市政领域延伸拓展。</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636" w:right="198"/>
        <w:jc w:val="left"/>
      </w:pPr>
      <w:r>
        <w:rPr/>
        <w:t>（</w:t>
      </w:r>
      <w:r>
        <w:rPr>
          <w:rFonts w:ascii="宋体" w:hAnsi="宋体" w:cs="宋体" w:eastAsia="宋体" w:hint="default"/>
        </w:rPr>
        <w:t>3)</w:t>
      </w:r>
      <w:r>
        <w:rPr/>
        <w:t>工业安全 </w:t>
      </w:r>
      <w:r>
        <w:rPr>
          <w:spacing w:val="-2"/>
        </w:rPr>
        <w:t>汉威电子在安全生产领域已经介入了石油、炼化、化工等二十余个行业，每个行业都有成熟的监测解</w:t>
      </w:r>
    </w:p>
    <w:p>
      <w:pPr>
        <w:pStyle w:val="BodyText"/>
        <w:spacing w:line="408" w:lineRule="auto"/>
        <w:ind w:left="154" w:right="213"/>
        <w:jc w:val="both"/>
      </w:pPr>
      <w:r>
        <w:rPr/>
        <w:t>决方案。同时，新修订的《安全生产法》已经于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日正式实施，对安全生产事故的追责标准大</w:t>
      </w:r>
      <w:r>
        <w:rPr>
          <w:spacing w:val="-31"/>
        </w:rPr>
        <w:t> </w:t>
      </w:r>
      <w:r>
        <w:rPr>
          <w:spacing w:val="-31"/>
        </w:rPr>
      </w:r>
      <w:r>
        <w:rPr>
          <w:spacing w:val="-1"/>
        </w:rPr>
        <w:t>幅提高，事前及事中监测将成为企业安全投入的重要部分，新《安全生产法》将对公司构成长期利好，工</w:t>
      </w:r>
      <w:r>
        <w:rPr>
          <w:spacing w:val="-83"/>
        </w:rPr>
        <w:t> </w:t>
      </w:r>
      <w:r>
        <w:rPr>
          <w:spacing w:val="-83"/>
        </w:rPr>
      </w:r>
      <w:r>
        <w:rPr/>
        <w:t>业安全也将成为公司业务发展的重要引擎之一。</w:t>
      </w:r>
    </w:p>
    <w:p>
      <w:pPr>
        <w:pStyle w:val="BodyText"/>
        <w:spacing w:line="408" w:lineRule="auto"/>
        <w:ind w:left="636" w:right="198"/>
        <w:jc w:val="left"/>
      </w:pPr>
      <w:r>
        <w:rPr>
          <w:rFonts w:ascii="宋体" w:hAnsi="宋体" w:cs="宋体" w:eastAsia="宋体" w:hint="default"/>
        </w:rPr>
        <w:t>(4)</w:t>
      </w:r>
      <w:r>
        <w:rPr/>
        <w:t>环境监测与治理 </w:t>
      </w:r>
      <w:r>
        <w:rPr>
          <w:spacing w:val="-2"/>
        </w:rPr>
        <w:t>新《环保法》已经正式施行，加大了违法处罚和环保执法力度，并且明确提出“建立监测网络和监测</w:t>
      </w:r>
    </w:p>
    <w:p>
      <w:pPr>
        <w:pStyle w:val="BodyText"/>
        <w:spacing w:line="408" w:lineRule="auto"/>
        <w:ind w:right="106"/>
        <w:jc w:val="both"/>
      </w:pPr>
      <w:r>
        <w:rPr/>
        <w:t>数据信息体系”，这给汉威电子以传感器为核心的环境监测产品和基于</w:t>
      </w:r>
      <w:r>
        <w:rPr>
          <w:rFonts w:ascii="宋体" w:hAnsi="宋体" w:cs="宋体" w:eastAsia="宋体" w:hint="default"/>
        </w:rPr>
        <w:t>GIS</w:t>
      </w:r>
      <w:r>
        <w:rPr/>
        <w:t>系统平台技术带来了机会。同</w:t>
      </w:r>
      <w:r>
        <w:rPr>
          <w:spacing w:val="-28"/>
        </w:rPr>
        <w:t> </w:t>
      </w:r>
      <w:r>
        <w:rPr>
          <w:spacing w:val="-28"/>
        </w:rPr>
      </w:r>
      <w:r>
        <w:rPr/>
        <w:t>时，各类政策、法规及标准还在逐步完善，环保产业的大时代机遇即将到来。公司已经通过嘉园环保正式</w:t>
      </w:r>
      <w:r>
        <w:rPr/>
        <w:t> </w:t>
      </w:r>
      <w:r>
        <w:rPr>
          <w:spacing w:val="-3"/>
        </w:rPr>
        <w:t>切入环保治理领域，贯通了从环境监测到污染治理的完整产业链条，未来将努力抓住环保产业发展的春天。</w:t>
      </w:r>
    </w:p>
    <w:p>
      <w:pPr>
        <w:pStyle w:val="BodyText"/>
        <w:spacing w:line="408" w:lineRule="auto"/>
        <w:ind w:left="636" w:right="104"/>
        <w:jc w:val="left"/>
      </w:pPr>
      <w:r>
        <w:rPr>
          <w:rFonts w:ascii="宋体" w:hAnsi="宋体" w:cs="宋体" w:eastAsia="宋体" w:hint="default"/>
        </w:rPr>
        <w:t>(5)</w:t>
      </w:r>
      <w:r>
        <w:rPr/>
        <w:t>居家健康 </w:t>
      </w:r>
      <w:r>
        <w:rPr>
          <w:spacing w:val="-3"/>
        </w:rPr>
        <w:t>近年来，人们对于家居生活更追求环保、健康、安全和节能，家电厂商、互联网巨头、专业治理公司</w:t>
      </w:r>
    </w:p>
    <w:p>
      <w:pPr>
        <w:pStyle w:val="BodyText"/>
        <w:spacing w:line="408" w:lineRule="auto"/>
        <w:ind w:left="154" w:right="211"/>
        <w:jc w:val="both"/>
      </w:pPr>
      <w:r>
        <w:rPr>
          <w:spacing w:val="-1"/>
        </w:rPr>
        <w:t>等纷纷进军智能居家健康领域。随着大数据和可穿戴技术的更新，移动互联网与健康数据的深度结合开始</w:t>
      </w:r>
      <w:r>
        <w:rPr>
          <w:spacing w:val="-81"/>
        </w:rPr>
        <w:t> </w:t>
      </w:r>
      <w:r>
        <w:rPr>
          <w:spacing w:val="-81"/>
        </w:rPr>
      </w:r>
      <w:r>
        <w:rPr>
          <w:spacing w:val="-1"/>
        </w:rPr>
        <w:t>带来爆发性的增长机会，居家健康领域将成为移动互联的下一个蓝海。公司已经积极布局智能家居健康领</w:t>
      </w:r>
      <w:r>
        <w:rPr>
          <w:spacing w:val="-81"/>
        </w:rPr>
        <w:t> </w:t>
      </w:r>
      <w:r>
        <w:rPr>
          <w:spacing w:val="-81"/>
        </w:rPr>
      </w:r>
      <w:r>
        <w:rPr/>
        <w:t>域，研发空气电台系列产品，并且与浙江风向标、河南开云信息开展资本合作，探索前沿的行业市场。</w:t>
      </w:r>
    </w:p>
    <w:p>
      <w:pPr>
        <w:pStyle w:val="BodyText"/>
        <w:spacing w:line="408" w:lineRule="auto"/>
        <w:ind w:right="199" w:firstLine="482"/>
        <w:jc w:val="left"/>
      </w:pPr>
      <w:r>
        <w:rPr>
          <w:spacing w:val="-2"/>
        </w:rPr>
        <w:t>随着公司所处行业政策的陆续出台，以及行业市场的不断发育，公司将面临更多的市场机遇，也会加</w:t>
      </w:r>
      <w:r>
        <w:rPr/>
        <w:t> 快业务布局的节奏，升级产品与服务体系，拥抱正在到来的产业互联浪潮。</w:t>
      </w:r>
    </w:p>
    <w:p>
      <w:pPr>
        <w:pStyle w:val="BodyText"/>
        <w:spacing w:line="408" w:lineRule="auto"/>
        <w:ind w:left="636" w:right="97"/>
        <w:jc w:val="left"/>
      </w:pPr>
      <w:r>
        <w:rPr/>
        <w:t>（二）中长期发展目标 </w:t>
      </w:r>
      <w:r>
        <w:rPr>
          <w:spacing w:val="-2"/>
        </w:rPr>
        <w:t>公司将继续围绕成为领先的物联网（</w:t>
      </w:r>
      <w:r>
        <w:rPr>
          <w:rFonts w:ascii="宋体" w:hAnsi="宋体" w:cs="宋体" w:eastAsia="宋体" w:hint="default"/>
          <w:spacing w:val="-2"/>
        </w:rPr>
        <w:t>IOT</w:t>
      </w:r>
      <w:r>
        <w:rPr>
          <w:spacing w:val="-2"/>
        </w:rPr>
        <w:t>）解决方案提供商、服务商的发展目标，打造“智能传感器、</w:t>
      </w:r>
    </w:p>
    <w:p>
      <w:pPr>
        <w:pStyle w:val="BodyText"/>
        <w:spacing w:line="408" w:lineRule="auto"/>
        <w:ind w:right="211"/>
        <w:jc w:val="both"/>
      </w:pPr>
      <w:r>
        <w:rPr>
          <w:spacing w:val="-1"/>
        </w:rPr>
        <w:t>智能仪表和物联网系统平台”三大技术体系，致力于成为一个以多门类智能传感器为核心，以智能仪表装</w:t>
      </w:r>
      <w:r>
        <w:rPr>
          <w:spacing w:val="-82"/>
        </w:rPr>
        <w:t> </w:t>
      </w:r>
      <w:r>
        <w:rPr>
          <w:spacing w:val="-82"/>
        </w:rPr>
      </w:r>
      <w:r>
        <w:rPr>
          <w:spacing w:val="-1"/>
        </w:rPr>
        <w:t>备为支撑，以物联网行业应用为主线，面向智慧城市、工业安全、民生安全、环境监治、居家健康、消费</w:t>
      </w:r>
      <w:r>
        <w:rPr>
          <w:spacing w:val="-85"/>
        </w:rPr>
        <w:t> </w:t>
      </w:r>
      <w:r>
        <w:rPr>
          <w:spacing w:val="-85"/>
        </w:rPr>
      </w:r>
      <w:r>
        <w:rPr/>
        <w:t>电子的物联网方案与服务提供商。</w:t>
      </w:r>
    </w:p>
    <w:p>
      <w:pPr>
        <w:pStyle w:val="BodyText"/>
        <w:spacing w:line="408" w:lineRule="auto"/>
        <w:ind w:left="636" w:right="104"/>
        <w:jc w:val="left"/>
      </w:pPr>
      <w:r>
        <w:rPr/>
        <w:t>（三）</w:t>
      </w:r>
      <w:r>
        <w:rPr>
          <w:rFonts w:ascii="宋体" w:hAnsi="宋体" w:cs="宋体" w:eastAsia="宋体" w:hint="default"/>
        </w:rPr>
        <w:t>2015</w:t>
      </w:r>
      <w:r>
        <w:rPr/>
        <w:t>年度经营规划 继续围绕中长期目标，积极落实年度经营目标，具体将从以下几个方面展开：</w:t>
      </w:r>
      <w:r>
        <w:rPr>
          <w:rFonts w:ascii="宋体" w:hAnsi="宋体" w:cs="宋体" w:eastAsia="宋体" w:hint="default"/>
        </w:rPr>
        <w:t>1</w:t>
      </w:r>
      <w:r>
        <w:rPr/>
        <w:t>、强化产品与服务品</w:t>
      </w:r>
    </w:p>
    <w:p>
      <w:pPr>
        <w:pStyle w:val="BodyText"/>
        <w:spacing w:line="408" w:lineRule="auto"/>
        <w:ind w:right="190"/>
        <w:jc w:val="both"/>
      </w:pPr>
      <w:r>
        <w:rPr/>
        <w:t>质，改进产品设计、业务设计，塑造行业领先品牌；</w:t>
      </w:r>
      <w:r>
        <w:rPr>
          <w:rFonts w:ascii="宋体" w:hAnsi="宋体" w:cs="宋体" w:eastAsia="宋体" w:hint="default"/>
        </w:rPr>
        <w:t>2</w:t>
      </w:r>
      <w:r>
        <w:rPr/>
        <w:t>、进一步推进组织架构变革，繁荣企业文化，落实</w:t>
      </w:r>
      <w:r>
        <w:rPr>
          <w:spacing w:val="-29"/>
        </w:rPr>
        <w:t> </w:t>
      </w:r>
      <w:r>
        <w:rPr>
          <w:spacing w:val="-29"/>
        </w:rPr>
      </w:r>
      <w:r>
        <w:rPr/>
        <w:t>人才管理战略，构建企业发展的长期红利；</w:t>
      </w:r>
      <w:r>
        <w:rPr>
          <w:rFonts w:ascii="宋体" w:hAnsi="宋体" w:cs="宋体" w:eastAsia="宋体" w:hint="default"/>
        </w:rPr>
        <w:t>3</w:t>
      </w:r>
      <w:r>
        <w:rPr/>
        <w:t>、加强集团化管控和风险管理，优化内部管理流程，依靠制</w:t>
      </w:r>
      <w:r>
        <w:rPr>
          <w:spacing w:val="-29"/>
        </w:rPr>
        <w:t> </w:t>
      </w:r>
      <w:r>
        <w:rPr>
          <w:spacing w:val="-29"/>
        </w:rPr>
      </w:r>
      <w:r>
        <w:rPr/>
        <w:t>度保证公司稳健运营；</w:t>
      </w:r>
      <w:r>
        <w:rPr>
          <w:rFonts w:ascii="宋体" w:hAnsi="宋体" w:cs="宋体" w:eastAsia="宋体" w:hint="default"/>
        </w:rPr>
        <w:t>4</w:t>
      </w:r>
      <w:r>
        <w:rPr/>
        <w:t>、继续以“物联网整体解决方案”思维统筹产品研发创新，强化移动互联、大数</w:t>
      </w:r>
      <w:r>
        <w:rPr>
          <w:spacing w:val="-31"/>
        </w:rPr>
        <w:t> </w:t>
      </w:r>
      <w:r>
        <w:rPr>
          <w:spacing w:val="-31"/>
        </w:rPr>
      </w:r>
      <w:r>
        <w:rPr/>
        <w:t>据、云服务技术的应用，加强对标准的研究和突破工作，构建领先优势；</w:t>
      </w:r>
      <w:r>
        <w:rPr>
          <w:rFonts w:ascii="宋体" w:hAnsi="宋体" w:cs="宋体" w:eastAsia="宋体" w:hint="default"/>
        </w:rPr>
        <w:t>5</w:t>
      </w:r>
      <w:r>
        <w:rPr/>
        <w:t>、继续完善大物联网平台，通</w:t>
      </w:r>
      <w:r>
        <w:rPr>
          <w:spacing w:val="-26"/>
        </w:rPr>
        <w:t> </w:t>
      </w:r>
      <w:r>
        <w:rPr>
          <w:spacing w:val="-26"/>
        </w:rPr>
      </w:r>
      <w:r>
        <w:rPr/>
        <w:t>过外延方式补全补强物联网产业链相关环节，在主要业务领域形成显著竞争护城河，同时加强业务创新， 积极拓展智能家居、智慧健康医疗等前瞻性业务领域；</w:t>
      </w:r>
      <w:r>
        <w:rPr>
          <w:rFonts w:ascii="宋体" w:hAnsi="宋体" w:cs="宋体" w:eastAsia="宋体" w:hint="default"/>
        </w:rPr>
        <w:t>6</w:t>
      </w:r>
      <w:r>
        <w:rPr/>
        <w:t>、继续规范公司治理，保持与资本市场的良好互</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104"/>
        <w:jc w:val="left"/>
      </w:pPr>
      <w:r>
        <w:rPr/>
        <w:t>动，加强市值管理，培育健康、稳定、长期的投资者关系。</w:t>
      </w:r>
    </w:p>
    <w:p>
      <w:pPr>
        <w:spacing w:line="240" w:lineRule="auto" w:before="0"/>
        <w:rPr>
          <w:rFonts w:ascii="宋体" w:hAnsi="宋体" w:cs="宋体" w:eastAsia="宋体" w:hint="default"/>
          <w:sz w:val="20"/>
          <w:szCs w:val="20"/>
        </w:rPr>
      </w:pPr>
    </w:p>
    <w:p>
      <w:pPr>
        <w:pStyle w:val="Heading2"/>
        <w:spacing w:line="240" w:lineRule="auto" w:before="131"/>
        <w:ind w:right="104"/>
        <w:jc w:val="left"/>
        <w:rPr>
          <w:b w:val="0"/>
          <w:bCs w:val="0"/>
        </w:rPr>
      </w:pPr>
      <w:bookmarkStart w:name="三、董事会、监事会对会计师事务所本报告期“非标准审计报告”的说明" w:id="30"/>
      <w:bookmarkEnd w:id="30"/>
      <w:r>
        <w:rPr>
          <w:b w:val="0"/>
          <w:bCs w:val="0"/>
        </w:rPr>
      </w:r>
      <w:r>
        <w:rPr/>
        <w:t>三、董事会、监事会对会计师事务所本报告期“非标准审计报告”的说明</w:t>
      </w:r>
      <w:r>
        <w:rPr>
          <w:b w:val="0"/>
          <w:bCs w:val="0"/>
        </w:rPr>
      </w:r>
    </w:p>
    <w:p>
      <w:pPr>
        <w:spacing w:line="240" w:lineRule="auto" w:before="8"/>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104"/>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240" w:lineRule="auto" w:before="0"/>
        <w:ind w:left="636" w:right="104"/>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22</w:t>
      </w:r>
      <w:r>
        <w:rPr/>
        <w:t>日，公司第三届董事会第九次会议审议通过《关于变更会计政策的议案》，具体如下：</w:t>
      </w:r>
    </w:p>
    <w:p>
      <w:pPr>
        <w:spacing w:line="240" w:lineRule="auto" w:before="10"/>
        <w:rPr>
          <w:rFonts w:ascii="宋体" w:hAnsi="宋体" w:cs="宋体" w:eastAsia="宋体" w:hint="default"/>
          <w:sz w:val="14"/>
          <w:szCs w:val="14"/>
        </w:rPr>
      </w:pPr>
    </w:p>
    <w:p>
      <w:pPr>
        <w:pStyle w:val="BodyText"/>
        <w:spacing w:line="408" w:lineRule="auto" w:before="0"/>
        <w:ind w:left="636" w:right="6410"/>
        <w:jc w:val="left"/>
      </w:pPr>
      <w:r>
        <w:rPr/>
        <w:t>（一）本次会计政策变更的概述 </w:t>
      </w:r>
      <w:r>
        <w:rPr>
          <w:rFonts w:ascii="宋体" w:hAnsi="宋体" w:cs="宋体" w:eastAsia="宋体" w:hint="default"/>
        </w:rPr>
        <w:t>1</w:t>
      </w:r>
      <w:r>
        <w:rPr/>
        <w:t>、会计政策变更原因</w:t>
      </w:r>
    </w:p>
    <w:p>
      <w:pPr>
        <w:pStyle w:val="BodyText"/>
        <w:spacing w:line="408" w:lineRule="auto"/>
        <w:ind w:right="106" w:firstLine="482"/>
        <w:jc w:val="both"/>
      </w:pPr>
      <w:r>
        <w:rPr/>
        <w:t>中华人民共和国财政部（以下简称“财政部”）</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日起陆续发布和修订了七项新准则，包 括：《企业会计准则第</w:t>
      </w:r>
      <w:r>
        <w:rPr>
          <w:rFonts w:ascii="宋体" w:hAnsi="宋体" w:cs="宋体" w:eastAsia="宋体" w:hint="default"/>
        </w:rPr>
        <w:t>2</w:t>
      </w:r>
      <w:r>
        <w:rPr/>
        <w:t>号一长期股权投资》、《企业会计准则第</w:t>
      </w:r>
      <w:r>
        <w:rPr>
          <w:rFonts w:ascii="宋体" w:hAnsi="宋体" w:cs="宋体" w:eastAsia="宋体" w:hint="default"/>
        </w:rPr>
        <w:t>9</w:t>
      </w:r>
      <w:r>
        <w:rPr/>
        <w:t>号一职工薪酬》、《企业会计准则第</w:t>
      </w:r>
      <w:r>
        <w:rPr>
          <w:rFonts w:ascii="宋体" w:hAnsi="宋体" w:cs="宋体" w:eastAsia="宋体" w:hint="default"/>
        </w:rPr>
        <w:t>30</w:t>
      </w:r>
      <w:r>
        <w:rPr>
          <w:rFonts w:ascii="宋体" w:hAnsi="宋体" w:cs="宋体" w:eastAsia="宋体" w:hint="default"/>
          <w:spacing w:val="1"/>
        </w:rPr>
        <w:t> </w:t>
      </w:r>
      <w:r>
        <w:rPr>
          <w:spacing w:val="-7"/>
        </w:rPr>
        <w:t>号一财务报表列报》、《企业会计准则第</w:t>
      </w:r>
      <w:r>
        <w:rPr>
          <w:rFonts w:ascii="宋体" w:hAnsi="宋体" w:cs="宋体" w:eastAsia="宋体" w:hint="default"/>
          <w:spacing w:val="-7"/>
        </w:rPr>
        <w:t>33</w:t>
      </w:r>
      <w:r>
        <w:rPr>
          <w:spacing w:val="-7"/>
        </w:rPr>
        <w:t>号一合并财务报表》、《企业会计准则第</w:t>
      </w:r>
      <w:r>
        <w:rPr>
          <w:rFonts w:ascii="宋体" w:hAnsi="宋体" w:cs="宋体" w:eastAsia="宋体" w:hint="default"/>
          <w:spacing w:val="-7"/>
        </w:rPr>
        <w:t>39</w:t>
      </w:r>
      <w:r>
        <w:rPr>
          <w:spacing w:val="-7"/>
        </w:rPr>
        <w:t>号一公允价值计量》、</w:t>
      </w:r>
    </w:p>
    <w:p>
      <w:pPr>
        <w:pStyle w:val="BodyText"/>
        <w:spacing w:line="408" w:lineRule="auto"/>
        <w:ind w:right="104"/>
        <w:jc w:val="left"/>
      </w:pPr>
      <w:r>
        <w:rPr>
          <w:spacing w:val="-1"/>
        </w:rPr>
        <w:t>《企业会计准则第</w:t>
      </w:r>
      <w:r>
        <w:rPr>
          <w:rFonts w:ascii="宋体" w:hAnsi="宋体" w:cs="宋体" w:eastAsia="宋体" w:hint="default"/>
          <w:spacing w:val="-1"/>
        </w:rPr>
        <w:t>40</w:t>
      </w:r>
      <w:r>
        <w:rPr>
          <w:spacing w:val="-1"/>
        </w:rPr>
        <w:t>号一合营安排》和《企业会计准则第</w:t>
      </w:r>
      <w:r>
        <w:rPr>
          <w:rFonts w:ascii="宋体" w:hAnsi="宋体" w:cs="宋体" w:eastAsia="宋体" w:hint="default"/>
          <w:spacing w:val="-1"/>
        </w:rPr>
        <w:t>41</w:t>
      </w:r>
      <w:r>
        <w:rPr>
          <w:spacing w:val="-1"/>
        </w:rPr>
        <w:t>号一在其他主体中权益的披露》，并于</w:t>
      </w:r>
      <w:r>
        <w:rPr>
          <w:rFonts w:ascii="宋体" w:hAnsi="宋体" w:cs="宋体" w:eastAsia="宋体" w:hint="default"/>
          <w:spacing w:val="-1"/>
        </w:rPr>
        <w:t>2014</w:t>
      </w:r>
      <w:r>
        <w:rPr>
          <w:spacing w:val="-1"/>
        </w:rPr>
        <w:t>年</w:t>
      </w:r>
      <w:r>
        <w:rPr>
          <w:spacing w:val="-85"/>
        </w:rPr>
        <w:t> </w:t>
      </w:r>
      <w:r>
        <w:rPr>
          <w:rFonts w:ascii="宋体" w:hAnsi="宋体" w:cs="宋体" w:eastAsia="宋体" w:hint="default"/>
        </w:rPr>
        <w:t>7</w:t>
      </w:r>
      <w:r>
        <w:rPr/>
        <w:t>月</w:t>
      </w:r>
      <w:r>
        <w:rPr>
          <w:rFonts w:ascii="宋体" w:hAnsi="宋体" w:cs="宋体" w:eastAsia="宋体" w:hint="default"/>
        </w:rPr>
        <w:t>1</w:t>
      </w:r>
      <w:r>
        <w:rPr/>
        <w:t>日起在所有执行企业会计准则的企业范围内施行。</w:t>
      </w:r>
    </w:p>
    <w:p>
      <w:pPr>
        <w:pStyle w:val="BodyText"/>
        <w:spacing w:line="408" w:lineRule="auto"/>
        <w:ind w:right="104" w:firstLine="482"/>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20</w:t>
      </w:r>
      <w:r>
        <w:rPr/>
        <w:t>日，财政部修订了《企业会计准则第</w:t>
      </w:r>
      <w:r>
        <w:rPr>
          <w:rFonts w:ascii="宋体" w:hAnsi="宋体" w:cs="宋体" w:eastAsia="宋体" w:hint="default"/>
        </w:rPr>
        <w:t>37</w:t>
      </w:r>
      <w:r>
        <w:rPr/>
        <w:t>号一金融工具列报》，执行企业会计准则的企业 应当在</w:t>
      </w:r>
      <w:r>
        <w:rPr>
          <w:rFonts w:ascii="宋体" w:hAnsi="宋体" w:cs="宋体" w:eastAsia="宋体" w:hint="default"/>
        </w:rPr>
        <w:t>2014</w:t>
      </w:r>
      <w:r>
        <w:rPr/>
        <w:t>年度以后期间的财务报告中按照本准则要求对金融工具进行列报。</w:t>
      </w:r>
    </w:p>
    <w:p>
      <w:pPr>
        <w:pStyle w:val="BodyText"/>
        <w:spacing w:line="408" w:lineRule="auto"/>
        <w:ind w:left="154" w:right="104" w:firstLine="482"/>
        <w:jc w:val="left"/>
      </w:pP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23</w:t>
      </w:r>
      <w:r>
        <w:rPr/>
        <w:t>日，财政部发布《财政部关于修改〈企业会计准则一基本准则〉的决定》，自公布之日 起施行。</w:t>
      </w:r>
    </w:p>
    <w:p>
      <w:pPr>
        <w:pStyle w:val="BodyText"/>
        <w:spacing w:line="408" w:lineRule="auto"/>
        <w:ind w:left="636" w:right="202"/>
        <w:jc w:val="left"/>
      </w:pPr>
      <w:r>
        <w:rPr>
          <w:rFonts w:ascii="宋体" w:hAnsi="宋体" w:cs="宋体" w:eastAsia="宋体" w:hint="default"/>
        </w:rPr>
        <w:t>2</w:t>
      </w:r>
      <w:r>
        <w:rPr/>
        <w:t>、变更日期 </w:t>
      </w:r>
      <w:r>
        <w:rPr>
          <w:spacing w:val="-2"/>
        </w:rPr>
        <w:t>根据财政部</w:t>
      </w:r>
      <w:r>
        <w:rPr>
          <w:rFonts w:ascii="宋体" w:hAnsi="宋体" w:cs="宋体" w:eastAsia="宋体" w:hint="default"/>
          <w:spacing w:val="-2"/>
        </w:rPr>
        <w:t>2014</w:t>
      </w:r>
      <w:r>
        <w:rPr>
          <w:spacing w:val="-2"/>
        </w:rPr>
        <w:t>年新颁布或修订的相关会计准则的规定，河南汉威电子股份有限公司（以下简称“公</w:t>
      </w:r>
    </w:p>
    <w:p>
      <w:pPr>
        <w:pStyle w:val="BodyText"/>
        <w:spacing w:line="408" w:lineRule="auto"/>
        <w:ind w:left="636" w:right="3323" w:hanging="483"/>
        <w:jc w:val="left"/>
      </w:pPr>
      <w:r>
        <w:rPr/>
        <w:t>司”）于上述新颁布或修订的相关会计准则的施行日开始执行该准则。 </w:t>
      </w:r>
      <w:r>
        <w:rPr>
          <w:rFonts w:ascii="宋体" w:hAnsi="宋体" w:cs="宋体" w:eastAsia="宋体" w:hint="default"/>
        </w:rPr>
        <w:t>3</w:t>
      </w:r>
      <w:r>
        <w:rPr/>
        <w:t>、变更前采用的会计政策</w:t>
      </w:r>
    </w:p>
    <w:p>
      <w:pPr>
        <w:pStyle w:val="BodyText"/>
        <w:spacing w:line="408" w:lineRule="auto"/>
        <w:ind w:right="104" w:firstLine="482"/>
        <w:jc w:val="left"/>
      </w:pPr>
      <w:r>
        <w:rPr/>
        <w:t>变更前公司依据财政部于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日颁布的具体会计准则、其后颁布的企业会计准则应用指南、 企业会计准则解释及其他相关规定。</w:t>
      </w:r>
    </w:p>
    <w:p>
      <w:pPr>
        <w:pStyle w:val="BodyText"/>
        <w:spacing w:line="408" w:lineRule="auto"/>
        <w:ind w:left="636" w:right="4730"/>
        <w:jc w:val="left"/>
      </w:pPr>
      <w:r>
        <w:rPr>
          <w:rFonts w:ascii="宋体" w:hAnsi="宋体" w:cs="宋体" w:eastAsia="宋体" w:hint="default"/>
        </w:rPr>
        <w:t>4</w:t>
      </w:r>
      <w:r>
        <w:rPr/>
        <w:t>、变更后采用的会计政策 财政部</w:t>
      </w:r>
      <w:r>
        <w:rPr>
          <w:rFonts w:ascii="宋体" w:hAnsi="宋体" w:cs="宋体" w:eastAsia="宋体" w:hint="default"/>
        </w:rPr>
        <w:t>2014</w:t>
      </w:r>
      <w:r>
        <w:rPr/>
        <w:t>年新颁布或修订的上述相关会计准则。</w:t>
      </w:r>
    </w:p>
    <w:p>
      <w:pPr>
        <w:pStyle w:val="BodyText"/>
        <w:spacing w:line="408" w:lineRule="auto"/>
        <w:ind w:left="636" w:right="104"/>
        <w:jc w:val="left"/>
      </w:pPr>
      <w:r>
        <w:rPr/>
        <w:t>（二）本次会计政策变更对公司的影响 </w:t>
      </w:r>
      <w:r>
        <w:rPr>
          <w:spacing w:val="-5"/>
        </w:rPr>
        <w:t>根据《企业会计准则第</w:t>
      </w:r>
      <w:r>
        <w:rPr>
          <w:rFonts w:ascii="宋体" w:hAnsi="宋体" w:cs="宋体" w:eastAsia="宋体" w:hint="default"/>
          <w:spacing w:val="-5"/>
        </w:rPr>
        <w:t>2</w:t>
      </w:r>
      <w:r>
        <w:rPr>
          <w:spacing w:val="-5"/>
        </w:rPr>
        <w:t>号一长期股权投资》的规定，该准则未予规范的其他权益性投资，适用于《企</w:t>
      </w:r>
    </w:p>
    <w:p>
      <w:pPr>
        <w:pStyle w:val="BodyText"/>
        <w:spacing w:line="240" w:lineRule="auto"/>
        <w:ind w:left="154" w:right="104"/>
        <w:jc w:val="left"/>
      </w:pPr>
      <w:r>
        <w:rPr/>
        <w:t>业会计准则第</w:t>
      </w:r>
      <w:r>
        <w:rPr>
          <w:rFonts w:ascii="宋体" w:hAnsi="宋体" w:cs="宋体" w:eastAsia="宋体" w:hint="default"/>
        </w:rPr>
        <w:t>22</w:t>
      </w:r>
      <w:r>
        <w:rPr/>
        <w:t>号一金融工具确认和计量》。因此，公司持有的不具有控制、共同控制、重大影响，且在</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04"/>
        <w:jc w:val="left"/>
      </w:pPr>
      <w:r>
        <w:rPr>
          <w:spacing w:val="-1"/>
        </w:rPr>
        <w:t>活跃市场中没有报价、公允价值不能可靠计量的权益性投资，属于《企业会计准则第</w:t>
      </w:r>
      <w:r>
        <w:rPr>
          <w:rFonts w:ascii="宋体" w:hAnsi="宋体" w:cs="宋体" w:eastAsia="宋体" w:hint="default"/>
          <w:spacing w:val="-1"/>
        </w:rPr>
        <w:t>2</w:t>
      </w:r>
      <w:r>
        <w:rPr>
          <w:spacing w:val="-1"/>
        </w:rPr>
        <w:t>号一长期股权投资》</w:t>
      </w:r>
      <w:r>
        <w:rPr>
          <w:spacing w:val="-83"/>
        </w:rPr>
        <w:t> </w:t>
      </w:r>
      <w:r>
        <w:rPr>
          <w:spacing w:val="-83"/>
        </w:rPr>
      </w:r>
      <w:r>
        <w:rPr/>
        <w:t>未予规范的其他权益性投资，不再作为长期股权投资核算。而应适用《企业会计准则第</w:t>
      </w:r>
      <w:r>
        <w:rPr>
          <w:rFonts w:ascii="宋体" w:hAnsi="宋体" w:cs="宋体" w:eastAsia="宋体" w:hint="default"/>
        </w:rPr>
        <w:t>22</w:t>
      </w:r>
      <w:r>
        <w:rPr/>
        <w:t>号一金融工具确 认和计量》，作为可供出售金融资产进行核算，并对其采用追溯调整法进行调整。</w:t>
      </w:r>
    </w:p>
    <w:p>
      <w:pPr>
        <w:pStyle w:val="BodyText"/>
        <w:spacing w:line="408" w:lineRule="auto"/>
        <w:ind w:right="199" w:firstLine="482"/>
        <w:jc w:val="left"/>
      </w:pPr>
      <w:r>
        <w:rPr>
          <w:spacing w:val="-2"/>
        </w:rPr>
        <w:t>上述会计政策变更，仅对可供出售金融资产和长期股权投资两个报表项目金额产生影响，不涉及追溯</w:t>
      </w:r>
      <w:r>
        <w:rPr/>
        <w:t> 调整。</w:t>
      </w:r>
    </w:p>
    <w:p>
      <w:pPr>
        <w:spacing w:line="240" w:lineRule="auto" w:before="11"/>
        <w:rPr>
          <w:rFonts w:ascii="宋体" w:hAnsi="宋体" w:cs="宋体" w:eastAsia="宋体" w:hint="default"/>
          <w:sz w:val="18"/>
          <w:szCs w:val="18"/>
        </w:rPr>
      </w:pPr>
    </w:p>
    <w:p>
      <w:pPr>
        <w:pStyle w:val="Heading2"/>
        <w:spacing w:line="240" w:lineRule="auto"/>
        <w:ind w:right="104"/>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60" w:lineRule="auto" w:before="116"/>
        <w:ind w:left="154" w:right="20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公司报告期利润分配预案及资本公积金转增股本预案与公司章程和分红管理办法等的相关规定一致</w:t>
      </w:r>
    </w:p>
    <w:p>
      <w:pPr>
        <w:spacing w:line="360" w:lineRule="auto" w:before="26"/>
        <w:ind w:left="153" w:right="3353" w:firstLine="0"/>
        <w:jc w:val="left"/>
        <w:rPr>
          <w:rFonts w:ascii="宋体" w:hAnsi="宋体" w:cs="宋体" w:eastAsia="宋体" w:hint="default"/>
          <w:sz w:val="18"/>
          <w:szCs w:val="18"/>
        </w:rPr>
      </w:pPr>
      <w:r>
        <w:rPr>
          <w:rFonts w:ascii="宋体" w:hAnsi="宋体" w:cs="宋体" w:eastAsia="宋体" w:hint="default"/>
          <w:sz w:val="18"/>
          <w:szCs w:val="18"/>
        </w:rPr>
        <w:t>√ 是 □ 否 □ 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44"/>
        <w:ind w:left="0" w:right="187" w:firstLine="0"/>
        <w:jc w:val="right"/>
        <w:rPr>
          <w:rFonts w:ascii="宋体" w:hAnsi="宋体" w:cs="宋体" w:eastAsia="宋体" w:hint="default"/>
          <w:sz w:val="18"/>
          <w:szCs w:val="18"/>
        </w:rPr>
      </w:pPr>
      <w:r>
        <w:rPr/>
        <w:pict>
          <v:shape style="position:absolute;margin-left:57.66pt;margin-top:-365.388275pt;width:480.75pt;height:415.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2"/>
                  </w:tblGrid>
                  <w:tr>
                    <w:trPr>
                      <w:trHeight w:val="415" w:hRule="exact"/>
                    </w:trPr>
                    <w:tc>
                      <w:tcPr>
                        <w:tcW w:w="37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2" w:type="dxa"/>
                        <w:tcBorders>
                          <w:top w:val="single" w:sz="12" w:space="0" w:color="000000"/>
                          <w:left w:val="single" w:sz="15"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7" w:hRule="exact"/>
                    </w:trPr>
                    <w:tc>
                      <w:tcPr>
                        <w:tcW w:w="37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6" w:space="0" w:color="000000"/>
                          <w:left w:val="single" w:sz="15"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0.5</w:t>
                        </w:r>
                      </w:p>
                    </w:tc>
                  </w:tr>
                  <w:tr>
                    <w:trPr>
                      <w:trHeight w:val="407" w:hRule="exact"/>
                    </w:trPr>
                    <w:tc>
                      <w:tcPr>
                        <w:tcW w:w="37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2" w:type="dxa"/>
                        <w:tcBorders>
                          <w:top w:val="single" w:sz="6" w:space="0" w:color="000000"/>
                          <w:left w:val="single" w:sz="15"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w:t>
                        </w:r>
                      </w:p>
                    </w:tc>
                  </w:tr>
                  <w:tr>
                    <w:trPr>
                      <w:trHeight w:val="407" w:hRule="exact"/>
                    </w:trPr>
                    <w:tc>
                      <w:tcPr>
                        <w:tcW w:w="37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6" w:space="0" w:color="000000"/>
                          <w:left w:val="single" w:sz="15"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146,511,403</w:t>
                        </w:r>
                      </w:p>
                    </w:tc>
                  </w:tr>
                  <w:tr>
                    <w:trPr>
                      <w:trHeight w:val="407" w:hRule="exact"/>
                    </w:trPr>
                    <w:tc>
                      <w:tcPr>
                        <w:tcW w:w="37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6" w:space="0" w:color="000000"/>
                          <w:left w:val="single" w:sz="15"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7,325,570.15</w:t>
                        </w:r>
                      </w:p>
                    </w:tc>
                  </w:tr>
                  <w:tr>
                    <w:trPr>
                      <w:trHeight w:val="408" w:hRule="exact"/>
                    </w:trPr>
                    <w:tc>
                      <w:tcPr>
                        <w:tcW w:w="37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6" w:space="0" w:color="000000"/>
                          <w:left w:val="single" w:sz="15"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152,617,071.94</w:t>
                        </w:r>
                      </w:p>
                    </w:tc>
                  </w:tr>
                  <w:tr>
                    <w:trPr>
                      <w:trHeight w:val="407" w:hRule="exact"/>
                    </w:trPr>
                    <w:tc>
                      <w:tcPr>
                        <w:tcW w:w="37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6" w:space="0" w:color="000000"/>
                          <w:left w:val="single" w:sz="15"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100%</w:t>
                        </w:r>
                      </w:p>
                    </w:tc>
                  </w:tr>
                  <w:tr>
                    <w:trPr>
                      <w:trHeight w:val="406" w:hRule="exact"/>
                    </w:trPr>
                    <w:tc>
                      <w:tcPr>
                        <w:tcW w:w="9570"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7" w:hRule="exact"/>
                    </w:trPr>
                    <w:tc>
                      <w:tcPr>
                        <w:tcW w:w="957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6" w:hRule="exact"/>
                    </w:trPr>
                    <w:tc>
                      <w:tcPr>
                        <w:tcW w:w="9570"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287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200" w:hRule="exact"/>
                    </w:trPr>
                    <w:tc>
                      <w:tcPr>
                        <w:tcW w:w="9570"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现金分红政策：根据中国证监会《上市公司监管指引第</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号——上市公司现金分红》的规定，公司</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日第三</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届董事会第三次会议修订了公司章程相关分红条款，并提交了</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年年度股东大会审议。公司分红政策主要内容如下：</w:t>
                        </w:r>
                      </w:p>
                      <w:p>
                        <w:pPr>
                          <w:pStyle w:val="TableParagraph"/>
                          <w:spacing w:line="319" w:lineRule="auto" w:before="115"/>
                          <w:ind w:left="13" w:right="13"/>
                          <w:jc w:val="both"/>
                          <w:rPr>
                            <w:rFonts w:ascii="宋体" w:hAnsi="宋体" w:cs="宋体" w:eastAsia="宋体" w:hint="default"/>
                            <w:sz w:val="18"/>
                            <w:szCs w:val="18"/>
                          </w:rPr>
                        </w:pPr>
                        <w:r>
                          <w:rPr>
                            <w:rFonts w:ascii="宋体" w:hAnsi="宋体" w:cs="宋体" w:eastAsia="宋体" w:hint="default"/>
                            <w:spacing w:val="-1"/>
                            <w:sz w:val="18"/>
                            <w:szCs w:val="18"/>
                          </w:rPr>
                          <w:t>（一）利润分配的形式：公司采取现金、股票股利或者二者相结合的方式分配利润，并优先采取现金分配方式。利润分配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不得超过累计可分配利润的范围，不得损害公司持续经营能力。公司董事会可以根据公司盈利及资金需求情况提议公司进</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行中期现金分红。公司股东及其关联方存在违规占用公司资金情况的，公司应当扣减该股东所获分配的现金红利，以偿还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其占用的资金。</w:t>
                        </w:r>
                      </w:p>
                      <w:p>
                        <w:pPr>
                          <w:pStyle w:val="TableParagraph"/>
                          <w:spacing w:line="316" w:lineRule="auto" w:before="56"/>
                          <w:ind w:left="13" w:right="11"/>
                          <w:jc w:val="left"/>
                          <w:rPr>
                            <w:rFonts w:ascii="宋体" w:hAnsi="宋体" w:cs="宋体" w:eastAsia="宋体" w:hint="default"/>
                            <w:sz w:val="18"/>
                            <w:szCs w:val="18"/>
                          </w:rPr>
                        </w:pPr>
                        <w:r>
                          <w:rPr>
                            <w:rFonts w:ascii="宋体" w:hAnsi="宋体" w:cs="宋体" w:eastAsia="宋体" w:hint="default"/>
                            <w:sz w:val="18"/>
                            <w:szCs w:val="18"/>
                          </w:rPr>
                          <w:t>（二）现金分红的条件和具体比例 </w:t>
                        </w:r>
                        <w:r>
                          <w:rPr>
                            <w:rFonts w:ascii="宋体" w:hAnsi="宋体" w:cs="宋体" w:eastAsia="宋体" w:hint="default"/>
                            <w:sz w:val="18"/>
                            <w:szCs w:val="18"/>
                          </w:rPr>
                          <w:t>1</w:t>
                        </w:r>
                        <w:r>
                          <w:rPr>
                            <w:rFonts w:ascii="宋体" w:hAnsi="宋体" w:cs="宋体" w:eastAsia="宋体" w:hint="default"/>
                            <w:sz w:val="18"/>
                            <w:szCs w:val="18"/>
                          </w:rPr>
                          <w:t>、如无重大投资计划或重大现金支出发生，公司在当年盈利且累计未分配利润为正且现金流充裕的情况下，采取现金方 式分配利润，以现金方式分配的利润不少于当年实现的母公司可分配利润的</w:t>
                        </w:r>
                        <w:r>
                          <w:rPr>
                            <w:rFonts w:ascii="宋体" w:hAnsi="宋体" w:cs="宋体" w:eastAsia="宋体" w:hint="default"/>
                            <w:spacing w:val="-49"/>
                            <w:sz w:val="18"/>
                            <w:szCs w:val="18"/>
                          </w:rPr>
                          <w:t> </w:t>
                        </w:r>
                        <w:r>
                          <w:rPr>
                            <w:rFonts w:ascii="宋体" w:hAnsi="宋体" w:cs="宋体" w:eastAsia="宋体"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、董事会制定利润分配方案时，综合考</w:t>
                        </w:r>
                        <w:r>
                          <w:rPr>
                            <w:rFonts w:ascii="宋体" w:hAnsi="宋体" w:cs="宋体" w:eastAsia="宋体" w:hint="default"/>
                            <w:sz w:val="18"/>
                            <w:szCs w:val="18"/>
                          </w:rPr>
                          <w:t> </w:t>
                        </w:r>
                        <w:r>
                          <w:rPr>
                            <w:rFonts w:ascii="宋体" w:hAnsi="宋体" w:cs="宋体" w:eastAsia="宋体" w:hint="default"/>
                            <w:spacing w:val="-1"/>
                            <w:sz w:val="18"/>
                            <w:szCs w:val="18"/>
                          </w:rPr>
                          <w:t>虑公司所处的行业特点、同行业的排名、竞争力、利润率等因素论证公司所处的发展阶段，以及是否有重大资金支出安排</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等因素制定公司的利润分配政策。利润分配方案遵循以下原则：（</w:t>
                        </w:r>
                        <w:r>
                          <w:rPr>
                            <w:rFonts w:ascii="宋体" w:hAnsi="宋体" w:cs="宋体" w:eastAsia="宋体" w:hint="default"/>
                            <w:spacing w:val="-4"/>
                            <w:sz w:val="18"/>
                            <w:szCs w:val="18"/>
                          </w:rPr>
                          <w:t>1</w:t>
                        </w:r>
                        <w:r>
                          <w:rPr>
                            <w:rFonts w:ascii="宋体" w:hAnsi="宋体" w:cs="宋体" w:eastAsia="宋体" w:hint="default"/>
                            <w:spacing w:val="-4"/>
                            <w:sz w:val="18"/>
                            <w:szCs w:val="18"/>
                          </w:rPr>
                          <w:t>）在公司发展阶段属于成熟期且无重大资金支出安排的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利润分配方案中现金分红所占比例应达到 </w:t>
                        </w:r>
                        <w:r>
                          <w:rPr>
                            <w:rFonts w:ascii="宋体" w:hAnsi="宋体" w:cs="宋体" w:eastAsia="宋体" w:hint="default"/>
                            <w:sz w:val="18"/>
                            <w:szCs w:val="18"/>
                          </w:rPr>
                          <w:t>80%</w:t>
                        </w:r>
                        <w:r>
                          <w:rPr>
                            <w:rFonts w:ascii="宋体" w:hAnsi="宋体" w:cs="宋体" w:eastAsia="宋体" w:hint="default"/>
                            <w:spacing w:val="-42"/>
                            <w:sz w:val="18"/>
                            <w:szCs w:val="18"/>
                          </w:rPr>
                          <w:t> </w:t>
                        </w: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）在公司发展阶段属于成熟期且有重大资金支出安排的，利润分配方案</w:t>
                        </w:r>
                        <w:r>
                          <w:rPr>
                            <w:rFonts w:ascii="宋体" w:hAnsi="宋体" w:cs="宋体" w:eastAsia="宋体" w:hint="default"/>
                            <w:sz w:val="18"/>
                            <w:szCs w:val="18"/>
                          </w:rPr>
                          <w:t> 中现金分红所占比例应达到</w:t>
                        </w:r>
                        <w:r>
                          <w:rPr>
                            <w:rFonts w:ascii="宋体" w:hAnsi="宋体" w:cs="宋体" w:eastAsia="宋体" w:hint="default"/>
                            <w:spacing w:val="-7"/>
                            <w:sz w:val="18"/>
                            <w:szCs w:val="18"/>
                          </w:rPr>
                          <w:t> </w:t>
                        </w:r>
                        <w:r>
                          <w:rPr>
                            <w:rFonts w:ascii="宋体" w:hAnsi="宋体" w:cs="宋体" w:eastAsia="宋体" w:hint="default"/>
                            <w:spacing w:val="-3"/>
                            <w:sz w:val="18"/>
                            <w:szCs w:val="18"/>
                          </w:rPr>
                          <w:t>40%</w:t>
                        </w: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）在公司发展阶段属于成长期且有重大资金支出安排的，利润分配方案中现金分红所</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20"/>
        </w:sectPr>
      </w:pPr>
    </w:p>
    <w:p>
      <w:pPr>
        <w:spacing w:line="240" w:lineRule="auto" w:before="8"/>
        <w:rPr>
          <w:rFonts w:ascii="宋体" w:hAnsi="宋体" w:cs="宋体" w:eastAsia="宋体" w:hint="default"/>
          <w:sz w:val="29"/>
          <w:szCs w:val="29"/>
        </w:rPr>
      </w:pPr>
    </w:p>
    <w:p>
      <w:pPr>
        <w:spacing w:line="4518" w:lineRule="exact"/>
        <w:ind w:left="188" w:right="0" w:firstLine="0"/>
        <w:rPr>
          <w:rFonts w:ascii="宋体" w:hAnsi="宋体" w:cs="宋体" w:eastAsia="宋体" w:hint="default"/>
          <w:sz w:val="20"/>
          <w:szCs w:val="20"/>
        </w:rPr>
      </w:pPr>
      <w:r>
        <w:rPr>
          <w:rFonts w:ascii="宋体" w:hAnsi="宋体" w:cs="宋体" w:eastAsia="宋体" w:hint="default"/>
          <w:position w:val="-89"/>
          <w:sz w:val="20"/>
          <w:szCs w:val="20"/>
        </w:rPr>
        <w:pict>
          <v:shape style="width:478.5pt;height:225.95pt;mso-position-horizontal-relative:char;mso-position-vertical-relative:line" type="#_x0000_t202" filled="false" stroked="true" strokeweight="1.5pt" strokecolor="#000000">
            <w10:anchorlock/>
            <v:textbox inset="0,0,0,0">
              <w:txbxContent>
                <w:p>
                  <w:pPr>
                    <w:spacing w:line="316" w:lineRule="auto" w:before="10"/>
                    <w:ind w:left="13" w:right="3944" w:firstLine="0"/>
                    <w:jc w:val="left"/>
                    <w:rPr>
                      <w:rFonts w:ascii="宋体" w:hAnsi="宋体" w:cs="宋体" w:eastAsia="宋体" w:hint="default"/>
                      <w:sz w:val="18"/>
                      <w:szCs w:val="18"/>
                    </w:rPr>
                  </w:pPr>
                  <w:r>
                    <w:rPr>
                      <w:rFonts w:ascii="宋体" w:hAnsi="宋体" w:cs="宋体" w:eastAsia="宋体" w:hint="default"/>
                      <w:sz w:val="18"/>
                      <w:szCs w:val="18"/>
                    </w:rPr>
                    <w:t>占比例应达到</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 公司发展阶段不易区分但有重大资金支出安排的，按照前项规定处理。 重大投资计划或重大现金支出指：</w:t>
                  </w:r>
                </w:p>
                <w:p>
                  <w:pPr>
                    <w:spacing w:line="319" w:lineRule="auto" w:before="19"/>
                    <w:ind w:left="13" w:right="13" w:firstLine="0"/>
                    <w:jc w:val="left"/>
                    <w:rPr>
                      <w:rFonts w:ascii="宋体" w:hAnsi="宋体" w:cs="宋体" w:eastAsia="宋体" w:hint="default"/>
                      <w:sz w:val="18"/>
                      <w:szCs w:val="18"/>
                    </w:rPr>
                  </w:pPr>
                  <w:r>
                    <w:rPr>
                      <w:rFonts w:ascii="宋体" w:hAnsi="宋体" w:cs="宋体" w:eastAsia="宋体" w:hint="default"/>
                      <w:sz w:val="18"/>
                      <w:szCs w:val="18"/>
                    </w:rPr>
                    <w:t>公司未来十二个月内拟对外投资、收购资产或购买设备累计支出达到或超过公司最近一期经审计净资产的</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z w:val="18"/>
                      <w:szCs w:val="18"/>
                    </w:rPr>
                    <w:t>，且超过人 民币</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根据公司章程关于董事会和股东大会职权的相关规定，上述重大投资计划或重大现金支出须经董事会批准，报股东大会审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议通过后方可实施。</w:t>
                  </w:r>
                </w:p>
                <w:p>
                  <w:pPr>
                    <w:spacing w:line="319" w:lineRule="auto" w:before="55"/>
                    <w:ind w:left="13" w:right="13" w:firstLine="0"/>
                    <w:jc w:val="left"/>
                    <w:rPr>
                      <w:rFonts w:ascii="宋体" w:hAnsi="宋体" w:cs="宋体" w:eastAsia="宋体" w:hint="default"/>
                      <w:sz w:val="18"/>
                      <w:szCs w:val="18"/>
                    </w:rPr>
                  </w:pPr>
                  <w:r>
                    <w:rPr>
                      <w:rFonts w:ascii="宋体" w:hAnsi="宋体" w:cs="宋体" w:eastAsia="宋体" w:hint="default"/>
                      <w:spacing w:val="-1"/>
                      <w:sz w:val="18"/>
                      <w:szCs w:val="18"/>
                    </w:rPr>
                    <w:t>（三）公司发放股票股利的具体条件：公司在经营情况良好，并且董事会认为公司股票价格与公司股本规模不匹配、发放</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股票股利有利于公司全体股东整体利益时，可以在满足上述现金分红的条件下，提出股票股利分配预案。</w:t>
                  </w:r>
                </w:p>
                <w:p>
                  <w:pPr>
                    <w:spacing w:line="319" w:lineRule="auto" w:before="56"/>
                    <w:ind w:left="13" w:right="-14" w:firstLine="0"/>
                    <w:jc w:val="left"/>
                    <w:rPr>
                      <w:rFonts w:ascii="宋体" w:hAnsi="宋体" w:cs="宋体" w:eastAsia="宋体" w:hint="default"/>
                      <w:sz w:val="18"/>
                      <w:szCs w:val="18"/>
                    </w:rPr>
                  </w:pPr>
                  <w:r>
                    <w:rPr>
                      <w:rFonts w:ascii="宋体" w:hAnsi="宋体" w:cs="宋体" w:eastAsia="宋体" w:hint="default"/>
                      <w:sz w:val="18"/>
                      <w:szCs w:val="18"/>
                    </w:rPr>
                    <w:t>（四）公司应当在年度报告中详细披露现金分红政策的制定及执行情况，并对下列事项进行专项说明：</w:t>
                  </w:r>
                  <w:r>
                    <w:rPr>
                      <w:rFonts w:ascii="宋体" w:hAnsi="宋体" w:cs="宋体" w:eastAsia="宋体" w:hint="default"/>
                      <w:sz w:val="18"/>
                      <w:szCs w:val="18"/>
                    </w:rPr>
                    <w:t>1</w:t>
                  </w:r>
                  <w:r>
                    <w:rPr>
                      <w:rFonts w:ascii="宋体" w:hAnsi="宋体" w:cs="宋体" w:eastAsia="宋体" w:hint="default"/>
                      <w:sz w:val="18"/>
                      <w:szCs w:val="18"/>
                    </w:rPr>
                    <w:t>、是否符合公司 章程的规定或者股东大会决议的要求；</w:t>
                  </w:r>
                  <w:r>
                    <w:rPr>
                      <w:rFonts w:ascii="宋体" w:hAnsi="宋体" w:cs="宋体" w:eastAsia="宋体" w:hint="default"/>
                      <w:sz w:val="18"/>
                      <w:szCs w:val="18"/>
                    </w:rPr>
                    <w:t>2</w:t>
                  </w:r>
                  <w:r>
                    <w:rPr>
                      <w:rFonts w:ascii="宋体" w:hAnsi="宋体" w:cs="宋体" w:eastAsia="宋体" w:hint="default"/>
                      <w:sz w:val="18"/>
                      <w:szCs w:val="18"/>
                    </w:rPr>
                    <w:t>、分红标准和比例是否明确和清晰；</w:t>
                  </w:r>
                  <w:r>
                    <w:rPr>
                      <w:rFonts w:ascii="宋体" w:hAnsi="宋体" w:cs="宋体" w:eastAsia="宋体" w:hint="default"/>
                      <w:sz w:val="18"/>
                      <w:szCs w:val="18"/>
                    </w:rPr>
                    <w:t>3</w:t>
                  </w:r>
                  <w:r>
                    <w:rPr>
                      <w:rFonts w:ascii="宋体" w:hAnsi="宋体" w:cs="宋体" w:eastAsia="宋体" w:hint="default"/>
                      <w:sz w:val="18"/>
                      <w:szCs w:val="18"/>
                    </w:rPr>
                    <w:t>、相关的决策程序和机制是否完备；</w:t>
                  </w:r>
                  <w:r>
                    <w:rPr>
                      <w:rFonts w:ascii="宋体" w:hAnsi="宋体" w:cs="宋体" w:eastAsia="宋体" w:hint="default"/>
                      <w:sz w:val="18"/>
                      <w:szCs w:val="18"/>
                    </w:rPr>
                    <w:t>4</w:t>
                  </w:r>
                  <w:r>
                    <w:rPr>
                      <w:rFonts w:ascii="宋体" w:hAnsi="宋体" w:cs="宋体" w:eastAsia="宋体" w:hint="default"/>
                      <w:sz w:val="18"/>
                      <w:szCs w:val="18"/>
                    </w:rPr>
                    <w:t>、独 立董事是否履职尽责并发挥了应有的作用；</w:t>
                  </w:r>
                  <w:r>
                    <w:rPr>
                      <w:rFonts w:ascii="宋体" w:hAnsi="宋体" w:cs="宋体" w:eastAsia="宋体" w:hint="default"/>
                      <w:sz w:val="18"/>
                      <w:szCs w:val="18"/>
                    </w:rPr>
                    <w:t>5</w:t>
                  </w:r>
                  <w:r>
                    <w:rPr>
                      <w:rFonts w:ascii="宋体" w:hAnsi="宋体" w:cs="宋体" w:eastAsia="宋体" w:hint="default"/>
                      <w:sz w:val="18"/>
                      <w:szCs w:val="18"/>
                    </w:rPr>
                    <w:t>、中小股东是否有充分表达意见和诉求的机会，中小股东的合法权益是否得 到了充分保护等。对现金分红政策进行调整或变更的，还应对调整或变更的条件及程序是否合规和透明等进行详细说明。 具体分红内容请查阅公司章程中的相关条款。</w:t>
                  </w:r>
                </w:p>
              </w:txbxContent>
            </v:textbox>
          </v:shape>
        </w:pict>
      </w:r>
      <w:r>
        <w:rPr>
          <w:rFonts w:ascii="宋体" w:hAnsi="宋体" w:cs="宋体" w:eastAsia="宋体" w:hint="default"/>
          <w:position w:val="-89"/>
          <w:sz w:val="20"/>
          <w:szCs w:val="20"/>
        </w:rPr>
      </w:r>
    </w:p>
    <w:p>
      <w:pPr>
        <w:spacing w:before="66"/>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年（含报告期）的利润分配方案及资本公积金转增股本方案情况</w:t>
      </w:r>
    </w:p>
    <w:p>
      <w:pPr>
        <w:spacing w:line="240" w:lineRule="auto" w:before="12"/>
        <w:rPr>
          <w:rFonts w:ascii="宋体" w:hAnsi="宋体" w:cs="宋体" w:eastAsia="宋体" w:hint="default"/>
          <w:sz w:val="12"/>
          <w:szCs w:val="12"/>
        </w:rPr>
      </w:pPr>
    </w:p>
    <w:p>
      <w:pPr>
        <w:pStyle w:val="BodyText"/>
        <w:spacing w:line="408" w:lineRule="auto" w:before="0"/>
        <w:ind w:left="574" w:right="112"/>
        <w:jc w:val="left"/>
      </w:pPr>
      <w:r>
        <w:rPr>
          <w:rFonts w:ascii="宋体" w:hAnsi="宋体" w:cs="宋体" w:eastAsia="宋体" w:hint="default"/>
        </w:rPr>
        <w:t>1</w:t>
      </w:r>
      <w:r>
        <w:rPr/>
        <w:t>、</w:t>
      </w:r>
      <w:r>
        <w:rPr>
          <w:rFonts w:ascii="宋体" w:hAnsi="宋体" w:cs="宋体" w:eastAsia="宋体" w:hint="default"/>
        </w:rPr>
        <w:t>2014</w:t>
      </w:r>
      <w:r>
        <w:rPr/>
        <w:t>年度权益分派情况 结合公司实际情况，与全体股东分享公司成长的经营成果，根据《公司法》和《公司章程》的规定，</w:t>
      </w:r>
    </w:p>
    <w:p>
      <w:pPr>
        <w:pStyle w:val="BodyText"/>
        <w:spacing w:line="408" w:lineRule="auto"/>
        <w:ind w:right="0"/>
        <w:jc w:val="left"/>
      </w:pPr>
      <w:r>
        <w:rPr/>
        <w:t>公司本年的利润分配预案为：</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w:t>
      </w:r>
      <w:r>
        <w:rPr/>
        <w:t>日，公司第三届董事会第十次会议审议通过</w:t>
      </w:r>
      <w:r>
        <w:rPr>
          <w:rFonts w:ascii="宋体" w:hAnsi="宋体" w:cs="宋体" w:eastAsia="宋体" w:hint="default"/>
        </w:rPr>
        <w:t>2014</w:t>
      </w:r>
      <w:r>
        <w:rPr/>
        <w:t>年度权益分派 </w:t>
      </w:r>
      <w:r>
        <w:rPr>
          <w:spacing w:val="-1"/>
        </w:rPr>
        <w:t>方案，公司以</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日非公开发行完成后的总股本</w:t>
      </w:r>
      <w:r>
        <w:rPr>
          <w:rFonts w:ascii="宋体" w:hAnsi="宋体" w:cs="宋体" w:eastAsia="宋体" w:hint="default"/>
          <w:spacing w:val="-1"/>
        </w:rPr>
        <w:t>146,511,403</w:t>
      </w:r>
      <w:r>
        <w:rPr>
          <w:spacing w:val="-1"/>
        </w:rPr>
        <w:t>股为基数，向全体股东每</w:t>
      </w:r>
      <w:r>
        <w:rPr>
          <w:rFonts w:ascii="宋体" w:hAnsi="宋体" w:cs="宋体" w:eastAsia="宋体" w:hint="default"/>
          <w:spacing w:val="-1"/>
        </w:rPr>
        <w:t>10</w:t>
      </w:r>
      <w:r>
        <w:rPr>
          <w:spacing w:val="-1"/>
        </w:rPr>
        <w:t>股派发现</w:t>
      </w:r>
      <w:r>
        <w:rPr>
          <w:spacing w:val="-79"/>
        </w:rPr>
        <w:t> </w:t>
      </w:r>
      <w:r>
        <w:rPr>
          <w:spacing w:val="-79"/>
        </w:rPr>
      </w:r>
      <w:r>
        <w:rPr/>
        <w:t>金红利</w:t>
      </w:r>
      <w:r>
        <w:rPr>
          <w:rFonts w:ascii="宋体" w:hAnsi="宋体" w:cs="宋体" w:eastAsia="宋体" w:hint="default"/>
        </w:rPr>
        <w:t>0.5</w:t>
      </w:r>
      <w:r>
        <w:rPr/>
        <w:t>元（含税），合计派发现金</w:t>
      </w:r>
      <w:r>
        <w:rPr>
          <w:rFonts w:ascii="宋体" w:hAnsi="宋体" w:cs="宋体" w:eastAsia="宋体" w:hint="default"/>
        </w:rPr>
        <w:t>7,325,570.15</w:t>
      </w:r>
      <w:r>
        <w:rPr/>
        <w:t>元。此方案尚需</w:t>
      </w:r>
      <w:r>
        <w:rPr>
          <w:rFonts w:ascii="宋体" w:hAnsi="宋体" w:cs="宋体" w:eastAsia="宋体" w:hint="default"/>
        </w:rPr>
        <w:t>2014</w:t>
      </w:r>
      <w:r>
        <w:rPr/>
        <w:t>年年度股东大会审议通过。</w:t>
      </w:r>
    </w:p>
    <w:p>
      <w:pPr>
        <w:pStyle w:val="BodyText"/>
        <w:spacing w:line="240" w:lineRule="auto"/>
        <w:ind w:left="573" w:right="0"/>
        <w:jc w:val="left"/>
      </w:pPr>
      <w:r>
        <w:rPr>
          <w:rFonts w:ascii="宋体" w:hAnsi="宋体" w:cs="宋体" w:eastAsia="宋体" w:hint="default"/>
        </w:rPr>
        <w:t>2</w:t>
      </w:r>
      <w:r>
        <w:rPr/>
        <w:t>、</w:t>
      </w:r>
      <w:r>
        <w:rPr>
          <w:rFonts w:ascii="宋体" w:hAnsi="宋体" w:cs="宋体" w:eastAsia="宋体" w:hint="default"/>
        </w:rPr>
        <w:t>2013</w:t>
      </w:r>
      <w:r>
        <w:rPr/>
        <w:t>年度权益分派情况</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27</w:t>
      </w:r>
      <w:r>
        <w:rPr/>
        <w:t>日，公司第三届董事会第三次会议审议通过</w:t>
      </w:r>
      <w:r>
        <w:rPr>
          <w:rFonts w:ascii="宋体" w:hAnsi="宋体" w:cs="宋体" w:eastAsia="宋体" w:hint="default"/>
        </w:rPr>
        <w:t>2013</w:t>
      </w:r>
      <w:r>
        <w:rPr/>
        <w:t>年度权益分派方案，公司以</w:t>
      </w:r>
      <w:r>
        <w:rPr>
          <w:rFonts w:ascii="宋体" w:hAnsi="宋体" w:cs="宋体" w:eastAsia="宋体" w:hint="default"/>
        </w:rPr>
        <w:t>2013</w:t>
      </w:r>
      <w:r>
        <w:rPr/>
        <w:t>年</w:t>
      </w:r>
      <w:r>
        <w:rPr>
          <w:rFonts w:ascii="宋体" w:hAnsi="宋体" w:cs="宋体" w:eastAsia="宋体" w:hint="default"/>
        </w:rPr>
        <w:t>12</w:t>
      </w:r>
      <w:r>
        <w:rPr/>
        <w:t>月</w:t>
      </w:r>
    </w:p>
    <w:p>
      <w:pPr>
        <w:spacing w:line="240" w:lineRule="auto" w:before="10"/>
        <w:rPr>
          <w:rFonts w:ascii="宋体" w:hAnsi="宋体" w:cs="宋体" w:eastAsia="宋体" w:hint="default"/>
          <w:sz w:val="14"/>
          <w:szCs w:val="14"/>
        </w:rPr>
      </w:pPr>
    </w:p>
    <w:p>
      <w:pPr>
        <w:pStyle w:val="BodyText"/>
        <w:spacing w:line="408" w:lineRule="auto" w:before="0"/>
        <w:ind w:right="218"/>
        <w:jc w:val="left"/>
      </w:pPr>
      <w:r>
        <w:rPr>
          <w:rFonts w:ascii="宋体" w:hAnsi="宋体" w:cs="宋体" w:eastAsia="宋体" w:hint="default"/>
        </w:rPr>
        <w:t>31</w:t>
      </w:r>
      <w:r>
        <w:rPr/>
        <w:t>日总股本</w:t>
      </w:r>
      <w:r>
        <w:rPr>
          <w:rFonts w:ascii="宋体" w:hAnsi="宋体" w:cs="宋体" w:eastAsia="宋体" w:hint="default"/>
        </w:rPr>
        <w:t>11,800</w:t>
      </w:r>
      <w:r>
        <w:rPr/>
        <w:t>万股为基数，向全体股东每</w:t>
      </w:r>
      <w:r>
        <w:rPr>
          <w:rFonts w:ascii="宋体" w:hAnsi="宋体" w:cs="宋体" w:eastAsia="宋体" w:hint="default"/>
        </w:rPr>
        <w:t>10</w:t>
      </w:r>
      <w:r>
        <w:rPr/>
        <w:t>股派发现金红利人民币</w:t>
      </w:r>
      <w:r>
        <w:rPr>
          <w:rFonts w:ascii="宋体" w:hAnsi="宋体" w:cs="宋体" w:eastAsia="宋体" w:hint="default"/>
        </w:rPr>
        <w:t>0.5</w:t>
      </w:r>
      <w:r>
        <w:rPr/>
        <w:t>元（含税），合计派发现金红 利</w:t>
      </w:r>
      <w:r>
        <w:rPr>
          <w:rFonts w:ascii="宋体" w:hAnsi="宋体" w:cs="宋体" w:eastAsia="宋体" w:hint="default"/>
        </w:rPr>
        <w:t>590</w:t>
      </w:r>
      <w:r>
        <w:rPr/>
        <w:t>万元，其余未分配利润结转下年。</w:t>
      </w:r>
    </w:p>
    <w:p>
      <w:pPr>
        <w:pStyle w:val="BodyText"/>
        <w:spacing w:line="240" w:lineRule="auto"/>
        <w:ind w:left="574" w:right="0"/>
        <w:jc w:val="left"/>
      </w:pPr>
      <w:r>
        <w:rPr>
          <w:rFonts w:ascii="宋体" w:hAnsi="宋体" w:cs="宋体" w:eastAsia="宋体" w:hint="default"/>
        </w:rPr>
        <w:t>3</w:t>
      </w:r>
      <w:r>
        <w:rPr/>
        <w:t>、</w:t>
      </w:r>
      <w:r>
        <w:rPr>
          <w:rFonts w:ascii="宋体" w:hAnsi="宋体" w:cs="宋体" w:eastAsia="宋体" w:hint="default"/>
        </w:rPr>
        <w:t>2012</w:t>
      </w:r>
      <w:r>
        <w:rPr/>
        <w:t>年度权益分派情况</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26</w:t>
      </w:r>
      <w:r>
        <w:rPr/>
        <w:t>日，公司召开</w:t>
      </w:r>
      <w:r>
        <w:rPr>
          <w:rFonts w:ascii="宋体" w:hAnsi="宋体" w:cs="宋体" w:eastAsia="宋体" w:hint="default"/>
        </w:rPr>
        <w:t>2012</w:t>
      </w:r>
      <w:r>
        <w:rPr/>
        <w:t>年度股东大会，审议通过了</w:t>
      </w:r>
      <w:r>
        <w:rPr>
          <w:rFonts w:ascii="宋体" w:hAnsi="宋体" w:cs="宋体" w:eastAsia="宋体" w:hint="default"/>
        </w:rPr>
        <w:t>2012</w:t>
      </w:r>
      <w:r>
        <w:rPr/>
        <w:t>年度权益分派的方案，公司以总股本</w:t>
      </w:r>
    </w:p>
    <w:p>
      <w:pPr>
        <w:spacing w:line="240" w:lineRule="auto" w:before="10"/>
        <w:rPr>
          <w:rFonts w:ascii="宋体" w:hAnsi="宋体" w:cs="宋体" w:eastAsia="宋体" w:hint="default"/>
          <w:sz w:val="14"/>
          <w:szCs w:val="14"/>
        </w:rPr>
      </w:pPr>
    </w:p>
    <w:p>
      <w:pPr>
        <w:pStyle w:val="BodyText"/>
        <w:spacing w:line="408" w:lineRule="auto" w:before="0"/>
        <w:ind w:right="113"/>
        <w:jc w:val="left"/>
      </w:pPr>
      <w:r>
        <w:rPr>
          <w:rFonts w:ascii="宋体" w:hAnsi="宋体" w:cs="宋体" w:eastAsia="宋体" w:hint="default"/>
        </w:rPr>
        <w:t>11,800</w:t>
      </w:r>
      <w:r>
        <w:rPr/>
        <w:t>万股为基数，向全体股东每</w:t>
      </w:r>
      <w:r>
        <w:rPr>
          <w:rFonts w:ascii="宋体" w:hAnsi="宋体" w:cs="宋体" w:eastAsia="宋体" w:hint="default"/>
        </w:rPr>
        <w:t>10</w:t>
      </w:r>
      <w:r>
        <w:rPr/>
        <w:t>股派发现金红利人民币</w:t>
      </w:r>
      <w:r>
        <w:rPr>
          <w:rFonts w:ascii="宋体" w:hAnsi="宋体" w:cs="宋体" w:eastAsia="宋体" w:hint="default"/>
        </w:rPr>
        <w:t>0.5</w:t>
      </w:r>
      <w:r>
        <w:rPr/>
        <w:t>元（含税），合计派发现金红利</w:t>
      </w:r>
      <w:r>
        <w:rPr>
          <w:rFonts w:ascii="宋体" w:hAnsi="宋体" w:cs="宋体" w:eastAsia="宋体" w:hint="default"/>
        </w:rPr>
        <w:t>590</w:t>
      </w:r>
      <w:r>
        <w:rPr/>
        <w:t>万元， 其余未分配利润结转下年。</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696"/>
        <w:gridCol w:w="1711"/>
        <w:gridCol w:w="3392"/>
        <w:gridCol w:w="2757"/>
      </w:tblGrid>
      <w:tr>
        <w:trPr>
          <w:trHeight w:val="249" w:hRule="exact"/>
        </w:trPr>
        <w:tc>
          <w:tcPr>
            <w:tcW w:w="16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711" w:type="dxa"/>
            <w:tcBorders>
              <w:top w:val="single" w:sz="12" w:space="0" w:color="000000"/>
              <w:left w:val="single" w:sz="6" w:space="0" w:color="000000"/>
              <w:bottom w:val="nil" w:sz="6" w:space="0" w:color="auto"/>
              <w:right w:val="single" w:sz="6" w:space="0" w:color="000000"/>
            </w:tcBorders>
            <w:shd w:val="clear" w:color="auto" w:fill="D2D2D2"/>
          </w:tcPr>
          <w:p>
            <w:pPr/>
          </w:p>
        </w:tc>
        <w:tc>
          <w:tcPr>
            <w:tcW w:w="3392" w:type="dxa"/>
            <w:vMerge w:val="restart"/>
            <w:tcBorders>
              <w:top w:val="single" w:sz="12" w:space="0" w:color="000000"/>
              <w:left w:val="single" w:sz="6" w:space="0" w:color="000000"/>
              <w:right w:val="single" w:sz="6" w:space="0" w:color="000000"/>
            </w:tcBorders>
            <w:shd w:val="clear" w:color="auto" w:fill="D2D2D2"/>
          </w:tcPr>
          <w:p>
            <w:pPr>
              <w:pStyle w:val="TableParagraph"/>
              <w:spacing w:line="235" w:lineRule="exact" w:before="129"/>
              <w:ind w:right="9"/>
              <w:jc w:val="center"/>
              <w:rPr>
                <w:rFonts w:ascii="宋体" w:hAnsi="宋体" w:cs="宋体" w:eastAsia="宋体" w:hint="default"/>
                <w:sz w:val="18"/>
                <w:szCs w:val="18"/>
              </w:rPr>
            </w:pPr>
            <w:r>
              <w:rPr>
                <w:rFonts w:ascii="宋体" w:hAnsi="宋体" w:cs="宋体" w:eastAsia="宋体" w:hint="default"/>
                <w:sz w:val="18"/>
                <w:szCs w:val="18"/>
              </w:rPr>
              <w:t>分红年度合并报表中归属于上市公司普通</w:t>
            </w:r>
          </w:p>
          <w:p>
            <w:pPr>
              <w:pStyle w:val="TableParagraph"/>
              <w:spacing w:line="234"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5" w:lineRule="exact"/>
              <w:ind w:right="10"/>
              <w:jc w:val="center"/>
              <w:rPr>
                <w:rFonts w:ascii="宋体" w:hAnsi="宋体" w:cs="宋体" w:eastAsia="宋体" w:hint="default"/>
                <w:sz w:val="18"/>
                <w:szCs w:val="18"/>
              </w:rPr>
            </w:pPr>
            <w:r>
              <w:rPr>
                <w:rFonts w:ascii="宋体" w:hAnsi="宋体" w:cs="宋体" w:eastAsia="宋体" w:hint="default"/>
                <w:sz w:val="18"/>
                <w:szCs w:val="18"/>
              </w:rPr>
              <w:t>股股东的净利润</w:t>
            </w:r>
          </w:p>
        </w:tc>
        <w:tc>
          <w:tcPr>
            <w:tcW w:w="2757" w:type="dxa"/>
            <w:vMerge w:val="restart"/>
            <w:tcBorders>
              <w:top w:val="single" w:sz="12" w:space="0" w:color="000000"/>
              <w:left w:val="single" w:sz="6" w:space="0" w:color="000000"/>
              <w:right w:val="single" w:sz="12" w:space="0" w:color="000000"/>
            </w:tcBorders>
            <w:shd w:val="clear" w:color="auto" w:fill="D2D2D2"/>
          </w:tcPr>
          <w:p>
            <w:pPr>
              <w:pStyle w:val="TableParagraph"/>
              <w:spacing w:line="477" w:lineRule="auto" w:before="129"/>
              <w:ind w:left="474" w:right="9" w:hanging="451"/>
              <w:jc w:val="left"/>
              <w:rPr>
                <w:rFonts w:ascii="宋体" w:hAnsi="宋体" w:cs="宋体" w:eastAsia="宋体" w:hint="default"/>
                <w:sz w:val="18"/>
                <w:szCs w:val="18"/>
              </w:rPr>
            </w:pPr>
            <w:r>
              <w:rPr>
                <w:rFonts w:ascii="宋体" w:hAnsi="宋体" w:cs="宋体" w:eastAsia="宋体" w:hint="default"/>
                <w:sz w:val="18"/>
                <w:szCs w:val="18"/>
              </w:rPr>
              <w:t>占合并报表中归属于上市公司普通 股股东的净利润的比率</w:t>
            </w:r>
          </w:p>
        </w:tc>
      </w:tr>
      <w:tr>
        <w:trPr>
          <w:trHeight w:val="548" w:hRule="exact"/>
        </w:trPr>
        <w:tc>
          <w:tcPr>
            <w:tcW w:w="169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29"/>
              <w:ind w:left="46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pacing w:val="-8"/>
                <w:sz w:val="18"/>
                <w:szCs w:val="18"/>
              </w:rPr>
              <w:t>现金分红金额（含税</w:t>
            </w:r>
          </w:p>
        </w:tc>
        <w:tc>
          <w:tcPr>
            <w:tcW w:w="3392" w:type="dxa"/>
            <w:vMerge/>
            <w:tcBorders>
              <w:left w:val="single" w:sz="6" w:space="0" w:color="000000"/>
              <w:right w:val="single" w:sz="6" w:space="0" w:color="000000"/>
            </w:tcBorders>
            <w:shd w:val="clear" w:color="auto" w:fill="D2D2D2"/>
          </w:tcPr>
          <w:p>
            <w:pPr/>
          </w:p>
        </w:tc>
        <w:tc>
          <w:tcPr>
            <w:tcW w:w="2757" w:type="dxa"/>
            <w:vMerge/>
            <w:tcBorders>
              <w:left w:val="single" w:sz="6" w:space="0" w:color="000000"/>
              <w:right w:val="single" w:sz="12" w:space="0" w:color="000000"/>
            </w:tcBorders>
            <w:shd w:val="clear" w:color="auto" w:fill="D2D2D2"/>
          </w:tcPr>
          <w:p>
            <w:pPr/>
          </w:p>
        </w:tc>
      </w:tr>
      <w:tr>
        <w:trPr>
          <w:trHeight w:val="241" w:hRule="exact"/>
        </w:trPr>
        <w:tc>
          <w:tcPr>
            <w:tcW w:w="16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11" w:type="dxa"/>
            <w:tcBorders>
              <w:top w:val="nil" w:sz="6" w:space="0" w:color="auto"/>
              <w:left w:val="single" w:sz="6" w:space="0" w:color="000000"/>
              <w:bottom w:val="single" w:sz="6" w:space="0" w:color="000000"/>
              <w:right w:val="single" w:sz="6" w:space="0" w:color="000000"/>
            </w:tcBorders>
            <w:shd w:val="clear" w:color="auto" w:fill="D2D2D2"/>
          </w:tcPr>
          <w:p>
            <w:pPr/>
          </w:p>
        </w:tc>
        <w:tc>
          <w:tcPr>
            <w:tcW w:w="3392" w:type="dxa"/>
            <w:vMerge/>
            <w:tcBorders>
              <w:left w:val="single" w:sz="6" w:space="0" w:color="000000"/>
              <w:bottom w:val="single" w:sz="6" w:space="0" w:color="000000"/>
              <w:right w:val="single" w:sz="6" w:space="0" w:color="000000"/>
            </w:tcBorders>
            <w:shd w:val="clear" w:color="auto" w:fill="D2D2D2"/>
          </w:tcPr>
          <w:p>
            <w:pPr/>
          </w:p>
        </w:tc>
        <w:tc>
          <w:tcPr>
            <w:tcW w:w="2757" w:type="dxa"/>
            <w:vMerge/>
            <w:tcBorders>
              <w:left w:val="single" w:sz="6" w:space="0" w:color="000000"/>
              <w:bottom w:val="single" w:sz="6" w:space="0" w:color="000000"/>
              <w:right w:val="single" w:sz="12" w:space="0" w:color="000000"/>
            </w:tcBorders>
            <w:shd w:val="clear" w:color="auto" w:fill="D2D2D2"/>
          </w:tcPr>
          <w:p>
            <w:pPr/>
          </w:p>
        </w:tc>
      </w:tr>
      <w:tr>
        <w:trPr>
          <w:trHeight w:val="571" w:hRule="exact"/>
        </w:trPr>
        <w:tc>
          <w:tcPr>
            <w:tcW w:w="16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30"/>
              <w:ind w:left="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1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130"/>
              <w:ind w:left="581" w:right="0"/>
              <w:jc w:val="left"/>
              <w:rPr>
                <w:rFonts w:ascii="宋体" w:hAnsi="宋体" w:cs="宋体" w:eastAsia="宋体" w:hint="default"/>
                <w:sz w:val="18"/>
                <w:szCs w:val="18"/>
              </w:rPr>
            </w:pPr>
            <w:r>
              <w:rPr>
                <w:rFonts w:ascii="宋体"/>
                <w:sz w:val="18"/>
              </w:rPr>
              <w:t>7,325,570.15</w:t>
            </w:r>
          </w:p>
        </w:tc>
        <w:tc>
          <w:tcPr>
            <w:tcW w:w="3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left="2186" w:right="0"/>
              <w:jc w:val="left"/>
              <w:rPr>
                <w:rFonts w:ascii="宋体" w:hAnsi="宋体" w:cs="宋体" w:eastAsia="宋体" w:hint="default"/>
                <w:sz w:val="18"/>
                <w:szCs w:val="18"/>
              </w:rPr>
            </w:pPr>
            <w:r>
              <w:rPr>
                <w:rFonts w:ascii="宋体"/>
                <w:sz w:val="18"/>
              </w:rPr>
              <w:t>57,341,790.34</w:t>
            </w:r>
          </w:p>
        </w:tc>
        <w:tc>
          <w:tcPr>
            <w:tcW w:w="27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0"/>
              <w:ind w:right="5"/>
              <w:jc w:val="right"/>
              <w:rPr>
                <w:rFonts w:ascii="宋体" w:hAnsi="宋体" w:cs="宋体" w:eastAsia="宋体" w:hint="default"/>
                <w:sz w:val="18"/>
                <w:szCs w:val="18"/>
              </w:rPr>
            </w:pPr>
            <w:r>
              <w:rPr>
                <w:rFonts w:ascii="宋体"/>
                <w:sz w:val="18"/>
              </w:rPr>
              <w:t>12.78%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703"/>
        <w:gridCol w:w="1700"/>
        <w:gridCol w:w="3402"/>
        <w:gridCol w:w="2763"/>
      </w:tblGrid>
      <w:tr>
        <w:trPr>
          <w:trHeight w:val="571" w:hRule="exact"/>
        </w:trPr>
        <w:tc>
          <w:tcPr>
            <w:tcW w:w="17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5,900,000.00</w:t>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9"/>
              <w:ind w:right="19"/>
              <w:jc w:val="right"/>
              <w:rPr>
                <w:rFonts w:ascii="宋体" w:hAnsi="宋体" w:cs="宋体" w:eastAsia="宋体" w:hint="default"/>
                <w:sz w:val="18"/>
                <w:szCs w:val="18"/>
              </w:rPr>
            </w:pPr>
            <w:r>
              <w:rPr>
                <w:rFonts w:ascii="宋体"/>
                <w:sz w:val="18"/>
              </w:rPr>
              <w:t>39,770,218.64</w:t>
            </w:r>
          </w:p>
        </w:tc>
        <w:tc>
          <w:tcPr>
            <w:tcW w:w="27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14.84%</w:t>
            </w:r>
          </w:p>
        </w:tc>
      </w:tr>
      <w:tr>
        <w:trPr>
          <w:trHeight w:val="571" w:hRule="exact"/>
        </w:trPr>
        <w:tc>
          <w:tcPr>
            <w:tcW w:w="17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18"/>
              <w:jc w:val="right"/>
              <w:rPr>
                <w:rFonts w:ascii="宋体" w:hAnsi="宋体" w:cs="宋体" w:eastAsia="宋体" w:hint="default"/>
                <w:sz w:val="18"/>
                <w:szCs w:val="18"/>
              </w:rPr>
            </w:pPr>
            <w:r>
              <w:rPr>
                <w:rFonts w:ascii="宋体"/>
                <w:sz w:val="18"/>
              </w:rPr>
              <w:t>5,900,000.00</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19"/>
              <w:jc w:val="right"/>
              <w:rPr>
                <w:rFonts w:ascii="宋体" w:hAnsi="宋体" w:cs="宋体" w:eastAsia="宋体" w:hint="default"/>
                <w:sz w:val="18"/>
                <w:szCs w:val="18"/>
              </w:rPr>
            </w:pPr>
            <w:r>
              <w:rPr>
                <w:rFonts w:ascii="宋体"/>
                <w:sz w:val="18"/>
              </w:rPr>
              <w:t>47,339,574.86</w:t>
            </w:r>
          </w:p>
        </w:tc>
        <w:tc>
          <w:tcPr>
            <w:tcW w:w="27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12.46%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both"/>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left="573" w:right="98"/>
        <w:jc w:val="left"/>
      </w:pPr>
      <w:r>
        <w:rPr/>
        <w:t>（一）制度的建立及修订情况 </w:t>
      </w:r>
      <w:r>
        <w:rPr>
          <w:spacing w:val="-3"/>
        </w:rPr>
        <w:t>为规范公司内幕信息管理行为，加强内幕信息保密工作，维护公司信息披露的公开、公平、公正原则，</w:t>
      </w:r>
    </w:p>
    <w:p>
      <w:pPr>
        <w:pStyle w:val="BodyText"/>
        <w:spacing w:line="240" w:lineRule="auto" w:before="16"/>
        <w:ind w:right="0"/>
        <w:jc w:val="both"/>
      </w:pPr>
      <w:r>
        <w:rPr>
          <w:spacing w:val="-8"/>
        </w:rPr>
        <w:t>根据《公司法》、《证券法》、《上市公司信息披露管理办法》、《深圳证券交易所创业板股票上市规则》、</w:t>
      </w:r>
    </w:p>
    <w:p>
      <w:pPr>
        <w:spacing w:line="240" w:lineRule="auto" w:before="10"/>
        <w:rPr>
          <w:rFonts w:ascii="宋体" w:hAnsi="宋体" w:cs="宋体" w:eastAsia="宋体" w:hint="default"/>
          <w:sz w:val="14"/>
          <w:szCs w:val="14"/>
        </w:rPr>
      </w:pPr>
    </w:p>
    <w:p>
      <w:pPr>
        <w:pStyle w:val="BodyText"/>
        <w:spacing w:line="408" w:lineRule="auto" w:before="0"/>
        <w:ind w:right="211"/>
        <w:jc w:val="both"/>
      </w:pPr>
      <w:r>
        <w:rPr>
          <w:spacing w:val="-1"/>
        </w:rPr>
        <w:t>《深圳证券交易所创业板上市公司规范运作指引》及其他相关法律、法规和规定，结合公司实际情况，公</w:t>
      </w:r>
      <w:r>
        <w:rPr>
          <w:spacing w:val="-85"/>
        </w:rPr>
        <w:t> </w:t>
      </w:r>
      <w:r>
        <w:rPr>
          <w:spacing w:val="-85"/>
        </w:rPr>
      </w:r>
      <w:r>
        <w:rPr>
          <w:spacing w:val="-1"/>
        </w:rPr>
        <w:t>司第一届董事会第十一次会议审议制定《内幕信息知情人登记制度》，对内幕信息及内幕信息知情人的定</w:t>
      </w:r>
      <w:r>
        <w:rPr>
          <w:spacing w:val="-83"/>
        </w:rPr>
        <w:t> </w:t>
      </w:r>
      <w:r>
        <w:rPr>
          <w:spacing w:val="-83"/>
        </w:rPr>
      </w:r>
      <w:r>
        <w:rPr>
          <w:spacing w:val="-1"/>
        </w:rPr>
        <w:t>义及认定标准、内幕信息的保密义务及违规处罚、内幕信息的传递、审核及披露以及内幕信息知情人的登</w:t>
      </w:r>
      <w:r>
        <w:rPr>
          <w:spacing w:val="-83"/>
        </w:rPr>
        <w:t> </w:t>
      </w:r>
      <w:r>
        <w:rPr>
          <w:spacing w:val="-83"/>
        </w:rPr>
      </w:r>
      <w:r>
        <w:rPr>
          <w:spacing w:val="-1"/>
        </w:rPr>
        <w:t>记备案工作程序等内容做出了明确规定。</w:t>
      </w:r>
      <w:r>
        <w:rPr>
          <w:rFonts w:ascii="宋体" w:hAnsi="宋体" w:cs="宋体" w:eastAsia="宋体" w:hint="default"/>
          <w:spacing w:val="-1"/>
        </w:rPr>
        <w:t>2011</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23</w:t>
      </w:r>
      <w:r>
        <w:rPr>
          <w:spacing w:val="-1"/>
        </w:rPr>
        <w:t>日，根据中国证监会《关于上市公司建立内幕信息</w:t>
      </w:r>
      <w:r>
        <w:rPr>
          <w:spacing w:val="-82"/>
        </w:rPr>
        <w:t> </w:t>
      </w:r>
      <w:r>
        <w:rPr>
          <w:spacing w:val="-82"/>
        </w:rPr>
      </w:r>
      <w:r>
        <w:rPr>
          <w:spacing w:val="-1"/>
        </w:rPr>
        <w:t>知情人登记管理制度的规定》（中国证监会公告〔</w:t>
      </w:r>
      <w:r>
        <w:rPr>
          <w:rFonts w:ascii="宋体" w:hAnsi="宋体" w:cs="宋体" w:eastAsia="宋体" w:hint="default"/>
          <w:spacing w:val="-1"/>
        </w:rPr>
        <w:t>2011</w:t>
      </w:r>
      <w:r>
        <w:rPr>
          <w:spacing w:val="-1"/>
        </w:rPr>
        <w:t>〕</w:t>
      </w:r>
      <w:r>
        <w:rPr>
          <w:rFonts w:ascii="宋体" w:hAnsi="宋体" w:cs="宋体" w:eastAsia="宋体" w:hint="default"/>
          <w:spacing w:val="-1"/>
        </w:rPr>
        <w:t>30</w:t>
      </w:r>
      <w:r>
        <w:rPr>
          <w:spacing w:val="-1"/>
        </w:rPr>
        <w:t>号），公司第二届董事会第十一次会议对《内</w:t>
      </w:r>
      <w:r>
        <w:rPr>
          <w:spacing w:val="-83"/>
        </w:rPr>
        <w:t> </w:t>
      </w:r>
      <w:r>
        <w:rPr>
          <w:spacing w:val="-83"/>
        </w:rPr>
      </w:r>
      <w:r>
        <w:rPr/>
        <w:t>幕信息知情人登记制度》进行了相关修订。</w:t>
      </w:r>
    </w:p>
    <w:p>
      <w:pPr>
        <w:pStyle w:val="BodyText"/>
        <w:spacing w:line="444" w:lineRule="auto" w:before="86"/>
        <w:ind w:left="574" w:right="5947"/>
        <w:jc w:val="left"/>
      </w:pPr>
      <w:r>
        <w:rPr/>
        <w:t>（二）制度的具体执行情况 </w:t>
      </w:r>
      <w:r>
        <w:rPr>
          <w:rFonts w:ascii="宋体" w:hAnsi="宋体" w:cs="宋体" w:eastAsia="宋体" w:hint="default"/>
        </w:rPr>
        <w:t>1</w:t>
      </w:r>
      <w:r>
        <w:rPr/>
        <w:t>、定期报告披露期间的信息保密工作</w:t>
      </w:r>
    </w:p>
    <w:p>
      <w:pPr>
        <w:pStyle w:val="BodyText"/>
        <w:spacing w:line="410" w:lineRule="auto" w:before="53"/>
        <w:ind w:left="154" w:right="212" w:firstLine="420"/>
        <w:jc w:val="both"/>
      </w:pPr>
      <w:r>
        <w:rPr>
          <w:spacing w:val="-1"/>
        </w:rPr>
        <w:t>公司严格执行对外部单位报送信息以及外部信息使用人的各项监管要求，在定期报告披露期间做好公</w:t>
      </w:r>
      <w:r>
        <w:rPr/>
        <w:t> </w:t>
      </w:r>
      <w:r>
        <w:rPr>
          <w:spacing w:val="-1"/>
        </w:rPr>
        <w:t>司的内幕信息保密工作。经过自查，公司董事、监事、高级管理人员及其他内幕信息知情人员未出现利用</w:t>
      </w:r>
      <w:r>
        <w:rPr>
          <w:spacing w:val="-86"/>
        </w:rPr>
        <w:t> </w:t>
      </w:r>
      <w:r>
        <w:rPr>
          <w:spacing w:val="-86"/>
        </w:rPr>
      </w:r>
      <w:r>
        <w:rPr/>
        <w:t>内幕信息从事内幕交易的情况。</w:t>
      </w:r>
    </w:p>
    <w:p>
      <w:pPr>
        <w:pStyle w:val="BodyText"/>
        <w:spacing w:line="441" w:lineRule="auto" w:before="83"/>
        <w:ind w:left="574" w:right="104"/>
        <w:jc w:val="left"/>
      </w:pPr>
      <w:r>
        <w:rPr>
          <w:rFonts w:ascii="宋体" w:hAnsi="宋体" w:cs="宋体" w:eastAsia="宋体" w:hint="default"/>
        </w:rPr>
        <w:t>2</w:t>
      </w:r>
      <w:r>
        <w:rPr/>
        <w:t>、投资者调研期间的信息保密工作 </w:t>
      </w:r>
      <w:r>
        <w:rPr>
          <w:spacing w:val="-1"/>
        </w:rPr>
        <w:t>在定期报告及重大事项披露前的一段时间内，公司尽量避免投资者的调研，努力做好定期报告及重大</w:t>
      </w:r>
    </w:p>
    <w:p>
      <w:pPr>
        <w:pStyle w:val="BodyText"/>
        <w:spacing w:line="410" w:lineRule="auto" w:before="16"/>
        <w:ind w:left="154" w:right="211"/>
        <w:jc w:val="both"/>
      </w:pPr>
      <w:r>
        <w:rPr>
          <w:spacing w:val="-1"/>
        </w:rPr>
        <w:t>事项披露期间的信息保密工作。在正常的投资者调研活动中，董事会办公室切实履行相关的信息保密工作</w:t>
      </w:r>
      <w:r>
        <w:rPr>
          <w:spacing w:val="-81"/>
        </w:rPr>
        <w:t> </w:t>
      </w:r>
      <w:r>
        <w:rPr>
          <w:spacing w:val="-81"/>
        </w:rPr>
      </w:r>
      <w:r>
        <w:rPr>
          <w:spacing w:val="-1"/>
        </w:rPr>
        <w:t>程序，要求调研人员签署《承诺书》，调研员对在调研过程中知悉的信息负有保密义务，否则将承担相应</w:t>
      </w:r>
      <w:r>
        <w:rPr>
          <w:spacing w:val="-83"/>
        </w:rPr>
        <w:t> </w:t>
      </w:r>
      <w:r>
        <w:rPr>
          <w:spacing w:val="-83"/>
        </w:rPr>
      </w:r>
      <w:r>
        <w:rPr/>
        <w:t>的责任。董事会办公室人员认真做好相关调研记录，记录调研人员的问题及公司接待人员的答复。</w:t>
      </w:r>
    </w:p>
    <w:p>
      <w:pPr>
        <w:pStyle w:val="BodyText"/>
        <w:spacing w:line="441" w:lineRule="auto" w:before="85"/>
        <w:ind w:left="574" w:right="104"/>
        <w:jc w:val="left"/>
      </w:pPr>
      <w:r>
        <w:rPr>
          <w:rFonts w:ascii="宋体" w:hAnsi="宋体" w:cs="宋体" w:eastAsia="宋体" w:hint="default"/>
        </w:rPr>
        <w:t>3</w:t>
      </w:r>
      <w:r>
        <w:rPr/>
        <w:t>、其他重大事件的信息保密工作 </w:t>
      </w:r>
      <w:r>
        <w:rPr>
          <w:spacing w:val="-1"/>
        </w:rPr>
        <w:t>在其他重大事项（如对外投资等）未披露前，公司及相关信息披露义务人采取保密措施，以保证信息</w:t>
      </w:r>
    </w:p>
    <w:p>
      <w:pPr>
        <w:pStyle w:val="BodyText"/>
        <w:spacing w:line="240" w:lineRule="auto" w:before="18"/>
        <w:ind w:left="154" w:right="0"/>
        <w:jc w:val="both"/>
      </w:pPr>
      <w:r>
        <w:rPr/>
        <w:t>处于可控范围。</w:t>
      </w:r>
    </w:p>
    <w:p>
      <w:pPr>
        <w:spacing w:line="240" w:lineRule="auto" w:before="10"/>
        <w:rPr>
          <w:rFonts w:ascii="宋体" w:hAnsi="宋体" w:cs="宋体" w:eastAsia="宋体" w:hint="default"/>
          <w:sz w:val="17"/>
          <w:szCs w:val="17"/>
        </w:rPr>
      </w:pPr>
    </w:p>
    <w:p>
      <w:pPr>
        <w:pStyle w:val="BodyText"/>
        <w:spacing w:line="240" w:lineRule="auto" w:before="0"/>
        <w:ind w:left="574" w:right="104"/>
        <w:jc w:val="left"/>
      </w:pPr>
      <w:r>
        <w:rPr/>
        <w:t>（三）报告期内公司内幕信息知情人涉嫌内幕交易自查情况，以及监管部门的查处和整改情况</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r>
        <w:rPr/>
        <w:pict>
          <v:group style="position:absolute;margin-left:404.380005pt;margin-top:442.599976pt;width:130.1pt;height:62.4pt;mso-position-horizontal-relative:page;mso-position-vertical-relative:page;z-index:-910648" coordorigin="8088,8852" coordsize="2602,1248">
            <v:shape style="position:absolute;left:8088;top:8852;width:2602;height:1248" coordorigin="8088,8852" coordsize="2602,1248" path="m8088,10100l10690,10100,10690,8852,8088,8852,8088,10100xe" filled="true" fillcolor="#ffffff" stroked="false">
              <v:path arrowok="t"/>
              <v:fill type="solid"/>
            </v:shape>
            <w10:wrap type="none"/>
          </v:group>
        </w:pict>
      </w:r>
    </w:p>
    <w:p>
      <w:pPr>
        <w:pStyle w:val="BodyText"/>
        <w:spacing w:line="410" w:lineRule="auto" w:before="174"/>
        <w:ind w:right="130" w:firstLine="420"/>
        <w:jc w:val="both"/>
      </w:pPr>
      <w:r>
        <w:rPr/>
        <w:t>报告期内，公司董事、监事及高级管理人员和其他相关知情人严格遵守了内幕信息知情人管理制度， </w:t>
      </w:r>
      <w:r>
        <w:rPr>
          <w:spacing w:val="-1"/>
        </w:rPr>
        <w:t>未发现有内幕信息知情人利用内幕信息买卖本公司股份的情况。公司也未发生因涉嫌内幕交易而受到监管</w:t>
      </w:r>
      <w:r>
        <w:rPr>
          <w:spacing w:val="-81"/>
        </w:rPr>
        <w:t> </w:t>
      </w:r>
      <w:r>
        <w:rPr>
          <w:spacing w:val="-81"/>
        </w:rPr>
      </w:r>
      <w:r>
        <w:rPr/>
        <w:t>部门查处和整改的情形。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95"/>
        <w:gridCol w:w="1058"/>
        <w:gridCol w:w="991"/>
        <w:gridCol w:w="710"/>
        <w:gridCol w:w="2693"/>
        <w:gridCol w:w="2623"/>
      </w:tblGrid>
      <w:tr>
        <w:trPr>
          <w:trHeight w:val="725" w:hRule="exact"/>
        </w:trPr>
        <w:tc>
          <w:tcPr>
            <w:tcW w:w="14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8" w:right="75"/>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62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32"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52"/>
              <w:ind w:left="21" w:right="-47"/>
              <w:jc w:val="both"/>
              <w:rPr>
                <w:rFonts w:ascii="宋体" w:hAnsi="宋体" w:cs="宋体" w:eastAsia="宋体" w:hint="default"/>
                <w:sz w:val="18"/>
                <w:szCs w:val="18"/>
              </w:rPr>
            </w:pPr>
            <w:r>
              <w:rPr>
                <w:rFonts w:ascii="宋体" w:hAnsi="宋体" w:cs="宋体" w:eastAsia="宋体" w:hint="default"/>
                <w:sz w:val="18"/>
                <w:szCs w:val="18"/>
              </w:rPr>
              <w:t>中信证券、方正证券、呈瑞投资、 东北证券、华富基金、新华基金、 瑞天投资、和君集团、嘉实基金</w:t>
            </w:r>
          </w:p>
        </w:tc>
        <w:tc>
          <w:tcPr>
            <w:tcW w:w="2623" w:type="dxa"/>
            <w:tcBorders>
              <w:top w:val="single" w:sz="6" w:space="0" w:color="000000"/>
              <w:left w:val="single" w:sz="9" w:space="0" w:color="FFFFFF"/>
              <w:bottom w:val="single" w:sz="6" w:space="0" w:color="000000"/>
              <w:right w:val="single" w:sz="12" w:space="0" w:color="000000"/>
            </w:tcBorders>
          </w:tcPr>
          <w:p>
            <w:pPr>
              <w:pStyle w:val="TableParagraph"/>
              <w:spacing w:line="312" w:lineRule="exact"/>
              <w:ind w:left="-4" w:right="-52"/>
              <w:jc w:val="left"/>
              <w:rPr>
                <w:rFonts w:ascii="宋体" w:hAnsi="宋体" w:cs="宋体" w:eastAsia="宋体" w:hint="default"/>
                <w:sz w:val="20"/>
                <w:szCs w:val="20"/>
              </w:rPr>
            </w:pPr>
            <w:r>
              <w:rPr>
                <w:rFonts w:ascii="宋体" w:hAnsi="宋体" w:cs="宋体" w:eastAsia="宋体" w:hint="default"/>
                <w:position w:val="-5"/>
                <w:sz w:val="20"/>
                <w:szCs w:val="20"/>
              </w:rPr>
              <w:pict>
                <v:group style="width:130.1pt;height:15.6pt;mso-position-horizontal-relative:char;mso-position-vertical-relative:line" coordorigin="0,0" coordsize="2602,312">
                  <v:group style="position:absolute;left:0;top:0;width:2602;height:312" coordorigin="0,0" coordsize="2602,312">
                    <v:shape style="position:absolute;left:0;top:0;width:2602;height:312" coordorigin="0,0" coordsize="2602,312" path="m0,312l2602,312,260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公司发展及重大资产重组情况</w:t>
            </w:r>
          </w:p>
        </w:tc>
      </w:tr>
      <w:tr>
        <w:trPr>
          <w:trHeight w:val="407"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申银万国</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公司发展及重大资产重组情况</w:t>
            </w:r>
          </w:p>
        </w:tc>
      </w:tr>
      <w:tr>
        <w:trPr>
          <w:trHeight w:val="407"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瑞银证券、华宝兴业、银河证券</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公司发展及重大资产重组情况</w:t>
            </w:r>
          </w:p>
        </w:tc>
      </w:tr>
      <w:tr>
        <w:trPr>
          <w:trHeight w:val="2903"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44"/>
              <w:jc w:val="left"/>
              <w:rPr>
                <w:rFonts w:ascii="宋体" w:hAnsi="宋体" w:cs="宋体" w:eastAsia="宋体" w:hint="default"/>
                <w:sz w:val="18"/>
                <w:szCs w:val="18"/>
              </w:rPr>
            </w:pPr>
            <w:r>
              <w:rPr>
                <w:rFonts w:ascii="宋体" w:hAnsi="宋体" w:cs="宋体" w:eastAsia="宋体" w:hint="default"/>
                <w:spacing w:val="-5"/>
                <w:sz w:val="18"/>
                <w:szCs w:val="18"/>
              </w:rPr>
              <w:t>中信证券、汇丰晋信基金、长城资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产、东方基金、金欣捷投资、太平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洋资产、长江证券、如壹投资、兴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亚资产、中银基金、国泰君安、华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商基金、国都证券、华融证券、呈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瑞投资、海富通基金、南方基金、 </w:t>
            </w:r>
            <w:r>
              <w:rPr>
                <w:rFonts w:ascii="宋体" w:hAnsi="宋体" w:cs="宋体" w:eastAsia="宋体" w:hint="default"/>
                <w:spacing w:val="-5"/>
                <w:sz w:val="18"/>
                <w:szCs w:val="18"/>
              </w:rPr>
              <w:t>中信产业基金、中富投资、盛世景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投资、光大证券、中投证券、国金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证券、路博迈投资</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公司发展及重大资产重组情况</w:t>
            </w:r>
          </w:p>
        </w:tc>
      </w:tr>
      <w:tr>
        <w:trPr>
          <w:trHeight w:val="719"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jc w:val="left"/>
              <w:rPr>
                <w:rFonts w:ascii="宋体" w:hAnsi="宋体" w:cs="宋体" w:eastAsia="宋体" w:hint="default"/>
                <w:sz w:val="18"/>
                <w:szCs w:val="18"/>
              </w:rPr>
            </w:pPr>
            <w:r>
              <w:rPr>
                <w:rFonts w:ascii="宋体" w:hAnsi="宋体" w:cs="宋体" w:eastAsia="宋体" w:hint="default"/>
                <w:spacing w:val="-5"/>
                <w:sz w:val="18"/>
                <w:szCs w:val="18"/>
              </w:rPr>
              <w:t>汇丰晋信基金、广发资管、银河基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金、兴业证券、长盛基金</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公司产品与产业发展情况</w:t>
            </w:r>
          </w:p>
        </w:tc>
      </w:tr>
      <w:tr>
        <w:trPr>
          <w:trHeight w:val="719"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21"/>
              <w:jc w:val="left"/>
              <w:rPr>
                <w:rFonts w:ascii="宋体" w:hAnsi="宋体" w:cs="宋体" w:eastAsia="宋体" w:hint="default"/>
                <w:sz w:val="18"/>
                <w:szCs w:val="18"/>
              </w:rPr>
            </w:pPr>
            <w:r>
              <w:rPr>
                <w:rFonts w:ascii="宋体" w:hAnsi="宋体" w:cs="宋体" w:eastAsia="宋体" w:hint="default"/>
                <w:sz w:val="18"/>
                <w:szCs w:val="18"/>
              </w:rPr>
              <w:t>嘉园环保会 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52"/>
              <w:ind w:left="21" w:right="-47"/>
              <w:jc w:val="left"/>
              <w:rPr>
                <w:rFonts w:ascii="宋体" w:hAnsi="宋体" w:cs="宋体" w:eastAsia="宋体" w:hint="default"/>
                <w:sz w:val="18"/>
                <w:szCs w:val="18"/>
              </w:rPr>
            </w:pPr>
            <w:r>
              <w:rPr>
                <w:rFonts w:ascii="宋体" w:hAnsi="宋体" w:cs="宋体" w:eastAsia="宋体" w:hint="default"/>
                <w:sz w:val="18"/>
                <w:szCs w:val="18"/>
              </w:rPr>
              <w:t>鹏华基金、申银万国、国泰君安、 平安资管、易方达基金、</w:t>
            </w:r>
          </w:p>
        </w:tc>
        <w:tc>
          <w:tcPr>
            <w:tcW w:w="2623" w:type="dxa"/>
            <w:tcBorders>
              <w:top w:val="single" w:sz="6" w:space="0" w:color="000000"/>
              <w:left w:val="single" w:sz="9" w:space="0" w:color="FFFFFF"/>
              <w:bottom w:val="single" w:sz="6" w:space="0" w:color="000000"/>
              <w:right w:val="single" w:sz="12" w:space="0" w:color="000000"/>
            </w:tcBorders>
          </w:tcPr>
          <w:p>
            <w:pPr>
              <w:pStyle w:val="TableParagraph"/>
              <w:spacing w:line="156" w:lineRule="exact"/>
              <w:ind w:left="-4" w:right="-52"/>
              <w:jc w:val="left"/>
              <w:rPr>
                <w:rFonts w:ascii="宋体" w:hAnsi="宋体" w:cs="宋体" w:eastAsia="宋体" w:hint="default"/>
                <w:sz w:val="15"/>
                <w:szCs w:val="15"/>
              </w:rPr>
            </w:pPr>
            <w:r>
              <w:rPr>
                <w:rFonts w:ascii="宋体" w:hAnsi="宋体" w:cs="宋体" w:eastAsia="宋体" w:hint="default"/>
                <w:position w:val="-2"/>
                <w:sz w:val="15"/>
                <w:szCs w:val="15"/>
              </w:rPr>
              <w:pict>
                <v:group style="width:130.1pt;height:7.8pt;mso-position-horizontal-relative:char;mso-position-vertical-relative:line" coordorigin="0,0" coordsize="2602,156">
                  <v:group style="position:absolute;left:0;top:0;width:2602;height:156" coordorigin="0,0" coordsize="2602,156">
                    <v:shape style="position:absolute;left:0;top:0;width:2602;height:156" coordorigin="0,0" coordsize="2602,156" path="m0,156l2602,156,2602,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公司产品与产业发展情况</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21"/>
              <w:jc w:val="left"/>
              <w:rPr>
                <w:rFonts w:ascii="宋体" w:hAnsi="宋体" w:cs="宋体" w:eastAsia="宋体" w:hint="default"/>
                <w:sz w:val="18"/>
                <w:szCs w:val="18"/>
              </w:rPr>
            </w:pPr>
            <w:r>
              <w:rPr>
                <w:rFonts w:ascii="宋体" w:hAnsi="宋体" w:cs="宋体" w:eastAsia="宋体" w:hint="default"/>
                <w:sz w:val="18"/>
                <w:szCs w:val="18"/>
              </w:rPr>
              <w:t>嘉园环保会 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瑞银证券</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公司产品与产业发展情况</w:t>
            </w:r>
          </w:p>
        </w:tc>
      </w:tr>
      <w:tr>
        <w:trPr>
          <w:trHeight w:val="719"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17"/>
              <w:jc w:val="left"/>
              <w:rPr>
                <w:rFonts w:ascii="宋体" w:hAnsi="宋体" w:cs="宋体" w:eastAsia="宋体" w:hint="default"/>
                <w:sz w:val="18"/>
                <w:szCs w:val="18"/>
              </w:rPr>
            </w:pPr>
            <w:r>
              <w:rPr>
                <w:rFonts w:ascii="宋体" w:hAnsi="宋体" w:cs="宋体" w:eastAsia="宋体" w:hint="default"/>
                <w:spacing w:val="-5"/>
                <w:sz w:val="18"/>
                <w:szCs w:val="18"/>
              </w:rPr>
              <w:t>平安资管、汇丰晋信基金、铭基国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际投资</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公司产品与产业发展情况</w:t>
            </w:r>
          </w:p>
        </w:tc>
      </w:tr>
      <w:tr>
        <w:trPr>
          <w:trHeight w:val="415"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机构</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长江证券</w:t>
            </w:r>
          </w:p>
        </w:tc>
        <w:tc>
          <w:tcPr>
            <w:tcW w:w="26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公司产品与产业发展情况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4"/>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892" w:firstLine="0"/>
        <w:jc w:val="left"/>
        <w:rPr>
          <w:rFonts w:ascii="宋体" w:hAnsi="宋体" w:cs="宋体" w:eastAsia="宋体" w:hint="default"/>
          <w:sz w:val="18"/>
          <w:szCs w:val="18"/>
        </w:rPr>
      </w:pPr>
      <w:r>
        <w:rPr>
          <w:rFonts w:ascii="宋体" w:hAnsi="宋体" w:cs="宋体" w:eastAsia="宋体" w:hint="default"/>
          <w:sz w:val="18"/>
          <w:szCs w:val="18"/>
        </w:rPr>
        <w:t>□ 适用 √ 不适用 本年度公司无重大诉讼、仲裁事项。</w:t>
      </w:r>
    </w:p>
    <w:p>
      <w:pPr>
        <w:spacing w:line="240" w:lineRule="auto" w:before="1"/>
        <w:rPr>
          <w:rFonts w:ascii="宋体" w:hAnsi="宋体" w:cs="宋体" w:eastAsia="宋体" w:hint="default"/>
          <w:sz w:val="18"/>
          <w:szCs w:val="18"/>
        </w:rPr>
      </w:pPr>
    </w:p>
    <w:p>
      <w:pPr>
        <w:pStyle w:val="Heading2"/>
        <w:spacing w:line="240" w:lineRule="auto"/>
        <w:ind w:left="154"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3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公司报告期不存在上市公司发生控股股东及其关联方非经营性占用资金情况。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收购资产情况" w:id="41"/>
      <w:bookmarkEnd w:id="41"/>
      <w:r>
        <w:rPr>
          <w:b w:val="0"/>
          <w:bCs w:val="0"/>
        </w:rPr>
      </w:r>
      <w:r>
        <w:rPr>
          <w:rFonts w:ascii="宋体" w:hAnsi="宋体" w:cs="宋体" w:eastAsia="宋体" w:hint="default"/>
        </w:rPr>
        <w:t>1</w:t>
      </w:r>
      <w:r>
        <w:rPr/>
        <w:t>、收购资产情况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865"/>
        <w:gridCol w:w="870"/>
        <w:gridCol w:w="534"/>
        <w:gridCol w:w="1206"/>
        <w:gridCol w:w="1062"/>
        <w:gridCol w:w="677"/>
        <w:gridCol w:w="870"/>
        <w:gridCol w:w="870"/>
        <w:gridCol w:w="870"/>
        <w:gridCol w:w="870"/>
        <w:gridCol w:w="869"/>
      </w:tblGrid>
      <w:tr>
        <w:trPr>
          <w:trHeight w:val="1975" w:hRule="exact"/>
        </w:trPr>
        <w:tc>
          <w:tcPr>
            <w:tcW w:w="86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6" w:right="64"/>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5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79" w:right="78"/>
              <w:jc w:val="left"/>
              <w:rPr>
                <w:rFonts w:ascii="宋体" w:hAnsi="宋体" w:cs="宋体" w:eastAsia="宋体" w:hint="default"/>
                <w:sz w:val="18"/>
                <w:szCs w:val="18"/>
              </w:rPr>
            </w:pPr>
            <w:r>
              <w:rPr>
                <w:rFonts w:ascii="宋体" w:hAnsi="宋体" w:cs="宋体" w:eastAsia="宋体" w:hint="default"/>
                <w:sz w:val="18"/>
                <w:szCs w:val="18"/>
              </w:rPr>
              <w:t>（万 元）</w:t>
            </w:r>
          </w:p>
        </w:tc>
        <w:tc>
          <w:tcPr>
            <w:tcW w:w="12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5"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10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对公司经营 的影响</w:t>
            </w:r>
          </w:p>
        </w:tc>
        <w:tc>
          <w:tcPr>
            <w:tcW w:w="6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1" w:right="59"/>
              <w:jc w:val="both"/>
              <w:rPr>
                <w:rFonts w:ascii="宋体" w:hAnsi="宋体" w:cs="宋体" w:eastAsia="宋体" w:hint="default"/>
                <w:sz w:val="18"/>
                <w:szCs w:val="18"/>
              </w:rPr>
            </w:pPr>
            <w:r>
              <w:rPr>
                <w:rFonts w:ascii="宋体" w:hAnsi="宋体" w:cs="宋体" w:eastAsia="宋体" w:hint="default"/>
                <w:sz w:val="18"/>
                <w:szCs w:val="18"/>
              </w:rPr>
              <w:t>对公司 损益的 影响</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8" w:right="65"/>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58" w:right="65"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18"/>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5" w:hRule="exact"/>
        </w:trPr>
        <w:tc>
          <w:tcPr>
            <w:tcW w:w="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3" w:right="107"/>
              <w:jc w:val="both"/>
              <w:rPr>
                <w:rFonts w:ascii="宋体" w:hAnsi="宋体" w:cs="宋体" w:eastAsia="宋体" w:hint="default"/>
                <w:sz w:val="18"/>
                <w:szCs w:val="18"/>
              </w:rPr>
            </w:pPr>
            <w:r>
              <w:rPr>
                <w:rFonts w:ascii="宋体" w:hAnsi="宋体" w:cs="宋体" w:eastAsia="宋体" w:hint="default"/>
                <w:sz w:val="18"/>
                <w:szCs w:val="18"/>
              </w:rPr>
              <w:t>原股东张 珽、陈立 桅等</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 w:right="113"/>
              <w:jc w:val="both"/>
              <w:rPr>
                <w:rFonts w:ascii="宋体" w:hAnsi="宋体" w:cs="宋体" w:eastAsia="宋体" w:hint="default"/>
                <w:sz w:val="18"/>
                <w:szCs w:val="18"/>
              </w:rPr>
            </w:pPr>
            <w:r>
              <w:rPr>
                <w:rFonts w:ascii="宋体" w:hAnsi="宋体" w:cs="宋体" w:eastAsia="宋体" w:hint="default"/>
                <w:sz w:val="18"/>
                <w:szCs w:val="18"/>
              </w:rPr>
              <w:t>苏州能斯 达电子科 技有限公 司</w:t>
            </w:r>
            <w:r>
              <w:rPr>
                <w:rFonts w:ascii="宋体" w:hAnsi="宋体" w:cs="宋体" w:eastAsia="宋体" w:hint="default"/>
                <w:spacing w:val="-46"/>
                <w:sz w:val="18"/>
                <w:szCs w:val="18"/>
              </w:rPr>
              <w:t> </w:t>
            </w:r>
            <w:r>
              <w:rPr>
                <w:rFonts w:ascii="宋体" w:hAnsi="宋体" w:cs="宋体" w:eastAsia="宋体" w:hint="default"/>
                <w:sz w:val="18"/>
                <w:szCs w:val="18"/>
              </w:rPr>
              <w:t>43%</w:t>
            </w:r>
            <w:r>
              <w:rPr>
                <w:rFonts w:ascii="宋体" w:hAnsi="宋体" w:cs="宋体" w:eastAsia="宋体" w:hint="default"/>
                <w:sz w:val="18"/>
                <w:szCs w:val="18"/>
              </w:rPr>
              <w:t>股 权</w:t>
            </w:r>
          </w:p>
        </w:tc>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7" w:right="0"/>
              <w:jc w:val="left"/>
              <w:rPr>
                <w:rFonts w:ascii="宋体" w:hAnsi="宋体" w:cs="宋体" w:eastAsia="宋体" w:hint="default"/>
                <w:sz w:val="18"/>
                <w:szCs w:val="18"/>
              </w:rPr>
            </w:pPr>
            <w:r>
              <w:rPr>
                <w:rFonts w:ascii="宋体"/>
                <w:sz w:val="18"/>
              </w:rPr>
              <w:t>430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6"/>
                <w:sz w:val="18"/>
                <w:szCs w:val="18"/>
              </w:rPr>
              <w:t> </w:t>
            </w: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p>
          <w:p>
            <w:pPr>
              <w:pStyle w:val="TableParagraph"/>
              <w:spacing w:line="319" w:lineRule="auto" w:before="75"/>
              <w:ind w:left="20" w:right="2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20</w:t>
            </w:r>
            <w:r>
              <w:rPr>
                <w:rFonts w:ascii="宋体" w:hAnsi="宋体" w:cs="宋体" w:eastAsia="宋体" w:hint="default"/>
                <w:spacing w:val="-68"/>
                <w:sz w:val="18"/>
                <w:szCs w:val="18"/>
              </w:rPr>
              <w:t> </w:t>
            </w:r>
            <w:r>
              <w:rPr>
                <w:rFonts w:ascii="宋体" w:hAnsi="宋体" w:cs="宋体" w:eastAsia="宋体" w:hint="default"/>
                <w:sz w:val="18"/>
                <w:szCs w:val="18"/>
              </w:rPr>
              <w:t>日与苏 州能斯达电子 科技有限公司 及其股东签署 协议。</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日，能 斯达公司完成 了工商变更登 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0" w:right="125"/>
              <w:jc w:val="both"/>
              <w:rPr>
                <w:rFonts w:ascii="宋体" w:hAnsi="宋体" w:cs="宋体" w:eastAsia="宋体" w:hint="default"/>
                <w:sz w:val="18"/>
                <w:szCs w:val="18"/>
              </w:rPr>
            </w:pPr>
            <w:r>
              <w:rPr>
                <w:rFonts w:ascii="宋体" w:hAnsi="宋体" w:cs="宋体" w:eastAsia="宋体" w:hint="default"/>
                <w:sz w:val="18"/>
                <w:szCs w:val="18"/>
              </w:rPr>
              <w:t>进一步增强 公司在传感 器领域的竞 争力</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sz w:val="18"/>
              </w:rPr>
              <w:t>-47.28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o.com.cn2 013</w:t>
            </w:r>
            <w:r>
              <w:rPr>
                <w:rFonts w:ascii="宋体" w:hAnsi="宋体" w:cs="宋体" w:eastAsia="宋体" w:hint="default"/>
                <w:spacing w:val="-46"/>
                <w:sz w:val="18"/>
                <w:szCs w:val="18"/>
              </w:rPr>
              <w:t> </w:t>
            </w:r>
            <w:r>
              <w:rPr>
                <w:rFonts w:ascii="宋体" w:hAnsi="宋体" w:cs="宋体" w:eastAsia="宋体" w:hint="default"/>
                <w:sz w:val="18"/>
                <w:szCs w:val="18"/>
              </w:rPr>
              <w:t>年度 报告</w:t>
            </w:r>
          </w:p>
        </w:tc>
      </w:tr>
      <w:tr>
        <w:trPr>
          <w:trHeight w:val="998" w:hRule="exact"/>
        </w:trPr>
        <w:tc>
          <w:tcPr>
            <w:tcW w:w="8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3" w:right="107"/>
              <w:jc w:val="left"/>
              <w:rPr>
                <w:rFonts w:ascii="宋体" w:hAnsi="宋体" w:cs="宋体" w:eastAsia="宋体" w:hint="default"/>
                <w:sz w:val="18"/>
                <w:szCs w:val="18"/>
              </w:rPr>
            </w:pPr>
            <w:r>
              <w:rPr>
                <w:rFonts w:ascii="宋体" w:hAnsi="宋体" w:cs="宋体" w:eastAsia="宋体" w:hint="default"/>
                <w:sz w:val="18"/>
                <w:szCs w:val="18"/>
              </w:rPr>
              <w:t>原股东李 鑫、李菁</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0" w:right="19"/>
              <w:jc w:val="both"/>
              <w:rPr>
                <w:rFonts w:ascii="宋体" w:hAnsi="宋体" w:cs="宋体" w:eastAsia="宋体" w:hint="default"/>
                <w:sz w:val="18"/>
                <w:szCs w:val="18"/>
              </w:rPr>
            </w:pPr>
            <w:r>
              <w:rPr>
                <w:rFonts w:ascii="宋体" w:hAnsi="宋体" w:cs="宋体" w:eastAsia="宋体" w:hint="default"/>
                <w:sz w:val="18"/>
                <w:szCs w:val="18"/>
              </w:rPr>
              <w:t>英森电气 系统（上 </w:t>
            </w:r>
            <w:r>
              <w:rPr>
                <w:rFonts w:ascii="宋体" w:hAnsi="宋体" w:cs="宋体" w:eastAsia="宋体" w:hint="default"/>
                <w:spacing w:val="-18"/>
                <w:sz w:val="18"/>
                <w:szCs w:val="18"/>
              </w:rPr>
              <w:t>海）有限公</w:t>
            </w:r>
          </w:p>
        </w:tc>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sz w:val="18"/>
              </w:rPr>
              <w:t>1,023</w:t>
            </w:r>
          </w:p>
          <w:p>
            <w:pPr>
              <w:pStyle w:val="TableParagraph"/>
              <w:spacing w:line="240" w:lineRule="auto" w:before="77"/>
              <w:ind w:left="317" w:right="0"/>
              <w:jc w:val="left"/>
              <w:rPr>
                <w:rFonts w:ascii="宋体" w:hAnsi="宋体" w:cs="宋体" w:eastAsia="宋体" w:hint="default"/>
                <w:sz w:val="18"/>
                <w:szCs w:val="18"/>
              </w:rPr>
            </w:pPr>
            <w:r>
              <w:rPr>
                <w:rFonts w:ascii="宋体"/>
                <w:sz w:val="18"/>
              </w:rPr>
              <w:t>.5</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6"/>
                <w:sz w:val="18"/>
                <w:szCs w:val="18"/>
              </w:rPr>
              <w:t> </w:t>
            </w: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p>
          <w:p>
            <w:pPr>
              <w:pStyle w:val="TableParagraph"/>
              <w:spacing w:line="316" w:lineRule="auto" w:before="76"/>
              <w:ind w:left="20" w:right="2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24</w:t>
            </w:r>
            <w:r>
              <w:rPr>
                <w:rFonts w:ascii="宋体" w:hAnsi="宋体" w:cs="宋体" w:eastAsia="宋体" w:hint="default"/>
                <w:spacing w:val="-68"/>
                <w:sz w:val="18"/>
                <w:szCs w:val="18"/>
              </w:rPr>
              <w:t> </w:t>
            </w:r>
            <w:r>
              <w:rPr>
                <w:rFonts w:ascii="宋体" w:hAnsi="宋体" w:cs="宋体" w:eastAsia="宋体" w:hint="default"/>
                <w:sz w:val="18"/>
                <w:szCs w:val="18"/>
              </w:rPr>
              <w:t>日与英 森电气系统</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0" w:right="19"/>
              <w:jc w:val="both"/>
              <w:rPr>
                <w:rFonts w:ascii="宋体" w:hAnsi="宋体" w:cs="宋体" w:eastAsia="宋体" w:hint="default"/>
                <w:sz w:val="18"/>
                <w:szCs w:val="18"/>
              </w:rPr>
            </w:pPr>
            <w:r>
              <w:rPr>
                <w:rFonts w:ascii="宋体" w:hAnsi="宋体" w:cs="宋体" w:eastAsia="宋体" w:hint="default"/>
                <w:sz w:val="18"/>
                <w:szCs w:val="18"/>
              </w:rPr>
              <w:t>促进公司进 入消防安全 </w:t>
            </w:r>
            <w:r>
              <w:rPr>
                <w:rFonts w:ascii="宋体" w:hAnsi="宋体" w:cs="宋体" w:eastAsia="宋体" w:hint="default"/>
                <w:spacing w:val="-13"/>
                <w:sz w:val="18"/>
                <w:szCs w:val="18"/>
              </w:rPr>
              <w:t>监测领域，完</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sz w:val="18"/>
              </w:rPr>
              <w:t>-41.35</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83.899994pt;margin-top:656.859985pt;width:33.15pt;height:45.9pt;mso-position-horizontal-relative:page;mso-position-vertical-relative:page;z-index:-910624" coordorigin="5678,13137" coordsize="663,918">
            <v:shape style="position:absolute;left:5678;top:13137;width:663;height:918" coordorigin="5678,13137" coordsize="663,918" path="m5678,14054l6340,14054,6340,13137,5678,13137,5678,140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865"/>
        <w:gridCol w:w="870"/>
        <w:gridCol w:w="534"/>
        <w:gridCol w:w="1206"/>
        <w:gridCol w:w="1062"/>
        <w:gridCol w:w="677"/>
        <w:gridCol w:w="870"/>
        <w:gridCol w:w="870"/>
        <w:gridCol w:w="870"/>
        <w:gridCol w:w="870"/>
        <w:gridCol w:w="869"/>
      </w:tblGrid>
      <w:tr>
        <w:trPr>
          <w:trHeight w:val="2870" w:hRule="exact"/>
        </w:trPr>
        <w:tc>
          <w:tcPr>
            <w:tcW w:w="865" w:type="dxa"/>
            <w:tcBorders>
              <w:top w:val="single" w:sz="12" w:space="0" w:color="000000"/>
              <w:left w:val="single" w:sz="12" w:space="0" w:color="000000"/>
              <w:bottom w:val="single" w:sz="6" w:space="0" w:color="000000"/>
              <w:right w:val="single" w:sz="6" w:space="0" w:color="000000"/>
            </w:tcBorders>
          </w:tcPr>
          <w:p>
            <w:pPr/>
          </w:p>
        </w:tc>
        <w:tc>
          <w:tcPr>
            <w:tcW w:w="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宋体" w:hAnsi="宋体" w:cs="宋体" w:eastAsia="宋体" w:hint="default"/>
                <w:sz w:val="18"/>
                <w:szCs w:val="18"/>
              </w:rPr>
              <w:t>51.11%</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34" w:type="dxa"/>
            <w:tcBorders>
              <w:top w:val="single" w:sz="12" w:space="0" w:color="000000"/>
              <w:left w:val="single" w:sz="6" w:space="0" w:color="000000"/>
              <w:bottom w:val="single" w:sz="6" w:space="0" w:color="000000"/>
              <w:right w:val="single" w:sz="6" w:space="0" w:color="000000"/>
            </w:tcBorders>
          </w:tcPr>
          <w:p>
            <w:pPr/>
          </w:p>
        </w:tc>
        <w:tc>
          <w:tcPr>
            <w:tcW w:w="120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89"/>
              <w:jc w:val="left"/>
              <w:rPr>
                <w:rFonts w:ascii="宋体" w:hAnsi="宋体" w:cs="宋体" w:eastAsia="宋体" w:hint="default"/>
                <w:sz w:val="18"/>
                <w:szCs w:val="18"/>
              </w:rPr>
            </w:pPr>
            <w:r>
              <w:rPr>
                <w:rFonts w:ascii="宋体" w:hAnsi="宋体" w:cs="宋体" w:eastAsia="宋体" w:hint="default"/>
                <w:sz w:val="18"/>
                <w:szCs w:val="18"/>
              </w:rPr>
              <w:t>（上海）有限 公司及其股东 签署协议。截 至本报告期 末，英森电气 系统（上海） 有限公司未完 成工商变更事 宜。</w:t>
            </w:r>
          </w:p>
        </w:tc>
        <w:tc>
          <w:tcPr>
            <w:tcW w:w="1062"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9"/>
              <w:jc w:val="left"/>
              <w:rPr>
                <w:rFonts w:ascii="宋体" w:hAnsi="宋体" w:cs="宋体" w:eastAsia="宋体" w:hint="default"/>
                <w:sz w:val="18"/>
                <w:szCs w:val="18"/>
              </w:rPr>
            </w:pPr>
            <w:r>
              <w:rPr>
                <w:rFonts w:ascii="宋体" w:hAnsi="宋体" w:cs="宋体" w:eastAsia="宋体" w:hint="default"/>
                <w:sz w:val="18"/>
                <w:szCs w:val="18"/>
              </w:rPr>
              <w:t>善整体解决 </w:t>
            </w:r>
            <w:r>
              <w:rPr>
                <w:rFonts w:ascii="宋体" w:hAnsi="宋体" w:cs="宋体" w:eastAsia="宋体" w:hint="default"/>
                <w:spacing w:val="-13"/>
                <w:sz w:val="18"/>
                <w:szCs w:val="18"/>
              </w:rPr>
              <w:t>方案，增加市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场份额，提升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资产盈利能 力。</w:t>
            </w:r>
          </w:p>
        </w:tc>
        <w:tc>
          <w:tcPr>
            <w:tcW w:w="677" w:type="dxa"/>
            <w:tcBorders>
              <w:top w:val="single" w:sz="12" w:space="0" w:color="000000"/>
              <w:left w:val="single" w:sz="6" w:space="0" w:color="000000"/>
              <w:bottom w:val="single" w:sz="6" w:space="0" w:color="000000"/>
              <w:right w:val="single" w:sz="6" w:space="0" w:color="000000"/>
            </w:tcBorders>
          </w:tcPr>
          <w:p>
            <w:pPr/>
          </w:p>
        </w:tc>
        <w:tc>
          <w:tcPr>
            <w:tcW w:w="870" w:type="dxa"/>
            <w:tcBorders>
              <w:top w:val="single" w:sz="12" w:space="0" w:color="000000"/>
              <w:left w:val="single" w:sz="6" w:space="0" w:color="000000"/>
              <w:bottom w:val="single" w:sz="6" w:space="0" w:color="000000"/>
              <w:right w:val="single" w:sz="6" w:space="0" w:color="000000"/>
            </w:tcBorders>
          </w:tcPr>
          <w:p>
            <w:pPr/>
          </w:p>
        </w:tc>
        <w:tc>
          <w:tcPr>
            <w:tcW w:w="870" w:type="dxa"/>
            <w:tcBorders>
              <w:top w:val="single" w:sz="12" w:space="0" w:color="000000"/>
              <w:left w:val="single" w:sz="6" w:space="0" w:color="000000"/>
              <w:bottom w:val="single" w:sz="6" w:space="0" w:color="000000"/>
              <w:right w:val="single" w:sz="6" w:space="0" w:color="000000"/>
            </w:tcBorders>
          </w:tcPr>
          <w:p>
            <w:pPr/>
          </w:p>
        </w:tc>
        <w:tc>
          <w:tcPr>
            <w:tcW w:w="870" w:type="dxa"/>
            <w:tcBorders>
              <w:top w:val="single" w:sz="12" w:space="0" w:color="000000"/>
              <w:left w:val="single" w:sz="6" w:space="0" w:color="000000"/>
              <w:bottom w:val="single" w:sz="6" w:space="0" w:color="000000"/>
              <w:right w:val="single" w:sz="6" w:space="0" w:color="000000"/>
            </w:tcBorders>
          </w:tcPr>
          <w:p>
            <w:pPr/>
          </w:p>
        </w:tc>
        <w:tc>
          <w:tcPr>
            <w:tcW w:w="870" w:type="dxa"/>
            <w:tcBorders>
              <w:top w:val="single" w:sz="12" w:space="0" w:color="000000"/>
              <w:left w:val="single" w:sz="6" w:space="0" w:color="000000"/>
              <w:bottom w:val="single" w:sz="6" w:space="0" w:color="000000"/>
              <w:right w:val="single" w:sz="6" w:space="0" w:color="000000"/>
            </w:tcBorders>
          </w:tcPr>
          <w:p>
            <w:pPr/>
          </w:p>
        </w:tc>
        <w:tc>
          <w:tcPr>
            <w:tcW w:w="869"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10"/>
              <w:ind w:left="21" w:right="13"/>
              <w:jc w:val="left"/>
              <w:rPr>
                <w:rFonts w:ascii="宋体" w:hAnsi="宋体" w:cs="宋体" w:eastAsia="宋体" w:hint="default"/>
                <w:sz w:val="18"/>
                <w:szCs w:val="18"/>
              </w:rPr>
            </w:pPr>
            <w:r>
              <w:rPr>
                <w:rFonts w:ascii="宋体" w:hAnsi="宋体" w:cs="宋体" w:eastAsia="宋体" w:hint="default"/>
                <w:sz w:val="18"/>
                <w:szCs w:val="18"/>
              </w:rPr>
              <w:t>o.com.cn2 013</w:t>
            </w:r>
            <w:r>
              <w:rPr>
                <w:rFonts w:ascii="宋体" w:hAnsi="宋体" w:cs="宋体" w:eastAsia="宋体" w:hint="default"/>
                <w:spacing w:val="-46"/>
                <w:sz w:val="18"/>
                <w:szCs w:val="18"/>
              </w:rPr>
              <w:t> </w:t>
            </w:r>
            <w:r>
              <w:rPr>
                <w:rFonts w:ascii="宋体" w:hAnsi="宋体" w:cs="宋体" w:eastAsia="宋体" w:hint="default"/>
                <w:sz w:val="18"/>
                <w:szCs w:val="18"/>
              </w:rPr>
              <w:t>年度 报告</w:t>
            </w:r>
          </w:p>
        </w:tc>
      </w:tr>
      <w:tr>
        <w:trPr>
          <w:trHeight w:val="2279" w:hRule="exact"/>
        </w:trPr>
        <w:tc>
          <w:tcPr>
            <w:tcW w:w="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3" w:right="107"/>
              <w:jc w:val="both"/>
              <w:rPr>
                <w:rFonts w:ascii="宋体" w:hAnsi="宋体" w:cs="宋体" w:eastAsia="宋体" w:hint="default"/>
                <w:sz w:val="18"/>
                <w:szCs w:val="18"/>
              </w:rPr>
            </w:pPr>
            <w:r>
              <w:rPr>
                <w:rFonts w:ascii="宋体" w:hAnsi="宋体" w:cs="宋体" w:eastAsia="宋体" w:hint="default"/>
                <w:sz w:val="18"/>
                <w:szCs w:val="18"/>
              </w:rPr>
              <w:t>沈阳金建 原股东尚 剑红</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0" w:right="113"/>
              <w:jc w:val="left"/>
              <w:rPr>
                <w:rFonts w:ascii="宋体" w:hAnsi="宋体" w:cs="宋体" w:eastAsia="宋体" w:hint="default"/>
                <w:sz w:val="18"/>
                <w:szCs w:val="18"/>
              </w:rPr>
            </w:pPr>
            <w:r>
              <w:rPr>
                <w:rFonts w:ascii="宋体" w:hAnsi="宋体" w:cs="宋体" w:eastAsia="宋体" w:hint="default"/>
                <w:sz w:val="18"/>
                <w:szCs w:val="18"/>
              </w:rPr>
              <w:t>沈阳金建 数字城市 软件有限 公司 </w:t>
            </w:r>
            <w:r>
              <w:rPr>
                <w:rFonts w:ascii="宋体" w:hAnsi="宋体" w:cs="宋体" w:eastAsia="宋体" w:hint="default"/>
                <w:sz w:val="18"/>
                <w:szCs w:val="18"/>
              </w:rPr>
              <w:t>48.91%</w:t>
            </w:r>
            <w:r>
              <w:rPr>
                <w:rFonts w:ascii="宋体" w:hAnsi="宋体" w:cs="宋体" w:eastAsia="宋体" w:hint="default"/>
                <w:sz w:val="18"/>
                <w:szCs w:val="18"/>
              </w:rPr>
              <w:t>股</w:t>
            </w:r>
          </w:p>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7" w:right="0"/>
              <w:jc w:val="left"/>
              <w:rPr>
                <w:rFonts w:ascii="宋体" w:hAnsi="宋体" w:cs="宋体" w:eastAsia="宋体" w:hint="default"/>
                <w:sz w:val="18"/>
                <w:szCs w:val="18"/>
              </w:rPr>
            </w:pPr>
            <w:r>
              <w:rPr>
                <w:rFonts w:ascii="宋体"/>
                <w:sz w:val="18"/>
              </w:rPr>
              <w:t>6,440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9</w:t>
            </w:r>
          </w:p>
          <w:p>
            <w:pPr>
              <w:pStyle w:val="TableParagraph"/>
              <w:spacing w:line="319" w:lineRule="auto" w:before="75"/>
              <w:ind w:left="20" w:right="89"/>
              <w:jc w:val="left"/>
              <w:rPr>
                <w:rFonts w:ascii="宋体" w:hAnsi="宋体" w:cs="宋体" w:eastAsia="宋体" w:hint="default"/>
                <w:sz w:val="18"/>
                <w:szCs w:val="18"/>
              </w:rPr>
            </w:pPr>
            <w:r>
              <w:rPr>
                <w:rFonts w:ascii="宋体" w:hAnsi="宋体" w:cs="宋体" w:eastAsia="宋体" w:hint="default"/>
                <w:sz w:val="18"/>
                <w:szCs w:val="18"/>
              </w:rPr>
              <w:t>日完成工商变 更登记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0" w:right="125"/>
              <w:jc w:val="both"/>
              <w:rPr>
                <w:rFonts w:ascii="宋体" w:hAnsi="宋体" w:cs="宋体" w:eastAsia="宋体" w:hint="default"/>
                <w:sz w:val="18"/>
                <w:szCs w:val="18"/>
              </w:rPr>
            </w:pPr>
            <w:r>
              <w:rPr>
                <w:rFonts w:ascii="宋体" w:hAnsi="宋体" w:cs="宋体" w:eastAsia="宋体" w:hint="default"/>
                <w:sz w:val="18"/>
                <w:szCs w:val="18"/>
              </w:rPr>
              <w:t>有利于完善 公司物联网 解决方案和 产业生态的 构建</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0" w:right="0"/>
              <w:jc w:val="left"/>
              <w:rPr>
                <w:rFonts w:ascii="宋体" w:hAnsi="宋体" w:cs="宋体" w:eastAsia="宋体" w:hint="default"/>
                <w:sz w:val="18"/>
                <w:szCs w:val="18"/>
              </w:rPr>
            </w:pPr>
            <w:r>
              <w:rPr>
                <w:rFonts w:ascii="宋体"/>
                <w:sz w:val="18"/>
              </w:rPr>
              <w:t>429.57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7.49%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1" w:right="113"/>
              <w:jc w:val="both"/>
              <w:rPr>
                <w:rFonts w:ascii="宋体" w:hAnsi="宋体" w:cs="宋体" w:eastAsia="宋体" w:hint="default"/>
                <w:sz w:val="18"/>
                <w:szCs w:val="18"/>
              </w:rPr>
            </w:pPr>
            <w:r>
              <w:rPr>
                <w:rFonts w:ascii="宋体" w:hAnsi="宋体" w:cs="宋体" w:eastAsia="宋体" w:hint="default"/>
                <w:sz w:val="18"/>
                <w:szCs w:val="18"/>
              </w:rPr>
              <w:t>担任公司 高级管理 人员</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 </w:t>
            </w:r>
            <w:r>
              <w:rPr>
                <w:rFonts w:ascii="宋体" w:hAnsi="宋体" w:cs="宋体" w:eastAsia="宋体" w:hint="default"/>
                <w:sz w:val="18"/>
                <w:szCs w:val="18"/>
              </w:rPr>
              <w:t>公告编号 为</w:t>
            </w:r>
          </w:p>
          <w:p>
            <w:pPr>
              <w:pStyle w:val="TableParagraph"/>
              <w:spacing w:line="240" w:lineRule="auto" w:before="20"/>
              <w:ind w:left="21" w:right="0"/>
              <w:jc w:val="left"/>
              <w:rPr>
                <w:rFonts w:ascii="宋体" w:hAnsi="宋体" w:cs="宋体" w:eastAsia="宋体" w:hint="default"/>
                <w:sz w:val="18"/>
                <w:szCs w:val="18"/>
              </w:rPr>
            </w:pPr>
            <w:r>
              <w:rPr>
                <w:rFonts w:ascii="宋体"/>
                <w:sz w:val="18"/>
              </w:rPr>
              <w:t>2014-066</w:t>
            </w:r>
          </w:p>
        </w:tc>
      </w:tr>
      <w:tr>
        <w:trPr>
          <w:trHeight w:val="2280" w:hRule="exact"/>
        </w:trPr>
        <w:tc>
          <w:tcPr>
            <w:tcW w:w="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3" w:right="107"/>
              <w:jc w:val="both"/>
              <w:rPr>
                <w:rFonts w:ascii="宋体" w:hAnsi="宋体" w:cs="宋体" w:eastAsia="宋体" w:hint="default"/>
                <w:sz w:val="18"/>
                <w:szCs w:val="18"/>
              </w:rPr>
            </w:pPr>
            <w:r>
              <w:rPr>
                <w:rFonts w:ascii="宋体" w:hAnsi="宋体" w:cs="宋体" w:eastAsia="宋体" w:hint="default"/>
                <w:sz w:val="18"/>
                <w:szCs w:val="18"/>
              </w:rPr>
              <w:t>嘉园环保 原股东陈 泽枝、李 泽清等</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0" w:right="113"/>
              <w:jc w:val="both"/>
              <w:rPr>
                <w:rFonts w:ascii="宋体" w:hAnsi="宋体" w:cs="宋体" w:eastAsia="宋体" w:hint="default"/>
                <w:sz w:val="18"/>
                <w:szCs w:val="18"/>
              </w:rPr>
            </w:pPr>
            <w:r>
              <w:rPr>
                <w:rFonts w:ascii="宋体" w:hAnsi="宋体" w:cs="宋体" w:eastAsia="宋体" w:hint="default"/>
                <w:sz w:val="18"/>
                <w:szCs w:val="18"/>
              </w:rPr>
              <w:t>嘉园环保 有限公司 </w:t>
            </w:r>
            <w:r>
              <w:rPr>
                <w:rFonts w:ascii="宋体" w:hAnsi="宋体" w:cs="宋体" w:eastAsia="宋体" w:hint="default"/>
                <w:sz w:val="18"/>
                <w:szCs w:val="18"/>
              </w:rPr>
              <w:t>80%</w:t>
            </w:r>
            <w:r>
              <w:rPr>
                <w:rFonts w:ascii="宋体" w:hAnsi="宋体" w:cs="宋体" w:eastAsia="宋体" w:hint="default"/>
                <w:sz w:val="18"/>
                <w:szCs w:val="18"/>
              </w:rPr>
              <w:t>股权</w:t>
            </w:r>
          </w:p>
        </w:tc>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44,00</w:t>
            </w:r>
          </w:p>
          <w:p>
            <w:pPr>
              <w:pStyle w:val="TableParagraph"/>
              <w:spacing w:line="240" w:lineRule="auto" w:before="76"/>
              <w:ind w:right="19"/>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19" w:lineRule="auto" w:before="75"/>
              <w:ind w:left="20" w:right="44"/>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日完成工商 变更登记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0" w:right="19"/>
              <w:jc w:val="left"/>
              <w:rPr>
                <w:rFonts w:ascii="宋体" w:hAnsi="宋体" w:cs="宋体" w:eastAsia="宋体" w:hint="default"/>
                <w:sz w:val="18"/>
                <w:szCs w:val="18"/>
              </w:rPr>
            </w:pPr>
            <w:r>
              <w:rPr>
                <w:rFonts w:ascii="宋体" w:hAnsi="宋体" w:cs="宋体" w:eastAsia="宋体" w:hint="default"/>
                <w:sz w:val="18"/>
                <w:szCs w:val="18"/>
              </w:rPr>
              <w:t>有利于贯通 从检测到治 理的环保产 </w:t>
            </w:r>
            <w:r>
              <w:rPr>
                <w:rFonts w:ascii="宋体" w:hAnsi="宋体" w:cs="宋体" w:eastAsia="宋体" w:hint="default"/>
                <w:spacing w:val="-13"/>
                <w:sz w:val="18"/>
                <w:szCs w:val="18"/>
              </w:rPr>
              <w:t>业链，完善产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业布局</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0" w:right="0"/>
              <w:jc w:val="left"/>
              <w:rPr>
                <w:rFonts w:ascii="宋体" w:hAnsi="宋体" w:cs="宋体" w:eastAsia="宋体" w:hint="default"/>
                <w:sz w:val="18"/>
                <w:szCs w:val="18"/>
              </w:rPr>
            </w:pPr>
            <w:r>
              <w:rPr>
                <w:rFonts w:ascii="宋体"/>
                <w:sz w:val="18"/>
              </w:rPr>
              <w:t>817.70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14.26%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 </w:t>
            </w:r>
            <w:r>
              <w:rPr>
                <w:rFonts w:ascii="宋体" w:hAnsi="宋体" w:cs="宋体" w:eastAsia="宋体" w:hint="default"/>
                <w:sz w:val="18"/>
                <w:szCs w:val="18"/>
              </w:rPr>
              <w:t>公告编号 为</w:t>
            </w:r>
          </w:p>
          <w:p>
            <w:pPr>
              <w:pStyle w:val="TableParagraph"/>
              <w:spacing w:line="240" w:lineRule="auto" w:before="20"/>
              <w:ind w:left="21" w:right="0"/>
              <w:jc w:val="left"/>
              <w:rPr>
                <w:rFonts w:ascii="宋体" w:hAnsi="宋体" w:cs="宋体" w:eastAsia="宋体" w:hint="default"/>
                <w:sz w:val="18"/>
                <w:szCs w:val="18"/>
              </w:rPr>
            </w:pPr>
            <w:r>
              <w:rPr>
                <w:rFonts w:ascii="宋体"/>
                <w:sz w:val="18"/>
              </w:rPr>
              <w:t>2014-066</w:t>
            </w:r>
          </w:p>
        </w:tc>
      </w:tr>
      <w:tr>
        <w:trPr>
          <w:trHeight w:val="2279" w:hRule="exact"/>
        </w:trPr>
        <w:tc>
          <w:tcPr>
            <w:tcW w:w="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3" w:right="107"/>
              <w:jc w:val="both"/>
              <w:rPr>
                <w:rFonts w:ascii="宋体" w:hAnsi="宋体" w:cs="宋体" w:eastAsia="宋体" w:hint="default"/>
                <w:sz w:val="18"/>
                <w:szCs w:val="18"/>
              </w:rPr>
            </w:pPr>
            <w:r>
              <w:rPr>
                <w:rFonts w:ascii="宋体" w:hAnsi="宋体" w:cs="宋体" w:eastAsia="宋体" w:hint="default"/>
                <w:sz w:val="18"/>
                <w:szCs w:val="18"/>
              </w:rPr>
              <w:t>鞍山易兴 原股东王 明慧、张 连富等</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0" w:right="113"/>
              <w:jc w:val="both"/>
              <w:rPr>
                <w:rFonts w:ascii="宋体" w:hAnsi="宋体" w:cs="宋体" w:eastAsia="宋体" w:hint="default"/>
                <w:sz w:val="18"/>
                <w:szCs w:val="18"/>
              </w:rPr>
            </w:pPr>
            <w:r>
              <w:rPr>
                <w:rFonts w:ascii="宋体" w:hAnsi="宋体" w:cs="宋体" w:eastAsia="宋体" w:hint="default"/>
                <w:sz w:val="18"/>
                <w:szCs w:val="18"/>
              </w:rPr>
              <w:t>鞍山易兴 公司</w:t>
            </w:r>
            <w:r>
              <w:rPr>
                <w:rFonts w:ascii="宋体" w:hAnsi="宋体" w:cs="宋体" w:eastAsia="宋体" w:hint="default"/>
                <w:spacing w:val="-46"/>
                <w:sz w:val="18"/>
                <w:szCs w:val="18"/>
              </w:rPr>
              <w:t> </w:t>
            </w:r>
            <w:r>
              <w:rPr>
                <w:rFonts w:ascii="宋体" w:hAnsi="宋体" w:cs="宋体" w:eastAsia="宋体" w:hint="default"/>
                <w:sz w:val="18"/>
                <w:szCs w:val="18"/>
              </w:rPr>
              <w:t>51% </w:t>
            </w:r>
            <w:r>
              <w:rPr>
                <w:rFonts w:ascii="宋体" w:hAnsi="宋体" w:cs="宋体" w:eastAsia="宋体" w:hint="default"/>
                <w:sz w:val="18"/>
                <w:szCs w:val="18"/>
              </w:rPr>
              <w:t>股权</w:t>
            </w:r>
          </w:p>
        </w:tc>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center"/>
              <w:rPr>
                <w:rFonts w:ascii="宋体" w:hAnsi="宋体" w:cs="宋体" w:eastAsia="宋体" w:hint="default"/>
                <w:sz w:val="18"/>
                <w:szCs w:val="18"/>
              </w:rPr>
            </w:pPr>
            <w:r>
              <w:rPr>
                <w:rFonts w:ascii="宋体"/>
                <w:sz w:val="18"/>
              </w:rPr>
              <w:t>2,647</w:t>
            </w:r>
          </w:p>
          <w:p>
            <w:pPr>
              <w:pStyle w:val="TableParagraph"/>
              <w:spacing w:line="240" w:lineRule="auto" w:before="76"/>
              <w:ind w:left="206" w:right="0"/>
              <w:jc w:val="center"/>
              <w:rPr>
                <w:rFonts w:ascii="宋体" w:hAnsi="宋体" w:cs="宋体" w:eastAsia="宋体" w:hint="default"/>
                <w:sz w:val="18"/>
                <w:szCs w:val="18"/>
              </w:rPr>
            </w:pPr>
            <w:r>
              <w:rPr>
                <w:rFonts w:ascii="宋体"/>
                <w:sz w:val="18"/>
              </w:rPr>
              <w:t>.92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19" w:lineRule="auto" w:before="75"/>
              <w:ind w:left="20" w:right="44"/>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日完成工商 变更登记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0" w:right="125"/>
              <w:jc w:val="left"/>
              <w:rPr>
                <w:rFonts w:ascii="宋体" w:hAnsi="宋体" w:cs="宋体" w:eastAsia="宋体" w:hint="default"/>
                <w:sz w:val="18"/>
                <w:szCs w:val="18"/>
              </w:rPr>
            </w:pPr>
            <w:r>
              <w:rPr>
                <w:rFonts w:ascii="宋体" w:hAnsi="宋体" w:cs="宋体" w:eastAsia="宋体" w:hint="default"/>
                <w:sz w:val="18"/>
                <w:szCs w:val="18"/>
              </w:rPr>
              <w:t>有利于补全 </w:t>
            </w:r>
            <w:r>
              <w:rPr>
                <w:rFonts w:ascii="宋体" w:hAnsi="宋体" w:cs="宋体" w:eastAsia="宋体" w:hint="default"/>
                <w:sz w:val="18"/>
                <w:szCs w:val="18"/>
              </w:rPr>
              <w:t>SCADA</w:t>
            </w:r>
            <w:r>
              <w:rPr>
                <w:rFonts w:ascii="宋体" w:hAnsi="宋体" w:cs="宋体" w:eastAsia="宋体" w:hint="default"/>
                <w:spacing w:val="-46"/>
                <w:sz w:val="18"/>
                <w:szCs w:val="18"/>
              </w:rPr>
              <w:t> </w:t>
            </w:r>
            <w:r>
              <w:rPr>
                <w:rFonts w:ascii="宋体" w:hAnsi="宋体" w:cs="宋体" w:eastAsia="宋体" w:hint="default"/>
                <w:sz w:val="18"/>
                <w:szCs w:val="18"/>
              </w:rPr>
              <w:t>系统</w:t>
            </w:r>
          </w:p>
          <w:p>
            <w:pPr>
              <w:pStyle w:val="TableParagraph"/>
              <w:spacing w:line="319" w:lineRule="auto" w:before="19"/>
              <w:ind w:left="20" w:right="19"/>
              <w:jc w:val="left"/>
              <w:rPr>
                <w:rFonts w:ascii="宋体" w:hAnsi="宋体" w:cs="宋体" w:eastAsia="宋体" w:hint="default"/>
                <w:sz w:val="18"/>
                <w:szCs w:val="18"/>
              </w:rPr>
            </w:pPr>
            <w:r>
              <w:rPr>
                <w:rFonts w:ascii="宋体" w:hAnsi="宋体" w:cs="宋体" w:eastAsia="宋体" w:hint="default"/>
                <w:spacing w:val="-13"/>
                <w:sz w:val="18"/>
                <w:szCs w:val="18"/>
              </w:rPr>
              <w:t>产业链，增强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物联网核心 竞争力</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0" w:right="0"/>
              <w:jc w:val="left"/>
              <w:rPr>
                <w:rFonts w:ascii="宋体" w:hAnsi="宋体" w:cs="宋体" w:eastAsia="宋体" w:hint="default"/>
                <w:sz w:val="18"/>
                <w:szCs w:val="18"/>
              </w:rPr>
            </w:pPr>
            <w:r>
              <w:rPr>
                <w:rFonts w:ascii="宋体"/>
                <w:sz w:val="18"/>
              </w:rPr>
              <w:t>150.29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right"/>
              <w:rPr>
                <w:rFonts w:ascii="宋体" w:hAnsi="宋体" w:cs="宋体" w:eastAsia="宋体" w:hint="default"/>
                <w:sz w:val="18"/>
                <w:szCs w:val="18"/>
              </w:rPr>
            </w:pPr>
            <w:r>
              <w:rPr>
                <w:rFonts w:ascii="宋体"/>
                <w:sz w:val="18"/>
              </w:rPr>
              <w:t>2.62%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 </w:t>
            </w:r>
            <w:r>
              <w:rPr>
                <w:rFonts w:ascii="宋体" w:hAnsi="宋体" w:cs="宋体" w:eastAsia="宋体" w:hint="default"/>
                <w:sz w:val="18"/>
                <w:szCs w:val="18"/>
              </w:rPr>
              <w:t>公告编号 为</w:t>
            </w:r>
          </w:p>
          <w:p>
            <w:pPr>
              <w:pStyle w:val="TableParagraph"/>
              <w:spacing w:line="240" w:lineRule="auto" w:before="20"/>
              <w:ind w:left="21" w:right="0"/>
              <w:jc w:val="left"/>
              <w:rPr>
                <w:rFonts w:ascii="宋体" w:hAnsi="宋体" w:cs="宋体" w:eastAsia="宋体" w:hint="default"/>
                <w:sz w:val="18"/>
                <w:szCs w:val="18"/>
              </w:rPr>
            </w:pPr>
            <w:r>
              <w:rPr>
                <w:rFonts w:ascii="宋体"/>
                <w:sz w:val="18"/>
              </w:rPr>
              <w:t>2014-065</w:t>
            </w:r>
          </w:p>
        </w:tc>
      </w:tr>
      <w:tr>
        <w:trPr>
          <w:trHeight w:val="1967" w:hRule="exact"/>
        </w:trPr>
        <w:tc>
          <w:tcPr>
            <w:tcW w:w="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3" w:right="107"/>
              <w:jc w:val="both"/>
              <w:rPr>
                <w:rFonts w:ascii="宋体" w:hAnsi="宋体" w:cs="宋体" w:eastAsia="宋体" w:hint="default"/>
                <w:sz w:val="18"/>
                <w:szCs w:val="18"/>
              </w:rPr>
            </w:pPr>
            <w:r>
              <w:rPr>
                <w:rFonts w:ascii="宋体" w:hAnsi="宋体" w:cs="宋体" w:eastAsia="宋体" w:hint="default"/>
                <w:sz w:val="18"/>
                <w:szCs w:val="18"/>
              </w:rPr>
              <w:t>河南汉威 电子股份 有限公司 等</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名股 东</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0" w:right="113"/>
              <w:jc w:val="both"/>
              <w:rPr>
                <w:rFonts w:ascii="宋体" w:hAnsi="宋体" w:cs="宋体" w:eastAsia="宋体" w:hint="default"/>
                <w:sz w:val="18"/>
                <w:szCs w:val="18"/>
              </w:rPr>
            </w:pPr>
            <w:r>
              <w:rPr>
                <w:rFonts w:ascii="宋体" w:hAnsi="宋体" w:cs="宋体" w:eastAsia="宋体" w:hint="default"/>
                <w:sz w:val="18"/>
                <w:szCs w:val="18"/>
              </w:rPr>
              <w:t>北京威果 智能科技 有限公司</w:t>
            </w:r>
          </w:p>
        </w:tc>
        <w:tc>
          <w:tcPr>
            <w:tcW w:w="534"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4</w:t>
            </w:r>
          </w:p>
          <w:p>
            <w:pPr>
              <w:pStyle w:val="TableParagraph"/>
              <w:spacing w:line="319" w:lineRule="auto" w:before="76"/>
              <w:ind w:left="20" w:right="89"/>
              <w:jc w:val="left"/>
              <w:rPr>
                <w:rFonts w:ascii="宋体" w:hAnsi="宋体" w:cs="宋体" w:eastAsia="宋体" w:hint="default"/>
                <w:sz w:val="18"/>
                <w:szCs w:val="18"/>
              </w:rPr>
            </w:pPr>
            <w:r>
              <w:rPr>
                <w:rFonts w:ascii="宋体" w:hAnsi="宋体" w:cs="宋体" w:eastAsia="宋体" w:hint="default"/>
                <w:sz w:val="18"/>
                <w:szCs w:val="18"/>
              </w:rPr>
              <w:t>日完成工商登 记</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0" w:right="19"/>
              <w:jc w:val="left"/>
              <w:rPr>
                <w:rFonts w:ascii="宋体" w:hAnsi="宋体" w:cs="宋体" w:eastAsia="宋体" w:hint="default"/>
                <w:sz w:val="18"/>
                <w:szCs w:val="18"/>
              </w:rPr>
            </w:pPr>
            <w:r>
              <w:rPr>
                <w:rFonts w:ascii="宋体" w:hAnsi="宋体" w:cs="宋体" w:eastAsia="宋体" w:hint="default"/>
                <w:sz w:val="18"/>
                <w:szCs w:val="18"/>
              </w:rPr>
              <w:t>有利于完善 公司产业布 </w:t>
            </w:r>
            <w:r>
              <w:rPr>
                <w:rFonts w:ascii="宋体" w:hAnsi="宋体" w:cs="宋体" w:eastAsia="宋体" w:hint="default"/>
                <w:spacing w:val="-13"/>
                <w:sz w:val="18"/>
                <w:szCs w:val="18"/>
              </w:rPr>
              <w:t>局，切入空气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健康领域</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o.com.cn2 014</w:t>
            </w:r>
            <w:r>
              <w:rPr>
                <w:rFonts w:ascii="宋体" w:hAnsi="宋体" w:cs="宋体" w:eastAsia="宋体" w:hint="default"/>
                <w:spacing w:val="-46"/>
                <w:sz w:val="18"/>
                <w:szCs w:val="18"/>
              </w:rPr>
              <w:t> </w:t>
            </w:r>
            <w:r>
              <w:rPr>
                <w:rFonts w:ascii="宋体" w:hAnsi="宋体" w:cs="宋体" w:eastAsia="宋体" w:hint="default"/>
                <w:sz w:val="18"/>
                <w:szCs w:val="18"/>
              </w:rPr>
              <w:t>年度 报告</w:t>
            </w:r>
          </w:p>
        </w:tc>
      </w:tr>
      <w:tr>
        <w:trPr>
          <w:trHeight w:val="2247" w:hRule="exact"/>
        </w:trPr>
        <w:tc>
          <w:tcPr>
            <w:tcW w:w="865"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3" w:right="107"/>
              <w:jc w:val="both"/>
              <w:rPr>
                <w:rFonts w:ascii="宋体" w:hAnsi="宋体" w:cs="宋体" w:eastAsia="宋体" w:hint="default"/>
                <w:sz w:val="18"/>
                <w:szCs w:val="18"/>
              </w:rPr>
            </w:pPr>
            <w:r>
              <w:rPr>
                <w:rFonts w:ascii="宋体" w:hAnsi="宋体" w:cs="宋体" w:eastAsia="宋体" w:hint="default"/>
                <w:sz w:val="18"/>
                <w:szCs w:val="18"/>
              </w:rPr>
              <w:t>河南汉威 电子股份 有限公司 等、郑州 高新投资 建设集团 有限公司</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20" w:right="113"/>
              <w:jc w:val="both"/>
              <w:rPr>
                <w:rFonts w:ascii="宋体" w:hAnsi="宋体" w:cs="宋体" w:eastAsia="宋体" w:hint="default"/>
                <w:sz w:val="18"/>
                <w:szCs w:val="18"/>
              </w:rPr>
            </w:pPr>
            <w:r>
              <w:rPr>
                <w:rFonts w:ascii="宋体" w:hAnsi="宋体" w:cs="宋体" w:eastAsia="宋体" w:hint="default"/>
                <w:sz w:val="18"/>
                <w:szCs w:val="18"/>
              </w:rPr>
              <w:t>郑州汉威 公用事业 科技有限 公司</w:t>
            </w:r>
            <w:r>
              <w:rPr>
                <w:rFonts w:ascii="宋体" w:hAnsi="宋体" w:cs="宋体" w:eastAsia="宋体" w:hint="default"/>
                <w:spacing w:val="-46"/>
                <w:sz w:val="18"/>
                <w:szCs w:val="18"/>
              </w:rPr>
              <w:t> </w:t>
            </w:r>
            <w:r>
              <w:rPr>
                <w:rFonts w:ascii="宋体" w:hAnsi="宋体" w:cs="宋体" w:eastAsia="宋体" w:hint="default"/>
                <w:sz w:val="18"/>
                <w:szCs w:val="18"/>
              </w:rPr>
              <w:t>65% </w:t>
            </w:r>
            <w:r>
              <w:rPr>
                <w:rFonts w:ascii="宋体" w:hAnsi="宋体" w:cs="宋体" w:eastAsia="宋体" w:hint="default"/>
                <w:sz w:val="18"/>
                <w:szCs w:val="18"/>
              </w:rPr>
              <w:t>股权</w:t>
            </w:r>
          </w:p>
        </w:tc>
        <w:tc>
          <w:tcPr>
            <w:tcW w:w="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sz w:val="18"/>
              </w:rPr>
              <w:t>29,54</w:t>
            </w:r>
          </w:p>
          <w:p>
            <w:pPr>
              <w:pStyle w:val="TableParagraph"/>
              <w:spacing w:line="240" w:lineRule="auto" w:before="76"/>
              <w:ind w:left="137" w:right="0"/>
              <w:jc w:val="left"/>
              <w:rPr>
                <w:rFonts w:ascii="宋体" w:hAnsi="宋体" w:cs="宋体" w:eastAsia="宋体" w:hint="default"/>
                <w:sz w:val="18"/>
                <w:szCs w:val="18"/>
              </w:rPr>
            </w:pPr>
            <w:r>
              <w:rPr>
                <w:rFonts w:ascii="宋体"/>
                <w:sz w:val="18"/>
              </w:rPr>
              <w:t>0.69</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30</w:t>
            </w:r>
          </w:p>
          <w:p>
            <w:pPr>
              <w:pStyle w:val="TableParagraph"/>
              <w:spacing w:line="319" w:lineRule="auto" w:before="75"/>
              <w:ind w:left="20" w:right="89"/>
              <w:jc w:val="left"/>
              <w:rPr>
                <w:rFonts w:ascii="宋体" w:hAnsi="宋体" w:cs="宋体" w:eastAsia="宋体" w:hint="default"/>
                <w:sz w:val="18"/>
                <w:szCs w:val="18"/>
              </w:rPr>
            </w:pPr>
            <w:r>
              <w:rPr>
                <w:rFonts w:ascii="宋体" w:hAnsi="宋体" w:cs="宋体" w:eastAsia="宋体" w:hint="default"/>
                <w:sz w:val="18"/>
                <w:szCs w:val="18"/>
              </w:rPr>
              <w:t>日完成工商登 记</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0" w:right="19"/>
              <w:jc w:val="left"/>
              <w:rPr>
                <w:rFonts w:ascii="宋体" w:hAnsi="宋体" w:cs="宋体" w:eastAsia="宋体" w:hint="default"/>
                <w:sz w:val="18"/>
                <w:szCs w:val="18"/>
              </w:rPr>
            </w:pPr>
            <w:r>
              <w:rPr>
                <w:rFonts w:ascii="宋体" w:hAnsi="宋体" w:cs="宋体" w:eastAsia="宋体" w:hint="default"/>
                <w:sz w:val="18"/>
                <w:szCs w:val="18"/>
              </w:rPr>
              <w:t>有助于增加 在智慧市政 </w:t>
            </w:r>
            <w:r>
              <w:rPr>
                <w:rFonts w:ascii="宋体" w:hAnsi="宋体" w:cs="宋体" w:eastAsia="宋体" w:hint="default"/>
                <w:spacing w:val="-13"/>
                <w:sz w:val="18"/>
                <w:szCs w:val="18"/>
              </w:rPr>
              <w:t>工业安全、公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用事业等行 业的市场份 </w:t>
            </w:r>
            <w:r>
              <w:rPr>
                <w:rFonts w:ascii="宋体" w:hAnsi="宋体" w:cs="宋体" w:eastAsia="宋体" w:hint="default"/>
                <w:spacing w:val="-13"/>
                <w:sz w:val="18"/>
                <w:szCs w:val="18"/>
              </w:rPr>
              <w:t>额，增强物联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网核心竞争</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13"/>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 </w:t>
            </w:r>
            <w:r>
              <w:rPr>
                <w:rFonts w:ascii="宋体" w:hAnsi="宋体" w:cs="宋体" w:eastAsia="宋体" w:hint="default"/>
                <w:sz w:val="18"/>
                <w:szCs w:val="18"/>
              </w:rPr>
              <w:t>公告编号 为</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tabs>
          <w:tab w:pos="3655" w:val="left" w:leader="none"/>
          <w:tab w:pos="9596" w:val="right" w:leader="none"/>
        </w:tabs>
        <w:spacing w:before="184"/>
        <w:ind w:left="181" w:right="0" w:firstLine="0"/>
        <w:jc w:val="left"/>
        <w:rPr>
          <w:rFonts w:ascii="宋体" w:hAnsi="宋体" w:cs="宋体" w:eastAsia="宋体" w:hint="default"/>
          <w:sz w:val="18"/>
          <w:szCs w:val="18"/>
        </w:rPr>
      </w:pPr>
      <w:r>
        <w:rPr/>
        <w:pict>
          <v:group style="position:absolute;margin-left:55.919998pt;margin-top:6.361726pt;width:479.7pt;height:410.8pt;mso-position-horizontal-relative:page;mso-position-vertical-relative:paragraph;z-index:-910600" coordorigin="1118,127" coordsize="9594,8216">
            <v:group style="position:absolute;left:1148;top:157;width:843;height:2" coordorigin="1148,157" coordsize="843,2">
              <v:shape style="position:absolute;left:1148;top:157;width:843;height:2" coordorigin="1148,157" coordsize="843,0" path="m1148,157l1991,157e" filled="false" stroked="true" strokeweight="1.5pt" strokecolor="#000000">
                <v:path arrowok="t"/>
              </v:shape>
            </v:group>
            <v:group style="position:absolute;left:1991;top:157;width:30;height:2" coordorigin="1991,157" coordsize="30,2">
              <v:shape style="position:absolute;left:1991;top:157;width:30;height:2" coordorigin="1991,157" coordsize="30,0" path="m1991,157l2021,157e" filled="false" stroked="true" strokeweight="1.5pt" strokecolor="#000000">
                <v:path arrowok="t"/>
              </v:shape>
            </v:group>
            <v:group style="position:absolute;left:2021;top:157;width:840;height:2" coordorigin="2021,157" coordsize="840,2">
              <v:shape style="position:absolute;left:2021;top:157;width:840;height:2" coordorigin="2021,157" coordsize="840,0" path="m2021,157l2861,157e" filled="false" stroked="true" strokeweight="1.5pt" strokecolor="#000000">
                <v:path arrowok="t"/>
              </v:shape>
            </v:group>
            <v:group style="position:absolute;left:2861;top:157;width:30;height:2" coordorigin="2861,157" coordsize="30,2">
              <v:shape style="position:absolute;left:2861;top:157;width:30;height:2" coordorigin="2861,157" coordsize="30,0" path="m2861,157l2891,157e" filled="false" stroked="true" strokeweight="1.5pt" strokecolor="#000000">
                <v:path arrowok="t"/>
              </v:shape>
            </v:group>
            <v:group style="position:absolute;left:2891;top:157;width:504;height:2" coordorigin="2891,157" coordsize="504,2">
              <v:shape style="position:absolute;left:2891;top:157;width:504;height:2" coordorigin="2891,157" coordsize="504,0" path="m2891,157l3395,157e" filled="false" stroked="true" strokeweight="1.5pt" strokecolor="#000000">
                <v:path arrowok="t"/>
              </v:shape>
            </v:group>
            <v:group style="position:absolute;left:3395;top:157;width:30;height:2" coordorigin="3395,157" coordsize="30,2">
              <v:shape style="position:absolute;left:3395;top:157;width:30;height:2" coordorigin="3395,157" coordsize="30,0" path="m3395,157l3425,157e" filled="false" stroked="true" strokeweight="1.5pt" strokecolor="#000000">
                <v:path arrowok="t"/>
              </v:shape>
            </v:group>
            <v:group style="position:absolute;left:3425;top:157;width:1176;height:2" coordorigin="3425,157" coordsize="1176,2">
              <v:shape style="position:absolute;left:3425;top:157;width:1176;height:2" coordorigin="3425,157" coordsize="1176,0" path="m3425,157l4601,157e" filled="false" stroked="true" strokeweight="1.5pt" strokecolor="#000000">
                <v:path arrowok="t"/>
              </v:shape>
            </v:group>
            <v:group style="position:absolute;left:4601;top:157;width:30;height:2" coordorigin="4601,157" coordsize="30,2">
              <v:shape style="position:absolute;left:4601;top:157;width:30;height:2" coordorigin="4601,157" coordsize="30,0" path="m4601,157l4631,157e" filled="false" stroked="true" strokeweight="1.5pt" strokecolor="#000000">
                <v:path arrowok="t"/>
              </v:shape>
            </v:group>
            <v:group style="position:absolute;left:4631;top:157;width:1033;height:2" coordorigin="4631,157" coordsize="1033,2">
              <v:shape style="position:absolute;left:4631;top:157;width:1033;height:2" coordorigin="4631,157" coordsize="1033,0" path="m4631,157l5664,157e" filled="false" stroked="true" strokeweight="1.5pt" strokecolor="#000000">
                <v:path arrowok="t"/>
              </v:shape>
            </v:group>
            <v:group style="position:absolute;left:5664;top:157;width:30;height:2" coordorigin="5664,157" coordsize="30,2">
              <v:shape style="position:absolute;left:5664;top:157;width:30;height:2" coordorigin="5664,157" coordsize="30,0" path="m5664,157l5694,157e" filled="false" stroked="true" strokeweight="1.5pt" strokecolor="#000000">
                <v:path arrowok="t"/>
              </v:shape>
            </v:group>
            <v:group style="position:absolute;left:5694;top:157;width:647;height:2" coordorigin="5694,157" coordsize="647,2">
              <v:shape style="position:absolute;left:5694;top:157;width:647;height:2" coordorigin="5694,157" coordsize="647,0" path="m5694,157l6340,157e" filled="false" stroked="true" strokeweight="1.5pt" strokecolor="#000000">
                <v:path arrowok="t"/>
              </v:shape>
            </v:group>
            <v:group style="position:absolute;left:6340;top:157;width:30;height:2" coordorigin="6340,157" coordsize="30,2">
              <v:shape style="position:absolute;left:6340;top:157;width:30;height:2" coordorigin="6340,157" coordsize="30,0" path="m6340,157l6370,157e" filled="false" stroked="true" strokeweight="1.5pt" strokecolor="#000000">
                <v:path arrowok="t"/>
              </v:shape>
            </v:group>
            <v:group style="position:absolute;left:6370;top:157;width:840;height:2" coordorigin="6370,157" coordsize="840,2">
              <v:shape style="position:absolute;left:6370;top:157;width:840;height:2" coordorigin="6370,157" coordsize="840,0" path="m6370,157l7210,157e" filled="false" stroked="true" strokeweight="1.5pt" strokecolor="#000000">
                <v:path arrowok="t"/>
              </v:shape>
            </v:group>
            <v:group style="position:absolute;left:7210;top:157;width:30;height:2" coordorigin="7210,157" coordsize="30,2">
              <v:shape style="position:absolute;left:7210;top:157;width:30;height:2" coordorigin="7210,157" coordsize="30,0" path="m7210,157l7240,157e" filled="false" stroked="true" strokeweight="1.5pt" strokecolor="#000000">
                <v:path arrowok="t"/>
              </v:shape>
            </v:group>
            <v:group style="position:absolute;left:7240;top:157;width:840;height:2" coordorigin="7240,157" coordsize="840,2">
              <v:shape style="position:absolute;left:7240;top:157;width:840;height:2" coordorigin="7240,157" coordsize="840,0" path="m7240,157l8080,157e" filled="false" stroked="true" strokeweight="1.5pt" strokecolor="#000000">
                <v:path arrowok="t"/>
              </v:shape>
            </v:group>
            <v:group style="position:absolute;left:8080;top:157;width:30;height:2" coordorigin="8080,157" coordsize="30,2">
              <v:shape style="position:absolute;left:8080;top:157;width:30;height:2" coordorigin="8080,157" coordsize="30,0" path="m8080,157l8110,157e" filled="false" stroked="true" strokeweight="1.5pt" strokecolor="#000000">
                <v:path arrowok="t"/>
              </v:shape>
            </v:group>
            <v:group style="position:absolute;left:8110;top:157;width:841;height:2" coordorigin="8110,157" coordsize="841,2">
              <v:shape style="position:absolute;left:8110;top:157;width:841;height:2" coordorigin="8110,157" coordsize="841,0" path="m8110,157l8951,157e" filled="false" stroked="true" strokeweight="1.5pt" strokecolor="#000000">
                <v:path arrowok="t"/>
              </v:shape>
            </v:group>
            <v:group style="position:absolute;left:8951;top:157;width:30;height:2" coordorigin="8951,157" coordsize="30,2">
              <v:shape style="position:absolute;left:8951;top:157;width:30;height:2" coordorigin="8951,157" coordsize="30,0" path="m8951,157l8981,157e" filled="false" stroked="true" strokeweight="1.5pt" strokecolor="#000000">
                <v:path arrowok="t"/>
              </v:shape>
            </v:group>
            <v:group style="position:absolute;left:8981;top:157;width:840;height:2" coordorigin="8981,157" coordsize="840,2">
              <v:shape style="position:absolute;left:8981;top:157;width:840;height:2" coordorigin="8981,157" coordsize="840,0" path="m8981,157l9821,157e" filled="false" stroked="true" strokeweight="1.5pt" strokecolor="#000000">
                <v:path arrowok="t"/>
              </v:shape>
            </v:group>
            <v:group style="position:absolute;left:9821;top:157;width:30;height:2" coordorigin="9821,157" coordsize="30,2">
              <v:shape style="position:absolute;left:9821;top:157;width:30;height:2" coordorigin="9821,157" coordsize="30,0" path="m9821,157l9851,157e" filled="false" stroked="true" strokeweight="1.5pt" strokecolor="#000000">
                <v:path arrowok="t"/>
              </v:shape>
            </v:group>
            <v:group style="position:absolute;left:9851;top:157;width:832;height:2" coordorigin="9851,157" coordsize="832,2">
              <v:shape style="position:absolute;left:9851;top:157;width:832;height:2" coordorigin="9851,157" coordsize="832,0" path="m9851,157l10682,157e" filled="false" stroked="true" strokeweight="1.5pt" strokecolor="#000000">
                <v:path arrowok="t"/>
              </v:shape>
            </v:group>
            <v:group style="position:absolute;left:5678;top:539;width:663;height:1093" coordorigin="5678,539" coordsize="663,1093">
              <v:shape style="position:absolute;left:5678;top:539;width:663;height:1093" coordorigin="5678,539" coordsize="663,1093" path="m5678,1632l6340,1632,6340,539,5678,539,5678,1632xe" filled="true" fillcolor="#ffffff" stroked="false">
                <v:path arrowok="t"/>
                <v:fill type="solid"/>
              </v:shape>
            </v:group>
            <v:group style="position:absolute;left:5688;top:1632;width:2;height:392" coordorigin="5688,1632" coordsize="2,392">
              <v:shape style="position:absolute;left:5688;top:1632;width:2;height:392" coordorigin="5688,1632" coordsize="0,392" path="m5688,1632l5688,2023e" filled="false" stroked="true" strokeweight="1.02pt" strokecolor="#ffffff">
                <v:path arrowok="t"/>
              </v:shape>
            </v:group>
            <v:group style="position:absolute;left:1148;top:531;width:843;height:2" coordorigin="1148,531" coordsize="843,2">
              <v:shape style="position:absolute;left:1148;top:531;width:843;height:2" coordorigin="1148,531" coordsize="843,0" path="m1148,531l1991,531e" filled="false" stroked="true" strokeweight=".72pt" strokecolor="#000000">
                <v:path arrowok="t"/>
              </v:shape>
            </v:group>
            <v:group style="position:absolute;left:2006;top:531;width:856;height:2" coordorigin="2006,531" coordsize="856,2">
              <v:shape style="position:absolute;left:2006;top:531;width:856;height:2" coordorigin="2006,531" coordsize="856,0" path="m2006,531l2861,531e" filled="false" stroked="true" strokeweight=".72pt" strokecolor="#000000">
                <v:path arrowok="t"/>
              </v:shape>
            </v:group>
            <v:group style="position:absolute;left:2876;top:531;width:520;height:2" coordorigin="2876,531" coordsize="520,2">
              <v:shape style="position:absolute;left:2876;top:531;width:520;height:2" coordorigin="2876,531" coordsize="520,0" path="m2876,531l3395,531e" filled="false" stroked="true" strokeweight=".72pt" strokecolor="#000000">
                <v:path arrowok="t"/>
              </v:shape>
            </v:group>
            <v:group style="position:absolute;left:3410;top:531;width:1192;height:2" coordorigin="3410,531" coordsize="1192,2">
              <v:shape style="position:absolute;left:3410;top:531;width:1192;height:2" coordorigin="3410,531" coordsize="1192,0" path="m3410,531l4601,531e" filled="false" stroked="true" strokeweight=".72pt" strokecolor="#000000">
                <v:path arrowok="t"/>
              </v:shape>
            </v:group>
            <v:group style="position:absolute;left:4616;top:531;width:1048;height:2" coordorigin="4616,531" coordsize="1048,2">
              <v:shape style="position:absolute;left:4616;top:531;width:1048;height:2" coordorigin="4616,531" coordsize="1048,0" path="m4616,531l5664,531e" filled="false" stroked="true" strokeweight=".72pt" strokecolor="#000000">
                <v:path arrowok="t"/>
              </v:shape>
            </v:group>
            <v:group style="position:absolute;left:5678;top:531;width:663;height:2" coordorigin="5678,531" coordsize="663,2">
              <v:shape style="position:absolute;left:5678;top:531;width:663;height:2" coordorigin="5678,531" coordsize="663,0" path="m5678,531l6340,531e" filled="false" stroked="true" strokeweight=".72pt" strokecolor="#000000">
                <v:path arrowok="t"/>
              </v:shape>
            </v:group>
            <v:group style="position:absolute;left:6355;top:531;width:856;height:2" coordorigin="6355,531" coordsize="856,2">
              <v:shape style="position:absolute;left:6355;top:531;width:856;height:2" coordorigin="6355,531" coordsize="856,0" path="m6355,531l7210,531e" filled="false" stroked="true" strokeweight=".72pt" strokecolor="#000000">
                <v:path arrowok="t"/>
              </v:shape>
            </v:group>
            <v:group style="position:absolute;left:7225;top:531;width:856;height:2" coordorigin="7225,531" coordsize="856,2">
              <v:shape style="position:absolute;left:7225;top:531;width:856;height:2" coordorigin="7225,531" coordsize="856,0" path="m7225,531l8080,531e" filled="false" stroked="true" strokeweight=".72pt" strokecolor="#000000">
                <v:path arrowok="t"/>
              </v:shape>
            </v:group>
            <v:group style="position:absolute;left:8095;top:531;width:856;height:2" coordorigin="8095,531" coordsize="856,2">
              <v:shape style="position:absolute;left:8095;top:531;width:856;height:2" coordorigin="8095,531" coordsize="856,0" path="m8095,531l8951,531e" filled="false" stroked="true" strokeweight=".72pt" strokecolor="#000000">
                <v:path arrowok="t"/>
              </v:shape>
            </v:group>
            <v:group style="position:absolute;left:8965;top:531;width:856;height:2" coordorigin="8965,531" coordsize="856,2">
              <v:shape style="position:absolute;left:8965;top:531;width:856;height:2" coordorigin="8965,531" coordsize="856,0" path="m8965,531l9821,531e" filled="false" stroked="true" strokeweight=".72pt" strokecolor="#000000">
                <v:path arrowok="t"/>
              </v:shape>
            </v:group>
            <v:group style="position:absolute;left:9835;top:531;width:848;height:2" coordorigin="9835,531" coordsize="848,2">
              <v:shape style="position:absolute;left:9835;top:531;width:848;height:2" coordorigin="9835,531" coordsize="848,0" path="m9835,531l10682,531e" filled="false" stroked="true" strokeweight=".72pt" strokecolor="#000000">
                <v:path arrowok="t"/>
              </v:shape>
            </v:group>
            <v:group style="position:absolute;left:5678;top:3131;width:663;height:1092" coordorigin="5678,3131" coordsize="663,1092">
              <v:shape style="position:absolute;left:5678;top:3131;width:663;height:1092" coordorigin="5678,3131" coordsize="663,1092" path="m5678,4223l6340,4223,6340,3131,5678,3131,5678,4223xe" filled="true" fillcolor="#ffffff" stroked="false">
                <v:path arrowok="t"/>
                <v:fill type="solid"/>
              </v:shape>
            </v:group>
            <v:group style="position:absolute;left:5688;top:4223;width:2;height:393" coordorigin="5688,4223" coordsize="2,393">
              <v:shape style="position:absolute;left:5688;top:4223;width:2;height:393" coordorigin="5688,4223" coordsize="0,393" path="m5688,4223l5688,4615e" filled="false" stroked="true" strokeweight="1.02pt" strokecolor="#ffffff">
                <v:path arrowok="t"/>
              </v:shape>
            </v:group>
            <v:group style="position:absolute;left:1148;top:3122;width:843;height:2" coordorigin="1148,3122" coordsize="843,2">
              <v:shape style="position:absolute;left:1148;top:3122;width:843;height:2" coordorigin="1148,3122" coordsize="843,0" path="m1148,3122l1991,3122e" filled="false" stroked="true" strokeweight=".72pt" strokecolor="#000000">
                <v:path arrowok="t"/>
              </v:shape>
            </v:group>
            <v:group style="position:absolute;left:2006;top:3122;width:856;height:2" coordorigin="2006,3122" coordsize="856,2">
              <v:shape style="position:absolute;left:2006;top:3122;width:856;height:2" coordorigin="2006,3122" coordsize="856,0" path="m2006,3122l2861,3122e" filled="false" stroked="true" strokeweight=".72pt" strokecolor="#000000">
                <v:path arrowok="t"/>
              </v:shape>
            </v:group>
            <v:group style="position:absolute;left:2876;top:3122;width:520;height:2" coordorigin="2876,3122" coordsize="520,2">
              <v:shape style="position:absolute;left:2876;top:3122;width:520;height:2" coordorigin="2876,3122" coordsize="520,0" path="m2876,3122l3395,3122e" filled="false" stroked="true" strokeweight=".72pt" strokecolor="#000000">
                <v:path arrowok="t"/>
              </v:shape>
            </v:group>
            <v:group style="position:absolute;left:3410;top:3122;width:1192;height:2" coordorigin="3410,3122" coordsize="1192,2">
              <v:shape style="position:absolute;left:3410;top:3122;width:1192;height:2" coordorigin="3410,3122" coordsize="1192,0" path="m3410,3122l4601,3122e" filled="false" stroked="true" strokeweight=".72pt" strokecolor="#000000">
                <v:path arrowok="t"/>
              </v:shape>
            </v:group>
            <v:group style="position:absolute;left:4616;top:3122;width:1048;height:2" coordorigin="4616,3122" coordsize="1048,2">
              <v:shape style="position:absolute;left:4616;top:3122;width:1048;height:2" coordorigin="4616,3122" coordsize="1048,0" path="m4616,3122l5664,3122e" filled="false" stroked="true" strokeweight=".72pt" strokecolor="#000000">
                <v:path arrowok="t"/>
              </v:shape>
            </v:group>
            <v:group style="position:absolute;left:5678;top:3122;width:663;height:2" coordorigin="5678,3122" coordsize="663,2">
              <v:shape style="position:absolute;left:5678;top:3122;width:663;height:2" coordorigin="5678,3122" coordsize="663,0" path="m5678,3122l6340,3122e" filled="false" stroked="true" strokeweight=".72pt" strokecolor="#000000">
                <v:path arrowok="t"/>
              </v:shape>
            </v:group>
            <v:group style="position:absolute;left:6355;top:3122;width:856;height:2" coordorigin="6355,3122" coordsize="856,2">
              <v:shape style="position:absolute;left:6355;top:3122;width:856;height:2" coordorigin="6355,3122" coordsize="856,0" path="m6355,3122l7210,3122e" filled="false" stroked="true" strokeweight=".72pt" strokecolor="#000000">
                <v:path arrowok="t"/>
              </v:shape>
            </v:group>
            <v:group style="position:absolute;left:7225;top:3122;width:856;height:2" coordorigin="7225,3122" coordsize="856,2">
              <v:shape style="position:absolute;left:7225;top:3122;width:856;height:2" coordorigin="7225,3122" coordsize="856,0" path="m7225,3122l8080,3122e" filled="false" stroked="true" strokeweight=".72pt" strokecolor="#000000">
                <v:path arrowok="t"/>
              </v:shape>
            </v:group>
            <v:group style="position:absolute;left:8095;top:3122;width:856;height:2" coordorigin="8095,3122" coordsize="856,2">
              <v:shape style="position:absolute;left:8095;top:3122;width:856;height:2" coordorigin="8095,3122" coordsize="856,0" path="m8095,3122l8951,3122e" filled="false" stroked="true" strokeweight=".72pt" strokecolor="#000000">
                <v:path arrowok="t"/>
              </v:shape>
            </v:group>
            <v:group style="position:absolute;left:8965;top:3122;width:856;height:2" coordorigin="8965,3122" coordsize="856,2">
              <v:shape style="position:absolute;left:8965;top:3122;width:856;height:2" coordorigin="8965,3122" coordsize="856,0" path="m8965,3122l9821,3122e" filled="false" stroked="true" strokeweight=".72pt" strokecolor="#000000">
                <v:path arrowok="t"/>
              </v:shape>
            </v:group>
            <v:group style="position:absolute;left:9835;top:3122;width:848;height:2" coordorigin="9835,3122" coordsize="848,2">
              <v:shape style="position:absolute;left:9835;top:3122;width:848;height:2" coordorigin="9835,3122" coordsize="848,0" path="m9835,3122l10682,3122e" filled="false" stroked="true" strokeweight=".72pt" strokecolor="#000000">
                <v:path arrowok="t"/>
              </v:shape>
            </v:group>
            <v:group style="position:absolute;left:1148;top:5714;width:843;height:2" coordorigin="1148,5714" coordsize="843,2">
              <v:shape style="position:absolute;left:1148;top:5714;width:843;height:2" coordorigin="1148,5714" coordsize="843,0" path="m1148,5714l1991,5714e" filled="false" stroked="true" strokeweight=".72pt" strokecolor="#000000">
                <v:path arrowok="t"/>
              </v:shape>
            </v:group>
            <v:group style="position:absolute;left:2006;top:5714;width:856;height:2" coordorigin="2006,5714" coordsize="856,2">
              <v:shape style="position:absolute;left:2006;top:5714;width:856;height:2" coordorigin="2006,5714" coordsize="856,0" path="m2006,5714l2861,5714e" filled="false" stroked="true" strokeweight=".72pt" strokecolor="#000000">
                <v:path arrowok="t"/>
              </v:shape>
            </v:group>
            <v:group style="position:absolute;left:2876;top:5714;width:520;height:2" coordorigin="2876,5714" coordsize="520,2">
              <v:shape style="position:absolute;left:2876;top:5714;width:520;height:2" coordorigin="2876,5714" coordsize="520,0" path="m2876,5714l3395,5714e" filled="false" stroked="true" strokeweight=".72pt" strokecolor="#000000">
                <v:path arrowok="t"/>
              </v:shape>
            </v:group>
            <v:group style="position:absolute;left:3410;top:5714;width:1192;height:2" coordorigin="3410,5714" coordsize="1192,2">
              <v:shape style="position:absolute;left:3410;top:5714;width:1192;height:2" coordorigin="3410,5714" coordsize="1192,0" path="m3410,5714l4601,5714e" filled="false" stroked="true" strokeweight=".72pt" strokecolor="#000000">
                <v:path arrowok="t"/>
              </v:shape>
            </v:group>
            <v:group style="position:absolute;left:4616;top:5714;width:1048;height:2" coordorigin="4616,5714" coordsize="1048,2">
              <v:shape style="position:absolute;left:4616;top:5714;width:1048;height:2" coordorigin="4616,5714" coordsize="1048,0" path="m4616,5714l5664,5714e" filled="false" stroked="true" strokeweight=".72pt" strokecolor="#000000">
                <v:path arrowok="t"/>
              </v:shape>
            </v:group>
            <v:group style="position:absolute;left:5678;top:5714;width:663;height:2" coordorigin="5678,5714" coordsize="663,2">
              <v:shape style="position:absolute;left:5678;top:5714;width:663;height:2" coordorigin="5678,5714" coordsize="663,0" path="m5678,5714l6340,5714e" filled="false" stroked="true" strokeweight=".72pt" strokecolor="#000000">
                <v:path arrowok="t"/>
              </v:shape>
            </v:group>
            <v:group style="position:absolute;left:6355;top:5714;width:856;height:2" coordorigin="6355,5714" coordsize="856,2">
              <v:shape style="position:absolute;left:6355;top:5714;width:856;height:2" coordorigin="6355,5714" coordsize="856,0" path="m6355,5714l7210,5714e" filled="false" stroked="true" strokeweight=".72pt" strokecolor="#000000">
                <v:path arrowok="t"/>
              </v:shape>
            </v:group>
            <v:group style="position:absolute;left:7225;top:5714;width:856;height:2" coordorigin="7225,5714" coordsize="856,2">
              <v:shape style="position:absolute;left:7225;top:5714;width:856;height:2" coordorigin="7225,5714" coordsize="856,0" path="m7225,5714l8080,5714e" filled="false" stroked="true" strokeweight=".72pt" strokecolor="#000000">
                <v:path arrowok="t"/>
              </v:shape>
            </v:group>
            <v:group style="position:absolute;left:8095;top:5714;width:856;height:2" coordorigin="8095,5714" coordsize="856,2">
              <v:shape style="position:absolute;left:8095;top:5714;width:856;height:2" coordorigin="8095,5714" coordsize="856,0" path="m8095,5714l8951,5714e" filled="false" stroked="true" strokeweight=".72pt" strokecolor="#000000">
                <v:path arrowok="t"/>
              </v:shape>
            </v:group>
            <v:group style="position:absolute;left:8965;top:5714;width:856;height:2" coordorigin="8965,5714" coordsize="856,2">
              <v:shape style="position:absolute;left:8965;top:5714;width:856;height:2" coordorigin="8965,5714" coordsize="856,0" path="m8965,5714l9821,5714e" filled="false" stroked="true" strokeweight=".72pt" strokecolor="#000000">
                <v:path arrowok="t"/>
              </v:shape>
            </v:group>
            <v:group style="position:absolute;left:9835;top:5714;width:848;height:2" coordorigin="9835,5714" coordsize="848,2">
              <v:shape style="position:absolute;left:9835;top:5714;width:848;height:2" coordorigin="9835,5714" coordsize="848,0" path="m9835,5714l10682,5714e" filled="false" stroked="true" strokeweight=".72pt" strokecolor="#000000">
                <v:path arrowok="t"/>
              </v:shape>
            </v:group>
            <v:group style="position:absolute;left:1133;top:142;width:2;height:8186" coordorigin="1133,142" coordsize="2,8186">
              <v:shape style="position:absolute;left:1133;top:142;width:2;height:8186" coordorigin="1133,142" coordsize="0,8186" path="m1133,142l1133,8328e" filled="false" stroked="true" strokeweight="1.5pt" strokecolor="#000000">
                <v:path arrowok="t"/>
              </v:shape>
            </v:group>
            <v:group style="position:absolute;left:1148;top:8313;width:843;height:2" coordorigin="1148,8313" coordsize="843,2">
              <v:shape style="position:absolute;left:1148;top:8313;width:843;height:2" coordorigin="1148,8313" coordsize="843,0" path="m1148,8313l1991,8313e" filled="false" stroked="true" strokeweight="1.5pt" strokecolor="#000000">
                <v:path arrowok="t"/>
              </v:shape>
            </v:group>
            <v:group style="position:absolute;left:2016;top:1163;width:2;height:1328" coordorigin="2016,1163" coordsize="2,1328">
              <v:shape style="position:absolute;left:2016;top:1163;width:2;height:1328" coordorigin="2016,1163" coordsize="0,1328" path="m2016,1163l2016,2491e" filled="false" stroked="true" strokeweight="1.02pt" strokecolor="#ffffff">
                <v:path arrowok="t"/>
              </v:shape>
            </v:group>
            <v:group style="position:absolute;left:2026;top:2139;width:815;height:352" coordorigin="2026,2139" coordsize="815,352">
              <v:shape style="position:absolute;left:2026;top:2139;width:815;height:352" coordorigin="2026,2139" coordsize="815,352" path="m2026,2491l2841,2491,2841,2139,2026,2139,2026,2491xe" filled="true" fillcolor="#ffffff" stroked="false">
                <v:path arrowok="t"/>
                <v:fill type="solid"/>
              </v:shape>
            </v:group>
            <v:group style="position:absolute;left:1998;top:172;width:2;height:8126" coordorigin="1998,172" coordsize="2,8126">
              <v:shape style="position:absolute;left:1998;top:172;width:2;height:8126" coordorigin="1998,172" coordsize="0,8126" path="m1998,172l1998,8298e" filled="false" stroked="true" strokeweight=".72pt" strokecolor="#000000">
                <v:path arrowok="t"/>
              </v:shape>
            </v:group>
            <v:group style="position:absolute;left:1991;top:8313;width:30;height:2" coordorigin="1991,8313" coordsize="30,2">
              <v:shape style="position:absolute;left:1991;top:8313;width:30;height:2" coordorigin="1991,8313" coordsize="30,0" path="m1991,8313l2021,8313e" filled="false" stroked="true" strokeweight="1.5pt" strokecolor="#000000">
                <v:path arrowok="t"/>
              </v:shape>
            </v:group>
            <v:group style="position:absolute;left:2021;top:8313;width:840;height:2" coordorigin="2021,8313" coordsize="840,2">
              <v:shape style="position:absolute;left:2021;top:8313;width:840;height:2" coordorigin="2021,8313" coordsize="840,0" path="m2021,8313l2861,8313e" filled="false" stroked="true" strokeweight="1.5pt" strokecolor="#000000">
                <v:path arrowok="t"/>
              </v:shape>
            </v:group>
            <v:group style="position:absolute;left:2868;top:172;width:2;height:8126" coordorigin="2868,172" coordsize="2,8126">
              <v:shape style="position:absolute;left:2868;top:172;width:2;height:8126" coordorigin="2868,172" coordsize="0,8126" path="m2868,172l2868,8298e" filled="false" stroked="true" strokeweight=".72pt" strokecolor="#000000">
                <v:path arrowok="t"/>
              </v:shape>
            </v:group>
            <v:group style="position:absolute;left:2861;top:8313;width:30;height:2" coordorigin="2861,8313" coordsize="30,2">
              <v:shape style="position:absolute;left:2861;top:8313;width:30;height:2" coordorigin="2861,8313" coordsize="30,0" path="m2861,8313l2891,8313e" filled="false" stroked="true" strokeweight="1.5pt" strokecolor="#000000">
                <v:path arrowok="t"/>
              </v:shape>
            </v:group>
            <v:group style="position:absolute;left:2891;top:8313;width:504;height:2" coordorigin="2891,8313" coordsize="504,2">
              <v:shape style="position:absolute;left:2891;top:8313;width:504;height:2" coordorigin="2891,8313" coordsize="504,0" path="m2891,8313l3395,8313e" filled="false" stroked="true" strokeweight="1.5pt" strokecolor="#000000">
                <v:path arrowok="t"/>
              </v:shape>
            </v:group>
            <v:group style="position:absolute;left:3402;top:172;width:2;height:8126" coordorigin="3402,172" coordsize="2,8126">
              <v:shape style="position:absolute;left:3402;top:172;width:2;height:8126" coordorigin="3402,172" coordsize="0,8126" path="m3402,172l3402,8298e" filled="false" stroked="true" strokeweight=".72pt" strokecolor="#000000">
                <v:path arrowok="t"/>
              </v:shape>
            </v:group>
            <v:group style="position:absolute;left:3395;top:8313;width:30;height:2" coordorigin="3395,8313" coordsize="30,2">
              <v:shape style="position:absolute;left:3395;top:8313;width:30;height:2" coordorigin="3395,8313" coordsize="30,0" path="m3395,8313l3425,8313e" filled="false" stroked="true" strokeweight="1.5pt" strokecolor="#000000">
                <v:path arrowok="t"/>
              </v:shape>
            </v:group>
            <v:group style="position:absolute;left:3425;top:8313;width:1176;height:2" coordorigin="3425,8313" coordsize="1176,2">
              <v:shape style="position:absolute;left:3425;top:8313;width:1176;height:2" coordorigin="3425,8313" coordsize="1176,0" path="m3425,8313l4601,8313e" filled="false" stroked="true" strokeweight="1.5pt" strokecolor="#000000">
                <v:path arrowok="t"/>
              </v:shape>
            </v:group>
            <v:group style="position:absolute;left:4608;top:172;width:2;height:8126" coordorigin="4608,172" coordsize="2,8126">
              <v:shape style="position:absolute;left:4608;top:172;width:2;height:8126" coordorigin="4608,172" coordsize="0,8126" path="m4608,172l4608,8298e" filled="false" stroked="true" strokeweight=".72pt" strokecolor="#000000">
                <v:path arrowok="t"/>
              </v:shape>
            </v:group>
            <v:group style="position:absolute;left:4601;top:8313;width:30;height:2" coordorigin="4601,8313" coordsize="30,2">
              <v:shape style="position:absolute;left:4601;top:8313;width:30;height:2" coordorigin="4601,8313" coordsize="30,0" path="m4601,8313l4631,8313e" filled="false" stroked="true" strokeweight="1.5pt" strokecolor="#000000">
                <v:path arrowok="t"/>
              </v:shape>
            </v:group>
            <v:group style="position:absolute;left:4631;top:8313;width:1033;height:2" coordorigin="4631,8313" coordsize="1033,2">
              <v:shape style="position:absolute;left:4631;top:8313;width:1033;height:2" coordorigin="4631,8313" coordsize="1033,0" path="m4631,8313l5664,8313e" filled="false" stroked="true" strokeweight="1.5pt" strokecolor="#000000">
                <v:path arrowok="t"/>
              </v:shape>
            </v:group>
            <v:group style="position:absolute;left:5671;top:172;width:2;height:8126" coordorigin="5671,172" coordsize="2,8126">
              <v:shape style="position:absolute;left:5671;top:172;width:2;height:8126" coordorigin="5671,172" coordsize="0,8126" path="m5671,172l5671,8298e" filled="false" stroked="true" strokeweight=".72pt" strokecolor="#000000">
                <v:path arrowok="t"/>
              </v:shape>
            </v:group>
            <v:group style="position:absolute;left:5664;top:8313;width:30;height:2" coordorigin="5664,8313" coordsize="30,2">
              <v:shape style="position:absolute;left:5664;top:8313;width:30;height:2" coordorigin="5664,8313" coordsize="30,0" path="m5664,8313l5694,8313e" filled="false" stroked="true" strokeweight="1.5pt" strokecolor="#000000">
                <v:path arrowok="t"/>
              </v:shape>
            </v:group>
            <v:group style="position:absolute;left:5694;top:8313;width:647;height:2" coordorigin="5694,8313" coordsize="647,2">
              <v:shape style="position:absolute;left:5694;top:8313;width:647;height:2" coordorigin="5694,8313" coordsize="647,0" path="m5694,8313l6340,8313e" filled="false" stroked="true" strokeweight="1.5pt" strokecolor="#000000">
                <v:path arrowok="t"/>
              </v:shape>
            </v:group>
            <v:group style="position:absolute;left:6348;top:172;width:2;height:8126" coordorigin="6348,172" coordsize="2,8126">
              <v:shape style="position:absolute;left:6348;top:172;width:2;height:8126" coordorigin="6348,172" coordsize="0,8126" path="m6348,172l6348,8298e" filled="false" stroked="true" strokeweight=".72pt" strokecolor="#000000">
                <v:path arrowok="t"/>
              </v:shape>
            </v:group>
            <v:group style="position:absolute;left:6340;top:8313;width:30;height:2" coordorigin="6340,8313" coordsize="30,2">
              <v:shape style="position:absolute;left:6340;top:8313;width:30;height:2" coordorigin="6340,8313" coordsize="30,0" path="m6340,8313l6370,8313e" filled="false" stroked="true" strokeweight="1.5pt" strokecolor="#000000">
                <v:path arrowok="t"/>
              </v:shape>
            </v:group>
            <v:group style="position:absolute;left:6370;top:8313;width:840;height:2" coordorigin="6370,8313" coordsize="840,2">
              <v:shape style="position:absolute;left:6370;top:8313;width:840;height:2" coordorigin="6370,8313" coordsize="840,0" path="m6370,8313l7210,8313e" filled="false" stroked="true" strokeweight="1.5pt" strokecolor="#000000">
                <v:path arrowok="t"/>
              </v:shape>
            </v:group>
            <v:group style="position:absolute;left:7218;top:172;width:2;height:8126" coordorigin="7218,172" coordsize="2,8126">
              <v:shape style="position:absolute;left:7218;top:172;width:2;height:8126" coordorigin="7218,172" coordsize="0,8126" path="m7218,172l7218,8298e" filled="false" stroked="true" strokeweight=".72pt" strokecolor="#000000">
                <v:path arrowok="t"/>
              </v:shape>
            </v:group>
            <v:group style="position:absolute;left:7210;top:8313;width:30;height:2" coordorigin="7210,8313" coordsize="30,2">
              <v:shape style="position:absolute;left:7210;top:8313;width:30;height:2" coordorigin="7210,8313" coordsize="30,0" path="m7210,8313l7240,8313e" filled="false" stroked="true" strokeweight="1.5pt" strokecolor="#000000">
                <v:path arrowok="t"/>
              </v:shape>
            </v:group>
            <v:group style="position:absolute;left:7240;top:8313;width:840;height:2" coordorigin="7240,8313" coordsize="840,2">
              <v:shape style="position:absolute;left:7240;top:8313;width:840;height:2" coordorigin="7240,8313" coordsize="840,0" path="m7240,8313l8080,8313e" filled="false" stroked="true" strokeweight="1.5pt" strokecolor="#000000">
                <v:path arrowok="t"/>
              </v:shape>
            </v:group>
            <v:group style="position:absolute;left:8088;top:172;width:2;height:8126" coordorigin="8088,172" coordsize="2,8126">
              <v:shape style="position:absolute;left:8088;top:172;width:2;height:8126" coordorigin="8088,172" coordsize="0,8126" path="m8088,172l8088,8298e" filled="false" stroked="true" strokeweight=".72pt" strokecolor="#000000">
                <v:path arrowok="t"/>
              </v:shape>
            </v:group>
            <v:group style="position:absolute;left:8080;top:8313;width:30;height:2" coordorigin="8080,8313" coordsize="30,2">
              <v:shape style="position:absolute;left:8080;top:8313;width:30;height:2" coordorigin="8080,8313" coordsize="30,0" path="m8080,8313l8110,8313e" filled="false" stroked="true" strokeweight="1.5pt" strokecolor="#000000">
                <v:path arrowok="t"/>
              </v:shape>
            </v:group>
            <v:group style="position:absolute;left:8110;top:8313;width:841;height:2" coordorigin="8110,8313" coordsize="841,2">
              <v:shape style="position:absolute;left:8110;top:8313;width:841;height:2" coordorigin="8110,8313" coordsize="841,0" path="m8110,8313l8951,8313e" filled="false" stroked="true" strokeweight="1.5pt" strokecolor="#000000">
                <v:path arrowok="t"/>
              </v:shape>
            </v:group>
            <v:group style="position:absolute;left:8958;top:172;width:2;height:8126" coordorigin="8958,172" coordsize="2,8126">
              <v:shape style="position:absolute;left:8958;top:172;width:2;height:8126" coordorigin="8958,172" coordsize="0,8126" path="m8958,172l8958,8298e" filled="false" stroked="true" strokeweight=".72pt" strokecolor="#000000">
                <v:path arrowok="t"/>
              </v:shape>
            </v:group>
            <v:group style="position:absolute;left:8951;top:8313;width:30;height:2" coordorigin="8951,8313" coordsize="30,2">
              <v:shape style="position:absolute;left:8951;top:8313;width:30;height:2" coordorigin="8951,8313" coordsize="30,0" path="m8951,8313l8981,8313e" filled="false" stroked="true" strokeweight="1.5pt" strokecolor="#000000">
                <v:path arrowok="t"/>
              </v:shape>
            </v:group>
            <v:group style="position:absolute;left:8981;top:8313;width:840;height:2" coordorigin="8981,8313" coordsize="840,2">
              <v:shape style="position:absolute;left:8981;top:8313;width:840;height:2" coordorigin="8981,8313" coordsize="840,0" path="m8981,8313l9821,8313e" filled="false" stroked="true" strokeweight="1.5pt" strokecolor="#000000">
                <v:path arrowok="t"/>
              </v:shape>
            </v:group>
            <v:group style="position:absolute;left:9828;top:172;width:2;height:8126" coordorigin="9828,172" coordsize="2,8126">
              <v:shape style="position:absolute;left:9828;top:172;width:2;height:8126" coordorigin="9828,172" coordsize="0,8126" path="m9828,172l9828,8298e" filled="false" stroked="true" strokeweight=".72pt" strokecolor="#000000">
                <v:path arrowok="t"/>
              </v:shape>
            </v:group>
            <v:group style="position:absolute;left:9821;top:8313;width:30;height:2" coordorigin="9821,8313" coordsize="30,2">
              <v:shape style="position:absolute;left:9821;top:8313;width:30;height:2" coordorigin="9821,8313" coordsize="30,0" path="m9821,8313l9851,8313e" filled="false" stroked="true" strokeweight="1.5pt" strokecolor="#000000">
                <v:path arrowok="t"/>
              </v:shape>
            </v:group>
            <v:group style="position:absolute;left:9851;top:8313;width:832;height:2" coordorigin="9851,8313" coordsize="832,2">
              <v:shape style="position:absolute;left:9851;top:8313;width:832;height:2" coordorigin="9851,8313" coordsize="832,0" path="m9851,8313l10682,8313e" filled="false" stroked="true" strokeweight="1.5pt" strokecolor="#000000">
                <v:path arrowok="t"/>
              </v:shape>
            </v:group>
            <v:group style="position:absolute;left:10697;top:142;width:2;height:8186" coordorigin="10697,142" coordsize="2,8186">
              <v:shape style="position:absolute;left:10697;top:142;width:2;height:8186" coordorigin="10697,142" coordsize="0,8186" path="m10697,142l10697,8328e" filled="false" stroked="true" strokeweight="1.5pt" strokecolor="#000000">
                <v:path arrowok="t"/>
              </v:shape>
            </v:group>
            <w10:wrap type="none"/>
          </v:group>
        </w:pic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名股东</w:t>
        <w:tab/>
        <w:t>力</w:t>
      </w:r>
      <w:r>
        <w:rPr>
          <w:rFonts w:ascii="宋体" w:hAnsi="宋体" w:cs="宋体" w:eastAsia="宋体" w:hint="default"/>
          <w:sz w:val="18"/>
          <w:szCs w:val="18"/>
        </w:rPr>
        <w:tab/>
        <w:t>2015-004</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316" w:lineRule="auto" w:before="483"/>
        <w:ind w:left="181" w:right="0" w:firstLine="0"/>
        <w:jc w:val="both"/>
        <w:rPr>
          <w:rFonts w:ascii="宋体" w:hAnsi="宋体" w:cs="宋体" w:eastAsia="宋体" w:hint="default"/>
          <w:sz w:val="18"/>
          <w:szCs w:val="18"/>
        </w:rPr>
      </w:pPr>
      <w:r>
        <w:rPr>
          <w:rFonts w:ascii="宋体" w:hAnsi="宋体" w:cs="宋体" w:eastAsia="宋体" w:hint="default"/>
          <w:sz w:val="18"/>
          <w:szCs w:val="18"/>
        </w:rPr>
        <w:t>河南开云 信息技术 有限公司 原股东周</w:t>
      </w:r>
    </w:p>
    <w:p>
      <w:pPr>
        <w:spacing w:line="316" w:lineRule="auto" w:before="795"/>
        <w:ind w:left="104"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河南开云 信息技术 有限公司</w:t>
      </w:r>
    </w:p>
    <w:p>
      <w:pPr>
        <w:spacing w:before="951"/>
        <w:ind w:left="507"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11</w:t>
      </w:r>
    </w:p>
    <w:p>
      <w:pPr>
        <w:spacing w:line="310" w:lineRule="atLeast" w:before="2"/>
        <w:ind w:left="507" w:right="50" w:hanging="327"/>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34"/>
          <w:sz w:val="18"/>
          <w:szCs w:val="18"/>
        </w:rPr>
        <w:t> </w:t>
      </w:r>
      <w:r>
        <w:rPr>
          <w:rFonts w:ascii="宋体" w:hAnsi="宋体" w:cs="宋体" w:eastAsia="宋体" w:hint="default"/>
          <w:sz w:val="18"/>
          <w:szCs w:val="18"/>
        </w:rPr>
        <w:t>日完成工商变 更登记</w:t>
      </w:r>
    </w:p>
    <w:p>
      <w:pPr>
        <w:spacing w:line="240" w:lineRule="auto" w:before="1"/>
        <w:rPr>
          <w:rFonts w:ascii="宋体" w:hAnsi="宋体" w:cs="宋体" w:eastAsia="宋体" w:hint="default"/>
          <w:sz w:val="13"/>
          <w:szCs w:val="13"/>
        </w:rPr>
      </w:pPr>
      <w:r>
        <w:rPr/>
        <w:br w:type="column"/>
      </w:r>
      <w:r>
        <w:rPr>
          <w:rFonts w:ascii="宋体"/>
          <w:sz w:val="13"/>
        </w:rPr>
      </w:r>
    </w:p>
    <w:p>
      <w:pPr>
        <w:spacing w:line="316" w:lineRule="auto" w:before="0"/>
        <w:ind w:left="17" w:right="2921" w:firstLine="0"/>
        <w:jc w:val="left"/>
        <w:rPr>
          <w:rFonts w:ascii="宋体" w:hAnsi="宋体" w:cs="宋体" w:eastAsia="宋体" w:hint="default"/>
          <w:sz w:val="18"/>
          <w:szCs w:val="18"/>
        </w:rPr>
      </w:pPr>
      <w:r>
        <w:rPr>
          <w:rFonts w:ascii="宋体" w:hAnsi="宋体" w:cs="宋体" w:eastAsia="宋体" w:hint="default"/>
          <w:sz w:val="18"/>
          <w:szCs w:val="18"/>
        </w:rPr>
        <w:t>有助于补全、 补强在居家 健康领域的</w:t>
      </w:r>
    </w:p>
    <w:p>
      <w:pPr>
        <w:spacing w:line="196" w:lineRule="exact" w:before="19"/>
        <w:ind w:left="17" w:right="-20" w:firstLine="0"/>
        <w:jc w:val="left"/>
        <w:rPr>
          <w:rFonts w:ascii="宋体" w:hAnsi="宋体" w:cs="宋体" w:eastAsia="宋体" w:hint="default"/>
          <w:sz w:val="18"/>
          <w:szCs w:val="18"/>
        </w:rPr>
      </w:pPr>
      <w:r>
        <w:rPr>
          <w:rFonts w:ascii="宋体" w:hAnsi="宋体" w:cs="宋体" w:eastAsia="宋体" w:hint="default"/>
          <w:sz w:val="18"/>
          <w:szCs w:val="18"/>
        </w:rPr>
        <w:t>产品与服务，</w:t>
      </w:r>
    </w:p>
    <w:p>
      <w:pPr>
        <w:tabs>
          <w:tab w:pos="2031" w:val="left" w:leader="none"/>
          <w:tab w:pos="3498" w:val="left" w:leader="none"/>
        </w:tabs>
        <w:spacing w:line="156" w:lineRule="exact" w:before="0"/>
        <w:ind w:left="1079" w:right="-20" w:firstLine="0"/>
        <w:jc w:val="left"/>
        <w:rPr>
          <w:rFonts w:ascii="宋体" w:hAnsi="宋体" w:cs="宋体" w:eastAsia="宋体" w:hint="default"/>
          <w:sz w:val="18"/>
          <w:szCs w:val="18"/>
        </w:rPr>
      </w:pPr>
      <w:r>
        <w:rPr>
          <w:rFonts w:ascii="宋体" w:hAnsi="宋体" w:cs="宋体" w:eastAsia="宋体" w:hint="default"/>
          <w:sz w:val="18"/>
          <w:szCs w:val="18"/>
        </w:rPr>
        <w:t>不适用</w:t>
        <w:tab/>
        <w:t>不适用</w:t>
      </w:r>
      <w:r>
        <w:rPr>
          <w:rFonts w:ascii="宋体" w:hAnsi="宋体" w:cs="宋体" w:eastAsia="宋体" w:hint="default"/>
          <w:spacing w:val="-34"/>
          <w:sz w:val="18"/>
          <w:szCs w:val="18"/>
        </w:rPr>
        <w:t> </w:t>
      </w:r>
      <w:r>
        <w:rPr>
          <w:rFonts w:ascii="宋体" w:hAnsi="宋体" w:cs="宋体" w:eastAsia="宋体" w:hint="default"/>
          <w:sz w:val="18"/>
          <w:szCs w:val="18"/>
        </w:rPr>
        <w:t>否</w:t>
        <w:tab/>
        <w:t>不适用</w:t>
      </w:r>
    </w:p>
    <w:p>
      <w:pPr>
        <w:spacing w:line="195" w:lineRule="exact" w:before="0"/>
        <w:ind w:left="17" w:right="2921" w:firstLine="0"/>
        <w:jc w:val="left"/>
        <w:rPr>
          <w:rFonts w:ascii="宋体" w:hAnsi="宋体" w:cs="宋体" w:eastAsia="宋体" w:hint="default"/>
          <w:sz w:val="18"/>
          <w:szCs w:val="18"/>
        </w:rPr>
      </w:pPr>
      <w:r>
        <w:rPr>
          <w:rFonts w:ascii="宋体" w:hAnsi="宋体" w:cs="宋体" w:eastAsia="宋体" w:hint="default"/>
          <w:sz w:val="18"/>
          <w:szCs w:val="18"/>
        </w:rPr>
        <w:t>完善公司物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spacing w:before="76"/>
        <w:ind w:left="181"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25"/>
          <w:szCs w:val="25"/>
        </w:rPr>
      </w:pPr>
      <w:r>
        <w:rPr/>
        <w:br w:type="column"/>
      </w:r>
      <w:r>
        <w:rPr>
          <w:rFonts w:ascii="宋体"/>
          <w:sz w:val="25"/>
        </w:rPr>
      </w:r>
    </w:p>
    <w:p>
      <w:pPr>
        <w:spacing w:line="316" w:lineRule="auto" w:before="0"/>
        <w:ind w:left="21" w:right="299" w:firstLine="0"/>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w:t>
      </w:r>
    </w:p>
    <w:p>
      <w:pPr>
        <w:spacing w:line="212" w:lineRule="exact" w:before="19"/>
        <w:ind w:left="21" w:right="299"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after="0" w:line="212" w:lineRule="exact"/>
        <w:jc w:val="left"/>
        <w:rPr>
          <w:rFonts w:ascii="宋体" w:hAnsi="宋体" w:cs="宋体" w:eastAsia="宋体" w:hint="default"/>
          <w:sz w:val="18"/>
          <w:szCs w:val="18"/>
        </w:rPr>
        <w:sectPr>
          <w:type w:val="continuous"/>
          <w:pgSz w:w="11910" w:h="16840"/>
          <w:pgMar w:top="1060" w:bottom="1160" w:left="980" w:right="920"/>
          <w:cols w:num="6" w:equalWidth="0">
            <w:col w:w="902" w:space="40"/>
            <w:col w:w="825" w:space="175"/>
            <w:col w:w="1657" w:space="40"/>
            <w:col w:w="4039" w:space="148"/>
            <w:col w:w="991" w:space="40"/>
            <w:col w:w="1153"/>
          </w:cols>
        </w:sectPr>
      </w:pPr>
    </w:p>
    <w:p>
      <w:pPr>
        <w:spacing w:line="156" w:lineRule="exact" w:before="0"/>
        <w:ind w:left="181" w:right="-15" w:firstLine="0"/>
        <w:jc w:val="left"/>
        <w:rPr>
          <w:rFonts w:ascii="宋体" w:hAnsi="宋体" w:cs="宋体" w:eastAsia="宋体" w:hint="default"/>
          <w:sz w:val="18"/>
          <w:szCs w:val="18"/>
        </w:rPr>
      </w:pPr>
      <w:r>
        <w:rPr>
          <w:rFonts w:ascii="宋体" w:hAnsi="宋体" w:cs="宋体" w:eastAsia="宋体" w:hint="default"/>
          <w:spacing w:val="-4"/>
          <w:sz w:val="18"/>
          <w:szCs w:val="18"/>
        </w:rPr>
        <w:t>涛、夏玉、</w:t>
      </w:r>
      <w:r>
        <w:rPr>
          <w:rFonts w:ascii="宋体" w:hAnsi="宋体" w:cs="宋体" w:eastAsia="宋体" w:hint="default"/>
          <w:spacing w:val="-4"/>
          <w:sz w:val="18"/>
          <w:szCs w:val="18"/>
        </w:rPr>
        <w:t>10%</w:t>
      </w:r>
      <w:r>
        <w:rPr>
          <w:rFonts w:ascii="宋体" w:hAnsi="宋体" w:cs="宋体" w:eastAsia="宋体" w:hint="default"/>
          <w:spacing w:val="-4"/>
          <w:sz w:val="18"/>
          <w:szCs w:val="18"/>
        </w:rPr>
        <w:t>股权</w:t>
      </w:r>
    </w:p>
    <w:p>
      <w:pPr>
        <w:spacing w:before="76"/>
        <w:ind w:left="181" w:right="-15" w:firstLine="0"/>
        <w:jc w:val="left"/>
        <w:rPr>
          <w:rFonts w:ascii="宋体" w:hAnsi="宋体" w:cs="宋体" w:eastAsia="宋体" w:hint="default"/>
          <w:sz w:val="18"/>
          <w:szCs w:val="18"/>
        </w:rPr>
      </w:pPr>
      <w:r>
        <w:rPr>
          <w:rFonts w:ascii="宋体" w:hAnsi="宋体" w:cs="宋体" w:eastAsia="宋体" w:hint="default"/>
          <w:sz w:val="18"/>
          <w:szCs w:val="18"/>
        </w:rPr>
        <w:t>白静</w:t>
      </w:r>
    </w:p>
    <w:p>
      <w:pPr>
        <w:spacing w:line="155" w:lineRule="exact" w:before="0"/>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联网（</w:t>
      </w:r>
      <w:r>
        <w:rPr>
          <w:rFonts w:ascii="宋体" w:hAnsi="宋体" w:cs="宋体" w:eastAsia="宋体" w:hint="default"/>
          <w:sz w:val="18"/>
          <w:szCs w:val="18"/>
        </w:rPr>
        <w:t>IOT</w:t>
      </w:r>
      <w:r>
        <w:rPr>
          <w:rFonts w:ascii="宋体" w:hAnsi="宋体" w:cs="宋体" w:eastAsia="宋体" w:hint="default"/>
          <w:sz w:val="18"/>
          <w:szCs w:val="18"/>
        </w:rPr>
        <w:t>）</w:t>
      </w:r>
    </w:p>
    <w:p>
      <w:pPr>
        <w:spacing w:line="319" w:lineRule="auto" w:before="76"/>
        <w:ind w:left="181" w:right="71" w:firstLine="0"/>
        <w:jc w:val="left"/>
        <w:rPr>
          <w:rFonts w:ascii="宋体" w:hAnsi="宋体" w:cs="宋体" w:eastAsia="宋体" w:hint="default"/>
          <w:sz w:val="18"/>
          <w:szCs w:val="18"/>
        </w:rPr>
      </w:pPr>
      <w:r>
        <w:rPr>
          <w:rFonts w:ascii="宋体" w:hAnsi="宋体" w:cs="宋体" w:eastAsia="宋体" w:hint="default"/>
          <w:sz w:val="18"/>
          <w:szCs w:val="18"/>
        </w:rPr>
        <w:t>整体解决方 案</w:t>
      </w:r>
    </w:p>
    <w:p>
      <w:pPr>
        <w:spacing w:before="75"/>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为</w:t>
      </w:r>
    </w:p>
    <w:p>
      <w:pPr>
        <w:spacing w:before="77"/>
        <w:ind w:left="181" w:right="0" w:firstLine="0"/>
        <w:jc w:val="left"/>
        <w:rPr>
          <w:rFonts w:ascii="宋体" w:hAnsi="宋体" w:cs="宋体" w:eastAsia="宋体" w:hint="default"/>
          <w:sz w:val="18"/>
          <w:szCs w:val="18"/>
        </w:rPr>
      </w:pPr>
      <w:r>
        <w:rPr>
          <w:rFonts w:ascii="宋体"/>
          <w:sz w:val="18"/>
        </w:rPr>
        <w:t>2015-016</w:t>
      </w:r>
    </w:p>
    <w:p>
      <w:pPr>
        <w:spacing w:after="0"/>
        <w:jc w:val="left"/>
        <w:rPr>
          <w:rFonts w:ascii="宋体" w:hAnsi="宋体" w:cs="宋体" w:eastAsia="宋体" w:hint="default"/>
          <w:sz w:val="18"/>
          <w:szCs w:val="18"/>
        </w:rPr>
        <w:sectPr>
          <w:type w:val="continuous"/>
          <w:pgSz w:w="11910" w:h="16840"/>
          <w:pgMar w:top="1060" w:bottom="1160" w:left="980" w:right="920"/>
          <w:cols w:num="3" w:equalWidth="0">
            <w:col w:w="1677" w:space="1798"/>
            <w:col w:w="1173" w:space="4048"/>
            <w:col w:w="1314"/>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浙江风向 标科技有 限公司原 股东马延 文等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6"/>
          <w:szCs w:val="26"/>
        </w:rPr>
      </w:pPr>
    </w:p>
    <w:p>
      <w:pPr>
        <w:spacing w:line="316" w:lineRule="auto" w:before="0"/>
        <w:ind w:left="104" w:right="-20" w:firstLine="0"/>
        <w:jc w:val="left"/>
        <w:rPr>
          <w:rFonts w:ascii="宋体" w:hAnsi="宋体" w:cs="宋体" w:eastAsia="宋体" w:hint="default"/>
          <w:sz w:val="18"/>
          <w:szCs w:val="18"/>
        </w:rPr>
      </w:pPr>
      <w:r>
        <w:rPr>
          <w:rFonts w:ascii="宋体" w:hAnsi="宋体" w:cs="宋体" w:eastAsia="宋体" w:hint="default"/>
          <w:sz w:val="18"/>
          <w:szCs w:val="18"/>
        </w:rPr>
        <w:t>浙江风向 标科技有 限公司 </w:t>
      </w:r>
      <w:r>
        <w:rPr>
          <w:rFonts w:ascii="宋体" w:hAnsi="宋体" w:cs="宋体" w:eastAsia="宋体" w:hint="default"/>
          <w:sz w:val="18"/>
          <w:szCs w:val="18"/>
        </w:rPr>
        <w:t>13.04%</w:t>
      </w:r>
      <w:r>
        <w:rPr>
          <w:rFonts w:ascii="宋体" w:hAnsi="宋体" w:cs="宋体" w:eastAsia="宋体" w:hint="default"/>
          <w:sz w:val="18"/>
          <w:szCs w:val="18"/>
        </w:rPr>
        <w:t>股</w:t>
      </w:r>
    </w:p>
    <w:p>
      <w:pPr>
        <w:spacing w:before="20"/>
        <w:ind w:left="104" w:right="-20" w:firstLine="0"/>
        <w:jc w:val="left"/>
        <w:rPr>
          <w:rFonts w:ascii="宋体" w:hAnsi="宋体" w:cs="宋体" w:eastAsia="宋体" w:hint="default"/>
          <w:sz w:val="18"/>
          <w:szCs w:val="18"/>
        </w:rPr>
      </w:pPr>
      <w:r>
        <w:rPr>
          <w:rFonts w:ascii="宋体" w:hAnsi="宋体" w:cs="宋体" w:eastAsia="宋体" w:hint="default"/>
          <w:sz w:val="18"/>
          <w:szCs w:val="18"/>
        </w:rPr>
        <w:t>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643" w:right="-17"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12</w:t>
      </w:r>
    </w:p>
    <w:p>
      <w:pPr>
        <w:spacing w:line="316" w:lineRule="auto" w:before="76"/>
        <w:ind w:left="643" w:right="50" w:hanging="507"/>
        <w:jc w:val="left"/>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pacing w:val="-34"/>
          <w:sz w:val="18"/>
          <w:szCs w:val="18"/>
        </w:rPr>
        <w:t> </w:t>
      </w:r>
      <w:r>
        <w:rPr>
          <w:rFonts w:ascii="宋体" w:hAnsi="宋体" w:cs="宋体" w:eastAsia="宋体" w:hint="default"/>
          <w:sz w:val="18"/>
          <w:szCs w:val="18"/>
        </w:rPr>
        <w:t>日完成工商变 更登记</w:t>
      </w:r>
    </w:p>
    <w:p>
      <w:pPr>
        <w:spacing w:line="316" w:lineRule="auto" w:before="112"/>
        <w:ind w:left="17" w:right="2921"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有助于补全、 增强在智能 家居领域的</w:t>
      </w:r>
    </w:p>
    <w:p>
      <w:pPr>
        <w:spacing w:line="196" w:lineRule="exact" w:before="19"/>
        <w:ind w:left="17" w:right="-20" w:firstLine="0"/>
        <w:jc w:val="left"/>
        <w:rPr>
          <w:rFonts w:ascii="宋体" w:hAnsi="宋体" w:cs="宋体" w:eastAsia="宋体" w:hint="default"/>
          <w:sz w:val="18"/>
          <w:szCs w:val="18"/>
        </w:rPr>
      </w:pPr>
      <w:r>
        <w:rPr>
          <w:rFonts w:ascii="宋体" w:hAnsi="宋体" w:cs="宋体" w:eastAsia="宋体" w:hint="default"/>
          <w:sz w:val="18"/>
          <w:szCs w:val="18"/>
        </w:rPr>
        <w:t>产品与服务，</w:t>
      </w:r>
    </w:p>
    <w:p>
      <w:pPr>
        <w:tabs>
          <w:tab w:pos="2031" w:val="left" w:leader="none"/>
          <w:tab w:pos="3498" w:val="left" w:leader="none"/>
        </w:tabs>
        <w:spacing w:line="156" w:lineRule="exact" w:before="0"/>
        <w:ind w:left="1079" w:right="-20" w:firstLine="0"/>
        <w:jc w:val="left"/>
        <w:rPr>
          <w:rFonts w:ascii="宋体" w:hAnsi="宋体" w:cs="宋体" w:eastAsia="宋体" w:hint="default"/>
          <w:sz w:val="18"/>
          <w:szCs w:val="18"/>
        </w:rPr>
      </w:pPr>
      <w:r>
        <w:rPr>
          <w:rFonts w:ascii="宋体" w:hAnsi="宋体" w:cs="宋体" w:eastAsia="宋体" w:hint="default"/>
          <w:sz w:val="18"/>
          <w:szCs w:val="18"/>
        </w:rPr>
        <w:t>不适用</w:t>
        <w:tab/>
        <w:t>不适用</w:t>
      </w:r>
      <w:r>
        <w:rPr>
          <w:rFonts w:ascii="宋体" w:hAnsi="宋体" w:cs="宋体" w:eastAsia="宋体" w:hint="default"/>
          <w:spacing w:val="-34"/>
          <w:sz w:val="18"/>
          <w:szCs w:val="18"/>
        </w:rPr>
        <w:t> </w:t>
      </w:r>
      <w:r>
        <w:rPr>
          <w:rFonts w:ascii="宋体" w:hAnsi="宋体" w:cs="宋体" w:eastAsia="宋体" w:hint="default"/>
          <w:sz w:val="18"/>
          <w:szCs w:val="18"/>
        </w:rPr>
        <w:t>否</w:t>
        <w:tab/>
        <w:t>不适用</w:t>
      </w:r>
    </w:p>
    <w:p>
      <w:pPr>
        <w:spacing w:line="195" w:lineRule="exact" w:before="0"/>
        <w:ind w:left="17" w:right="2921" w:firstLine="0"/>
        <w:jc w:val="left"/>
        <w:rPr>
          <w:rFonts w:ascii="宋体" w:hAnsi="宋体" w:cs="宋体" w:eastAsia="宋体" w:hint="default"/>
          <w:sz w:val="18"/>
          <w:szCs w:val="18"/>
        </w:rPr>
      </w:pPr>
      <w:r>
        <w:rPr>
          <w:rFonts w:ascii="宋体" w:hAnsi="宋体" w:cs="宋体" w:eastAsia="宋体" w:hint="default"/>
          <w:sz w:val="18"/>
          <w:szCs w:val="18"/>
        </w:rPr>
        <w:t>完善公司物</w:t>
      </w:r>
    </w:p>
    <w:p>
      <w:pPr>
        <w:spacing w:line="319" w:lineRule="auto" w:before="76"/>
        <w:ind w:left="17" w:right="3011" w:firstLine="0"/>
        <w:jc w:val="left"/>
        <w:rPr>
          <w:rFonts w:ascii="宋体" w:hAnsi="宋体" w:cs="宋体" w:eastAsia="宋体" w:hint="default"/>
          <w:sz w:val="18"/>
          <w:szCs w:val="18"/>
        </w:rPr>
      </w:pPr>
      <w:r>
        <w:rPr>
          <w:rFonts w:ascii="宋体" w:hAnsi="宋体" w:cs="宋体" w:eastAsia="宋体" w:hint="default"/>
          <w:sz w:val="18"/>
          <w:szCs w:val="18"/>
        </w:rPr>
        <w:t>联网（</w:t>
      </w:r>
      <w:r>
        <w:rPr>
          <w:rFonts w:ascii="宋体" w:hAnsi="宋体" w:cs="宋体" w:eastAsia="宋体" w:hint="default"/>
          <w:sz w:val="18"/>
          <w:szCs w:val="18"/>
        </w:rPr>
        <w:t>IOT</w:t>
      </w:r>
      <w:r>
        <w:rPr>
          <w:rFonts w:ascii="宋体" w:hAnsi="宋体" w:cs="宋体" w:eastAsia="宋体" w:hint="default"/>
          <w:sz w:val="18"/>
          <w:szCs w:val="18"/>
        </w:rPr>
        <w:t>） 整体解决方 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spacing w:before="76"/>
        <w:ind w:left="181"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6"/>
        <w:rPr>
          <w:rFonts w:ascii="宋体" w:hAnsi="宋体" w:cs="宋体" w:eastAsia="宋体" w:hint="default"/>
          <w:sz w:val="20"/>
          <w:szCs w:val="20"/>
        </w:rPr>
      </w:pPr>
      <w:r>
        <w:rPr/>
        <w:br w:type="column"/>
      </w:r>
      <w:r>
        <w:rPr>
          <w:rFonts w:ascii="宋体"/>
          <w:sz w:val="20"/>
        </w:rPr>
      </w:r>
    </w:p>
    <w:p>
      <w:pPr>
        <w:spacing w:line="316" w:lineRule="auto" w:before="0"/>
        <w:ind w:left="21" w:right="299" w:firstLine="0"/>
        <w:jc w:val="left"/>
        <w:rPr>
          <w:rFonts w:ascii="宋体" w:hAnsi="宋体" w:cs="宋体" w:eastAsia="宋体" w:hint="default"/>
          <w:sz w:val="18"/>
          <w:szCs w:val="18"/>
        </w:rPr>
      </w:pPr>
      <w:r>
        <w:rPr>
          <w:rFonts w:ascii="宋体" w:hAnsi="宋体" w:cs="宋体" w:eastAsia="宋体" w:hint="default"/>
          <w:sz w:val="18"/>
          <w:szCs w:val="18"/>
        </w:rPr>
        <w:t>巨潮资讯 网 </w:t>
      </w:r>
      <w:r>
        <w:rPr>
          <w:rFonts w:ascii="宋体" w:hAnsi="宋体" w:cs="宋体" w:eastAsia="宋体" w:hint="default"/>
          <w:sz w:val="18"/>
          <w:szCs w:val="18"/>
        </w:rPr>
        <w:t>www.cninf o.com.cn, </w:t>
      </w:r>
      <w:r>
        <w:rPr>
          <w:rFonts w:ascii="宋体" w:hAnsi="宋体" w:cs="宋体" w:eastAsia="宋体" w:hint="default"/>
          <w:sz w:val="18"/>
          <w:szCs w:val="18"/>
        </w:rPr>
        <w:t>公告编号 为</w:t>
      </w:r>
    </w:p>
    <w:p>
      <w:pPr>
        <w:spacing w:before="20"/>
        <w:ind w:left="21" w:right="299" w:firstLine="0"/>
        <w:jc w:val="left"/>
        <w:rPr>
          <w:rFonts w:ascii="宋体" w:hAnsi="宋体" w:cs="宋体" w:eastAsia="宋体" w:hint="default"/>
          <w:sz w:val="18"/>
          <w:szCs w:val="18"/>
        </w:rPr>
      </w:pPr>
      <w:r>
        <w:rPr>
          <w:rFonts w:ascii="宋体"/>
          <w:sz w:val="18"/>
        </w:rPr>
        <w:t>2015-017</w:t>
      </w:r>
    </w:p>
    <w:p>
      <w:pPr>
        <w:spacing w:after="0"/>
        <w:jc w:val="left"/>
        <w:rPr>
          <w:rFonts w:ascii="宋体" w:hAnsi="宋体" w:cs="宋体" w:eastAsia="宋体" w:hint="default"/>
          <w:sz w:val="18"/>
          <w:szCs w:val="18"/>
        </w:rPr>
        <w:sectPr>
          <w:type w:val="continuous"/>
          <w:pgSz w:w="11910" w:h="16840"/>
          <w:pgMar w:top="1060" w:bottom="1160" w:left="980" w:right="920"/>
          <w:cols w:num="6" w:equalWidth="0">
            <w:col w:w="902" w:space="40"/>
            <w:col w:w="825" w:space="40"/>
            <w:col w:w="1793" w:space="40"/>
            <w:col w:w="4039" w:space="148"/>
            <w:col w:w="991" w:space="40"/>
            <w:col w:w="1152"/>
          </w:cols>
        </w:sectPr>
      </w:pPr>
    </w:p>
    <w:p>
      <w:pPr>
        <w:spacing w:before="112"/>
        <w:ind w:left="2450" w:right="104"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25</w:t>
      </w:r>
      <w:r>
        <w:rPr>
          <w:rFonts w:ascii="宋体" w:hAnsi="宋体" w:cs="宋体" w:eastAsia="宋体" w:hint="default"/>
          <w:spacing w:val="-33"/>
          <w:sz w:val="18"/>
          <w:szCs w:val="18"/>
        </w:rPr>
        <w:t> </w:t>
      </w:r>
      <w:r>
        <w:rPr>
          <w:rFonts w:ascii="宋体" w:hAnsi="宋体" w:cs="宋体" w:eastAsia="宋体" w:hint="default"/>
          <w:sz w:val="18"/>
          <w:szCs w:val="18"/>
        </w:rPr>
        <w:t>有利于形成</w:t>
      </w:r>
    </w:p>
    <w:p>
      <w:pPr>
        <w:spacing w:after="0"/>
        <w:jc w:val="left"/>
        <w:rPr>
          <w:rFonts w:ascii="宋体" w:hAnsi="宋体" w:cs="宋体" w:eastAsia="宋体" w:hint="default"/>
          <w:sz w:val="18"/>
          <w:szCs w:val="18"/>
        </w:rPr>
        <w:sectPr>
          <w:type w:val="continuous"/>
          <w:pgSz w:w="11910" w:h="16840"/>
          <w:pgMar w:top="1060" w:bottom="1160" w:left="980" w:right="920"/>
        </w:sectPr>
      </w:pPr>
    </w:p>
    <w:p>
      <w:pPr>
        <w:spacing w:line="316" w:lineRule="auto" w:before="76"/>
        <w:ind w:left="181" w:right="0" w:firstLine="0"/>
        <w:jc w:val="both"/>
        <w:rPr>
          <w:rFonts w:ascii="宋体" w:hAnsi="宋体" w:cs="宋体" w:eastAsia="宋体" w:hint="default"/>
          <w:sz w:val="18"/>
          <w:szCs w:val="18"/>
        </w:rPr>
      </w:pPr>
      <w:r>
        <w:rPr>
          <w:rFonts w:ascii="宋体" w:hAnsi="宋体" w:cs="宋体" w:eastAsia="宋体" w:hint="default"/>
          <w:sz w:val="18"/>
          <w:szCs w:val="18"/>
        </w:rPr>
        <w:t>德煦智能 科技（上 海）有限 公司原股 东徐军毅 等</w:t>
      </w:r>
    </w:p>
    <w:p>
      <w:pPr>
        <w:spacing w:line="240" w:lineRule="auto" w:before="10"/>
        <w:rPr>
          <w:rFonts w:ascii="宋体" w:hAnsi="宋体" w:cs="宋体" w:eastAsia="宋体" w:hint="default"/>
          <w:sz w:val="17"/>
          <w:szCs w:val="17"/>
        </w:rPr>
      </w:pPr>
      <w:r>
        <w:rPr/>
        <w:br w:type="column"/>
      </w:r>
      <w:r>
        <w:rPr>
          <w:rFonts w:ascii="宋体"/>
          <w:sz w:val="17"/>
        </w:rPr>
      </w:r>
    </w:p>
    <w:p>
      <w:pPr>
        <w:spacing w:line="319" w:lineRule="auto" w:before="0"/>
        <w:ind w:left="104" w:right="-16" w:firstLine="0"/>
        <w:jc w:val="left"/>
        <w:rPr>
          <w:rFonts w:ascii="宋体" w:hAnsi="宋体" w:cs="宋体" w:eastAsia="宋体" w:hint="default"/>
          <w:sz w:val="18"/>
          <w:szCs w:val="18"/>
        </w:rPr>
      </w:pPr>
      <w:r>
        <w:rPr>
          <w:rFonts w:ascii="宋体" w:hAnsi="宋体" w:cs="宋体" w:eastAsia="宋体" w:hint="default"/>
          <w:sz w:val="18"/>
          <w:szCs w:val="18"/>
        </w:rPr>
        <w:t>德煦智能 科技（上 </w:t>
      </w:r>
      <w:r>
        <w:rPr>
          <w:rFonts w:ascii="宋体" w:hAnsi="宋体" w:cs="宋体" w:eastAsia="宋体" w:hint="default"/>
          <w:spacing w:val="-18"/>
          <w:sz w:val="18"/>
          <w:szCs w:val="18"/>
        </w:rPr>
        <w:t>海）有限公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股 权</w:t>
      </w:r>
    </w:p>
    <w:p>
      <w:pPr>
        <w:spacing w:line="316" w:lineRule="auto" w:before="75"/>
        <w:ind w:left="417"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日，公司与德 煦智能科技</w:t>
      </w:r>
    </w:p>
    <w:p>
      <w:pPr>
        <w:spacing w:line="196" w:lineRule="exact" w:before="19"/>
        <w:ind w:left="417" w:right="0" w:firstLine="0"/>
        <w:jc w:val="both"/>
        <w:rPr>
          <w:rFonts w:ascii="宋体" w:hAnsi="宋体" w:cs="宋体" w:eastAsia="宋体" w:hint="default"/>
          <w:sz w:val="18"/>
          <w:szCs w:val="18"/>
        </w:rPr>
      </w:pPr>
      <w:r>
        <w:rPr>
          <w:rFonts w:ascii="宋体" w:hAnsi="宋体" w:cs="宋体" w:eastAsia="宋体" w:hint="default"/>
          <w:sz w:val="18"/>
          <w:szCs w:val="18"/>
        </w:rPr>
        <w:t>（上海）有限</w:t>
      </w:r>
    </w:p>
    <w:p>
      <w:pPr>
        <w:spacing w:line="156" w:lineRule="exact" w:before="0"/>
        <w:ind w:left="181" w:right="0" w:firstLine="0"/>
        <w:jc w:val="left"/>
        <w:rPr>
          <w:rFonts w:ascii="宋体" w:hAnsi="宋体" w:cs="宋体" w:eastAsia="宋体" w:hint="default"/>
          <w:sz w:val="18"/>
          <w:szCs w:val="18"/>
        </w:rPr>
      </w:pPr>
      <w:r>
        <w:rPr>
          <w:rFonts w:ascii="宋体"/>
          <w:sz w:val="18"/>
        </w:rPr>
        <w:t>30</w:t>
      </w:r>
    </w:p>
    <w:p>
      <w:pPr>
        <w:spacing w:line="195" w:lineRule="exact" w:before="0"/>
        <w:ind w:left="417" w:right="0" w:firstLine="0"/>
        <w:jc w:val="both"/>
        <w:rPr>
          <w:rFonts w:ascii="宋体" w:hAnsi="宋体" w:cs="宋体" w:eastAsia="宋体" w:hint="default"/>
          <w:sz w:val="18"/>
          <w:szCs w:val="18"/>
        </w:rPr>
      </w:pPr>
      <w:r>
        <w:rPr>
          <w:rFonts w:ascii="宋体" w:hAnsi="宋体" w:cs="宋体" w:eastAsia="宋体" w:hint="default"/>
          <w:sz w:val="18"/>
          <w:szCs w:val="18"/>
        </w:rPr>
        <w:t>公司股东徐军</w:t>
      </w:r>
    </w:p>
    <w:p>
      <w:pPr>
        <w:spacing w:line="319" w:lineRule="auto" w:before="76"/>
        <w:ind w:left="417" w:right="0" w:firstLine="0"/>
        <w:jc w:val="both"/>
        <w:rPr>
          <w:rFonts w:ascii="宋体" w:hAnsi="宋体" w:cs="宋体" w:eastAsia="宋体" w:hint="default"/>
          <w:sz w:val="18"/>
          <w:szCs w:val="18"/>
        </w:rPr>
      </w:pPr>
      <w:r>
        <w:rPr>
          <w:rFonts w:ascii="宋体" w:hAnsi="宋体" w:cs="宋体" w:eastAsia="宋体" w:hint="default"/>
          <w:sz w:val="18"/>
          <w:szCs w:val="18"/>
        </w:rPr>
        <w:t>毅等</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名股东 签订《增资扩 股协议》</w:t>
      </w:r>
    </w:p>
    <w:p>
      <w:pPr>
        <w:spacing w:line="319" w:lineRule="auto" w:before="75"/>
        <w:ind w:left="85" w:right="-16" w:firstLine="0"/>
        <w:jc w:val="left"/>
        <w:rPr>
          <w:rFonts w:ascii="宋体" w:hAnsi="宋体" w:cs="宋体" w:eastAsia="宋体" w:hint="default"/>
          <w:sz w:val="18"/>
          <w:szCs w:val="18"/>
        </w:rPr>
      </w:pPr>
      <w:r>
        <w:rPr>
          <w:spacing w:val="-13"/>
        </w:rPr>
        <w:br w:type="column"/>
      </w:r>
      <w:r>
        <w:rPr>
          <w:rFonts w:ascii="宋体" w:hAnsi="宋体" w:cs="宋体" w:eastAsia="宋体" w:hint="default"/>
          <w:spacing w:val="-13"/>
          <w:sz w:val="18"/>
          <w:szCs w:val="18"/>
        </w:rPr>
        <w:t>优势互补，共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同营造室内 </w:t>
      </w:r>
      <w:r>
        <w:rPr>
          <w:rFonts w:ascii="宋体" w:hAnsi="宋体" w:cs="宋体" w:eastAsia="宋体" w:hint="default"/>
          <w:spacing w:val="-13"/>
          <w:sz w:val="18"/>
          <w:szCs w:val="18"/>
        </w:rPr>
        <w:t>空气质量“感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知</w:t>
      </w:r>
      <w:r>
        <w:rPr>
          <w:rFonts w:ascii="宋体" w:hAnsi="宋体" w:cs="宋体" w:eastAsia="宋体" w:hint="default"/>
          <w:sz w:val="18"/>
          <w:szCs w:val="18"/>
        </w:rPr>
        <w:t>+</w:t>
      </w:r>
      <w:r>
        <w:rPr>
          <w:rFonts w:ascii="宋体" w:hAnsi="宋体" w:cs="宋体" w:eastAsia="宋体" w:hint="default"/>
          <w:sz w:val="18"/>
          <w:szCs w:val="18"/>
        </w:rPr>
        <w:t>分析</w:t>
      </w:r>
      <w:r>
        <w:rPr>
          <w:rFonts w:ascii="宋体" w:hAnsi="宋体" w:cs="宋体" w:eastAsia="宋体" w:hint="default"/>
          <w:sz w:val="18"/>
          <w:szCs w:val="18"/>
        </w:rPr>
        <w:t>+</w:t>
      </w:r>
      <w:r>
        <w:rPr>
          <w:rFonts w:ascii="宋体" w:hAnsi="宋体" w:cs="宋体" w:eastAsia="宋体" w:hint="default"/>
          <w:sz w:val="18"/>
          <w:szCs w:val="18"/>
        </w:rPr>
        <w:t>咨 询</w:t>
      </w:r>
      <w:r>
        <w:rPr>
          <w:rFonts w:ascii="宋体" w:hAnsi="宋体" w:cs="宋体" w:eastAsia="宋体" w:hint="default"/>
          <w:sz w:val="18"/>
          <w:szCs w:val="18"/>
        </w:rPr>
        <w:t>+</w:t>
      </w:r>
      <w:r>
        <w:rPr>
          <w:rFonts w:ascii="宋体" w:hAnsi="宋体" w:cs="宋体" w:eastAsia="宋体" w:hint="default"/>
          <w:sz w:val="18"/>
          <w:szCs w:val="18"/>
        </w:rPr>
        <w:t>治理</w:t>
      </w:r>
      <w:r>
        <w:rPr>
          <w:rFonts w:ascii="宋体" w:hAnsi="宋体" w:cs="宋体" w:eastAsia="宋体" w:hint="default"/>
          <w:sz w:val="18"/>
          <w:szCs w:val="18"/>
        </w:rPr>
        <w:t>+</w:t>
      </w:r>
      <w:r>
        <w:rPr>
          <w:rFonts w:ascii="宋体" w:hAnsi="宋体" w:cs="宋体" w:eastAsia="宋体" w:hint="default"/>
          <w:sz w:val="18"/>
          <w:szCs w:val="18"/>
        </w:rPr>
        <w:t>商 城</w:t>
      </w:r>
      <w:r>
        <w:rPr>
          <w:rFonts w:ascii="宋体" w:hAnsi="宋体" w:cs="宋体" w:eastAsia="宋体" w:hint="default"/>
          <w:sz w:val="18"/>
          <w:szCs w:val="18"/>
        </w:rPr>
        <w:t>+</w:t>
      </w:r>
      <w:r>
        <w:rPr>
          <w:rFonts w:ascii="宋体" w:hAnsi="宋体" w:cs="宋体" w:eastAsia="宋体" w:hint="default"/>
          <w:sz w:val="18"/>
          <w:szCs w:val="18"/>
        </w:rPr>
        <w:t>服务”完 整解决方案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968" w:val="left" w:leader="none"/>
          <w:tab w:pos="2435" w:val="left" w:leader="none"/>
        </w:tabs>
        <w:spacing w:before="150"/>
        <w:ind w:left="16" w:right="-20" w:firstLine="0"/>
        <w:jc w:val="left"/>
        <w:rPr>
          <w:rFonts w:ascii="宋体" w:hAnsi="宋体" w:cs="宋体" w:eastAsia="宋体" w:hint="default"/>
          <w:sz w:val="18"/>
          <w:szCs w:val="18"/>
        </w:rPr>
      </w:pPr>
      <w:r>
        <w:rPr>
          <w:rFonts w:ascii="宋体" w:hAnsi="宋体" w:cs="宋体" w:eastAsia="宋体" w:hint="default"/>
          <w:sz w:val="18"/>
          <w:szCs w:val="18"/>
        </w:rPr>
        <w:t>不适用</w:t>
        <w:tab/>
        <w:t>不适用</w:t>
      </w:r>
      <w:r>
        <w:rPr>
          <w:rFonts w:ascii="宋体" w:hAnsi="宋体" w:cs="宋体" w:eastAsia="宋体" w:hint="default"/>
          <w:spacing w:val="-34"/>
          <w:sz w:val="18"/>
          <w:szCs w:val="18"/>
        </w:rPr>
        <w:t> </w:t>
      </w:r>
      <w:r>
        <w:rPr>
          <w:rFonts w:ascii="宋体" w:hAnsi="宋体" w:cs="宋体" w:eastAsia="宋体" w:hint="default"/>
          <w:sz w:val="18"/>
          <w:szCs w:val="18"/>
        </w:rPr>
        <w:t>否</w:t>
        <w:tab/>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181" w:right="-19" w:firstLine="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p>
    <w:p>
      <w:pPr>
        <w:spacing w:before="77"/>
        <w:ind w:left="181"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316" w:lineRule="auto" w:before="76"/>
        <w:ind w:left="111" w:right="299" w:firstLine="0"/>
        <w:jc w:val="left"/>
        <w:rPr>
          <w:rFonts w:ascii="宋体" w:hAnsi="宋体" w:cs="宋体" w:eastAsia="宋体" w:hint="default"/>
          <w:sz w:val="18"/>
          <w:szCs w:val="18"/>
        </w:rPr>
      </w:pPr>
      <w:r>
        <w:rPr/>
        <w:br w:type="column"/>
      </w:r>
      <w:r>
        <w:rPr>
          <w:rFonts w:ascii="宋体" w:hAnsi="宋体" w:cs="宋体" w:eastAsia="宋体" w:hint="default"/>
          <w:sz w:val="18"/>
          <w:szCs w:val="18"/>
        </w:rPr>
        <w:t>巨潮资讯 网 </w:t>
      </w:r>
      <w:r>
        <w:rPr>
          <w:rFonts w:ascii="宋体" w:hAnsi="宋体" w:cs="宋体" w:eastAsia="宋体" w:hint="default"/>
          <w:sz w:val="18"/>
          <w:szCs w:val="18"/>
        </w:rPr>
        <w:t>www.cninf c.com.cn, 22014</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before="20"/>
        <w:ind w:left="111" w:right="299" w:firstLine="0"/>
        <w:jc w:val="left"/>
        <w:rPr>
          <w:rFonts w:ascii="宋体" w:hAnsi="宋体" w:cs="宋体" w:eastAsia="宋体" w:hint="default"/>
          <w:sz w:val="18"/>
          <w:szCs w:val="18"/>
        </w:rPr>
      </w:pPr>
      <w:r>
        <w:rPr>
          <w:rFonts w:ascii="宋体" w:hAnsi="宋体" w:cs="宋体" w:eastAsia="宋体" w:hint="default"/>
          <w:sz w:val="18"/>
          <w:szCs w:val="18"/>
        </w:rPr>
        <w:t>年度报告</w:t>
      </w:r>
    </w:p>
    <w:p>
      <w:pPr>
        <w:spacing w:after="0"/>
        <w:jc w:val="left"/>
        <w:rPr>
          <w:rFonts w:ascii="宋体" w:hAnsi="宋体" w:cs="宋体" w:eastAsia="宋体" w:hint="default"/>
          <w:sz w:val="18"/>
          <w:szCs w:val="18"/>
        </w:rPr>
        <w:sectPr>
          <w:type w:val="continuous"/>
          <w:pgSz w:w="11910" w:h="16840"/>
          <w:pgMar w:top="1060" w:bottom="1160" w:left="980" w:right="920"/>
          <w:cols w:num="7" w:equalWidth="0">
            <w:col w:w="902" w:space="40"/>
            <w:col w:w="919" w:space="172"/>
            <w:col w:w="1499" w:space="40"/>
            <w:col w:w="1092" w:space="40"/>
            <w:col w:w="2976" w:space="148"/>
            <w:col w:w="901" w:space="40"/>
            <w:col w:w="1241"/>
          </w:cols>
        </w:sectPr>
      </w:pPr>
    </w:p>
    <w:p>
      <w:pPr>
        <w:spacing w:before="127"/>
        <w:ind w:left="154" w:right="104"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spacing w:line="240" w:lineRule="auto" w:before="10"/>
        <w:rPr>
          <w:rFonts w:ascii="宋体" w:hAnsi="宋体" w:cs="宋体" w:eastAsia="宋体" w:hint="default"/>
          <w:sz w:val="12"/>
          <w:szCs w:val="12"/>
        </w:rPr>
      </w:pPr>
    </w:p>
    <w:p>
      <w:pPr>
        <w:pStyle w:val="BodyText"/>
        <w:spacing w:line="408" w:lineRule="auto" w:before="0"/>
        <w:ind w:right="104" w:firstLine="420"/>
        <w:jc w:val="left"/>
      </w:pPr>
      <w:r>
        <w:rPr>
          <w:rFonts w:ascii="宋体" w:hAnsi="宋体" w:cs="宋体" w:eastAsia="宋体" w:hint="default"/>
          <w:spacing w:val="-1"/>
        </w:rPr>
        <w:t>1</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日，公司与苏州能斯达及其股东张珽、陈立桅和苏州纳格光电科技有限公司等</w:t>
      </w:r>
      <w:r>
        <w:rPr>
          <w:rFonts w:ascii="宋体" w:hAnsi="宋体" w:cs="宋体" w:eastAsia="宋体" w:hint="default"/>
          <w:spacing w:val="-1"/>
        </w:rPr>
        <w:t>3</w:t>
      </w:r>
      <w:r>
        <w:rPr>
          <w:spacing w:val="-1"/>
        </w:rPr>
        <w:t>人签</w:t>
      </w:r>
      <w:r>
        <w:rPr/>
        <w:t> 订了增资协议，各方约定能斯达公司注册资本由</w:t>
      </w:r>
      <w:r>
        <w:rPr>
          <w:rFonts w:ascii="宋体" w:hAnsi="宋体" w:cs="宋体" w:eastAsia="宋体" w:hint="default"/>
        </w:rPr>
        <w:t>100</w:t>
      </w:r>
      <w:r>
        <w:rPr/>
        <w:t>万元增加至</w:t>
      </w:r>
      <w:r>
        <w:rPr>
          <w:rFonts w:ascii="宋体" w:hAnsi="宋体" w:cs="宋体" w:eastAsia="宋体" w:hint="default"/>
        </w:rPr>
        <w:t>1,000</w:t>
      </w:r>
      <w:r>
        <w:rPr/>
        <w:t>万元，汉威电子以自由资金</w:t>
      </w:r>
      <w:r>
        <w:rPr>
          <w:rFonts w:ascii="宋体" w:hAnsi="宋体" w:cs="宋体" w:eastAsia="宋体" w:hint="default"/>
        </w:rPr>
        <w:t>430</w:t>
      </w:r>
      <w:r>
        <w:rPr/>
        <w:t>万元 分期认缴</w:t>
      </w:r>
      <w:r>
        <w:rPr>
          <w:rFonts w:ascii="宋体" w:hAnsi="宋体" w:cs="宋体" w:eastAsia="宋体" w:hint="default"/>
        </w:rPr>
        <w:t>430</w:t>
      </w:r>
      <w:r>
        <w:rPr/>
        <w:t>万元的增资出资，取得</w:t>
      </w:r>
      <w:r>
        <w:rPr>
          <w:rFonts w:ascii="宋体" w:hAnsi="宋体" w:cs="宋体" w:eastAsia="宋体" w:hint="default"/>
        </w:rPr>
        <w:t>43%</w:t>
      </w:r>
      <w:r>
        <w:rPr/>
        <w:t>的股权。</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12</w:t>
      </w:r>
      <w:r>
        <w:rPr/>
        <w:t>日，能斯达公司完成了工商变更登记。</w:t>
      </w:r>
    </w:p>
    <w:p>
      <w:pPr>
        <w:pStyle w:val="BodyText"/>
        <w:spacing w:line="408" w:lineRule="auto"/>
        <w:ind w:right="104" w:firstLine="420"/>
        <w:jc w:val="left"/>
      </w:pPr>
      <w:r>
        <w:rPr>
          <w:rFonts w:ascii="宋体" w:hAnsi="宋体" w:cs="宋体" w:eastAsia="宋体" w:hint="default"/>
        </w:rPr>
        <w:t>2</w:t>
      </w:r>
      <w:r>
        <w:rPr/>
        <w:t>、</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24</w:t>
      </w:r>
      <w:r>
        <w:rPr/>
        <w:t>日，公司与上海英森及其股东李鑫、李菁等</w:t>
      </w:r>
      <w:r>
        <w:rPr>
          <w:rFonts w:ascii="宋体" w:hAnsi="宋体" w:cs="宋体" w:eastAsia="宋体" w:hint="default"/>
        </w:rPr>
        <w:t>2</w:t>
      </w:r>
      <w:r>
        <w:rPr/>
        <w:t>人签订了股权转让及增资协议，以股权 </w:t>
      </w:r>
      <w:r>
        <w:rPr>
          <w:spacing w:val="-3"/>
        </w:rPr>
        <w:t>转让及增资方式投资</w:t>
      </w:r>
      <w:r>
        <w:rPr>
          <w:rFonts w:ascii="宋体" w:hAnsi="宋体" w:cs="宋体" w:eastAsia="宋体" w:hint="default"/>
          <w:spacing w:val="-3"/>
        </w:rPr>
        <w:t>1,023.5</w:t>
      </w:r>
      <w:r>
        <w:rPr>
          <w:spacing w:val="-3"/>
        </w:rPr>
        <w:t>万元取得上海英森</w:t>
      </w:r>
      <w:r>
        <w:rPr>
          <w:rFonts w:ascii="宋体" w:hAnsi="宋体" w:cs="宋体" w:eastAsia="宋体" w:hint="default"/>
          <w:spacing w:val="-3"/>
        </w:rPr>
        <w:t>51.11%</w:t>
      </w:r>
      <w:r>
        <w:rPr>
          <w:spacing w:val="-3"/>
        </w:rPr>
        <w:t>的股权。</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25</w:t>
      </w:r>
      <w:r>
        <w:rPr>
          <w:spacing w:val="-3"/>
        </w:rPr>
        <w:t>日，上海英森完成了工商变更。</w:t>
      </w:r>
    </w:p>
    <w:p>
      <w:pPr>
        <w:pStyle w:val="BodyText"/>
        <w:spacing w:line="410" w:lineRule="auto" w:before="87"/>
        <w:ind w:right="190" w:firstLine="480"/>
        <w:jc w:val="right"/>
      </w:pPr>
      <w:r>
        <w:rPr>
          <w:rFonts w:ascii="宋体" w:hAnsi="宋体" w:cs="宋体" w:eastAsia="宋体" w:hint="default"/>
          <w:spacing w:val="-2"/>
        </w:rPr>
        <w:t>3</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日，公司第三届董事会第五次会议审议通过关于以发行股份和支付现金购买资产并募</w:t>
      </w:r>
      <w:r>
        <w:rPr/>
        <w:t> 集配套资金事项等议案，以发行股份和支付现金等方式购买沈阳金建</w:t>
      </w:r>
      <w:r>
        <w:rPr>
          <w:rFonts w:ascii="宋体" w:hAnsi="宋体" w:cs="宋体" w:eastAsia="宋体" w:hint="default"/>
        </w:rPr>
        <w:t>48.91%</w:t>
      </w:r>
      <w:r>
        <w:rPr/>
        <w:t>股权和嘉园环保</w:t>
      </w:r>
      <w:r>
        <w:rPr>
          <w:rFonts w:ascii="宋体" w:hAnsi="宋体" w:cs="宋体" w:eastAsia="宋体" w:hint="default"/>
        </w:rPr>
        <w:t>80%</w:t>
      </w:r>
      <w:r>
        <w:rPr/>
        <w:t>股权，交</w:t>
      </w:r>
      <w:r>
        <w:rPr>
          <w:spacing w:val="-58"/>
        </w:rPr>
        <w:t> </w:t>
      </w:r>
      <w:r>
        <w:rPr>
          <w:spacing w:val="-1"/>
        </w:rPr>
        <w:t>易价格分别为</w:t>
      </w:r>
      <w:r>
        <w:rPr>
          <w:rFonts w:ascii="宋体" w:hAnsi="宋体" w:cs="宋体" w:eastAsia="宋体" w:hint="default"/>
          <w:spacing w:val="-1"/>
        </w:rPr>
        <w:t>6,440</w:t>
      </w:r>
      <w:r>
        <w:rPr>
          <w:spacing w:val="-1"/>
        </w:rPr>
        <w:t>万元和</w:t>
      </w:r>
      <w:r>
        <w:rPr>
          <w:rFonts w:ascii="宋体" w:hAnsi="宋体" w:cs="宋体" w:eastAsia="宋体" w:hint="default"/>
          <w:spacing w:val="-1"/>
        </w:rPr>
        <w:t>44,000</w:t>
      </w:r>
      <w:r>
        <w:rPr>
          <w:spacing w:val="-1"/>
        </w:rPr>
        <w:t>万元。具体信息请查阅公司于</w:t>
      </w:r>
      <w:r>
        <w:rPr>
          <w:rFonts w:ascii="宋体" w:hAnsi="宋体" w:cs="宋体" w:eastAsia="宋体" w:hint="default"/>
          <w:spacing w:val="-1"/>
        </w:rPr>
        <w:t>2014</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15</w:t>
      </w:r>
      <w:r>
        <w:rPr>
          <w:spacing w:val="-1"/>
        </w:rPr>
        <w:t>日刊登在巨潮资讯网的公告。</w:t>
      </w:r>
    </w:p>
    <w:p>
      <w:pPr>
        <w:pStyle w:val="BodyText"/>
        <w:spacing w:line="410" w:lineRule="auto" w:before="83"/>
        <w:ind w:right="211" w:firstLine="480"/>
        <w:jc w:val="both"/>
      </w:pPr>
      <w:r>
        <w:rPr>
          <w:rFonts w:ascii="宋体" w:hAnsi="宋体" w:cs="宋体" w:eastAsia="宋体" w:hint="default"/>
          <w:spacing w:val="-2"/>
        </w:rPr>
        <w:t>4</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24</w:t>
      </w:r>
      <w:r>
        <w:rPr>
          <w:spacing w:val="-2"/>
        </w:rPr>
        <w:t>日，公司第三届董事会第七次会议审议通过关于投资鞍山易兴自动化工程有限公司的</w:t>
      </w:r>
      <w:r>
        <w:rPr/>
        <w:t> </w:t>
      </w:r>
      <w:r>
        <w:rPr>
          <w:spacing w:val="-1"/>
        </w:rPr>
        <w:t>议案，以自有资金</w:t>
      </w:r>
      <w:r>
        <w:rPr>
          <w:rFonts w:ascii="宋体" w:hAnsi="宋体" w:cs="宋体" w:eastAsia="宋体" w:hint="default"/>
          <w:spacing w:val="-1"/>
        </w:rPr>
        <w:t>2,647.92</w:t>
      </w:r>
      <w:r>
        <w:rPr>
          <w:spacing w:val="-1"/>
        </w:rPr>
        <w:t>万元取得鞍山易兴</w:t>
      </w:r>
      <w:r>
        <w:rPr>
          <w:rFonts w:ascii="宋体" w:hAnsi="宋体" w:cs="宋体" w:eastAsia="宋体" w:hint="default"/>
          <w:spacing w:val="-1"/>
        </w:rPr>
        <w:t>51%</w:t>
      </w:r>
      <w:r>
        <w:rPr>
          <w:spacing w:val="-1"/>
        </w:rPr>
        <w:t>的股权。具体信息请查阅公司于</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25</w:t>
      </w:r>
      <w:r>
        <w:rPr>
          <w:spacing w:val="-1"/>
        </w:rPr>
        <w:t>日刊登在巨</w:t>
      </w:r>
      <w:r>
        <w:rPr>
          <w:spacing w:val="-78"/>
        </w:rPr>
        <w:t> </w:t>
      </w:r>
      <w:r>
        <w:rPr>
          <w:spacing w:val="-78"/>
        </w:rPr>
      </w:r>
      <w:r>
        <w:rPr/>
        <w:t>潮资讯网的公告。</w:t>
      </w:r>
    </w:p>
    <w:p>
      <w:pPr>
        <w:spacing w:after="0" w:line="410" w:lineRule="auto"/>
        <w:jc w:val="both"/>
        <w:sectPr>
          <w:type w:val="continuous"/>
          <w:pgSz w:w="11910" w:h="16840"/>
          <w:pgMar w:top="1060" w:bottom="116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106" w:firstLine="480"/>
        <w:jc w:val="left"/>
      </w:pPr>
      <w:r>
        <w:rPr>
          <w:rFonts w:ascii="宋体" w:hAnsi="宋体" w:cs="宋体" w:eastAsia="宋体" w:hint="default"/>
          <w:spacing w:val="-2"/>
        </w:rPr>
        <w:t>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日，河南汉威电子股份有限公司等</w:t>
      </w:r>
      <w:r>
        <w:rPr>
          <w:rFonts w:ascii="宋体" w:hAnsi="宋体" w:cs="宋体" w:eastAsia="宋体" w:hint="default"/>
          <w:spacing w:val="-2"/>
        </w:rPr>
        <w:t>2</w:t>
      </w:r>
      <w:r>
        <w:rPr>
          <w:spacing w:val="-2"/>
        </w:rPr>
        <w:t>名股东共同投资设立北京威果智能科技有限公司，</w:t>
      </w:r>
      <w:r>
        <w:rPr/>
        <w:t> 汉威电子认缴</w:t>
      </w:r>
      <w:r>
        <w:rPr>
          <w:rFonts w:ascii="宋体" w:hAnsi="宋体" w:cs="宋体" w:eastAsia="宋体" w:hint="default"/>
        </w:rPr>
        <w:t>700</w:t>
      </w:r>
      <w:r>
        <w:rPr/>
        <w:t>万元出资，持有其</w:t>
      </w:r>
      <w:r>
        <w:rPr>
          <w:rFonts w:ascii="宋体" w:hAnsi="宋体" w:cs="宋体" w:eastAsia="宋体" w:hint="default"/>
        </w:rPr>
        <w:t>70%</w:t>
      </w:r>
      <w:r>
        <w:rPr/>
        <w:t>股权。该投资事项在董事长权限内，未达到董事会和股东大会审议 标准。</w:t>
      </w:r>
    </w:p>
    <w:p>
      <w:pPr>
        <w:pStyle w:val="BodyText"/>
        <w:spacing w:line="408" w:lineRule="auto" w:before="83"/>
        <w:ind w:right="211" w:firstLine="480"/>
        <w:jc w:val="both"/>
      </w:pPr>
      <w:r>
        <w:rPr>
          <w:rFonts w:ascii="宋体" w:hAnsi="宋体" w:cs="宋体" w:eastAsia="宋体" w:hint="default"/>
          <w:spacing w:val="-2"/>
        </w:rPr>
        <w:t>6</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日，公司第三届董事会第九次会议审议通过关于投资郑州汉威公用事业科技有限公司</w:t>
      </w:r>
      <w:r>
        <w:rPr/>
        <w:t> </w:t>
      </w:r>
      <w:r>
        <w:rPr>
          <w:spacing w:val="3"/>
        </w:rPr>
        <w:t>的议案，以</w:t>
      </w:r>
      <w:r>
        <w:rPr>
          <w:rFonts w:ascii="宋体" w:hAnsi="宋体" w:cs="宋体" w:eastAsia="宋体" w:hint="default"/>
          <w:spacing w:val="3"/>
        </w:rPr>
        <w:t>2.95</w:t>
      </w:r>
      <w:r>
        <w:rPr>
          <w:spacing w:val="3"/>
        </w:rPr>
        <w:t>亿元自有资金与郑州高新投资建设集团有限公司共同新设郑州汉威公用事业科技有限公</w:t>
      </w:r>
      <w:r>
        <w:rPr>
          <w:spacing w:val="-89"/>
        </w:rPr>
        <w:t> </w:t>
      </w:r>
      <w:r>
        <w:rPr>
          <w:spacing w:val="-89"/>
        </w:rPr>
      </w:r>
      <w:r>
        <w:rPr/>
        <w:t>司，注册资本</w:t>
      </w:r>
      <w:r>
        <w:rPr>
          <w:rFonts w:ascii="宋体" w:hAnsi="宋体" w:cs="宋体" w:eastAsia="宋体" w:hint="default"/>
        </w:rPr>
        <w:t>1</w:t>
      </w:r>
      <w:r>
        <w:rPr/>
        <w:t>亿元，汉威电子持有</w:t>
      </w:r>
      <w:r>
        <w:rPr>
          <w:rFonts w:ascii="宋体" w:hAnsi="宋体" w:cs="宋体" w:eastAsia="宋体" w:hint="default"/>
        </w:rPr>
        <w:t>65%</w:t>
      </w:r>
      <w:r>
        <w:rPr/>
        <w:t>出资。具体信息请查阅公司于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23</w:t>
      </w:r>
      <w:r>
        <w:rPr/>
        <w:t>日在巨潮资讯网刊登的</w:t>
      </w:r>
      <w:r>
        <w:rPr>
          <w:spacing w:val="-31"/>
        </w:rPr>
        <w:t> </w:t>
      </w:r>
      <w:r>
        <w:rPr>
          <w:spacing w:val="-31"/>
        </w:rPr>
      </w:r>
      <w:r>
        <w:rPr/>
        <w:t>公告。</w:t>
      </w:r>
    </w:p>
    <w:p>
      <w:pPr>
        <w:pStyle w:val="BodyText"/>
        <w:spacing w:line="410" w:lineRule="auto" w:before="85"/>
        <w:ind w:right="213" w:firstLine="480"/>
        <w:jc w:val="both"/>
      </w:pPr>
      <w:r>
        <w:rPr>
          <w:rFonts w:ascii="宋体" w:hAnsi="宋体" w:cs="宋体" w:eastAsia="宋体" w:hint="default"/>
        </w:rPr>
        <w:t>7</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10</w:t>
      </w:r>
      <w:r>
        <w:rPr/>
        <w:t>日，公司在巨潮资讯网刊登了《对外投资公告》，以增资方式投资</w:t>
      </w:r>
      <w:r>
        <w:rPr>
          <w:rFonts w:ascii="宋体" w:hAnsi="宋体" w:cs="宋体" w:eastAsia="宋体" w:hint="default"/>
        </w:rPr>
        <w:t>500</w:t>
      </w:r>
      <w:r>
        <w:rPr/>
        <w:t>万元取得河南 开云信息技术有限公司</w:t>
      </w:r>
      <w:r>
        <w:rPr>
          <w:rFonts w:ascii="宋体" w:hAnsi="宋体" w:cs="宋体" w:eastAsia="宋体" w:hint="default"/>
        </w:rPr>
        <w:t>10%</w:t>
      </w:r>
      <w:r>
        <w:rPr/>
        <w:t>股权。该投资事项在董事长权限内，未达到董事会和股东大会审议标准。具体</w:t>
      </w:r>
      <w:r>
        <w:rPr>
          <w:spacing w:val="-34"/>
        </w:rPr>
        <w:t> </w:t>
      </w:r>
      <w:r>
        <w:rPr>
          <w:spacing w:val="-34"/>
        </w:rPr>
      </w:r>
      <w:r>
        <w:rPr/>
        <w:t>信息请查阅公司于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10</w:t>
      </w:r>
      <w:r>
        <w:rPr/>
        <w:t>日在巨潮资讯刊登的公告。</w:t>
      </w:r>
    </w:p>
    <w:p>
      <w:pPr>
        <w:pStyle w:val="BodyText"/>
        <w:spacing w:line="410" w:lineRule="auto" w:before="82"/>
        <w:ind w:right="212" w:firstLine="480"/>
        <w:jc w:val="both"/>
      </w:pPr>
      <w:r>
        <w:rPr>
          <w:rFonts w:ascii="宋体" w:hAnsi="宋体" w:cs="宋体" w:eastAsia="宋体" w:hint="default"/>
          <w:spacing w:val="-2"/>
        </w:rPr>
        <w:t>8</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13</w:t>
      </w:r>
      <w:r>
        <w:rPr>
          <w:spacing w:val="-2"/>
        </w:rPr>
        <w:t>日，公司在巨潮资讯网刊登了《对外投资公告》，以增资方式投资</w:t>
      </w:r>
      <w:r>
        <w:rPr>
          <w:rFonts w:ascii="宋体" w:hAnsi="宋体" w:cs="宋体" w:eastAsia="宋体" w:hint="default"/>
          <w:spacing w:val="-2"/>
        </w:rPr>
        <w:t>1500</w:t>
      </w:r>
      <w:r>
        <w:rPr>
          <w:spacing w:val="-2"/>
        </w:rPr>
        <w:t>万元取得浙江</w:t>
      </w:r>
      <w:r>
        <w:rPr/>
        <w:t> </w:t>
      </w:r>
      <w:r>
        <w:rPr>
          <w:spacing w:val="-1"/>
        </w:rPr>
        <w:t>风向标科技有限公司</w:t>
      </w:r>
      <w:r>
        <w:rPr>
          <w:rFonts w:ascii="宋体" w:hAnsi="宋体" w:cs="宋体" w:eastAsia="宋体" w:hint="default"/>
          <w:spacing w:val="-1"/>
        </w:rPr>
        <w:t>13.04%</w:t>
      </w:r>
      <w:r>
        <w:rPr>
          <w:spacing w:val="-1"/>
        </w:rPr>
        <w:t>的股权。该投资事项在董事长权限内，未达到董事会和股东大会审议标准。具</w:t>
      </w:r>
      <w:r>
        <w:rPr>
          <w:spacing w:val="-81"/>
        </w:rPr>
        <w:t> </w:t>
      </w:r>
      <w:r>
        <w:rPr>
          <w:spacing w:val="-81"/>
        </w:rPr>
      </w:r>
      <w:r>
        <w:rPr/>
        <w:t>体信息请查阅公司于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13</w:t>
      </w:r>
      <w:r>
        <w:rPr/>
        <w:t>日在巨潮资讯网刊登的公告。</w:t>
      </w:r>
    </w:p>
    <w:p>
      <w:pPr>
        <w:pStyle w:val="BodyText"/>
        <w:spacing w:line="408" w:lineRule="auto" w:before="82"/>
        <w:ind w:right="211" w:firstLine="480"/>
        <w:jc w:val="both"/>
      </w:pPr>
      <w:r>
        <w:rPr>
          <w:rFonts w:ascii="宋体" w:hAnsi="宋体" w:cs="宋体" w:eastAsia="宋体" w:hint="default"/>
        </w:rPr>
        <w:t>9</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25</w:t>
      </w:r>
      <w:r>
        <w:rPr/>
        <w:t>日，公司与德煦智能科技（上海）有限公司股东徐军毅等</w:t>
      </w:r>
      <w:r>
        <w:rPr>
          <w:rFonts w:ascii="宋体" w:hAnsi="宋体" w:cs="宋体" w:eastAsia="宋体" w:hint="default"/>
        </w:rPr>
        <w:t>2</w:t>
      </w:r>
      <w:r>
        <w:rPr/>
        <w:t>名股东签订《增资扩股协 议》，以公司增资</w:t>
      </w:r>
      <w:r>
        <w:rPr>
          <w:rFonts w:ascii="宋体" w:hAnsi="宋体" w:cs="宋体" w:eastAsia="宋体" w:hint="default"/>
        </w:rPr>
        <w:t>30</w:t>
      </w:r>
      <w:r>
        <w:rPr/>
        <w:t>万元取得德煦智能科技（上海）有限公司</w:t>
      </w:r>
      <w:r>
        <w:rPr>
          <w:rFonts w:ascii="宋体" w:hAnsi="宋体" w:cs="宋体" w:eastAsia="宋体" w:hint="default"/>
        </w:rPr>
        <w:t>15%</w:t>
      </w:r>
      <w:r>
        <w:rPr/>
        <w:t>股权。该投资事项在董事长权限内，未</w:t>
      </w:r>
      <w:r>
        <w:rPr>
          <w:spacing w:val="-30"/>
        </w:rPr>
        <w:t> </w:t>
      </w:r>
      <w:r>
        <w:rPr>
          <w:spacing w:val="-30"/>
        </w:rPr>
      </w:r>
      <w:r>
        <w:rPr>
          <w:spacing w:val="-1"/>
        </w:rPr>
        <w:t>达到董事会和股东大会审议标准。本次合作有利于双方形成优势互补，共同打造“感知</w:t>
      </w:r>
      <w:r>
        <w:rPr>
          <w:rFonts w:ascii="宋体" w:hAnsi="宋体" w:cs="宋体" w:eastAsia="宋体" w:hint="default"/>
          <w:spacing w:val="-1"/>
        </w:rPr>
        <w:t>+</w:t>
      </w:r>
      <w:r>
        <w:rPr>
          <w:spacing w:val="-1"/>
        </w:rPr>
        <w:t>分析</w:t>
      </w:r>
      <w:r>
        <w:rPr>
          <w:rFonts w:ascii="宋体" w:hAnsi="宋体" w:cs="宋体" w:eastAsia="宋体" w:hint="default"/>
          <w:spacing w:val="-1"/>
        </w:rPr>
        <w:t>+</w:t>
      </w:r>
      <w:r>
        <w:rPr>
          <w:spacing w:val="-1"/>
        </w:rPr>
        <w:t>咨询</w:t>
      </w:r>
      <w:r>
        <w:rPr>
          <w:rFonts w:ascii="宋体" w:hAnsi="宋体" w:cs="宋体" w:eastAsia="宋体" w:hint="default"/>
          <w:spacing w:val="-1"/>
        </w:rPr>
        <w:t>+</w:t>
      </w:r>
      <w:r>
        <w:rPr>
          <w:spacing w:val="-1"/>
        </w:rPr>
        <w:t>治理</w:t>
      </w:r>
      <w:r>
        <w:rPr>
          <w:rFonts w:ascii="宋体" w:hAnsi="宋体" w:cs="宋体" w:eastAsia="宋体" w:hint="default"/>
          <w:spacing w:val="-1"/>
        </w:rPr>
        <w:t>+</w:t>
      </w:r>
      <w:r>
        <w:rPr>
          <w:rFonts w:ascii="宋体" w:hAnsi="宋体" w:cs="宋体" w:eastAsia="宋体" w:hint="default"/>
          <w:spacing w:val="-84"/>
        </w:rPr>
        <w:t> </w:t>
      </w:r>
      <w:r>
        <w:rPr/>
        <w:t>商城</w:t>
      </w:r>
      <w:r>
        <w:rPr>
          <w:rFonts w:ascii="宋体" w:hAnsi="宋体" w:cs="宋体" w:eastAsia="宋体" w:hint="default"/>
        </w:rPr>
        <w:t>+</w:t>
      </w:r>
      <w:r>
        <w:rPr/>
        <w:t>服务”的智能家居生活室内空气质量综合解决方案，快速发展用户并迅速扩展智能家居市场份额。</w:t>
      </w:r>
    </w:p>
    <w:p>
      <w:pPr>
        <w:spacing w:line="240" w:lineRule="auto" w:before="6"/>
        <w:rPr>
          <w:rFonts w:ascii="宋体" w:hAnsi="宋体" w:cs="宋体" w:eastAsia="宋体" w:hint="default"/>
          <w:sz w:val="20"/>
          <w:szCs w:val="20"/>
        </w:rPr>
      </w:pPr>
    </w:p>
    <w:p>
      <w:pPr>
        <w:pStyle w:val="Heading3"/>
        <w:spacing w:line="240" w:lineRule="auto"/>
        <w:ind w:left="154" w:right="104"/>
        <w:jc w:val="left"/>
        <w:rPr>
          <w:b w:val="0"/>
          <w:bCs w:val="0"/>
        </w:rPr>
      </w:pPr>
      <w:bookmarkStart w:name="2、出售资产情况" w:id="42"/>
      <w:bookmarkEnd w:id="42"/>
      <w:r>
        <w:rPr>
          <w:b w:val="0"/>
          <w:bCs w:val="0"/>
        </w:rPr>
      </w:r>
      <w:r>
        <w:rPr>
          <w:rFonts w:ascii="宋体" w:hAnsi="宋体" w:cs="宋体" w:eastAsia="宋体" w:hint="default"/>
        </w:rPr>
        <w:t>2</w:t>
      </w:r>
      <w:r>
        <w:rPr/>
        <w:t>、出售资产情况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78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公司报告期未出售资产。</w:t>
      </w:r>
    </w:p>
    <w:p>
      <w:pPr>
        <w:spacing w:line="240" w:lineRule="auto" w:before="11"/>
        <w:rPr>
          <w:rFonts w:ascii="宋体" w:hAnsi="宋体" w:cs="宋体" w:eastAsia="宋体" w:hint="default"/>
          <w:sz w:val="19"/>
          <w:szCs w:val="19"/>
        </w:rPr>
      </w:pPr>
    </w:p>
    <w:p>
      <w:pPr>
        <w:pStyle w:val="Heading3"/>
        <w:spacing w:line="240" w:lineRule="auto"/>
        <w:ind w:left="154" w:right="104"/>
        <w:jc w:val="left"/>
        <w:rPr>
          <w:b w:val="0"/>
          <w:bCs w:val="0"/>
        </w:rPr>
      </w:pPr>
      <w:bookmarkStart w:name="3、企业合并情况" w:id="43"/>
      <w:bookmarkEnd w:id="43"/>
      <w:r>
        <w:rPr>
          <w:b w:val="0"/>
          <w:bCs w:val="0"/>
        </w:rPr>
      </w:r>
      <w:r>
        <w:rPr>
          <w:rFonts w:ascii="宋体" w:hAnsi="宋体" w:cs="宋体" w:eastAsia="宋体" w:hint="default"/>
        </w:rPr>
        <w:t>3</w:t>
      </w:r>
      <w:r>
        <w:rPr/>
        <w:t>、企业合并情况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71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公司报告期未发生企业合并情况。</w:t>
      </w:r>
    </w:p>
    <w:p>
      <w:pPr>
        <w:spacing w:line="240" w:lineRule="auto" w:before="13"/>
        <w:rPr>
          <w:rFonts w:ascii="宋体" w:hAnsi="宋体" w:cs="宋体" w:eastAsia="宋体" w:hint="default"/>
          <w:sz w:val="19"/>
          <w:szCs w:val="19"/>
        </w:rPr>
      </w:pPr>
    </w:p>
    <w:p>
      <w:pPr>
        <w:pStyle w:val="Heading3"/>
        <w:spacing w:line="273" w:lineRule="auto"/>
        <w:ind w:left="154" w:right="104"/>
        <w:jc w:val="left"/>
        <w:rPr>
          <w:b w:val="0"/>
          <w:bCs w:val="0"/>
        </w:rPr>
      </w:pPr>
      <w:bookmarkStart w:name="4、自资产重组报告书或收购出售资产公告刊登后，该事项的进展情况及对报告期经营成果" w:id="44"/>
      <w:bookmarkEnd w:id="44"/>
      <w:r>
        <w:rPr>
          <w:b w:val="0"/>
          <w:bCs w:val="0"/>
        </w:rPr>
      </w:r>
      <w:r>
        <w:rPr>
          <w:rFonts w:ascii="宋体" w:hAnsi="宋体" w:cs="宋体" w:eastAsia="宋体" w:hint="default"/>
        </w:rPr>
        <w:t>4</w:t>
      </w:r>
      <w:r>
        <w:rPr/>
        <w:t>、自资产重组报告书或收购出售资产公告刊登后，该事项的进展情况及对报告期经营成果与财务状况的</w:t>
      </w:r>
      <w:r>
        <w:rPr>
          <w:spacing w:val="-73"/>
        </w:rPr>
        <w:t> </w:t>
      </w:r>
      <w:r>
        <w:rPr>
          <w:spacing w:val="-73"/>
        </w:rPr>
      </w:r>
      <w:r>
        <w:rPr/>
        <w:t>影响</w:t>
      </w:r>
      <w:r>
        <w:rPr>
          <w:b w:val="0"/>
          <w:bCs w:val="0"/>
        </w:rPr>
      </w:r>
    </w:p>
    <w:p>
      <w:pPr>
        <w:spacing w:line="240" w:lineRule="auto" w:before="8"/>
        <w:rPr>
          <w:rFonts w:ascii="宋体" w:hAnsi="宋体" w:cs="宋体" w:eastAsia="宋体" w:hint="default"/>
          <w:b/>
          <w:bCs/>
          <w:sz w:val="25"/>
          <w:szCs w:val="25"/>
        </w:rPr>
      </w:pPr>
    </w:p>
    <w:p>
      <w:pPr>
        <w:spacing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right="210" w:firstLine="420"/>
        <w:jc w:val="both"/>
      </w:pPr>
      <w:r>
        <w:rPr>
          <w:rFonts w:ascii="宋体" w:hAnsi="宋体" w:cs="宋体" w:eastAsia="宋体" w:hint="default"/>
          <w:spacing w:val="-1"/>
        </w:rPr>
        <w:t>1</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日，公司与苏州能斯达及其股东张珽、陈立桅和苏州纳格光电科技有限公司等</w:t>
      </w:r>
      <w:r>
        <w:rPr>
          <w:rFonts w:ascii="宋体" w:hAnsi="宋体" w:cs="宋体" w:eastAsia="宋体" w:hint="default"/>
          <w:spacing w:val="-1"/>
        </w:rPr>
        <w:t>3</w:t>
      </w:r>
      <w:r>
        <w:rPr>
          <w:spacing w:val="-1"/>
        </w:rPr>
        <w:t>人签</w:t>
      </w:r>
      <w:r>
        <w:rPr/>
        <w:t> 订了增资协议，各方约定能斯达公司注册资本由</w:t>
      </w:r>
      <w:r>
        <w:rPr>
          <w:rFonts w:ascii="宋体" w:hAnsi="宋体" w:cs="宋体" w:eastAsia="宋体" w:hint="default"/>
        </w:rPr>
        <w:t>100</w:t>
      </w:r>
      <w:r>
        <w:rPr/>
        <w:t>万元增加至</w:t>
      </w:r>
      <w:r>
        <w:rPr>
          <w:rFonts w:ascii="宋体" w:hAnsi="宋体" w:cs="宋体" w:eastAsia="宋体" w:hint="default"/>
        </w:rPr>
        <w:t>1,000</w:t>
      </w:r>
      <w:r>
        <w:rPr/>
        <w:t>万元，汉威电子以自由资金</w:t>
      </w:r>
      <w:r>
        <w:rPr>
          <w:rFonts w:ascii="宋体" w:hAnsi="宋体" w:cs="宋体" w:eastAsia="宋体" w:hint="default"/>
        </w:rPr>
        <w:t>430</w:t>
      </w:r>
      <w:r>
        <w:rPr/>
        <w:t>万元</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3" w:right="212" w:hanging="420"/>
        <w:jc w:val="left"/>
      </w:pPr>
      <w:r>
        <w:rPr/>
        <w:t>分期认缴</w:t>
      </w:r>
      <w:r>
        <w:rPr>
          <w:rFonts w:ascii="宋体" w:hAnsi="宋体" w:cs="宋体" w:eastAsia="宋体" w:hint="default"/>
        </w:rPr>
        <w:t>430</w:t>
      </w:r>
      <w:r>
        <w:rPr/>
        <w:t>万元的增资出资，取得</w:t>
      </w:r>
      <w:r>
        <w:rPr>
          <w:rFonts w:ascii="宋体" w:hAnsi="宋体" w:cs="宋体" w:eastAsia="宋体" w:hint="default"/>
        </w:rPr>
        <w:t>43%</w:t>
      </w:r>
      <w:r>
        <w:rPr/>
        <w:t>的股权。</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12</w:t>
      </w:r>
      <w:r>
        <w:rPr/>
        <w:t>日，能斯达公司完成了工商变更登记。 报告期内，苏州能斯达对归属于上市公司普通股股东净利润的贡献为</w:t>
      </w:r>
      <w:r>
        <w:rPr>
          <w:rFonts w:ascii="宋体" w:hAnsi="宋体" w:cs="宋体" w:eastAsia="宋体" w:hint="default"/>
        </w:rPr>
        <w:t>-47.28</w:t>
      </w:r>
      <w:r>
        <w:rPr/>
        <w:t>万元。 </w:t>
      </w:r>
      <w:r>
        <w:rPr>
          <w:rFonts w:ascii="宋体" w:hAnsi="宋体" w:cs="宋体" w:eastAsia="宋体" w:hint="default"/>
          <w:spacing w:val="-1"/>
        </w:rPr>
        <w:t>2</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日，公司与上海英森及其股东李鑫、李菁等</w:t>
      </w:r>
      <w:r>
        <w:rPr>
          <w:rFonts w:ascii="宋体" w:hAnsi="宋体" w:cs="宋体" w:eastAsia="宋体" w:hint="default"/>
          <w:spacing w:val="-1"/>
        </w:rPr>
        <w:t>2</w:t>
      </w:r>
      <w:r>
        <w:rPr>
          <w:spacing w:val="-1"/>
        </w:rPr>
        <w:t>人签订了股权转让及增资协议，以股权</w:t>
      </w:r>
    </w:p>
    <w:p>
      <w:pPr>
        <w:pStyle w:val="BodyText"/>
        <w:spacing w:line="427" w:lineRule="auto"/>
        <w:ind w:left="573" w:right="108" w:hanging="420"/>
        <w:jc w:val="left"/>
      </w:pPr>
      <w:r>
        <w:rPr>
          <w:spacing w:val="-3"/>
        </w:rPr>
        <w:t>转让及增资方式投资</w:t>
      </w:r>
      <w:r>
        <w:rPr>
          <w:rFonts w:ascii="宋体" w:hAnsi="宋体" w:cs="宋体" w:eastAsia="宋体" w:hint="default"/>
          <w:spacing w:val="-3"/>
        </w:rPr>
        <w:t>1,023.5</w:t>
      </w:r>
      <w:r>
        <w:rPr>
          <w:spacing w:val="-3"/>
        </w:rPr>
        <w:t>万元取得上海英森</w:t>
      </w:r>
      <w:r>
        <w:rPr>
          <w:rFonts w:ascii="宋体" w:hAnsi="宋体" w:cs="宋体" w:eastAsia="宋体" w:hint="default"/>
          <w:spacing w:val="-3"/>
        </w:rPr>
        <w:t>51.11%</w:t>
      </w:r>
      <w:r>
        <w:rPr>
          <w:spacing w:val="-3"/>
        </w:rPr>
        <w:t>的股权。</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25</w:t>
      </w:r>
      <w:r>
        <w:rPr>
          <w:spacing w:val="-3"/>
        </w:rPr>
        <w:t>日，上海英森完成了工商变更。</w:t>
      </w:r>
      <w:r>
        <w:rPr>
          <w:spacing w:val="-68"/>
        </w:rPr>
        <w:t> </w:t>
      </w:r>
      <w:r>
        <w:rPr>
          <w:spacing w:val="-68"/>
        </w:rPr>
      </w:r>
      <w:r>
        <w:rPr/>
        <w:t>报告期内，上海英森对归属于上市公司普通股股东净利润的贡献为</w:t>
      </w:r>
      <w:r>
        <w:rPr>
          <w:rFonts w:ascii="宋体" w:hAnsi="宋体" w:cs="宋体" w:eastAsia="宋体" w:hint="default"/>
        </w:rPr>
        <w:t>-41.35</w:t>
      </w:r>
      <w:r>
        <w:rPr/>
        <w:t>万元。 </w:t>
      </w: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日，公司在巨潮资讯网刊登了关于以发行股份和支付现金购买资产并募集配套资金</w:t>
      </w:r>
    </w:p>
    <w:p>
      <w:pPr>
        <w:pStyle w:val="BodyText"/>
        <w:spacing w:line="408" w:lineRule="auto" w:before="28"/>
        <w:ind w:right="106"/>
        <w:jc w:val="both"/>
      </w:pPr>
      <w:r>
        <w:rPr/>
        <w:t>事项的相关文件，分别收购沈阳金建</w:t>
      </w:r>
      <w:r>
        <w:rPr>
          <w:rFonts w:ascii="宋体" w:hAnsi="宋体" w:cs="宋体" w:eastAsia="宋体" w:hint="default"/>
        </w:rPr>
        <w:t>48.91%</w:t>
      </w:r>
      <w:r>
        <w:rPr/>
        <w:t>股权和嘉园环保</w:t>
      </w:r>
      <w:r>
        <w:rPr>
          <w:rFonts w:ascii="宋体" w:hAnsi="宋体" w:cs="宋体" w:eastAsia="宋体" w:hint="default"/>
        </w:rPr>
        <w:t>80%</w:t>
      </w:r>
      <w:r>
        <w:rPr/>
        <w:t>股权，该事项已经中国证券监督管理委员</w:t>
      </w:r>
      <w:r>
        <w:rPr>
          <w:spacing w:val="-33"/>
        </w:rPr>
        <w:t> </w:t>
      </w:r>
      <w:r>
        <w:rPr>
          <w:spacing w:val="-33"/>
        </w:rPr>
      </w:r>
      <w:r>
        <w:rPr/>
        <w:t>会上市公司并购重组审核委员会</w:t>
      </w:r>
      <w:r>
        <w:rPr>
          <w:rFonts w:ascii="宋体" w:hAnsi="宋体" w:cs="宋体" w:eastAsia="宋体" w:hint="default"/>
        </w:rPr>
        <w:t>2014</w:t>
      </w:r>
      <w:r>
        <w:rPr/>
        <w:t>年第</w:t>
      </w:r>
      <w:r>
        <w:rPr>
          <w:rFonts w:ascii="宋体" w:hAnsi="宋体" w:cs="宋体" w:eastAsia="宋体" w:hint="default"/>
        </w:rPr>
        <w:t>41</w:t>
      </w:r>
      <w:r>
        <w:rPr/>
        <w:t>次工作会议审核并获得无条件通过，并于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12</w:t>
      </w:r>
      <w:r>
        <w:rPr/>
        <w:t>日收到</w:t>
      </w:r>
      <w:r>
        <w:rPr>
          <w:spacing w:val="-29"/>
        </w:rPr>
        <w:t> </w:t>
      </w:r>
      <w:r>
        <w:rPr/>
        <w:t>中国证券监督管理委员会的核准批复文件。根据核准文件，沈阳金建、嘉园环保公司分别于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9</w:t>
      </w:r>
      <w:r>
        <w:rPr>
          <w:rFonts w:ascii="宋体" w:hAnsi="宋体" w:cs="宋体" w:eastAsia="宋体" w:hint="default"/>
          <w:spacing w:val="-26"/>
        </w:rPr>
        <w:t> </w:t>
      </w:r>
      <w:r>
        <w:rPr/>
        <w:t>日、</w:t>
      </w:r>
      <w:r>
        <w:rPr>
          <w:rFonts w:ascii="宋体" w:hAnsi="宋体" w:cs="宋体" w:eastAsia="宋体" w:hint="default"/>
        </w:rPr>
        <w:t>10</w:t>
      </w:r>
      <w:r>
        <w:rPr/>
        <w:t>月</w:t>
      </w:r>
      <w:r>
        <w:rPr>
          <w:rFonts w:ascii="宋体" w:hAnsi="宋体" w:cs="宋体" w:eastAsia="宋体" w:hint="default"/>
        </w:rPr>
        <w:t>17</w:t>
      </w:r>
      <w:r>
        <w:rPr/>
        <w:t>日完成了资产过户的工商变更登记工作，公司也按照规定及时开展了非公开发行、股份登记相 关工作。</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7</w:t>
      </w:r>
      <w:r>
        <w:rPr/>
        <w:t>日，公司在巨潮资讯网刊登了《发行股份及支付现金购买资产并募集配套资金暨关联 交易实施情况暨新增股份上市报告书》等文件，重大资产重组相关事项实施完毕。上述事项具体信息请查 </w:t>
      </w:r>
      <w:r>
        <w:rPr>
          <w:spacing w:val="-1"/>
        </w:rPr>
        <w:t>阅公司分别于</w:t>
      </w:r>
      <w:r>
        <w:rPr>
          <w:rFonts w:ascii="宋体" w:hAnsi="宋体" w:cs="宋体" w:eastAsia="宋体" w:hint="default"/>
          <w:spacing w:val="-1"/>
        </w:rPr>
        <w:t>2014</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15</w:t>
      </w:r>
      <w:r>
        <w:rPr>
          <w:spacing w:val="-1"/>
        </w:rPr>
        <w:t>日、</w:t>
      </w:r>
      <w:r>
        <w:rPr>
          <w:rFonts w:ascii="宋体" w:hAnsi="宋体" w:cs="宋体" w:eastAsia="宋体" w:hint="default"/>
          <w:spacing w:val="-1"/>
        </w:rPr>
        <w:t>8</w:t>
      </w:r>
      <w:r>
        <w:rPr>
          <w:spacing w:val="-1"/>
        </w:rPr>
        <w:t>月</w:t>
      </w:r>
      <w:r>
        <w:rPr>
          <w:rFonts w:ascii="宋体" w:hAnsi="宋体" w:cs="宋体" w:eastAsia="宋体" w:hint="default"/>
          <w:spacing w:val="-1"/>
        </w:rPr>
        <w:t>21</w:t>
      </w:r>
      <w:r>
        <w:rPr>
          <w:spacing w:val="-1"/>
        </w:rPr>
        <w:t>日、</w:t>
      </w:r>
      <w:r>
        <w:rPr>
          <w:rFonts w:ascii="宋体" w:hAnsi="宋体" w:cs="宋体" w:eastAsia="宋体" w:hint="default"/>
          <w:spacing w:val="-1"/>
        </w:rPr>
        <w:t>9</w:t>
      </w:r>
      <w:r>
        <w:rPr>
          <w:spacing w:val="-1"/>
        </w:rPr>
        <w:t>月</w:t>
      </w:r>
      <w:r>
        <w:rPr>
          <w:rFonts w:ascii="宋体" w:hAnsi="宋体" w:cs="宋体" w:eastAsia="宋体" w:hint="default"/>
          <w:spacing w:val="-1"/>
        </w:rPr>
        <w:t>13</w:t>
      </w:r>
      <w:r>
        <w:rPr>
          <w:spacing w:val="-1"/>
        </w:rPr>
        <w:t>日、</w:t>
      </w:r>
      <w:r>
        <w:rPr>
          <w:rFonts w:ascii="宋体" w:hAnsi="宋体" w:cs="宋体" w:eastAsia="宋体" w:hint="default"/>
          <w:spacing w:val="-1"/>
        </w:rPr>
        <w:t>10</w:t>
      </w:r>
      <w:r>
        <w:rPr>
          <w:spacing w:val="-1"/>
        </w:rPr>
        <w:t>月</w:t>
      </w:r>
      <w:r>
        <w:rPr>
          <w:rFonts w:ascii="宋体" w:hAnsi="宋体" w:cs="宋体" w:eastAsia="宋体" w:hint="default"/>
          <w:spacing w:val="-1"/>
        </w:rPr>
        <w:t>28</w:t>
      </w:r>
      <w:r>
        <w:rPr>
          <w:spacing w:val="-1"/>
        </w:rPr>
        <w:t>日以及</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7</w:t>
      </w:r>
      <w:r>
        <w:rPr>
          <w:spacing w:val="-1"/>
        </w:rPr>
        <w:t>日在巨潮资讯网刊登的公告。</w:t>
      </w:r>
    </w:p>
    <w:p>
      <w:pPr>
        <w:pStyle w:val="BodyText"/>
        <w:spacing w:line="410" w:lineRule="auto" w:before="85"/>
        <w:ind w:left="154" w:right="211" w:firstLine="480"/>
        <w:jc w:val="both"/>
      </w:pPr>
      <w:r>
        <w:rPr>
          <w:spacing w:val="-2"/>
        </w:rPr>
        <w:t>自工商变更登记完成后至本报告期末，沈阳金建、嘉园环保对归属于上市公司普通股股东的净利润的</w:t>
      </w:r>
      <w:r>
        <w:rPr/>
        <w:t> 贡献分别约为</w:t>
      </w:r>
      <w:r>
        <w:rPr>
          <w:rFonts w:ascii="宋体" w:hAnsi="宋体" w:cs="宋体" w:eastAsia="宋体" w:hint="default"/>
        </w:rPr>
        <w:t>430.36</w:t>
      </w:r>
      <w:r>
        <w:rPr/>
        <w:t>万元、</w:t>
      </w:r>
      <w:r>
        <w:rPr>
          <w:rFonts w:ascii="宋体" w:hAnsi="宋体" w:cs="宋体" w:eastAsia="宋体" w:hint="default"/>
        </w:rPr>
        <w:t>817.70</w:t>
      </w:r>
      <w:r>
        <w:rPr/>
        <w:t>万元。</w:t>
      </w:r>
    </w:p>
    <w:p>
      <w:pPr>
        <w:pStyle w:val="BodyText"/>
        <w:spacing w:line="410" w:lineRule="auto" w:before="83"/>
        <w:ind w:right="207" w:firstLine="480"/>
        <w:jc w:val="both"/>
      </w:pPr>
      <w:r>
        <w:rPr>
          <w:rFonts w:ascii="宋体" w:hAnsi="宋体" w:cs="宋体" w:eastAsia="宋体" w:hint="default"/>
          <w:spacing w:val="2"/>
        </w:rPr>
        <w:t>4</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25</w:t>
      </w:r>
      <w:r>
        <w:rPr>
          <w:spacing w:val="2"/>
        </w:rPr>
        <w:t>日，公司在巨潮资讯网刊登了关于投资鞍山易兴的相关公告，鞍山易兴已经于</w:t>
      </w:r>
      <w:r>
        <w:rPr>
          <w:rFonts w:ascii="宋体" w:hAnsi="宋体" w:cs="宋体" w:eastAsia="宋体" w:hint="default"/>
          <w:spacing w:val="2"/>
        </w:rPr>
        <w:t>2014</w:t>
      </w:r>
      <w:r>
        <w:rPr>
          <w:rFonts w:ascii="宋体" w:hAnsi="宋体" w:cs="宋体" w:eastAsia="宋体" w:hint="default"/>
        </w:rPr>
        <w:t> </w:t>
      </w:r>
      <w:r>
        <w:rPr/>
        <w:t>年</w:t>
      </w:r>
      <w:r>
        <w:rPr>
          <w:rFonts w:ascii="宋体" w:hAnsi="宋体" w:cs="宋体" w:eastAsia="宋体" w:hint="default"/>
        </w:rPr>
        <w:t>10</w:t>
      </w:r>
      <w:r>
        <w:rPr/>
        <w:t>月</w:t>
      </w:r>
      <w:r>
        <w:rPr>
          <w:rFonts w:ascii="宋体" w:hAnsi="宋体" w:cs="宋体" w:eastAsia="宋体" w:hint="default"/>
        </w:rPr>
        <w:t>21</w:t>
      </w:r>
      <w:r>
        <w:rPr/>
        <w:t>日完成了工商变更登记公告。上述事项具体信息请查阅公司分别于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25</w:t>
      </w:r>
      <w:r>
        <w:rPr/>
        <w:t>日、</w:t>
      </w:r>
      <w:r>
        <w:rPr>
          <w:rFonts w:ascii="宋体" w:hAnsi="宋体" w:cs="宋体" w:eastAsia="宋体" w:hint="default"/>
        </w:rPr>
        <w:t>10</w:t>
      </w:r>
      <w:r>
        <w:rPr/>
        <w:t>月</w:t>
      </w:r>
      <w:r>
        <w:rPr>
          <w:rFonts w:ascii="宋体" w:hAnsi="宋体" w:cs="宋体" w:eastAsia="宋体" w:hint="default"/>
        </w:rPr>
        <w:t>24</w:t>
      </w:r>
      <w:r>
        <w:rPr/>
        <w:t>日在</w:t>
      </w:r>
      <w:r>
        <w:rPr>
          <w:spacing w:val="-30"/>
        </w:rPr>
        <w:t> </w:t>
      </w:r>
      <w:r>
        <w:rPr/>
        <w:t>巨潮咨询网刊登的公告。</w:t>
      </w:r>
    </w:p>
    <w:p>
      <w:pPr>
        <w:pStyle w:val="BodyText"/>
        <w:spacing w:line="410" w:lineRule="auto" w:before="82"/>
        <w:ind w:right="210" w:firstLine="480"/>
        <w:jc w:val="both"/>
      </w:pPr>
      <w:r>
        <w:rPr>
          <w:spacing w:val="-2"/>
        </w:rPr>
        <w:t>自工商变更登记完成后至本报告期末，鞍山易兴对归属于上市公司普通股股东净利润的贡献为</w:t>
      </w:r>
      <w:r>
        <w:rPr>
          <w:rFonts w:ascii="宋体" w:hAnsi="宋体" w:cs="宋体" w:eastAsia="宋体" w:hint="default"/>
          <w:spacing w:val="-2"/>
        </w:rPr>
        <w:t>150.29</w:t>
      </w:r>
      <w:r>
        <w:rPr>
          <w:rFonts w:ascii="宋体" w:hAnsi="宋体" w:cs="宋体" w:eastAsia="宋体" w:hint="default"/>
        </w:rPr>
        <w:t> </w:t>
      </w:r>
      <w:r>
        <w:rPr/>
        <w:t>万元。</w:t>
      </w:r>
    </w:p>
    <w:p>
      <w:pPr>
        <w:pStyle w:val="BodyText"/>
        <w:spacing w:line="410" w:lineRule="auto" w:before="83"/>
        <w:ind w:right="106" w:firstLine="480"/>
        <w:jc w:val="left"/>
      </w:pPr>
      <w:r>
        <w:rPr>
          <w:rFonts w:ascii="宋体" w:hAnsi="宋体" w:cs="宋体" w:eastAsia="宋体" w:hint="default"/>
          <w:spacing w:val="-2"/>
        </w:rPr>
        <w:t>5</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日，河南汉威电子股份有限公司等</w:t>
      </w:r>
      <w:r>
        <w:rPr>
          <w:rFonts w:ascii="宋体" w:hAnsi="宋体" w:cs="宋体" w:eastAsia="宋体" w:hint="default"/>
          <w:spacing w:val="-2"/>
        </w:rPr>
        <w:t>2</w:t>
      </w:r>
      <w:r>
        <w:rPr>
          <w:spacing w:val="-2"/>
        </w:rPr>
        <w:t>名股东共同投资设立北京威果智能科技有限公司，</w:t>
      </w:r>
      <w:r>
        <w:rPr/>
        <w:t> 汉威电子认缴</w:t>
      </w:r>
      <w:r>
        <w:rPr>
          <w:rFonts w:ascii="宋体" w:hAnsi="宋体" w:cs="宋体" w:eastAsia="宋体" w:hint="default"/>
        </w:rPr>
        <w:t>700</w:t>
      </w:r>
      <w:r>
        <w:rPr/>
        <w:t>万元出资，持有其</w:t>
      </w:r>
      <w:r>
        <w:rPr>
          <w:rFonts w:ascii="宋体" w:hAnsi="宋体" w:cs="宋体" w:eastAsia="宋体" w:hint="default"/>
        </w:rPr>
        <w:t>70%</w:t>
      </w:r>
      <w:r>
        <w:rPr/>
        <w:t>股权。该投资事项在董事长权限内，未达到董事会和股东大会审议 标准。截至报告期末，该公司尚在筹办中。</w:t>
      </w:r>
    </w:p>
    <w:p>
      <w:pPr>
        <w:pStyle w:val="BodyText"/>
        <w:spacing w:line="408" w:lineRule="auto" w:before="82"/>
        <w:ind w:right="210" w:firstLine="480"/>
        <w:jc w:val="both"/>
      </w:pPr>
      <w:r>
        <w:rPr>
          <w:rFonts w:ascii="宋体" w:hAnsi="宋体" w:cs="宋体" w:eastAsia="宋体" w:hint="default"/>
          <w:spacing w:val="-2"/>
        </w:rPr>
        <w:t>6</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日，公司第三届董事会第九次会议审议通过关于投资郑州汉威公用事业科技有限公司</w:t>
      </w:r>
      <w:r>
        <w:rPr/>
        <w:t> </w:t>
      </w:r>
      <w:r>
        <w:rPr>
          <w:spacing w:val="3"/>
        </w:rPr>
        <w:t>的议案，以</w:t>
      </w:r>
      <w:r>
        <w:rPr>
          <w:rFonts w:ascii="宋体" w:hAnsi="宋体" w:cs="宋体" w:eastAsia="宋体" w:hint="default"/>
          <w:spacing w:val="3"/>
        </w:rPr>
        <w:t>2.95</w:t>
      </w:r>
      <w:r>
        <w:rPr>
          <w:spacing w:val="3"/>
        </w:rPr>
        <w:t>亿元自有资金与郑州高新投资建设集团有限公司共同新设郑州汉威公用事业科技有限公</w:t>
      </w:r>
      <w:r>
        <w:rPr>
          <w:spacing w:val="-87"/>
        </w:rPr>
        <w:t> </w:t>
      </w:r>
      <w:r>
        <w:rPr>
          <w:spacing w:val="-87"/>
        </w:rPr>
      </w:r>
      <w:r>
        <w:rPr/>
        <w:t>司，注册资本</w:t>
      </w:r>
      <w:r>
        <w:rPr>
          <w:rFonts w:ascii="宋体" w:hAnsi="宋体" w:cs="宋体" w:eastAsia="宋体" w:hint="default"/>
        </w:rPr>
        <w:t>1</w:t>
      </w:r>
      <w:r>
        <w:rPr/>
        <w:t>亿元，汉威电子持有</w:t>
      </w:r>
      <w:r>
        <w:rPr>
          <w:rFonts w:ascii="宋体" w:hAnsi="宋体" w:cs="宋体" w:eastAsia="宋体" w:hint="default"/>
        </w:rPr>
        <w:t>65%</w:t>
      </w:r>
      <w:r>
        <w:rPr/>
        <w:t>出资。郑州汉威公用事业科技有限公司于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30</w:t>
      </w:r>
      <w:r>
        <w:rPr/>
        <w:t>日完成了工</w:t>
      </w:r>
      <w:r>
        <w:rPr>
          <w:spacing w:val="-29"/>
        </w:rPr>
        <w:t> </w:t>
      </w:r>
      <w:r>
        <w:rPr>
          <w:spacing w:val="-29"/>
        </w:rPr>
      </w:r>
      <w:r>
        <w:rPr/>
        <w:t>商登记。具体信息请查阅公司于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23</w:t>
      </w:r>
      <w:r>
        <w:rPr/>
        <w:t>日在巨潮资讯网刊登的公告。</w:t>
      </w:r>
    </w:p>
    <w:p>
      <w:pPr>
        <w:pStyle w:val="BodyText"/>
        <w:spacing w:line="240" w:lineRule="auto" w:before="84"/>
        <w:ind w:left="633" w:right="104"/>
        <w:jc w:val="left"/>
      </w:pPr>
      <w:r>
        <w:rPr/>
        <w:t>由于该投资事项发生在</w:t>
      </w:r>
      <w:r>
        <w:rPr>
          <w:rFonts w:ascii="宋体" w:hAnsi="宋体" w:cs="宋体" w:eastAsia="宋体" w:hint="default"/>
        </w:rPr>
        <w:t>2015</w:t>
      </w:r>
      <w:r>
        <w:rPr/>
        <w:t>年</w:t>
      </w:r>
      <w:r>
        <w:rPr>
          <w:rFonts w:ascii="宋体" w:hAnsi="宋体" w:cs="宋体" w:eastAsia="宋体" w:hint="default"/>
        </w:rPr>
        <w:t>1</w:t>
      </w:r>
      <w:r>
        <w:rPr/>
        <w:t>月，所以郑州汉威公用事业科技有限公司未纳入本报告期合并报表范</w:t>
      </w:r>
    </w:p>
    <w:p>
      <w:pPr>
        <w:spacing w:line="240" w:lineRule="auto" w:before="11"/>
        <w:rPr>
          <w:rFonts w:ascii="宋体" w:hAnsi="宋体" w:cs="宋体" w:eastAsia="宋体" w:hint="default"/>
          <w:sz w:val="14"/>
          <w:szCs w:val="14"/>
        </w:rPr>
      </w:pPr>
    </w:p>
    <w:p>
      <w:pPr>
        <w:pStyle w:val="BodyText"/>
        <w:spacing w:line="240" w:lineRule="auto" w:before="0"/>
        <w:ind w:left="154" w:right="104"/>
        <w:jc w:val="left"/>
      </w:pPr>
      <w:r>
        <w:rPr/>
        <w:t>围。</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150" w:firstLine="480"/>
        <w:jc w:val="both"/>
      </w:pPr>
      <w:r>
        <w:rPr>
          <w:rFonts w:ascii="宋体" w:hAnsi="宋体" w:cs="宋体" w:eastAsia="宋体" w:hint="default"/>
        </w:rPr>
        <w:t>7</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10</w:t>
      </w:r>
      <w:r>
        <w:rPr/>
        <w:t>日，公司在巨潮资讯网刊登了《对外投资公告》，以增资方式投资</w:t>
      </w:r>
      <w:r>
        <w:rPr>
          <w:rFonts w:ascii="宋体" w:hAnsi="宋体" w:cs="宋体" w:eastAsia="宋体" w:hint="default"/>
        </w:rPr>
        <w:t>500</w:t>
      </w:r>
      <w:r>
        <w:rPr/>
        <w:t>万元取得河南 开云信息技术有限公司</w:t>
      </w:r>
      <w:r>
        <w:rPr>
          <w:rFonts w:ascii="宋体" w:hAnsi="宋体" w:cs="宋体" w:eastAsia="宋体" w:hint="default"/>
        </w:rPr>
        <w:t>10%</w:t>
      </w:r>
      <w:r>
        <w:rPr/>
        <w:t>股权。该投资事项在董事长权限内，未达到董事会和股东大会审议标准。具体</w:t>
      </w:r>
      <w:r>
        <w:rPr>
          <w:spacing w:val="-27"/>
        </w:rPr>
        <w:t> </w:t>
      </w:r>
      <w:r>
        <w:rPr>
          <w:spacing w:val="-27"/>
        </w:rPr>
      </w:r>
      <w:r>
        <w:rPr/>
        <w:t>信息请查阅公司于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10</w:t>
      </w:r>
      <w:r>
        <w:rPr/>
        <w:t>日在巨潮资讯刊登的公告。</w:t>
      </w:r>
    </w:p>
    <w:p>
      <w:pPr>
        <w:pStyle w:val="BodyText"/>
        <w:spacing w:line="427" w:lineRule="auto" w:before="84"/>
        <w:ind w:right="152" w:firstLine="480"/>
        <w:jc w:val="right"/>
      </w:pPr>
      <w:r>
        <w:rPr>
          <w:spacing w:val="-1"/>
        </w:rPr>
        <w:t>由于该投资事项发生在</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月，所以河南开云信息技术有限公司未纳入本报告期合并报表范围。</w:t>
      </w:r>
      <w:r>
        <w:rPr/>
        <w:t> </w:t>
      </w:r>
      <w:r>
        <w:rPr>
          <w:rFonts w:ascii="宋体" w:hAnsi="宋体" w:cs="宋体" w:eastAsia="宋体" w:hint="default"/>
          <w:spacing w:val="-2"/>
        </w:rPr>
        <w:t>8</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13</w:t>
      </w:r>
      <w:r>
        <w:rPr>
          <w:spacing w:val="-2"/>
        </w:rPr>
        <w:t>日，公司在巨潮资讯网刊登了《对外投资公告》，以增资方式投资</w:t>
      </w:r>
      <w:r>
        <w:rPr>
          <w:rFonts w:ascii="宋体" w:hAnsi="宋体" w:cs="宋体" w:eastAsia="宋体" w:hint="default"/>
          <w:spacing w:val="-2"/>
        </w:rPr>
        <w:t>1500</w:t>
      </w:r>
      <w:r>
        <w:rPr>
          <w:spacing w:val="-2"/>
        </w:rPr>
        <w:t>万元取得浙江</w:t>
      </w:r>
      <w:r>
        <w:rPr/>
        <w:t> </w:t>
      </w:r>
      <w:r>
        <w:rPr>
          <w:spacing w:val="-1"/>
        </w:rPr>
        <w:t>风向标科技有限公司</w:t>
      </w:r>
      <w:r>
        <w:rPr>
          <w:rFonts w:ascii="宋体" w:hAnsi="宋体" w:cs="宋体" w:eastAsia="宋体" w:hint="default"/>
          <w:spacing w:val="-1"/>
        </w:rPr>
        <w:t>13.04%</w:t>
      </w:r>
      <w:r>
        <w:rPr>
          <w:spacing w:val="-1"/>
        </w:rPr>
        <w:t>的股权。该投资事项在董事长权限内，未达到董事会和股东大会审议标准。具</w:t>
      </w:r>
    </w:p>
    <w:p>
      <w:pPr>
        <w:pStyle w:val="BodyText"/>
        <w:spacing w:line="441" w:lineRule="auto" w:before="30"/>
        <w:ind w:left="634" w:right="0" w:hanging="480"/>
        <w:jc w:val="left"/>
      </w:pPr>
      <w:r>
        <w:rPr/>
        <w:t>体信息请查阅公司于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13</w:t>
      </w:r>
      <w:r>
        <w:rPr/>
        <w:t>日在巨潮资讯网刊登的公告。 由于该投资事项发生在</w:t>
      </w:r>
      <w:r>
        <w:rPr>
          <w:rFonts w:ascii="宋体" w:hAnsi="宋体" w:cs="宋体" w:eastAsia="宋体" w:hint="default"/>
        </w:rPr>
        <w:t>2015</w:t>
      </w:r>
      <w:r>
        <w:rPr/>
        <w:t>年</w:t>
      </w:r>
      <w:r>
        <w:rPr>
          <w:rFonts w:ascii="宋体" w:hAnsi="宋体" w:cs="宋体" w:eastAsia="宋体" w:hint="default"/>
        </w:rPr>
        <w:t>3</w:t>
      </w:r>
      <w:r>
        <w:rPr/>
        <w:t>月，所以浙江风向标科技有限公司未纳入本报告期合并报表范围。 </w:t>
      </w:r>
      <w:r>
        <w:rPr>
          <w:rFonts w:ascii="宋体" w:hAnsi="宋体" w:cs="宋体" w:eastAsia="宋体" w:hint="default"/>
        </w:rPr>
        <w:t>9</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25</w:t>
      </w:r>
      <w:r>
        <w:rPr/>
        <w:t>日，公司与德煦智能科技（上海）有限公司股东徐军毅等</w:t>
      </w:r>
      <w:r>
        <w:rPr>
          <w:rFonts w:ascii="宋体" w:hAnsi="宋体" w:cs="宋体" w:eastAsia="宋体" w:hint="default"/>
        </w:rPr>
        <w:t>2</w:t>
      </w:r>
      <w:r>
        <w:rPr/>
        <w:t>名股东签订《增资扩股协</w:t>
      </w:r>
    </w:p>
    <w:p>
      <w:pPr>
        <w:pStyle w:val="BodyText"/>
        <w:spacing w:line="410" w:lineRule="auto" w:before="16"/>
        <w:ind w:right="0"/>
        <w:jc w:val="left"/>
      </w:pPr>
      <w:r>
        <w:rPr/>
        <w:t>议》，公司增资</w:t>
      </w:r>
      <w:r>
        <w:rPr>
          <w:rFonts w:ascii="宋体" w:hAnsi="宋体" w:cs="宋体" w:eastAsia="宋体" w:hint="default"/>
        </w:rPr>
        <w:t>30</w:t>
      </w:r>
      <w:r>
        <w:rPr/>
        <w:t>万元取得德煦智能科技（上海）有限公司</w:t>
      </w:r>
      <w:r>
        <w:rPr>
          <w:rFonts w:ascii="宋体" w:hAnsi="宋体" w:cs="宋体" w:eastAsia="宋体" w:hint="default"/>
        </w:rPr>
        <w:t>15%</w:t>
      </w:r>
      <w:r>
        <w:rPr/>
        <w:t>股权。该投资事项在董事长权限内，未达</w:t>
      </w:r>
      <w:r>
        <w:rPr>
          <w:spacing w:val="-32"/>
        </w:rPr>
        <w:t> </w:t>
      </w:r>
      <w:r>
        <w:rPr>
          <w:spacing w:val="-32"/>
        </w:rPr>
      </w:r>
      <w:r>
        <w:rPr/>
        <w:t>到董事会和股东大会审议标准。</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381" w:lineRule="auto" w:before="153"/>
        <w:ind w:right="151" w:firstLine="424"/>
        <w:jc w:val="both"/>
      </w:pP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22</w:t>
      </w:r>
      <w:r>
        <w:rPr>
          <w:spacing w:val="-1"/>
        </w:rPr>
        <w:t>日，公司第三届董事会第九次会议审议通过了《关于</w:t>
      </w:r>
      <w:r>
        <w:rPr>
          <w:rFonts w:ascii="宋体" w:hAnsi="宋体" w:cs="宋体" w:eastAsia="宋体" w:hint="default"/>
          <w:spacing w:val="-1"/>
        </w:rPr>
        <w:t>&lt;</w:t>
      </w:r>
      <w:r>
        <w:rPr>
          <w:spacing w:val="-1"/>
        </w:rPr>
        <w:t>河南汉威电子股份有限公司第一期</w:t>
      </w:r>
      <w:r>
        <w:rPr/>
        <w:t> 员工持股计划（草案）</w:t>
      </w:r>
      <w:r>
        <w:rPr>
          <w:rFonts w:ascii="宋体" w:hAnsi="宋体" w:cs="宋体" w:eastAsia="宋体" w:hint="default"/>
        </w:rPr>
        <w:t>&gt;</w:t>
      </w:r>
      <w:r>
        <w:rPr/>
        <w:t>及其摘要的议案》</w:t>
      </w:r>
      <w:r>
        <w:rPr>
          <w:spacing w:val="-24"/>
        </w:rPr>
        <w:t> </w:t>
      </w:r>
      <w:r>
        <w:rPr/>
        <w:t>，本次员工持股计划的参加人员总人数不超过</w:t>
      </w:r>
      <w:r>
        <w:rPr>
          <w:rFonts w:ascii="宋体" w:hAnsi="宋体" w:cs="宋体" w:eastAsia="宋体" w:hint="default"/>
        </w:rPr>
        <w:t>70</w:t>
      </w:r>
      <w:r>
        <w:rPr/>
        <w:t>人（具体参加 </w:t>
      </w:r>
      <w:r>
        <w:rPr>
          <w:spacing w:val="-1"/>
        </w:rPr>
        <w:t>人数根据员工实际缴款情况确定），本员工持股计划设立后委托汇添富基金管理股份有限公司管理并全额</w:t>
      </w:r>
      <w:r>
        <w:rPr>
          <w:spacing w:val="-81"/>
        </w:rPr>
        <w:t> </w:t>
      </w:r>
      <w:r>
        <w:rPr>
          <w:spacing w:val="-81"/>
        </w:rPr>
      </w:r>
      <w:r>
        <w:rPr/>
        <w:t>认购汇添富基金管理股份有限公司设立的汇添富</w:t>
      </w:r>
      <w:r>
        <w:rPr>
          <w:rFonts w:ascii="宋体" w:hAnsi="宋体" w:cs="宋体" w:eastAsia="宋体" w:hint="default"/>
        </w:rPr>
        <w:t>-</w:t>
      </w:r>
      <w:r>
        <w:rPr/>
        <w:t>汉威电子</w:t>
      </w:r>
      <w:r>
        <w:rPr>
          <w:rFonts w:ascii="宋体" w:hAnsi="宋体" w:cs="宋体" w:eastAsia="宋体" w:hint="default"/>
        </w:rPr>
        <w:t>-</w:t>
      </w:r>
      <w:r>
        <w:rPr/>
        <w:t>双喜盛世 </w:t>
      </w:r>
      <w:r>
        <w:rPr>
          <w:rFonts w:ascii="宋体" w:hAnsi="宋体" w:cs="宋体" w:eastAsia="宋体" w:hint="default"/>
        </w:rPr>
        <w:t>51</w:t>
      </w:r>
      <w:r>
        <w:rPr>
          <w:rFonts w:ascii="宋体" w:hAnsi="宋体" w:cs="宋体" w:eastAsia="宋体" w:hint="default"/>
          <w:spacing w:val="-5"/>
        </w:rPr>
        <w:t> </w:t>
      </w:r>
      <w:r>
        <w:rPr/>
        <w:t>号资产管理计划（下称“添威</w:t>
      </w:r>
    </w:p>
    <w:p>
      <w:pPr>
        <w:pStyle w:val="BodyText"/>
        <w:spacing w:line="381" w:lineRule="auto" w:before="38"/>
        <w:ind w:right="139"/>
        <w:jc w:val="left"/>
      </w:pPr>
      <w:r>
        <w:rPr>
          <w:rFonts w:ascii="宋体" w:hAnsi="宋体" w:cs="宋体" w:eastAsia="宋体" w:hint="default"/>
        </w:rPr>
        <w:t>51 </w:t>
      </w:r>
      <w:r>
        <w:rPr/>
        <w:t>号资管计划”）中的次级份额。添威</w:t>
      </w:r>
      <w:r>
        <w:rPr>
          <w:rFonts w:ascii="宋体" w:hAnsi="宋体" w:cs="宋体" w:eastAsia="宋体" w:hint="default"/>
        </w:rPr>
        <w:t>51</w:t>
      </w:r>
      <w:r>
        <w:rPr/>
        <w:t>号资管计划份额上限为</w:t>
      </w:r>
      <w:r>
        <w:rPr>
          <w:rFonts w:ascii="宋体" w:hAnsi="宋体" w:cs="宋体" w:eastAsia="宋体" w:hint="default"/>
        </w:rPr>
        <w:t>9000</w:t>
      </w:r>
      <w:r>
        <w:rPr/>
        <w:t>万份，每份份额为</w:t>
      </w:r>
      <w:r>
        <w:rPr>
          <w:rFonts w:ascii="宋体" w:hAnsi="宋体" w:cs="宋体" w:eastAsia="宋体" w:hint="default"/>
        </w:rPr>
        <w:t>1.00</w:t>
      </w:r>
      <w:r>
        <w:rPr>
          <w:rFonts w:ascii="宋体" w:hAnsi="宋体" w:cs="宋体" w:eastAsia="宋体" w:hint="default"/>
          <w:spacing w:val="-28"/>
        </w:rPr>
        <w:t> </w:t>
      </w:r>
      <w:r>
        <w:rPr/>
        <w:t>元，按照不 超过</w:t>
      </w:r>
      <w:r>
        <w:rPr>
          <w:rFonts w:ascii="宋体" w:hAnsi="宋体" w:cs="宋体" w:eastAsia="宋体" w:hint="default"/>
        </w:rPr>
        <w:t>2:1</w:t>
      </w:r>
      <w:r>
        <w:rPr/>
        <w:t>的比例设立优先级</w:t>
      </w:r>
      <w:r>
        <w:rPr>
          <w:rFonts w:ascii="宋体" w:hAnsi="宋体" w:cs="宋体" w:eastAsia="宋体" w:hint="default"/>
        </w:rPr>
        <w:t>A</w:t>
      </w:r>
      <w:r>
        <w:rPr/>
        <w:t>份额和次级份额，次级份额按照</w:t>
      </w:r>
      <w:r>
        <w:rPr>
          <w:rFonts w:ascii="宋体" w:hAnsi="宋体" w:cs="宋体" w:eastAsia="宋体" w:hint="default"/>
        </w:rPr>
        <w:t>2:1</w:t>
      </w:r>
      <w:r>
        <w:rPr/>
        <w:t>的比例设置次级</w:t>
      </w:r>
      <w:r>
        <w:rPr>
          <w:rFonts w:ascii="宋体" w:hAnsi="宋体" w:cs="宋体" w:eastAsia="宋体" w:hint="default"/>
        </w:rPr>
        <w:t>B</w:t>
      </w:r>
      <w:r>
        <w:rPr/>
        <w:t>份额和次级</w:t>
      </w:r>
      <w:r>
        <w:rPr>
          <w:spacing w:val="-26"/>
        </w:rPr>
        <w:t> </w:t>
      </w:r>
      <w:r>
        <w:rPr>
          <w:rFonts w:ascii="宋体" w:hAnsi="宋体" w:cs="宋体" w:eastAsia="宋体" w:hint="default"/>
        </w:rPr>
        <w:t>C</w:t>
      </w:r>
      <w:r>
        <w:rPr/>
        <w:t>份额。公司 员工出资</w:t>
      </w:r>
      <w:r>
        <w:rPr>
          <w:rFonts w:ascii="宋体" w:hAnsi="宋体" w:cs="宋体" w:eastAsia="宋体" w:hint="default"/>
        </w:rPr>
        <w:t>2000</w:t>
      </w:r>
      <w:r>
        <w:rPr/>
        <w:t>万元全额认购添威</w:t>
      </w:r>
      <w:r>
        <w:rPr>
          <w:rFonts w:ascii="宋体" w:hAnsi="宋体" w:cs="宋体" w:eastAsia="宋体" w:hint="default"/>
        </w:rPr>
        <w:t>51</w:t>
      </w:r>
      <w:r>
        <w:rPr/>
        <w:t>号资管计划的次级</w:t>
      </w:r>
      <w:r>
        <w:rPr>
          <w:rFonts w:ascii="宋体" w:hAnsi="宋体" w:cs="宋体" w:eastAsia="宋体" w:hint="default"/>
        </w:rPr>
        <w:t>B</w:t>
      </w:r>
      <w:r>
        <w:rPr/>
        <w:t>份额，公司股东刘瑞玲、张艳丽、钟克创、肖延岭 </w:t>
      </w:r>
      <w:r>
        <w:rPr>
          <w:spacing w:val="-1"/>
        </w:rPr>
        <w:t>等</w:t>
      </w:r>
      <w:r>
        <w:rPr>
          <w:rFonts w:ascii="宋体" w:hAnsi="宋体" w:cs="宋体" w:eastAsia="宋体" w:hint="default"/>
          <w:spacing w:val="-1"/>
        </w:rPr>
        <w:t>4</w:t>
      </w:r>
      <w:r>
        <w:rPr>
          <w:spacing w:val="-1"/>
        </w:rPr>
        <w:t>人总计出资</w:t>
      </w:r>
      <w:r>
        <w:rPr>
          <w:rFonts w:ascii="宋体" w:hAnsi="宋体" w:cs="宋体" w:eastAsia="宋体" w:hint="default"/>
          <w:spacing w:val="-1"/>
        </w:rPr>
        <w:t>1000</w:t>
      </w:r>
      <w:r>
        <w:rPr>
          <w:spacing w:val="-1"/>
        </w:rPr>
        <w:t>万元全额认购添威</w:t>
      </w:r>
      <w:r>
        <w:rPr>
          <w:rFonts w:ascii="宋体" w:hAnsi="宋体" w:cs="宋体" w:eastAsia="宋体" w:hint="default"/>
          <w:spacing w:val="-1"/>
        </w:rPr>
        <w:t>51</w:t>
      </w:r>
      <w:r>
        <w:rPr>
          <w:spacing w:val="-1"/>
        </w:rPr>
        <w:t>号资管计划的次级</w:t>
      </w:r>
      <w:r>
        <w:rPr>
          <w:rFonts w:ascii="宋体" w:hAnsi="宋体" w:cs="宋体" w:eastAsia="宋体" w:hint="default"/>
          <w:spacing w:val="-1"/>
        </w:rPr>
        <w:t>C</w:t>
      </w:r>
      <w:r>
        <w:rPr>
          <w:spacing w:val="-1"/>
        </w:rPr>
        <w:t>份额，添威</w:t>
      </w:r>
      <w:r>
        <w:rPr>
          <w:rFonts w:ascii="宋体" w:hAnsi="宋体" w:cs="宋体" w:eastAsia="宋体" w:hint="default"/>
          <w:spacing w:val="-1"/>
        </w:rPr>
        <w:t>51</w:t>
      </w:r>
      <w:r>
        <w:rPr>
          <w:spacing w:val="-1"/>
        </w:rPr>
        <w:t>号资管计划主要投资范围为购买</w:t>
      </w:r>
      <w:r>
        <w:rPr>
          <w:spacing w:val="-84"/>
        </w:rPr>
        <w:t> </w:t>
      </w:r>
      <w:r>
        <w:rPr>
          <w:spacing w:val="-84"/>
        </w:rPr>
      </w:r>
      <w:r>
        <w:rPr>
          <w:spacing w:val="-1"/>
        </w:rPr>
        <w:t>和持有汉威电子股票。公司控股股东任红军先生为添威</w:t>
      </w:r>
      <w:r>
        <w:rPr>
          <w:rFonts w:ascii="宋体" w:hAnsi="宋体" w:cs="宋体" w:eastAsia="宋体" w:hint="default"/>
          <w:spacing w:val="-1"/>
        </w:rPr>
        <w:t>51</w:t>
      </w:r>
      <w:r>
        <w:rPr>
          <w:spacing w:val="-1"/>
        </w:rPr>
        <w:t>号资管计划中优先级</w:t>
      </w:r>
      <w:r>
        <w:rPr>
          <w:rFonts w:ascii="宋体" w:hAnsi="宋体" w:cs="宋体" w:eastAsia="宋体" w:hint="default"/>
          <w:spacing w:val="-1"/>
        </w:rPr>
        <w:t>A</w:t>
      </w:r>
      <w:r>
        <w:rPr>
          <w:spacing w:val="-1"/>
        </w:rPr>
        <w:t>份额的权益实现与次级</w:t>
      </w:r>
      <w:r>
        <w:rPr>
          <w:rFonts w:ascii="宋体" w:hAnsi="宋体" w:cs="宋体" w:eastAsia="宋体" w:hint="default"/>
          <w:spacing w:val="-1"/>
        </w:rPr>
        <w:t>B</w:t>
      </w:r>
      <w:r>
        <w:rPr>
          <w:spacing w:val="-1"/>
        </w:rPr>
        <w:t>份</w:t>
      </w:r>
      <w:r>
        <w:rPr>
          <w:spacing w:val="-82"/>
        </w:rPr>
        <w:t> </w:t>
      </w:r>
      <w:r>
        <w:rPr/>
        <w:t>额的本金回收提供担保。其中优先级</w:t>
      </w:r>
      <w:r>
        <w:rPr>
          <w:rFonts w:ascii="宋体" w:hAnsi="宋体" w:cs="宋体" w:eastAsia="宋体" w:hint="default"/>
        </w:rPr>
        <w:t>A</w:t>
      </w:r>
      <w:r>
        <w:rPr/>
        <w:t>份额的权益实现包括：（</w:t>
      </w:r>
      <w:r>
        <w:rPr>
          <w:rFonts w:ascii="宋体" w:hAnsi="宋体" w:cs="宋体" w:eastAsia="宋体" w:hint="default"/>
        </w:rPr>
        <w:t>1</w:t>
      </w:r>
      <w:r>
        <w:rPr/>
        <w:t>）添威</w:t>
      </w:r>
      <w:r>
        <w:rPr>
          <w:rFonts w:ascii="宋体" w:hAnsi="宋体" w:cs="宋体" w:eastAsia="宋体" w:hint="default"/>
        </w:rPr>
        <w:t>51</w:t>
      </w:r>
      <w:r>
        <w:rPr/>
        <w:t>号资管计划优先级</w:t>
      </w:r>
      <w:r>
        <w:rPr>
          <w:rFonts w:ascii="宋体" w:hAnsi="宋体" w:cs="宋体" w:eastAsia="宋体" w:hint="default"/>
        </w:rPr>
        <w:t>A</w:t>
      </w:r>
      <w:r>
        <w:rPr/>
        <w:t>份额的本金 </w:t>
      </w:r>
      <w:r>
        <w:rPr>
          <w:spacing w:val="-1"/>
        </w:rPr>
        <w:t>回收；（</w:t>
      </w:r>
      <w:r>
        <w:rPr>
          <w:rFonts w:ascii="宋体" w:hAnsi="宋体" w:cs="宋体" w:eastAsia="宋体" w:hint="default"/>
          <w:spacing w:val="-1"/>
        </w:rPr>
        <w:t>2</w:t>
      </w:r>
      <w:r>
        <w:rPr>
          <w:spacing w:val="-1"/>
        </w:rPr>
        <w:t>）添威</w:t>
      </w:r>
      <w:r>
        <w:rPr>
          <w:rFonts w:ascii="宋体" w:hAnsi="宋体" w:cs="宋体" w:eastAsia="宋体" w:hint="default"/>
          <w:spacing w:val="-1"/>
        </w:rPr>
        <w:t>51</w:t>
      </w:r>
      <w:r>
        <w:rPr>
          <w:spacing w:val="-1"/>
        </w:rPr>
        <w:t>号资管计划优先级</w:t>
      </w:r>
      <w:r>
        <w:rPr>
          <w:rFonts w:ascii="宋体" w:hAnsi="宋体" w:cs="宋体" w:eastAsia="宋体" w:hint="default"/>
          <w:spacing w:val="-1"/>
        </w:rPr>
        <w:t>A</w:t>
      </w:r>
      <w:r>
        <w:rPr>
          <w:spacing w:val="-1"/>
        </w:rPr>
        <w:t>份额按照约定的预期年基准收益率获得的收益。具体信息请查阅公</w:t>
      </w:r>
      <w:r>
        <w:rPr>
          <w:spacing w:val="-85"/>
        </w:rPr>
        <w:t> </w:t>
      </w:r>
      <w:r>
        <w:rPr>
          <w:spacing w:val="-85"/>
        </w:rPr>
      </w:r>
      <w:r>
        <w:rPr/>
        <w:t>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23</w:t>
      </w:r>
      <w:r>
        <w:rPr/>
        <w:t>日在巨潮资讯网刊登的公告。</w:t>
      </w:r>
    </w:p>
    <w:p>
      <w:pPr>
        <w:pStyle w:val="BodyText"/>
        <w:spacing w:line="240" w:lineRule="auto" w:before="38"/>
        <w:ind w:left="578" w:right="0"/>
        <w:jc w:val="left"/>
      </w:pPr>
      <w:r>
        <w:rPr/>
        <w:t>截至本报告公告日，该持股计划正在积极准备实施前的工作，但尚未开始购买计划所确定的股份。</w:t>
      </w:r>
    </w:p>
    <w:p>
      <w:pPr>
        <w:pStyle w:val="Heading2"/>
        <w:spacing w:line="240" w:lineRule="auto" w:before="75"/>
        <w:ind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47"/>
      <w:bookmarkEnd w:id="47"/>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413" w:right="6092" w:firstLine="0"/>
        <w:jc w:val="left"/>
        <w:rPr>
          <w:rFonts w:ascii="宋体" w:hAnsi="宋体" w:cs="宋体" w:eastAsia="宋体" w:hint="default"/>
          <w:sz w:val="18"/>
          <w:szCs w:val="18"/>
        </w:rPr>
      </w:pPr>
      <w:r>
        <w:rPr>
          <w:rFonts w:ascii="宋体" w:hAnsi="宋体" w:cs="宋体" w:eastAsia="宋体" w:hint="default"/>
          <w:sz w:val="18"/>
          <w:szCs w:val="18"/>
        </w:rPr>
        <w:t>公司报告期未发生与日常经营相关的关联交易。</w:t>
      </w:r>
    </w:p>
    <w:p>
      <w:pPr>
        <w:spacing w:line="240" w:lineRule="auto" w:before="13"/>
        <w:rPr>
          <w:rFonts w:ascii="宋体" w:hAnsi="宋体" w:cs="宋体" w:eastAsia="宋体" w:hint="default"/>
          <w:sz w:val="12"/>
          <w:szCs w:val="12"/>
        </w:rPr>
      </w:pPr>
    </w:p>
    <w:p>
      <w:pPr>
        <w:pStyle w:val="Heading3"/>
        <w:spacing w:line="240" w:lineRule="auto"/>
        <w:ind w:left="413" w:right="6092"/>
        <w:jc w:val="left"/>
        <w:rPr>
          <w:b w:val="0"/>
          <w:bCs w:val="0"/>
        </w:rPr>
      </w:pPr>
      <w:bookmarkStart w:name="2、资产收购、出售发生的关联交易" w:id="48"/>
      <w:bookmarkEnd w:id="48"/>
      <w:r>
        <w:rPr>
          <w:b w:val="0"/>
          <w:bCs w:val="0"/>
        </w:rPr>
      </w:r>
      <w:r>
        <w:rPr>
          <w:rFonts w:ascii="宋体" w:hAnsi="宋体" w:cs="宋体" w:eastAsia="宋体" w:hint="default"/>
        </w:rPr>
        <w:t>2</w:t>
      </w:r>
      <w:r>
        <w:rPr/>
        <w:t>、资产收购、出售发生的关联交易</w:t>
      </w:r>
      <w:r>
        <w:rPr>
          <w:b w:val="0"/>
          <w:bCs w:val="0"/>
        </w:rPr>
      </w:r>
    </w:p>
    <w:p>
      <w:pPr>
        <w:spacing w:line="240" w:lineRule="auto" w:before="1"/>
        <w:rPr>
          <w:rFonts w:ascii="宋体" w:hAnsi="宋体" w:cs="宋体" w:eastAsia="宋体" w:hint="default"/>
          <w:b/>
          <w:bCs/>
          <w:sz w:val="14"/>
          <w:szCs w:val="14"/>
        </w:rPr>
      </w:pPr>
    </w:p>
    <w:p>
      <w:pPr>
        <w:spacing w:before="0"/>
        <w:ind w:left="413" w:right="609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853"/>
        <w:gridCol w:w="708"/>
        <w:gridCol w:w="709"/>
        <w:gridCol w:w="851"/>
        <w:gridCol w:w="708"/>
        <w:gridCol w:w="710"/>
        <w:gridCol w:w="709"/>
        <w:gridCol w:w="708"/>
        <w:gridCol w:w="709"/>
        <w:gridCol w:w="851"/>
        <w:gridCol w:w="568"/>
        <w:gridCol w:w="566"/>
        <w:gridCol w:w="1558"/>
      </w:tblGrid>
      <w:tr>
        <w:trPr>
          <w:trHeight w:val="1271" w:hRule="exact"/>
        </w:trPr>
        <w:tc>
          <w:tcPr>
            <w:tcW w:w="8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78" w:right="74"/>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8" w:right="5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78" w:right="75"/>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1"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77" w:right="74"/>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1"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0" w:right="-47"/>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96" w:right="95"/>
              <w:jc w:val="left"/>
              <w:rPr>
                <w:rFonts w:ascii="宋体" w:hAnsi="宋体" w:cs="宋体" w:eastAsia="宋体" w:hint="default"/>
                <w:sz w:val="18"/>
                <w:szCs w:val="18"/>
              </w:rPr>
            </w:pPr>
            <w:r>
              <w:rPr>
                <w:rFonts w:ascii="宋体" w:hAnsi="宋体" w:cs="宋体" w:eastAsia="宋体" w:hint="default"/>
                <w:sz w:val="18"/>
                <w:szCs w:val="18"/>
              </w:rPr>
              <w:t>交易 损益</w:t>
            </w:r>
          </w:p>
          <w:p>
            <w:pPr>
              <w:pStyle w:val="TableParagraph"/>
              <w:spacing w:line="316" w:lineRule="auto" w:before="19"/>
              <w:ind w:left="96" w:right="95"/>
              <w:jc w:val="left"/>
              <w:rPr>
                <w:rFonts w:ascii="宋体" w:hAnsi="宋体" w:cs="宋体" w:eastAsia="宋体" w:hint="default"/>
                <w:sz w:val="18"/>
                <w:szCs w:val="18"/>
              </w:rPr>
            </w:pPr>
            <w:r>
              <w:rPr>
                <w:rFonts w:ascii="宋体" w:hAnsi="宋体" w:cs="宋体" w:eastAsia="宋体" w:hint="default"/>
                <w:sz w:val="18"/>
                <w:szCs w:val="18"/>
              </w:rPr>
              <w:t>（万 元）</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6" w:right="9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5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888"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0" w:right="18"/>
              <w:jc w:val="left"/>
              <w:rPr>
                <w:rFonts w:ascii="宋体" w:hAnsi="宋体" w:cs="宋体" w:eastAsia="宋体" w:hint="default"/>
                <w:sz w:val="18"/>
                <w:szCs w:val="18"/>
              </w:rPr>
            </w:pPr>
            <w:r>
              <w:rPr>
                <w:rFonts w:ascii="宋体" w:hAnsi="宋体" w:cs="宋体" w:eastAsia="宋体" w:hint="default"/>
                <w:sz w:val="18"/>
                <w:szCs w:val="18"/>
              </w:rPr>
              <w:t>交易对 </w:t>
            </w:r>
            <w:r>
              <w:rPr>
                <w:rFonts w:ascii="宋体" w:hAnsi="宋体" w:cs="宋体" w:eastAsia="宋体" w:hint="default"/>
                <w:spacing w:val="-17"/>
                <w:sz w:val="18"/>
                <w:szCs w:val="18"/>
              </w:rPr>
              <w:t>手方；公</w:t>
            </w:r>
            <w:r>
              <w:rPr>
                <w:rFonts w:ascii="宋体" w:hAnsi="宋体" w:cs="宋体" w:eastAsia="宋体" w:hint="default"/>
                <w:sz w:val="18"/>
                <w:szCs w:val="18"/>
              </w:rPr>
              <w:t> 司高级 管理人 员</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1" w:right="131"/>
              <w:jc w:val="left"/>
              <w:rPr>
                <w:rFonts w:ascii="宋体" w:hAnsi="宋体" w:cs="宋体" w:eastAsia="宋体" w:hint="default"/>
                <w:sz w:val="18"/>
                <w:szCs w:val="18"/>
              </w:rPr>
            </w:pPr>
            <w:r>
              <w:rPr>
                <w:rFonts w:ascii="宋体" w:hAnsi="宋体" w:cs="宋体" w:eastAsia="宋体" w:hint="default"/>
                <w:sz w:val="18"/>
                <w:szCs w:val="18"/>
              </w:rPr>
              <w:t>购买资 产</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1" w:right="92"/>
              <w:jc w:val="both"/>
              <w:rPr>
                <w:rFonts w:ascii="宋体" w:hAnsi="宋体" w:cs="宋体" w:eastAsia="宋体" w:hint="default"/>
                <w:sz w:val="18"/>
                <w:szCs w:val="18"/>
              </w:rPr>
            </w:pPr>
            <w:r>
              <w:rPr>
                <w:rFonts w:ascii="宋体" w:hAnsi="宋体" w:cs="宋体" w:eastAsia="宋体" w:hint="default"/>
                <w:sz w:val="18"/>
                <w:szCs w:val="18"/>
              </w:rPr>
              <w:t>以发行股 份和支付 现金购买 沈阳金建 </w:t>
            </w:r>
            <w:r>
              <w:rPr>
                <w:rFonts w:ascii="宋体" w:hAnsi="宋体" w:cs="宋体" w:eastAsia="宋体" w:hint="default"/>
                <w:sz w:val="18"/>
                <w:szCs w:val="18"/>
              </w:rPr>
              <w:t>48.91%</w:t>
            </w:r>
            <w:r>
              <w:rPr>
                <w:rFonts w:ascii="宋体" w:hAnsi="宋体" w:cs="宋体" w:eastAsia="宋体" w:hint="default"/>
                <w:sz w:val="18"/>
                <w:szCs w:val="18"/>
              </w:rPr>
              <w:t>股</w:t>
            </w:r>
          </w:p>
          <w:p>
            <w:pPr>
              <w:pStyle w:val="TableParagraph"/>
              <w:spacing w:line="240" w:lineRule="auto" w:before="19"/>
              <w:ind w:left="21" w:right="0"/>
              <w:jc w:val="both"/>
              <w:rPr>
                <w:rFonts w:ascii="宋体" w:hAnsi="宋体" w:cs="宋体" w:eastAsia="宋体" w:hint="default"/>
                <w:sz w:val="18"/>
                <w:szCs w:val="18"/>
              </w:rPr>
            </w:pPr>
            <w:r>
              <w:rPr>
                <w:rFonts w:ascii="宋体" w:hAnsi="宋体" w:cs="宋体" w:eastAsia="宋体" w:hint="default"/>
                <w:sz w:val="18"/>
                <w:szCs w:val="18"/>
              </w:rPr>
              <w:t>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0" w:right="131"/>
              <w:jc w:val="left"/>
              <w:rPr>
                <w:rFonts w:ascii="宋体" w:hAnsi="宋体" w:cs="宋体" w:eastAsia="宋体" w:hint="default"/>
                <w:sz w:val="18"/>
                <w:szCs w:val="18"/>
              </w:rPr>
            </w:pPr>
            <w:r>
              <w:rPr>
                <w:rFonts w:ascii="宋体" w:hAnsi="宋体" w:cs="宋体" w:eastAsia="宋体" w:hint="default"/>
                <w:sz w:val="18"/>
                <w:szCs w:val="18"/>
              </w:rPr>
              <w:t>评估及 协商</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1,335.5</w:t>
            </w:r>
          </w:p>
          <w:p>
            <w:pPr>
              <w:pStyle w:val="TableParagraph"/>
              <w:spacing w:line="240" w:lineRule="auto" w:before="76"/>
              <w:ind w:right="18"/>
              <w:jc w:val="right"/>
              <w:rPr>
                <w:rFonts w:ascii="宋体" w:hAnsi="宋体" w:cs="宋体" w:eastAsia="宋体" w:hint="default"/>
                <w:sz w:val="18"/>
                <w:szCs w:val="18"/>
              </w:rPr>
            </w:pPr>
            <w:r>
              <w:rPr>
                <w:rFonts w:ascii="宋体"/>
                <w:sz w:val="18"/>
              </w:rPr>
              <w:t>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6,446.1</w:t>
            </w:r>
          </w:p>
          <w:p>
            <w:pPr>
              <w:pStyle w:val="TableParagraph"/>
              <w:spacing w:line="240" w:lineRule="auto" w:before="76"/>
              <w:ind w:right="18"/>
              <w:jc w:val="right"/>
              <w:rPr>
                <w:rFonts w:ascii="宋体" w:hAnsi="宋体" w:cs="宋体" w:eastAsia="宋体" w:hint="default"/>
                <w:sz w:val="18"/>
                <w:szCs w:val="18"/>
              </w:rPr>
            </w:pPr>
            <w:r>
              <w:rPr>
                <w:rFonts w:ascii="宋体"/>
                <w:sz w:val="18"/>
              </w:rPr>
              <w:t>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6,446.1</w:t>
            </w:r>
          </w:p>
          <w:p>
            <w:pPr>
              <w:pStyle w:val="TableParagraph"/>
              <w:spacing w:line="240" w:lineRule="auto" w:before="76"/>
              <w:ind w:right="19"/>
              <w:jc w:val="right"/>
              <w:rPr>
                <w:rFonts w:ascii="宋体" w:hAnsi="宋体" w:cs="宋体" w:eastAsia="宋体" w:hint="default"/>
                <w:sz w:val="18"/>
                <w:szCs w:val="18"/>
              </w:rPr>
            </w:pPr>
            <w:r>
              <w:rPr>
                <w:rFonts w:ascii="宋体"/>
                <w:sz w:val="18"/>
              </w:rPr>
              <w:t>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sz w:val="18"/>
              </w:rPr>
              <w:t>6,440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0" w:right="94"/>
              <w:jc w:val="left"/>
              <w:rPr>
                <w:rFonts w:ascii="宋体" w:hAnsi="宋体" w:cs="宋体" w:eastAsia="宋体" w:hint="default"/>
                <w:sz w:val="18"/>
                <w:szCs w:val="18"/>
              </w:rPr>
            </w:pPr>
            <w:r>
              <w:rPr>
                <w:rFonts w:ascii="宋体" w:hAnsi="宋体" w:cs="宋体" w:eastAsia="宋体" w:hint="default"/>
                <w:sz w:val="18"/>
                <w:szCs w:val="18"/>
              </w:rPr>
              <w:t>股份及现 金</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51" w:right="19"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316" w:lineRule="auto" w:before="76"/>
              <w:ind w:left="20" w:right="1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 </w:t>
            </w: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381" w:lineRule="auto" w:before="35"/>
              <w:ind w:left="20" w:right="11"/>
              <w:jc w:val="left"/>
              <w:rPr>
                <w:rFonts w:ascii="宋体" w:hAnsi="宋体" w:cs="宋体" w:eastAsia="宋体" w:hint="default"/>
                <w:sz w:val="15"/>
                <w:szCs w:val="15"/>
              </w:rPr>
            </w:pPr>
            <w:r>
              <w:rPr>
                <w:rFonts w:ascii="宋体" w:hAnsi="宋体" w:cs="宋体" w:eastAsia="宋体" w:hint="default"/>
                <w:sz w:val="15"/>
                <w:szCs w:val="15"/>
              </w:rPr>
              <w:t>巨潮资讯网 </w:t>
            </w:r>
            <w:hyperlink r:id="rId11">
              <w:r>
                <w:rPr>
                  <w:rFonts w:ascii="宋体" w:hAnsi="宋体" w:cs="宋体" w:eastAsia="宋体" w:hint="default"/>
                  <w:spacing w:val="-5"/>
                  <w:sz w:val="15"/>
                  <w:szCs w:val="15"/>
                </w:rPr>
                <w:t>www.cninfo.com.cn</w:t>
              </w:r>
            </w:hyperlink>
            <w:r>
              <w:rPr>
                <w:rFonts w:ascii="宋体" w:hAnsi="宋体" w:cs="宋体" w:eastAsia="宋体" w:hint="default"/>
                <w:spacing w:val="-5"/>
                <w:sz w:val="15"/>
                <w:szCs w:val="15"/>
              </w:rPr>
              <w:t>；河</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南汉威电子股份有限公 司发行股份及支付现金 购买资产并募集配套资 金暨关联交易报告书</w:t>
            </w:r>
          </w:p>
        </w:tc>
      </w:tr>
      <w:tr>
        <w:trPr>
          <w:trHeight w:val="638" w:hRule="exact"/>
        </w:trPr>
        <w:tc>
          <w:tcPr>
            <w:tcW w:w="312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4" w:right="22"/>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大的原因（若有）</w:t>
            </w:r>
          </w:p>
        </w:tc>
        <w:tc>
          <w:tcPr>
            <w:tcW w:w="7087" w:type="dxa"/>
            <w:gridSpan w:val="9"/>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转让价格与评估值基本一致，不存在较大差异</w:t>
            </w:r>
          </w:p>
        </w:tc>
      </w:tr>
      <w:tr>
        <w:trPr>
          <w:trHeight w:val="647" w:hRule="exact"/>
        </w:trPr>
        <w:tc>
          <w:tcPr>
            <w:tcW w:w="3121" w:type="dxa"/>
            <w:gridSpan w:val="4"/>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7087" w:type="dxa"/>
            <w:gridSpan w:val="9"/>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补全公司</w:t>
            </w:r>
            <w:r>
              <w:rPr>
                <w:rFonts w:ascii="宋体" w:hAnsi="宋体" w:cs="宋体" w:eastAsia="宋体" w:hint="default"/>
                <w:spacing w:val="-46"/>
                <w:sz w:val="18"/>
                <w:szCs w:val="18"/>
              </w:rPr>
              <w:t> </w:t>
            </w:r>
            <w:r>
              <w:rPr>
                <w:rFonts w:ascii="宋体" w:hAnsi="宋体" w:cs="宋体" w:eastAsia="宋体" w:hint="default"/>
                <w:sz w:val="18"/>
                <w:szCs w:val="18"/>
              </w:rPr>
              <w:t>GIS</w:t>
            </w:r>
            <w:r>
              <w:rPr>
                <w:rFonts w:ascii="宋体" w:hAnsi="宋体" w:cs="宋体" w:eastAsia="宋体" w:hint="default"/>
                <w:spacing w:val="-44"/>
                <w:sz w:val="18"/>
                <w:szCs w:val="18"/>
              </w:rPr>
              <w:t> </w:t>
            </w:r>
            <w:r>
              <w:rPr>
                <w:rFonts w:ascii="宋体" w:hAnsi="宋体" w:cs="宋体" w:eastAsia="宋体" w:hint="default"/>
                <w:sz w:val="18"/>
                <w:szCs w:val="18"/>
              </w:rPr>
              <w:t>产业链，增强公司物联网核心竞争力，自合并报表日对公司的利润影响额为</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429.57</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left="414" w:right="6092"/>
        <w:jc w:val="left"/>
        <w:rPr>
          <w:b w:val="0"/>
          <w:bCs w:val="0"/>
        </w:rPr>
      </w:pPr>
      <w:bookmarkStart w:name="3、共同对外投资的重大关联交易" w:id="49"/>
      <w:bookmarkEnd w:id="49"/>
      <w:r>
        <w:rPr>
          <w:b w:val="0"/>
          <w:bCs w:val="0"/>
        </w:rPr>
      </w:r>
      <w:r>
        <w:rPr>
          <w:rFonts w:ascii="宋体" w:hAnsi="宋体" w:cs="宋体" w:eastAsia="宋体" w:hint="default"/>
        </w:rPr>
        <w:t>3</w:t>
      </w:r>
      <w:r>
        <w:rPr/>
        <w:t>、共同对外投资的重大关联交易</w:t>
      </w:r>
      <w:r>
        <w:rPr>
          <w:b w:val="0"/>
          <w:bCs w:val="0"/>
        </w:rPr>
      </w:r>
    </w:p>
    <w:p>
      <w:pPr>
        <w:spacing w:line="240" w:lineRule="auto" w:before="11"/>
        <w:rPr>
          <w:rFonts w:ascii="宋体" w:hAnsi="宋体" w:cs="宋体" w:eastAsia="宋体" w:hint="default"/>
          <w:b/>
          <w:bCs/>
          <w:sz w:val="27"/>
          <w:szCs w:val="27"/>
        </w:rPr>
      </w:pPr>
    </w:p>
    <w:p>
      <w:pPr>
        <w:spacing w:line="357" w:lineRule="auto" w:before="0"/>
        <w:ind w:left="414" w:right="60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公司报告期未发生共同对外投资的重大关联交易。</w:t>
      </w:r>
    </w:p>
    <w:p>
      <w:pPr>
        <w:spacing w:line="240" w:lineRule="auto" w:before="1"/>
        <w:rPr>
          <w:rFonts w:ascii="宋体" w:hAnsi="宋体" w:cs="宋体" w:eastAsia="宋体" w:hint="default"/>
          <w:sz w:val="20"/>
          <w:szCs w:val="20"/>
        </w:rPr>
      </w:pPr>
    </w:p>
    <w:p>
      <w:pPr>
        <w:pStyle w:val="Heading3"/>
        <w:spacing w:line="240" w:lineRule="auto"/>
        <w:ind w:left="414" w:right="6092"/>
        <w:jc w:val="left"/>
        <w:rPr>
          <w:b w:val="0"/>
          <w:bCs w:val="0"/>
        </w:rPr>
      </w:pPr>
      <w:bookmarkStart w:name="4、关联债权债务往来" w:id="50"/>
      <w:bookmarkEnd w:id="50"/>
      <w:r>
        <w:rPr>
          <w:b w:val="0"/>
          <w:bCs w:val="0"/>
        </w:rPr>
      </w:r>
      <w:r>
        <w:rPr>
          <w:rFonts w:ascii="宋体" w:hAnsi="宋体" w:cs="宋体" w:eastAsia="宋体" w:hint="default"/>
        </w:rPr>
        <w:t>4</w:t>
      </w:r>
      <w:r>
        <w:rPr/>
        <w:t>、关联债权债务往来</w:t>
      </w:r>
      <w:r>
        <w:rPr>
          <w:b w:val="0"/>
          <w:bCs w:val="0"/>
        </w:rPr>
      </w:r>
    </w:p>
    <w:p>
      <w:pPr>
        <w:spacing w:line="240" w:lineRule="auto" w:before="11"/>
        <w:rPr>
          <w:rFonts w:ascii="宋体" w:hAnsi="宋体" w:cs="宋体" w:eastAsia="宋体" w:hint="default"/>
          <w:b/>
          <w:bCs/>
          <w:sz w:val="27"/>
          <w:szCs w:val="27"/>
        </w:rPr>
      </w:pPr>
    </w:p>
    <w:p>
      <w:pPr>
        <w:spacing w:line="360" w:lineRule="auto" w:before="0"/>
        <w:ind w:left="414" w:right="6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1"/>
        <w:rPr>
          <w:rFonts w:ascii="宋体" w:hAnsi="宋体" w:cs="宋体" w:eastAsia="宋体" w:hint="default"/>
          <w:sz w:val="19"/>
          <w:szCs w:val="19"/>
        </w:rPr>
      </w:pPr>
    </w:p>
    <w:p>
      <w:pPr>
        <w:pStyle w:val="Heading3"/>
        <w:spacing w:line="240" w:lineRule="auto"/>
        <w:ind w:left="414" w:right="6092"/>
        <w:jc w:val="left"/>
        <w:rPr>
          <w:b w:val="0"/>
          <w:bCs w:val="0"/>
        </w:rPr>
      </w:pPr>
      <w:bookmarkStart w:name="5、其他重大关联交易" w:id="51"/>
      <w:bookmarkEnd w:id="51"/>
      <w:r>
        <w:rPr>
          <w:b w:val="0"/>
          <w:bCs w:val="0"/>
        </w:rPr>
      </w:r>
      <w:r>
        <w:rPr>
          <w:rFonts w:ascii="宋体" w:hAnsi="宋体" w:cs="宋体" w:eastAsia="宋体" w:hint="default"/>
        </w:rPr>
        <w:t>5</w:t>
      </w:r>
      <w:r>
        <w:rPr/>
        <w:t>、其他重大关联交易</w:t>
      </w:r>
      <w:r>
        <w:rPr>
          <w:b w:val="0"/>
          <w:bCs w:val="0"/>
        </w:rPr>
      </w:r>
    </w:p>
    <w:p>
      <w:pPr>
        <w:spacing w:line="240" w:lineRule="auto" w:before="12"/>
        <w:rPr>
          <w:rFonts w:ascii="宋体" w:hAnsi="宋体" w:cs="宋体" w:eastAsia="宋体" w:hint="default"/>
          <w:b/>
          <w:bCs/>
          <w:sz w:val="27"/>
          <w:szCs w:val="27"/>
        </w:rPr>
      </w:pPr>
    </w:p>
    <w:p>
      <w:pPr>
        <w:spacing w:line="357" w:lineRule="auto" w:before="0"/>
        <w:ind w:left="414" w:right="73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3"/>
        <w:rPr>
          <w:rFonts w:ascii="宋体" w:hAnsi="宋体" w:cs="宋体" w:eastAsia="宋体" w:hint="default"/>
          <w:sz w:val="18"/>
          <w:szCs w:val="18"/>
        </w:rPr>
      </w:pPr>
    </w:p>
    <w:p>
      <w:pPr>
        <w:pStyle w:val="Heading2"/>
        <w:spacing w:line="240" w:lineRule="auto"/>
        <w:ind w:left="414" w:right="6092"/>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14" w:right="6092"/>
        <w:jc w:val="left"/>
        <w:rPr>
          <w:b w:val="0"/>
          <w:bCs w:val="0"/>
        </w:rPr>
      </w:pPr>
      <w:bookmarkStart w:name="1、托管、承包、租赁事项情况" w:id="53"/>
      <w:bookmarkEnd w:id="53"/>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414" w:right="6092"/>
        <w:jc w:val="left"/>
        <w:rPr>
          <w:b w:val="0"/>
          <w:bCs w:val="0"/>
        </w:rPr>
      </w:pPr>
      <w:bookmarkStart w:name="（1）托管情况" w:id="54"/>
      <w:bookmarkEnd w:id="54"/>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414" w:right="7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after="0" w:line="360" w:lineRule="auto"/>
        <w:jc w:val="left"/>
        <w:rPr>
          <w:rFonts w:ascii="宋体" w:hAnsi="宋体" w:cs="宋体" w:eastAsia="宋体" w:hint="default"/>
          <w:sz w:val="18"/>
          <w:szCs w:val="18"/>
        </w:rPr>
        <w:sectPr>
          <w:pgSz w:w="11910" w:h="16840"/>
          <w:pgMar w:header="747" w:footer="979" w:top="1060" w:bottom="1160" w:left="720" w:right="70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承包情况" w:id="55"/>
      <w:bookmarkEnd w:id="55"/>
      <w:r>
        <w:rPr>
          <w:b w:val="0"/>
          <w:bCs w:val="0"/>
        </w:rPr>
      </w: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租赁情况" w:id="56"/>
      <w:bookmarkEnd w:id="56"/>
      <w:r>
        <w:rPr>
          <w:b w:val="0"/>
          <w:bCs w:val="0"/>
        </w:rPr>
      </w:r>
      <w:r>
        <w:rPr/>
        <w:t>（</w:t>
      </w:r>
      <w:r>
        <w:rPr>
          <w:rFonts w:ascii="宋体" w:hAnsi="宋体" w:cs="宋体" w:eastAsia="宋体" w:hint="default"/>
        </w:rPr>
        <w:t>3</w:t>
      </w:r>
      <w:r>
        <w:rPr/>
        <w:t>）租赁情况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√适用 □不适用</w:t>
      </w:r>
    </w:p>
    <w:p>
      <w:pPr>
        <w:spacing w:line="357" w:lineRule="auto" w:before="117"/>
        <w:ind w:left="154" w:right="5138" w:firstLine="0"/>
        <w:jc w:val="left"/>
        <w:rPr>
          <w:rFonts w:ascii="宋体" w:hAnsi="宋体" w:cs="宋体" w:eastAsia="宋体" w:hint="default"/>
          <w:sz w:val="18"/>
          <w:szCs w:val="18"/>
        </w:rPr>
      </w:pPr>
      <w:r>
        <w:rPr>
          <w:rFonts w:ascii="宋体" w:hAnsi="宋体" w:cs="宋体" w:eastAsia="宋体" w:hint="default"/>
          <w:sz w:val="18"/>
          <w:szCs w:val="18"/>
        </w:rPr>
        <w:t>本期房租收入约</w:t>
      </w:r>
      <w:r>
        <w:rPr>
          <w:rFonts w:ascii="宋体" w:hAnsi="宋体" w:cs="宋体" w:eastAsia="宋体" w:hint="default"/>
          <w:spacing w:val="-46"/>
          <w:sz w:val="18"/>
          <w:szCs w:val="18"/>
        </w:rPr>
        <w:t> </w:t>
      </w:r>
      <w:r>
        <w:rPr>
          <w:rFonts w:ascii="宋体" w:hAnsi="宋体" w:cs="宋体" w:eastAsia="宋体" w:hint="default"/>
          <w:sz w:val="18"/>
          <w:szCs w:val="18"/>
        </w:rPr>
        <w:t>763</w:t>
      </w:r>
      <w:r>
        <w:rPr>
          <w:rFonts w:ascii="宋体" w:hAnsi="宋体" w:cs="宋体" w:eastAsia="宋体" w:hint="default"/>
          <w:spacing w:val="-46"/>
          <w:sz w:val="18"/>
          <w:szCs w:val="18"/>
        </w:rPr>
        <w:t> </w:t>
      </w:r>
      <w:r>
        <w:rPr>
          <w:rFonts w:ascii="宋体" w:hAnsi="宋体" w:cs="宋体" w:eastAsia="宋体" w:hint="default"/>
          <w:sz w:val="18"/>
          <w:szCs w:val="18"/>
        </w:rPr>
        <w:t>万元，贡献净利润约</w:t>
      </w:r>
      <w:r>
        <w:rPr>
          <w:rFonts w:ascii="宋体" w:hAnsi="宋体" w:cs="宋体" w:eastAsia="宋体" w:hint="default"/>
          <w:spacing w:val="-46"/>
          <w:sz w:val="18"/>
          <w:szCs w:val="18"/>
        </w:rPr>
        <w:t> </w:t>
      </w:r>
      <w:r>
        <w:rPr>
          <w:rFonts w:ascii="宋体" w:hAnsi="宋体" w:cs="宋体" w:eastAsia="宋体" w:hint="default"/>
          <w:sz w:val="18"/>
          <w:szCs w:val="18"/>
        </w:rPr>
        <w:t>313</w:t>
      </w:r>
      <w:r>
        <w:rPr>
          <w:rFonts w:ascii="宋体" w:hAnsi="宋体" w:cs="宋体" w:eastAsia="宋体" w:hint="default"/>
          <w:spacing w:val="-46"/>
          <w:sz w:val="18"/>
          <w:szCs w:val="18"/>
        </w:rPr>
        <w:t> </w:t>
      </w:r>
      <w:r>
        <w:rPr>
          <w:rFonts w:ascii="宋体" w:hAnsi="宋体" w:cs="宋体" w:eastAsia="宋体" w:hint="default"/>
          <w:sz w:val="18"/>
          <w:szCs w:val="18"/>
        </w:rPr>
        <w:t>万元。 为公司带来的损益达到公司报告期利润总额</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以上的项目</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□适用√不适用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担保情况" w:id="57"/>
      <w:bookmarkEnd w:id="57"/>
      <w:r>
        <w:rPr>
          <w:b w:val="0"/>
          <w:bCs w:val="0"/>
        </w:rPr>
      </w:r>
      <w:r>
        <w:rPr>
          <w:rFonts w:ascii="宋体" w:hAnsi="宋体" w:cs="宋体" w:eastAsia="宋体" w:hint="default"/>
        </w:rPr>
        <w:t>2</w:t>
      </w:r>
      <w:r>
        <w:rPr/>
        <w:t>、担保情况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3、委托理财、衍生品投资和委托贷款情况" w:id="58"/>
      <w:bookmarkEnd w:id="58"/>
      <w:r>
        <w:rPr>
          <w:b w:val="0"/>
          <w:bCs w:val="0"/>
        </w:rPr>
      </w:r>
      <w:r>
        <w:rPr>
          <w:rFonts w:ascii="宋体" w:hAnsi="宋体" w:cs="宋体" w:eastAsia="宋体" w:hint="default"/>
        </w:rPr>
        <w:t>3</w:t>
      </w:r>
      <w:r>
        <w:rPr/>
        <w:t>、委托理财、衍生品投资和委托贷款情况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4" w:right="0"/>
        <w:jc w:val="left"/>
        <w:rPr>
          <w:b w:val="0"/>
          <w:bCs w:val="0"/>
        </w:rPr>
      </w:pPr>
      <w:bookmarkStart w:name="（1）委托理财情况" w:id="59"/>
      <w:bookmarkEnd w:id="59"/>
      <w:r>
        <w:rPr>
          <w:b w:val="0"/>
          <w:bCs w:val="0"/>
        </w:rPr>
      </w:r>
      <w:r>
        <w:rPr/>
        <w:t>（</w:t>
      </w:r>
      <w:r>
        <w:rPr>
          <w:rFonts w:ascii="宋体" w:hAnsi="宋体" w:cs="宋体" w:eastAsia="宋体" w:hint="default"/>
        </w:rPr>
        <w:t>1</w:t>
      </w:r>
      <w:r>
        <w:rPr/>
        <w:t>）委托理财情况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衍生品投资情况" w:id="60"/>
      <w:bookmarkEnd w:id="60"/>
      <w:r>
        <w:rPr>
          <w:b w:val="0"/>
          <w:bCs w:val="0"/>
        </w:rPr>
      </w:r>
      <w:r>
        <w:rPr/>
        <w:t>（</w:t>
      </w:r>
      <w:r>
        <w:rPr>
          <w:rFonts w:ascii="宋体" w:hAnsi="宋体" w:cs="宋体" w:eastAsia="宋体" w:hint="default"/>
        </w:rPr>
        <w:t>2</w:t>
      </w:r>
      <w:r>
        <w:rPr/>
        <w:t>）衍生品投资情况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72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公司报告期不存在衍生品投资。</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委托贷款情况" w:id="61"/>
      <w:bookmarkEnd w:id="61"/>
      <w:r>
        <w:rPr>
          <w:b w:val="0"/>
          <w:bCs w:val="0"/>
        </w:rPr>
      </w:r>
      <w:r>
        <w:rPr/>
        <w:t>（</w:t>
      </w:r>
      <w:r>
        <w:rPr>
          <w:rFonts w:ascii="宋体" w:hAnsi="宋体" w:cs="宋体" w:eastAsia="宋体" w:hint="default"/>
        </w:rPr>
        <w:t>3</w:t>
      </w:r>
      <w:r>
        <w:rPr/>
        <w:t>）委托贷款情况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4、其他重大合同" w:id="62"/>
      <w:bookmarkEnd w:id="62"/>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70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公司或持股5%以上股东在报告期内发生或以前期间发生但持续到报告期内的承诺事项" w:id="64"/>
      <w:bookmarkEnd w:id="64"/>
      <w:r>
        <w:rPr>
          <w:b w:val="0"/>
          <w:bCs w:val="0"/>
        </w:rPr>
      </w:r>
      <w:r>
        <w:rPr>
          <w:rFonts w:ascii="宋体" w:hAnsi="宋体" w:cs="宋体" w:eastAsia="宋体" w:hint="default"/>
        </w:rPr>
        <w:t>1</w:t>
      </w:r>
      <w:r>
        <w:rPr/>
        <w:t>、公司或持股</w:t>
      </w:r>
      <w:r>
        <w:rPr>
          <w:spacing w:val="-59"/>
        </w:rPr>
        <w:t> </w:t>
      </w:r>
      <w:r>
        <w:rPr>
          <w:rFonts w:ascii="宋体" w:hAnsi="宋体" w:cs="宋体" w:eastAsia="宋体" w:hint="default"/>
        </w:rPr>
        <w:t>5%</w:t>
      </w:r>
      <w:r>
        <w:rPr/>
        <w:t>以上股东在报告期内发生或以前期间发生但持续到报告期内的承诺事项</w:t>
      </w:r>
      <w:r>
        <w:rPr>
          <w:b w:val="0"/>
          <w:bCs w:val="0"/>
        </w:rPr>
      </w:r>
    </w:p>
    <w:p>
      <w:pPr>
        <w:spacing w:line="240" w:lineRule="auto" w:before="1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1.617004pt;margin-top:565.719971pt;width:143.450pt;height:39pt;mso-position-horizontal-relative:page;mso-position-vertical-relative:page;z-index:-910576" type="#_x0000_t202" filled="false" stroked="false">
            <v:textbox inset="0,0,0,0">
              <w:txbxContent>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《利润承诺补偿协议》</w:t>
                  </w:r>
                </w:p>
              </w:txbxContent>
            </v:textbox>
            <w10:wrap type="none"/>
          </v:shape>
        </w:pict>
      </w:r>
      <w:r>
        <w:rPr/>
        <w:pict>
          <v:shape style="position:absolute;margin-left:335.593994pt;margin-top:605.26001pt;width:89.45pt;height:62.4pt;mso-position-horizontal-relative:page;mso-position-vertical-relative:page;z-index:-910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4"/>
                    <w:ind w:left="0" w:right="0" w:firstLine="0"/>
                    <w:jc w:val="left"/>
                    <w:rPr>
                      <w:rFonts w:ascii="宋体" w:hAnsi="宋体" w:cs="宋体" w:eastAsia="宋体" w:hint="default"/>
                      <w:sz w:val="18"/>
                      <w:szCs w:val="18"/>
                    </w:rPr>
                  </w:pPr>
                  <w:r>
                    <w:rPr>
                      <w:rFonts w:ascii="宋体" w:hAnsi="宋体" w:cs="宋体" w:eastAsia="宋体" w:hint="default"/>
                      <w:sz w:val="18"/>
                      <w:szCs w:val="18"/>
                    </w:rPr>
                    <w:t>刘智良、</w:t>
                  </w:r>
                </w:p>
              </w:txbxContent>
            </v:textbox>
            <w10:wrap type="none"/>
          </v:shape>
        </w:pict>
      </w:r>
      <w:r>
        <w:rPr/>
        <w:pict>
          <v:group style="position:absolute;margin-left:368.859985pt;margin-top:565.719971pt;width:56.2pt;height:101.95pt;mso-position-horizontal-relative:page;mso-position-vertical-relative:page;z-index:-910528" coordorigin="7377,11314" coordsize="1124,2039">
            <v:group style="position:absolute;left:7377;top:11314;width:1124;height:780" coordorigin="7377,11314" coordsize="1124,780">
              <v:shape style="position:absolute;left:7377;top:11314;width:1124;height:780" coordorigin="7377,11314" coordsize="1124,780" path="m7377,12094l8501,12094,8501,11314,7377,11314,7377,12094xe" filled="true" fillcolor="#ffffff" stroked="false">
                <v:path arrowok="t"/>
                <v:fill type="solid"/>
              </v:shape>
            </v:group>
            <v:group style="position:absolute;left:7377;top:12105;width:1124;height:1248" coordorigin="7377,12105" coordsize="1124,1248">
              <v:shape style="position:absolute;left:7377;top:12105;width:1124;height:1248" coordorigin="7377,12105" coordsize="1124,1248" path="m7377,13353l8501,13353,8501,12105,7377,12105,7377,13353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3544"/>
        <w:gridCol w:w="1134"/>
        <w:gridCol w:w="928"/>
        <w:gridCol w:w="1268"/>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1" w:type="dxa"/>
            <w:tcBorders>
              <w:top w:val="single" w:sz="4" w:space="0" w:color="000000"/>
              <w:left w:val="single" w:sz="13" w:space="0" w:color="D2D2D2"/>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51" w:type="dxa"/>
            <w:tcBorders>
              <w:top w:val="single" w:sz="4" w:space="0" w:color="000000"/>
              <w:left w:val="single" w:sz="13" w:space="0" w:color="D2D2D2"/>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承诺因汉威电子</w:t>
            </w:r>
            <w:r>
              <w:rPr>
                <w:rFonts w:ascii="宋体" w:hAnsi="宋体" w:cs="宋体" w:eastAsia="宋体" w:hint="default"/>
                <w:spacing w:val="-56"/>
                <w:sz w:val="18"/>
                <w:szCs w:val="18"/>
              </w:rPr>
              <w:t> </w:t>
            </w: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年重大资产重组所获得</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的上市公司股份，自发行结束日起</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个月内 不得转让，在此之后按中国证监会及深圳证 券交易所的有关规定执行。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60"/>
              <w:jc w:val="center"/>
              <w:rPr>
                <w:rFonts w:ascii="宋体" w:hAnsi="宋体" w:cs="宋体" w:eastAsia="宋体" w:hint="default"/>
                <w:sz w:val="18"/>
                <w:szCs w:val="18"/>
              </w:rPr>
            </w:pPr>
            <w:r>
              <w:rPr>
                <w:rFonts w:ascii="宋体"/>
                <w:sz w:val="18"/>
              </w:rPr>
              <w:t>2016-1-19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3210"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陈泽枝</w:t>
            </w:r>
            <w:r>
              <w:rPr>
                <w:rFonts w:ascii="宋体" w:hAnsi="宋体" w:cs="宋体" w:eastAsia="宋体" w:hint="default"/>
                <w:sz w:val="18"/>
                <w:szCs w:val="18"/>
              </w:rPr>
              <w:t>; </w:t>
            </w:r>
            <w:r>
              <w:rPr>
                <w:rFonts w:ascii="宋体" w:hAnsi="宋体" w:cs="宋体" w:eastAsia="宋体" w:hint="default"/>
                <w:sz w:val="18"/>
                <w:szCs w:val="18"/>
              </w:rPr>
              <w:t>李泽清</w:t>
            </w:r>
            <w:r>
              <w:rPr>
                <w:rFonts w:ascii="宋体" w:hAnsi="宋体" w:cs="宋体" w:eastAsia="宋体" w:hint="default"/>
                <w:sz w:val="18"/>
                <w:szCs w:val="18"/>
              </w:rPr>
              <w:t>; </w:t>
            </w:r>
            <w:r>
              <w:rPr>
                <w:rFonts w:ascii="宋体" w:hAnsi="宋体" w:cs="宋体" w:eastAsia="宋体" w:hint="default"/>
                <w:sz w:val="18"/>
                <w:szCs w:val="18"/>
              </w:rPr>
              <w:t>高孔兴</w:t>
            </w:r>
            <w:r>
              <w:rPr>
                <w:rFonts w:ascii="宋体" w:hAnsi="宋体" w:cs="宋体" w:eastAsia="宋体" w:hint="default"/>
                <w:sz w:val="18"/>
                <w:szCs w:val="18"/>
              </w:rPr>
              <w:t>; </w:t>
            </w:r>
            <w:r>
              <w:rPr>
                <w:rFonts w:ascii="宋体" w:hAnsi="宋体" w:cs="宋体" w:eastAsia="宋体" w:hint="default"/>
                <w:sz w:val="18"/>
                <w:szCs w:val="18"/>
              </w:rPr>
              <w:t>刘智良</w:t>
            </w:r>
            <w:r>
              <w:rPr>
                <w:rFonts w:ascii="宋体" w:hAnsi="宋体" w:cs="宋体" w:eastAsia="宋体" w:hint="default"/>
                <w:sz w:val="18"/>
                <w:szCs w:val="18"/>
              </w:rPr>
              <w:t>; </w:t>
            </w:r>
            <w:r>
              <w:rPr>
                <w:rFonts w:ascii="宋体" w:hAnsi="宋体" w:cs="宋体" w:eastAsia="宋体" w:hint="default"/>
                <w:sz w:val="18"/>
                <w:szCs w:val="18"/>
              </w:rPr>
              <w:t>黄开坚</w:t>
            </w:r>
            <w:r>
              <w:rPr>
                <w:rFonts w:ascii="宋体" w:hAnsi="宋体" w:cs="宋体" w:eastAsia="宋体" w:hint="default"/>
                <w:sz w:val="18"/>
                <w:szCs w:val="18"/>
              </w:rPr>
              <w:t>; </w:t>
            </w:r>
            <w:r>
              <w:rPr>
                <w:rFonts w:ascii="宋体" w:hAnsi="宋体" w:cs="宋体" w:eastAsia="宋体" w:hint="default"/>
                <w:sz w:val="18"/>
                <w:szCs w:val="18"/>
              </w:rPr>
              <w:t>许金炉</w:t>
            </w:r>
            <w:r>
              <w:rPr>
                <w:rFonts w:ascii="宋体" w:hAnsi="宋体" w:cs="宋体" w:eastAsia="宋体" w:hint="default"/>
                <w:sz w:val="18"/>
                <w:szCs w:val="18"/>
              </w:rPr>
              <w:t>; </w:t>
            </w:r>
            <w:r>
              <w:rPr>
                <w:rFonts w:ascii="宋体" w:hAnsi="宋体" w:cs="宋体" w:eastAsia="宋体" w:hint="default"/>
                <w:sz w:val="18"/>
                <w:szCs w:val="18"/>
              </w:rPr>
              <w:t>芜湖华顺 置业投资 有限责任 公司</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承诺通过</w:t>
            </w:r>
            <w:r>
              <w:rPr>
                <w:rFonts w:ascii="宋体" w:hAnsi="宋体" w:cs="宋体" w:eastAsia="宋体" w:hint="default"/>
                <w:spacing w:val="-57"/>
                <w:sz w:val="18"/>
                <w:szCs w:val="18"/>
              </w:rPr>
              <w:t> </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年汉威电子重大资产重组获得</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的上市公司股份，自股份发行结束之日起</w:t>
            </w:r>
            <w:r>
              <w:rPr>
                <w:rFonts w:ascii="宋体" w:hAnsi="宋体" w:cs="宋体" w:eastAsia="宋体" w:hint="default"/>
                <w:spacing w:val="-46"/>
                <w:sz w:val="18"/>
                <w:szCs w:val="18"/>
              </w:rPr>
              <w:t> </w:t>
            </w:r>
            <w:r>
              <w:rPr>
                <w:rFonts w:ascii="宋体" w:hAnsi="宋体" w:cs="宋体" w:eastAsia="宋体" w:hint="default"/>
                <w:sz w:val="18"/>
                <w:szCs w:val="18"/>
              </w:rPr>
              <w:t>12 </w:t>
            </w:r>
            <w:r>
              <w:rPr>
                <w:rFonts w:ascii="宋体" w:hAnsi="宋体" w:cs="宋体" w:eastAsia="宋体" w:hint="default"/>
                <w:sz w:val="18"/>
                <w:szCs w:val="18"/>
              </w:rPr>
              <w:t>个月且第一年度利润补偿承诺已经履行完毕 </w:t>
            </w:r>
            <w:r>
              <w:rPr>
                <w:rFonts w:ascii="宋体" w:hAnsi="宋体" w:cs="宋体" w:eastAsia="宋体" w:hint="default"/>
                <w:spacing w:val="-5"/>
                <w:sz w:val="18"/>
                <w:szCs w:val="18"/>
              </w:rPr>
              <w:t>后，所持股份的</w:t>
            </w:r>
            <w:r>
              <w:rPr>
                <w:rFonts w:ascii="宋体" w:hAnsi="宋体" w:cs="宋体" w:eastAsia="宋体" w:hint="default"/>
                <w:spacing w:val="-40"/>
                <w:sz w:val="18"/>
                <w:szCs w:val="18"/>
              </w:rPr>
              <w:t> </w:t>
            </w:r>
            <w:r>
              <w:rPr>
                <w:rFonts w:ascii="宋体" w:hAnsi="宋体" w:cs="宋体" w:eastAsia="宋体" w:hint="default"/>
                <w:spacing w:val="-3"/>
                <w:sz w:val="18"/>
                <w:szCs w:val="18"/>
              </w:rPr>
              <w:t>40%</w:t>
            </w:r>
            <w:r>
              <w:rPr>
                <w:rFonts w:ascii="宋体" w:hAnsi="宋体" w:cs="宋体" w:eastAsia="宋体" w:hint="default"/>
                <w:spacing w:val="-3"/>
                <w:sz w:val="18"/>
                <w:szCs w:val="18"/>
              </w:rPr>
              <w:t>可以对外转让；在第二年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度利润承诺专项审核报告公告且第一、二年 度利润补偿承诺已经履行完毕后，所持股份 增加解锁比例</w:t>
            </w:r>
            <w:r>
              <w:rPr>
                <w:rFonts w:ascii="宋体" w:hAnsi="宋体" w:cs="宋体" w:eastAsia="宋体" w:hint="default"/>
                <w:spacing w:val="-42"/>
                <w:sz w:val="18"/>
                <w:szCs w:val="18"/>
              </w:rPr>
              <w:t> </w:t>
            </w:r>
            <w:r>
              <w:rPr>
                <w:rFonts w:ascii="宋体" w:hAnsi="宋体" w:cs="宋体" w:eastAsia="宋体" w:hint="default"/>
                <w:spacing w:val="-5"/>
                <w:sz w:val="18"/>
                <w:szCs w:val="18"/>
              </w:rPr>
              <w:t>30%</w:t>
            </w:r>
            <w:r>
              <w:rPr>
                <w:rFonts w:ascii="宋体" w:hAnsi="宋体" w:cs="宋体" w:eastAsia="宋体" w:hint="default"/>
                <w:spacing w:val="-5"/>
                <w:sz w:val="18"/>
                <w:szCs w:val="18"/>
              </w:rPr>
              <w:t>；在第三年度利润承诺专项</w:t>
            </w:r>
            <w:r>
              <w:rPr>
                <w:rFonts w:ascii="宋体" w:hAnsi="宋体" w:cs="宋体" w:eastAsia="宋体" w:hint="default"/>
                <w:sz w:val="18"/>
                <w:szCs w:val="18"/>
              </w:rPr>
              <w:t> 审核报告公告、确定承诺期业绩补偿履行完 毕后，剩余部分解锁，在此之后按中国证监 会及证券交易所的有关规定执行。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sz w:val="18"/>
              </w:rPr>
              <w:t>2017-04-2</w:t>
            </w:r>
          </w:p>
          <w:p>
            <w:pPr>
              <w:pStyle w:val="TableParagraph"/>
              <w:spacing w:line="240" w:lineRule="auto" w:before="76"/>
              <w:ind w:left="22" w:right="0"/>
              <w:jc w:val="left"/>
              <w:rPr>
                <w:rFonts w:ascii="宋体" w:hAnsi="宋体" w:cs="宋体" w:eastAsia="宋体" w:hint="default"/>
                <w:sz w:val="18"/>
                <w:szCs w:val="18"/>
              </w:rPr>
            </w:pPr>
            <w:r>
              <w:rPr>
                <w:rFonts w:ascii="宋体"/>
                <w:sz w:val="18"/>
              </w:rPr>
              <w:t>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1254"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10" w:space="0" w:color="D2D2D2"/>
              <w:right w:val="single" w:sz="4" w:space="0" w:color="000000"/>
            </w:tcBorders>
          </w:tcPr>
          <w:p>
            <w:pPr>
              <w:pStyle w:val="TableParagraph"/>
              <w:spacing w:line="316" w:lineRule="auto" w:before="52"/>
              <w:ind w:left="15" w:right="96"/>
              <w:jc w:val="left"/>
              <w:rPr>
                <w:rFonts w:ascii="宋体" w:hAnsi="宋体" w:cs="宋体" w:eastAsia="宋体" w:hint="default"/>
                <w:sz w:val="18"/>
                <w:szCs w:val="18"/>
              </w:rPr>
            </w:pPr>
            <w:r>
              <w:rPr>
                <w:rFonts w:ascii="宋体" w:hAnsi="宋体" w:cs="宋体" w:eastAsia="宋体" w:hint="default"/>
                <w:sz w:val="18"/>
                <w:szCs w:val="18"/>
              </w:rPr>
              <w:t>叶明</w:t>
            </w:r>
            <w:r>
              <w:rPr>
                <w:rFonts w:ascii="宋体" w:hAnsi="宋体" w:cs="宋体" w:eastAsia="宋体" w:hint="default"/>
                <w:sz w:val="18"/>
                <w:szCs w:val="18"/>
              </w:rPr>
              <w:t>;</w:t>
            </w:r>
            <w:r>
              <w:rPr>
                <w:rFonts w:ascii="宋体" w:hAnsi="宋体" w:cs="宋体" w:eastAsia="宋体" w:hint="default"/>
                <w:sz w:val="18"/>
                <w:szCs w:val="18"/>
              </w:rPr>
              <w:t>梁 一红</w:t>
            </w:r>
            <w:r>
              <w:rPr>
                <w:rFonts w:ascii="宋体" w:hAnsi="宋体" w:cs="宋体" w:eastAsia="宋体" w:hint="default"/>
                <w:sz w:val="18"/>
                <w:szCs w:val="18"/>
              </w:rPr>
              <w:t>;</w:t>
            </w:r>
            <w:r>
              <w:rPr>
                <w:rFonts w:ascii="宋体" w:hAnsi="宋体" w:cs="宋体" w:eastAsia="宋体" w:hint="default"/>
                <w:sz w:val="18"/>
                <w:szCs w:val="18"/>
              </w:rPr>
              <w:t>缪 品章</w:t>
            </w:r>
            <w:r>
              <w:rPr>
                <w:rFonts w:ascii="宋体" w:hAnsi="宋体" w:cs="宋体" w:eastAsia="宋体" w:hint="default"/>
                <w:sz w:val="18"/>
                <w:szCs w:val="18"/>
              </w:rPr>
              <w:t>;</w:t>
            </w:r>
            <w:r>
              <w:rPr>
                <w:rFonts w:ascii="宋体" w:hAnsi="宋体" w:cs="宋体" w:eastAsia="宋体" w:hint="default"/>
                <w:sz w:val="18"/>
                <w:szCs w:val="18"/>
              </w:rPr>
              <w:t>王 锐</w:t>
            </w:r>
            <w:r>
              <w:rPr>
                <w:rFonts w:ascii="宋体" w:hAnsi="宋体" w:cs="宋体" w:eastAsia="宋体" w:hint="default"/>
                <w:sz w:val="18"/>
                <w:szCs w:val="18"/>
              </w:rPr>
              <w:t>;</w:t>
            </w:r>
            <w:r>
              <w:rPr>
                <w:rFonts w:ascii="宋体" w:hAnsi="宋体" w:cs="宋体" w:eastAsia="宋体" w:hint="default"/>
                <w:sz w:val="18"/>
                <w:szCs w:val="18"/>
              </w:rPr>
              <w:t>李扬</w:t>
            </w:r>
            <w:r>
              <w:rPr>
                <w:rFonts w:ascii="宋体" w:hAnsi="宋体" w:cs="宋体" w:eastAsia="宋体" w:hint="default"/>
                <w:sz w:val="18"/>
                <w:szCs w:val="18"/>
              </w:rPr>
              <w:t>; </w:t>
            </w:r>
            <w:r>
              <w:rPr>
                <w:rFonts w:ascii="宋体" w:hAnsi="宋体" w:cs="宋体" w:eastAsia="宋体" w:hint="default"/>
                <w:sz w:val="18"/>
                <w:szCs w:val="18"/>
              </w:rPr>
              <w:t>邱宇</w:t>
            </w:r>
            <w:r>
              <w:rPr>
                <w:rFonts w:ascii="宋体" w:hAnsi="宋体" w:cs="宋体" w:eastAsia="宋体" w:hint="default"/>
                <w:sz w:val="18"/>
                <w:szCs w:val="18"/>
              </w:rPr>
              <w:t>;</w:t>
            </w:r>
            <w:r>
              <w:rPr>
                <w:rFonts w:ascii="宋体" w:hAnsi="宋体" w:cs="宋体" w:eastAsia="宋体" w:hint="default"/>
                <w:sz w:val="18"/>
                <w:szCs w:val="18"/>
              </w:rPr>
              <w:t>刘 光江</w:t>
            </w:r>
          </w:p>
        </w:tc>
        <w:tc>
          <w:tcPr>
            <w:tcW w:w="3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承诺因</w:t>
            </w:r>
            <w:r>
              <w:rPr>
                <w:rFonts w:ascii="宋体" w:hAnsi="宋体" w:cs="宋体" w:eastAsia="宋体" w:hint="default"/>
                <w:spacing w:val="-57"/>
                <w:sz w:val="18"/>
                <w:szCs w:val="18"/>
              </w:rPr>
              <w:t> </w:t>
            </w:r>
            <w:r>
              <w:rPr>
                <w:rFonts w:ascii="宋体" w:hAnsi="宋体" w:cs="宋体" w:eastAsia="宋体" w:hint="default"/>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年汉威电子重大资产重组获得的</w:t>
            </w:r>
          </w:p>
          <w:p>
            <w:pPr>
              <w:pStyle w:val="TableParagraph"/>
              <w:spacing w:line="31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上市公司股份，自发行结束之日起</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个月内 不得转让，在此之后按中国证监会及证券交 易所的有关规定执行。</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2016-1-9</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1" w:type="dxa"/>
            <w:vMerge/>
            <w:tcBorders>
              <w:left w:val="single" w:sz="10" w:space="0" w:color="D2D2D2"/>
              <w:right w:val="single" w:sz="4" w:space="0" w:color="000000"/>
            </w:tcBorders>
          </w:tcPr>
          <w:p>
            <w:pPr/>
          </w:p>
        </w:tc>
        <w:tc>
          <w:tcPr>
            <w:tcW w:w="354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10" w:space="0" w:color="D2D2D2"/>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2274"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7"/>
                <w:sz w:val="18"/>
                <w:szCs w:val="18"/>
              </w:rPr>
              <w:t>交易对方尚剑红承诺：沈阳金建</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pacing w:val="-15"/>
                <w:sz w:val="18"/>
                <w:szCs w:val="18"/>
              </w:rPr>
              <w:t>年、</w:t>
            </w:r>
            <w:r>
              <w:rPr>
                <w:rFonts w:ascii="宋体" w:hAnsi="宋体" w:cs="宋体" w:eastAsia="宋体" w:hint="default"/>
                <w:spacing w:val="-15"/>
                <w:sz w:val="18"/>
                <w:szCs w:val="18"/>
              </w:rPr>
              <w:t>2015</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年实现的扣除非经常性损益前后归 属于母公司所有者净利润孰低数不低于 </w:t>
            </w:r>
            <w:r>
              <w:rPr>
                <w:rFonts w:ascii="宋体" w:hAnsi="宋体" w:cs="宋体" w:eastAsia="宋体" w:hint="default"/>
                <w:sz w:val="18"/>
                <w:szCs w:val="18"/>
              </w:rPr>
              <w:t>1,156.09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1,355.66</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1,497.80</w:t>
            </w:r>
          </w:p>
          <w:p>
            <w:pPr>
              <w:pStyle w:val="TableParagraph"/>
              <w:spacing w:line="319" w:lineRule="auto" w:before="19"/>
              <w:ind w:left="22" w:right="89"/>
              <w:jc w:val="left"/>
              <w:rPr>
                <w:rFonts w:ascii="宋体" w:hAnsi="宋体" w:cs="宋体" w:eastAsia="宋体" w:hint="default"/>
                <w:sz w:val="18"/>
                <w:szCs w:val="18"/>
              </w:rPr>
            </w:pPr>
            <w:r>
              <w:rPr>
                <w:rFonts w:ascii="宋体" w:hAnsi="宋体" w:cs="宋体" w:eastAsia="宋体" w:hint="default"/>
                <w:sz w:val="18"/>
                <w:szCs w:val="18"/>
              </w:rPr>
              <w:t>万元。如沈阳金建实际净利润低于上述承诺 金额，则由尚剑红按照 的约定负责向上市公司进行补偿。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2016-12-3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321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陈泽枝</w:t>
            </w:r>
            <w:r>
              <w:rPr>
                <w:rFonts w:ascii="宋体" w:hAnsi="宋体" w:cs="宋体" w:eastAsia="宋体" w:hint="default"/>
                <w:sz w:val="18"/>
                <w:szCs w:val="18"/>
              </w:rPr>
              <w:t>; </w:t>
            </w:r>
            <w:r>
              <w:rPr>
                <w:rFonts w:ascii="宋体" w:hAnsi="宋体" w:cs="宋体" w:eastAsia="宋体" w:hint="default"/>
                <w:sz w:val="18"/>
                <w:szCs w:val="18"/>
              </w:rPr>
              <w:t>李泽清</w:t>
            </w:r>
            <w:r>
              <w:rPr>
                <w:rFonts w:ascii="宋体" w:hAnsi="宋体" w:cs="宋体" w:eastAsia="宋体" w:hint="default"/>
                <w:sz w:val="18"/>
                <w:szCs w:val="18"/>
              </w:rPr>
              <w:t>; </w:t>
            </w:r>
            <w:r>
              <w:rPr>
                <w:rFonts w:ascii="宋体" w:hAnsi="宋体" w:cs="宋体" w:eastAsia="宋体" w:hint="default"/>
                <w:sz w:val="18"/>
                <w:szCs w:val="18"/>
              </w:rPr>
              <w:t>高孔兴</w:t>
            </w:r>
            <w:r>
              <w:rPr>
                <w:rFonts w:ascii="宋体" w:hAnsi="宋体" w:cs="宋体" w:eastAsia="宋体" w:hint="default"/>
                <w:sz w:val="18"/>
                <w:szCs w:val="18"/>
              </w:rPr>
              <w:t>; </w:t>
            </w:r>
            <w:r>
              <w:rPr>
                <w:rFonts w:ascii="宋体" w:hAnsi="宋体" w:cs="宋体" w:eastAsia="宋体" w:hint="default"/>
                <w:sz w:val="18"/>
                <w:szCs w:val="18"/>
              </w:rPr>
              <w:t>黄开坚</w:t>
            </w:r>
            <w:r>
              <w:rPr>
                <w:rFonts w:ascii="宋体" w:hAnsi="宋体" w:cs="宋体" w:eastAsia="宋体" w:hint="default"/>
                <w:sz w:val="18"/>
                <w:szCs w:val="18"/>
              </w:rPr>
              <w:t>; </w:t>
            </w:r>
            <w:r>
              <w:rPr>
                <w:rFonts w:ascii="宋体" w:hAnsi="宋体" w:cs="宋体" w:eastAsia="宋体" w:hint="default"/>
                <w:sz w:val="18"/>
                <w:szCs w:val="18"/>
              </w:rPr>
              <w:t>许金炉</w:t>
            </w:r>
            <w:r>
              <w:rPr>
                <w:rFonts w:ascii="宋体" w:hAnsi="宋体" w:cs="宋体" w:eastAsia="宋体" w:hint="default"/>
                <w:sz w:val="18"/>
                <w:szCs w:val="18"/>
              </w:rPr>
              <w:t>; </w:t>
            </w:r>
            <w:r>
              <w:rPr>
                <w:rFonts w:ascii="宋体" w:hAnsi="宋体" w:cs="宋体" w:eastAsia="宋体" w:hint="default"/>
                <w:sz w:val="18"/>
                <w:szCs w:val="18"/>
              </w:rPr>
              <w:t>刘智良</w:t>
            </w:r>
            <w:r>
              <w:rPr>
                <w:rFonts w:ascii="宋体" w:hAnsi="宋体" w:cs="宋体" w:eastAsia="宋体" w:hint="default"/>
                <w:sz w:val="18"/>
                <w:szCs w:val="18"/>
              </w:rPr>
              <w:t>; </w:t>
            </w:r>
            <w:r>
              <w:rPr>
                <w:rFonts w:ascii="宋体" w:hAnsi="宋体" w:cs="宋体" w:eastAsia="宋体" w:hint="default"/>
                <w:sz w:val="18"/>
                <w:szCs w:val="18"/>
              </w:rPr>
              <w:t>芜湖华顺 置业投资 有限责任 公司</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交易对方陈泽枝、李泽清、高孔兴、芜湖华 顺置业投资有限责任公司、许金炉、 </w:t>
            </w:r>
            <w:r>
              <w:rPr>
                <w:rFonts w:ascii="宋体" w:hAnsi="宋体" w:cs="宋体" w:eastAsia="宋体" w:hint="default"/>
                <w:spacing w:val="-9"/>
                <w:sz w:val="18"/>
                <w:szCs w:val="18"/>
              </w:rPr>
              <w:t>黄开坚承诺：嘉园环保</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14"/>
                <w:sz w:val="18"/>
                <w:szCs w:val="18"/>
              </w:rPr>
              <w:t>年、</w:t>
            </w:r>
            <w:r>
              <w:rPr>
                <w:rFonts w:ascii="宋体" w:hAnsi="宋体" w:cs="宋体" w:eastAsia="宋体" w:hint="default"/>
                <w:spacing w:val="-14"/>
                <w:sz w:val="18"/>
                <w:szCs w:val="18"/>
              </w:rPr>
              <w:t>2015</w:t>
            </w:r>
            <w:r>
              <w:rPr>
                <w:rFonts w:ascii="宋体" w:hAnsi="宋体" w:cs="宋体" w:eastAsia="宋体" w:hint="default"/>
                <w:spacing w:val="-43"/>
                <w:sz w:val="18"/>
                <w:szCs w:val="18"/>
              </w:rPr>
              <w:t> </w:t>
            </w:r>
            <w:r>
              <w:rPr>
                <w:rFonts w:ascii="宋体" w:hAnsi="宋体" w:cs="宋体" w:eastAsia="宋体" w:hint="default"/>
                <w:spacing w:val="-14"/>
                <w:sz w:val="18"/>
                <w:szCs w:val="18"/>
              </w:rPr>
              <w:t>年、</w:t>
            </w:r>
            <w:r>
              <w:rPr>
                <w:rFonts w:ascii="宋体" w:hAnsi="宋体" w:cs="宋体" w:eastAsia="宋体" w:hint="default"/>
                <w:spacing w:val="-14"/>
                <w:sz w:val="18"/>
                <w:szCs w:val="18"/>
              </w:rPr>
              <w:t>2016</w:t>
            </w:r>
            <w:r>
              <w:rPr>
                <w:rFonts w:ascii="宋体" w:hAnsi="宋体" w:cs="宋体" w:eastAsia="宋体" w:hint="default"/>
                <w:sz w:val="18"/>
                <w:szCs w:val="18"/>
              </w:rPr>
              <w:t> </w:t>
            </w:r>
            <w:r>
              <w:rPr>
                <w:rFonts w:ascii="宋体" w:hAnsi="宋体" w:cs="宋体" w:eastAsia="宋体" w:hint="default"/>
                <w:sz w:val="18"/>
                <w:szCs w:val="18"/>
              </w:rPr>
              <w:t>年实现的扣除非经常性损益前后归属于母公 司所有者净利润孰低数不低于</w:t>
            </w:r>
            <w:r>
              <w:rPr>
                <w:rFonts w:ascii="宋体" w:hAnsi="宋体" w:cs="宋体" w:eastAsia="宋体" w:hint="default"/>
                <w:spacing w:val="-46"/>
                <w:sz w:val="18"/>
                <w:szCs w:val="18"/>
              </w:rPr>
              <w:t> </w:t>
            </w:r>
            <w:r>
              <w:rPr>
                <w:rFonts w:ascii="宋体" w:hAnsi="宋体" w:cs="宋体" w:eastAsia="宋体" w:hint="default"/>
                <w:sz w:val="18"/>
                <w:szCs w:val="18"/>
              </w:rPr>
              <w:t>3,353.20</w:t>
            </w:r>
            <w:r>
              <w:rPr>
                <w:rFonts w:ascii="宋体" w:hAnsi="宋体" w:cs="宋体" w:eastAsia="宋体" w:hint="default"/>
                <w:spacing w:val="-46"/>
                <w:sz w:val="18"/>
                <w:szCs w:val="18"/>
              </w:rPr>
              <w:t> </w:t>
            </w:r>
            <w:r>
              <w:rPr>
                <w:rFonts w:ascii="宋体" w:hAnsi="宋体" w:cs="宋体" w:eastAsia="宋体" w:hint="default"/>
                <w:sz w:val="18"/>
                <w:szCs w:val="18"/>
              </w:rPr>
              <w:t>万 元、</w:t>
            </w:r>
            <w:r>
              <w:rPr>
                <w:rFonts w:ascii="宋体" w:hAnsi="宋体" w:cs="宋体" w:eastAsia="宋体" w:hint="default"/>
                <w:sz w:val="18"/>
                <w:szCs w:val="18"/>
              </w:rPr>
              <w:t>4,289.34</w:t>
            </w:r>
            <w:r>
              <w:rPr>
                <w:rFonts w:ascii="宋体" w:hAnsi="宋体" w:cs="宋体" w:eastAsia="宋体" w:hint="default"/>
                <w:spacing w:val="-57"/>
                <w:sz w:val="18"/>
                <w:szCs w:val="18"/>
              </w:rPr>
              <w:t> </w:t>
            </w:r>
            <w:r>
              <w:rPr>
                <w:rFonts w:ascii="宋体" w:hAnsi="宋体" w:cs="宋体" w:eastAsia="宋体" w:hint="default"/>
                <w:sz w:val="18"/>
                <w:szCs w:val="18"/>
              </w:rPr>
              <w:t>万元、</w:t>
            </w:r>
            <w:r>
              <w:rPr>
                <w:rFonts w:ascii="宋体" w:hAnsi="宋体" w:cs="宋体" w:eastAsia="宋体" w:hint="default"/>
                <w:sz w:val="18"/>
                <w:szCs w:val="18"/>
              </w:rPr>
              <w:t>5,252.41</w:t>
            </w:r>
            <w:r>
              <w:rPr>
                <w:rFonts w:ascii="宋体" w:hAnsi="宋体" w:cs="宋体" w:eastAsia="宋体" w:hint="default"/>
                <w:spacing w:val="-57"/>
                <w:sz w:val="18"/>
                <w:szCs w:val="18"/>
              </w:rPr>
              <w:t> </w:t>
            </w:r>
            <w:r>
              <w:rPr>
                <w:rFonts w:ascii="宋体" w:hAnsi="宋体" w:cs="宋体" w:eastAsia="宋体" w:hint="default"/>
                <w:sz w:val="18"/>
                <w:szCs w:val="18"/>
              </w:rPr>
              <w:t>万元。如嘉园 环保实际净利润低于上述承诺金额，则由上 述交易对方按照《利润承诺补偿协议》的约 定负责向上市公司进行补偿。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sz w:val="18"/>
              </w:rPr>
              <w:t>2016-12-3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8.859985pt;margin-top:510.039978pt;width:56.2pt;height:117pt;mso-position-horizontal-relative:page;mso-position-vertical-relative:page;z-index:-910504" coordorigin="7377,10201" coordsize="1124,2340">
            <v:shape style="position:absolute;left:7377;top:10201;width:1124;height:2340" coordorigin="7377,10201" coordsize="1124,2340" path="m7377,12541l8501,12541,8501,10201,7377,10201,7377,1254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3544"/>
        <w:gridCol w:w="1134"/>
        <w:gridCol w:w="928"/>
        <w:gridCol w:w="1278"/>
      </w:tblGrid>
      <w:tr>
        <w:trPr>
          <w:trHeight w:val="5706"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86"/>
              <w:jc w:val="both"/>
              <w:rPr>
                <w:rFonts w:ascii="宋体" w:hAnsi="宋体" w:cs="宋体" w:eastAsia="宋体" w:hint="default"/>
                <w:sz w:val="18"/>
                <w:szCs w:val="18"/>
              </w:rPr>
            </w:pPr>
            <w:r>
              <w:rPr>
                <w:rFonts w:ascii="宋体" w:hAnsi="宋体" w:cs="宋体" w:eastAsia="宋体" w:hint="default"/>
                <w:sz w:val="18"/>
                <w:szCs w:val="18"/>
              </w:rPr>
              <w:t>陈泽枝</w:t>
            </w:r>
            <w:r>
              <w:rPr>
                <w:rFonts w:ascii="宋体" w:hAnsi="宋体" w:cs="宋体" w:eastAsia="宋体" w:hint="default"/>
                <w:sz w:val="18"/>
                <w:szCs w:val="18"/>
              </w:rPr>
              <w:t>; </w:t>
            </w:r>
            <w:r>
              <w:rPr>
                <w:rFonts w:ascii="宋体" w:hAnsi="宋体" w:cs="宋体" w:eastAsia="宋体" w:hint="default"/>
                <w:sz w:val="18"/>
                <w:szCs w:val="18"/>
              </w:rPr>
              <w:t>李泽清</w:t>
            </w:r>
            <w:r>
              <w:rPr>
                <w:rFonts w:ascii="宋体" w:hAnsi="宋体" w:cs="宋体" w:eastAsia="宋体" w:hint="default"/>
                <w:sz w:val="18"/>
                <w:szCs w:val="18"/>
              </w:rPr>
              <w:t>; </w:t>
            </w:r>
            <w:r>
              <w:rPr>
                <w:rFonts w:ascii="宋体" w:hAnsi="宋体" w:cs="宋体" w:eastAsia="宋体" w:hint="default"/>
                <w:sz w:val="18"/>
                <w:szCs w:val="18"/>
              </w:rPr>
              <w:t>高孔兴</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交易对方陈泽枝、李泽清、高孔兴承诺：未 经汉威电子同意，本人自身及关联方不以任 何形式（包括但不限于单独经营、通过合资 或合伙企业经营或拥有另一公司或企业的股 份及其他权益）直接或间接参与任何与嘉园 环保主营业务构成同业竞争的业务或活动， 如获得的商业机会将于嘉园环保主营业务发 生同业竞争或可能发生同业竞争的，其将立 即通知嘉园环保，并尽力将该商业机会给予 嘉园环保，以确保嘉园环保及其全体股东利 益不受损害。交易对方陈泽枝、李泽清、高 孔兴承诺：将采取有效措施尽量避免与汉威 电子、嘉园环保之间发生关联交易；在进行 确有必要且无法避免的关联交易时，保证按 市场化原则和公允价格进行公平操作，并按 相关法律法规、规范性文件及汉威电子的公 司章程、嘉园环保的公司章程的规定履行相 应审批程序及信息披露义务。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sz w:val="18"/>
              </w:rPr>
              <w:t>2020-01-0</w:t>
            </w:r>
          </w:p>
          <w:p>
            <w:pPr>
              <w:pStyle w:val="TableParagraph"/>
              <w:spacing w:line="240" w:lineRule="auto" w:before="77"/>
              <w:ind w:left="22" w:right="0"/>
              <w:jc w:val="left"/>
              <w:rPr>
                <w:rFonts w:ascii="宋体" w:hAnsi="宋体" w:cs="宋体" w:eastAsia="宋体" w:hint="default"/>
                <w:sz w:val="18"/>
                <w:szCs w:val="18"/>
              </w:rPr>
            </w:pPr>
            <w:r>
              <w:rPr>
                <w:rFonts w:ascii="宋体"/>
                <w:sz w:val="18"/>
              </w:rPr>
              <w:t>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5394"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354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尚剑红承诺自标的资产交割日起，仍需至少 在沈阳金建或上市公司任职</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pacing w:val="-4"/>
                <w:sz w:val="18"/>
                <w:szCs w:val="18"/>
              </w:rPr>
              <w:t>个月，并承诺</w:t>
            </w:r>
          </w:p>
          <w:p>
            <w:pPr>
              <w:pStyle w:val="TableParagraph"/>
              <w:spacing w:line="316" w:lineRule="auto" w:before="19"/>
              <w:ind w:left="22" w:right="-50"/>
              <w:jc w:val="left"/>
              <w:rPr>
                <w:rFonts w:ascii="宋体" w:hAnsi="宋体" w:cs="宋体" w:eastAsia="宋体" w:hint="default"/>
                <w:sz w:val="18"/>
                <w:szCs w:val="18"/>
              </w:rPr>
            </w:pPr>
            <w:r>
              <w:rPr>
                <w:rFonts w:ascii="宋体" w:hAnsi="宋体" w:cs="宋体" w:eastAsia="宋体" w:hint="default"/>
                <w:sz w:val="18"/>
                <w:szCs w:val="18"/>
              </w:rPr>
              <w:t>在沈阳金建和上市公司任职期间及离职后</w:t>
            </w:r>
            <w:r>
              <w:rPr>
                <w:rFonts w:ascii="宋体" w:hAnsi="宋体" w:cs="宋体" w:eastAsia="宋体" w:hint="default"/>
                <w:spacing w:val="-46"/>
                <w:sz w:val="18"/>
                <w:szCs w:val="18"/>
              </w:rPr>
              <w:t> </w:t>
            </w:r>
            <w:r>
              <w:rPr>
                <w:rFonts w:ascii="宋体" w:hAnsi="宋体" w:cs="宋体" w:eastAsia="宋体" w:hint="default"/>
                <w:sz w:val="18"/>
                <w:szCs w:val="18"/>
              </w:rPr>
              <w:t>24 </w:t>
            </w:r>
            <w:r>
              <w:rPr>
                <w:rFonts w:ascii="宋体" w:hAnsi="宋体" w:cs="宋体" w:eastAsia="宋体" w:hint="default"/>
                <w:sz w:val="18"/>
                <w:szCs w:val="18"/>
              </w:rPr>
              <w:t>个月内，不从事与沈阳金建生产或者经营同 类产品或从事同类业务的、有竞争关系的其 他用人单位工作或提供劳务，或者自己开业 生产或者经营同类产品、从事同类业务。如 </w:t>
            </w:r>
            <w:r>
              <w:rPr>
                <w:rFonts w:ascii="宋体" w:hAnsi="宋体" w:cs="宋体" w:eastAsia="宋体" w:hint="default"/>
                <w:spacing w:val="-5"/>
                <w:sz w:val="18"/>
                <w:szCs w:val="18"/>
              </w:rPr>
              <w:t>违反上述承诺，则：（</w:t>
            </w:r>
            <w:r>
              <w:rPr>
                <w:rFonts w:ascii="宋体" w:hAnsi="宋体" w:cs="宋体" w:eastAsia="宋体" w:hint="default"/>
                <w:spacing w:val="-5"/>
                <w:sz w:val="18"/>
                <w:szCs w:val="18"/>
              </w:rPr>
              <w:t>1</w:t>
            </w:r>
            <w:r>
              <w:rPr>
                <w:rFonts w:ascii="宋体" w:hAnsi="宋体" w:cs="宋体" w:eastAsia="宋体" w:hint="default"/>
                <w:spacing w:val="-5"/>
                <w:sz w:val="18"/>
                <w:szCs w:val="18"/>
              </w:rPr>
              <w:t>）自交割日起任职期</w:t>
            </w:r>
            <w:r>
              <w:rPr>
                <w:rFonts w:ascii="宋体" w:hAnsi="宋体" w:cs="宋体" w:eastAsia="宋体" w:hint="default"/>
                <w:spacing w:val="-80"/>
                <w:sz w:val="18"/>
                <w:szCs w:val="18"/>
              </w:rPr>
              <w:t> </w:t>
            </w:r>
            <w:r>
              <w:rPr>
                <w:rFonts w:ascii="宋体" w:hAnsi="宋体" w:cs="宋体" w:eastAsia="宋体" w:hint="default"/>
                <w:sz w:val="18"/>
                <w:szCs w:val="18"/>
              </w:rPr>
              <w:t>限不满</w:t>
            </w:r>
            <w:r>
              <w:rPr>
                <w:rFonts w:ascii="宋体" w:hAnsi="宋体" w:cs="宋体" w:eastAsia="宋体" w:hint="default"/>
                <w:spacing w:val="-52"/>
                <w:sz w:val="18"/>
                <w:szCs w:val="18"/>
              </w:rPr>
              <w:t> </w:t>
            </w:r>
            <w:r>
              <w:rPr>
                <w:rFonts w:ascii="宋体" w:hAnsi="宋体" w:cs="宋体" w:eastAsia="宋体" w:hint="default"/>
                <w:sz w:val="18"/>
                <w:szCs w:val="18"/>
              </w:rPr>
              <w:t>36</w:t>
            </w:r>
            <w:r>
              <w:rPr>
                <w:rFonts w:ascii="宋体" w:hAnsi="宋体" w:cs="宋体" w:eastAsia="宋体" w:hint="default"/>
                <w:spacing w:val="-52"/>
                <w:sz w:val="18"/>
                <w:szCs w:val="18"/>
              </w:rPr>
              <w:t> </w:t>
            </w:r>
            <w:r>
              <w:rPr>
                <w:rFonts w:ascii="宋体" w:hAnsi="宋体" w:cs="宋体" w:eastAsia="宋体" w:hint="default"/>
                <w:sz w:val="18"/>
                <w:szCs w:val="18"/>
              </w:rPr>
              <w:t>个月的，违约方应将其于本交易中 已获对价的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作为赔偿金返还给上市公司， </w:t>
            </w:r>
            <w:r>
              <w:rPr>
                <w:rFonts w:ascii="宋体" w:hAnsi="宋体" w:cs="宋体" w:eastAsia="宋体" w:hint="default"/>
                <w:spacing w:val="-5"/>
                <w:sz w:val="18"/>
                <w:szCs w:val="18"/>
              </w:rPr>
              <w:t>上市公司尚未支付的对价无需支付；（</w:t>
            </w:r>
            <w:r>
              <w:rPr>
                <w:rFonts w:ascii="宋体" w:hAnsi="宋体" w:cs="宋体" w:eastAsia="宋体" w:hint="default"/>
                <w:spacing w:val="-5"/>
                <w:sz w:val="18"/>
                <w:szCs w:val="18"/>
              </w:rPr>
              <w:t>2</w:t>
            </w:r>
            <w:r>
              <w:rPr>
                <w:rFonts w:ascii="宋体" w:hAnsi="宋体" w:cs="宋体" w:eastAsia="宋体" w:hint="default"/>
                <w:spacing w:val="-5"/>
                <w:sz w:val="18"/>
                <w:szCs w:val="18"/>
              </w:rPr>
              <w:t>）自</w:t>
            </w:r>
            <w:r>
              <w:rPr>
                <w:rFonts w:ascii="宋体" w:hAnsi="宋体" w:cs="宋体" w:eastAsia="宋体" w:hint="default"/>
                <w:spacing w:val="-80"/>
                <w:sz w:val="18"/>
                <w:szCs w:val="18"/>
              </w:rPr>
              <w:t> </w:t>
            </w:r>
            <w:r>
              <w:rPr>
                <w:rFonts w:ascii="宋体" w:hAnsi="宋体" w:cs="宋体" w:eastAsia="宋体" w:hint="default"/>
                <w:sz w:val="18"/>
                <w:szCs w:val="18"/>
              </w:rPr>
              <w:t>交割日起任职期限已满</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个月不满</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w:t>
            </w:r>
          </w:p>
          <w:p>
            <w:pPr>
              <w:pStyle w:val="TableParagraph"/>
              <w:spacing w:line="319" w:lineRule="auto" w:before="19"/>
              <w:ind w:left="22" w:right="16"/>
              <w:jc w:val="left"/>
              <w:rPr>
                <w:rFonts w:ascii="宋体" w:hAnsi="宋体" w:cs="宋体" w:eastAsia="宋体" w:hint="default"/>
                <w:sz w:val="18"/>
                <w:szCs w:val="18"/>
              </w:rPr>
            </w:pPr>
            <w:r>
              <w:rPr>
                <w:rFonts w:ascii="宋体" w:hAnsi="宋体" w:cs="宋体" w:eastAsia="宋体" w:hint="default"/>
                <w:spacing w:val="-4"/>
                <w:sz w:val="18"/>
                <w:szCs w:val="18"/>
              </w:rPr>
              <w:t>的，违约方应将其于本交易中所获对价的</w:t>
            </w:r>
            <w:r>
              <w:rPr>
                <w:rFonts w:ascii="宋体" w:hAnsi="宋体" w:cs="宋体" w:eastAsia="宋体" w:hint="default"/>
                <w:spacing w:val="-44"/>
                <w:sz w:val="18"/>
                <w:szCs w:val="18"/>
              </w:rPr>
              <w:t> </w:t>
            </w:r>
            <w:r>
              <w:rPr>
                <w:rFonts w:ascii="宋体" w:hAnsi="宋体" w:cs="宋体" w:eastAsia="宋体" w:hint="default"/>
                <w:sz w:val="18"/>
                <w:szCs w:val="18"/>
              </w:rPr>
              <w:t>20% </w:t>
            </w:r>
            <w:r>
              <w:rPr>
                <w:rFonts w:ascii="宋体" w:hAnsi="宋体" w:cs="宋体" w:eastAsia="宋体" w:hint="default"/>
                <w:spacing w:val="-5"/>
                <w:sz w:val="18"/>
                <w:szCs w:val="18"/>
              </w:rPr>
              <w:t>作为赔偿金支付给上市公司；（</w:t>
            </w:r>
            <w:r>
              <w:rPr>
                <w:rFonts w:ascii="宋体" w:hAnsi="宋体" w:cs="宋体" w:eastAsia="宋体" w:hint="default"/>
                <w:spacing w:val="-5"/>
                <w:sz w:val="18"/>
                <w:szCs w:val="18"/>
              </w:rPr>
              <w:t>3</w:t>
            </w:r>
            <w:r>
              <w:rPr>
                <w:rFonts w:ascii="宋体" w:hAnsi="宋体" w:cs="宋体" w:eastAsia="宋体" w:hint="default"/>
                <w:spacing w:val="-5"/>
                <w:sz w:val="18"/>
                <w:szCs w:val="18"/>
              </w:rPr>
              <w:t>）自离职后</w:t>
            </w:r>
            <w:r>
              <w:rPr>
                <w:rFonts w:ascii="宋体" w:hAnsi="宋体" w:cs="宋体" w:eastAsia="宋体" w:hint="default"/>
                <w:spacing w:val="-80"/>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个月内违反竞业禁止义务的，违约方还应 向上市公司支付相当于其上一年度报酬总额 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倍的违约金。</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sz w:val="18"/>
              </w:rPr>
              <w:t>2019-10-0</w:t>
            </w:r>
          </w:p>
          <w:p>
            <w:pPr>
              <w:pStyle w:val="TableParagraph"/>
              <w:spacing w:line="240" w:lineRule="auto" w:before="77"/>
              <w:ind w:left="22" w:right="0"/>
              <w:jc w:val="left"/>
              <w:rPr>
                <w:rFonts w:ascii="宋体" w:hAnsi="宋体" w:cs="宋体" w:eastAsia="宋体" w:hint="default"/>
                <w:sz w:val="18"/>
                <w:szCs w:val="18"/>
              </w:rPr>
            </w:pPr>
            <w:r>
              <w:rPr>
                <w:rFonts w:ascii="宋体"/>
                <w:sz w:val="18"/>
              </w:rPr>
              <w:t>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254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陈泽枝</w:t>
            </w:r>
            <w:r>
              <w:rPr>
                <w:rFonts w:ascii="宋体" w:hAnsi="宋体" w:cs="宋体" w:eastAsia="宋体" w:hint="default"/>
                <w:sz w:val="18"/>
                <w:szCs w:val="18"/>
              </w:rPr>
              <w:t>; </w:t>
            </w:r>
            <w:r>
              <w:rPr>
                <w:rFonts w:ascii="宋体" w:hAnsi="宋体" w:cs="宋体" w:eastAsia="宋体" w:hint="default"/>
                <w:sz w:val="18"/>
                <w:szCs w:val="18"/>
              </w:rPr>
              <w:t>李泽清</w:t>
            </w:r>
            <w:r>
              <w:rPr>
                <w:rFonts w:ascii="宋体" w:hAnsi="宋体" w:cs="宋体" w:eastAsia="宋体" w:hint="default"/>
                <w:sz w:val="18"/>
                <w:szCs w:val="18"/>
              </w:rPr>
              <w:t>; </w:t>
            </w:r>
            <w:r>
              <w:rPr>
                <w:rFonts w:ascii="宋体" w:hAnsi="宋体" w:cs="宋体" w:eastAsia="宋体" w:hint="default"/>
                <w:sz w:val="18"/>
                <w:szCs w:val="18"/>
              </w:rPr>
              <w:t>高孔兴</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嘉园环保管理层股东陈泽枝、李泽清、高孔 兴承诺自标的资产交割日起，仍需至少在嘉 园环保任职</w:t>
            </w:r>
            <w:r>
              <w:rPr>
                <w:rFonts w:ascii="宋体" w:hAnsi="宋体" w:cs="宋体" w:eastAsia="宋体" w:hint="default"/>
                <w:spacing w:val="-58"/>
                <w:sz w:val="18"/>
                <w:szCs w:val="18"/>
              </w:rPr>
              <w:t> </w:t>
            </w:r>
            <w:r>
              <w:rPr>
                <w:rFonts w:ascii="宋体" w:hAnsi="宋体" w:cs="宋体" w:eastAsia="宋体" w:hint="default"/>
                <w:sz w:val="18"/>
                <w:szCs w:val="18"/>
              </w:rPr>
              <w:t>60</w:t>
            </w:r>
            <w:r>
              <w:rPr>
                <w:rFonts w:ascii="宋体" w:hAnsi="宋体" w:cs="宋体" w:eastAsia="宋体" w:hint="default"/>
                <w:spacing w:val="-56"/>
                <w:sz w:val="18"/>
                <w:szCs w:val="18"/>
              </w:rPr>
              <w:t> </w:t>
            </w:r>
            <w:r>
              <w:rPr>
                <w:rFonts w:ascii="宋体" w:hAnsi="宋体" w:cs="宋体" w:eastAsia="宋体" w:hint="default"/>
                <w:sz w:val="18"/>
                <w:szCs w:val="18"/>
              </w:rPr>
              <w:t>个月，并承诺在嘉园环保任职</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期间及离职后</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个月内，不从事与嘉园环保 生产或者经营同类产品或从事同类业务的、 有竞争关系的其他用人单位工作或提供劳 务，或者自己开业生产或者经营同类产品、 </w:t>
            </w:r>
            <w:r>
              <w:rPr>
                <w:rFonts w:ascii="宋体" w:hAnsi="宋体" w:cs="宋体" w:eastAsia="宋体" w:hint="default"/>
                <w:spacing w:val="-5"/>
                <w:sz w:val="18"/>
                <w:szCs w:val="18"/>
              </w:rPr>
              <w:t>从事同类业务。如违反上述承诺，则：（</w:t>
            </w:r>
            <w:r>
              <w:rPr>
                <w:rFonts w:ascii="宋体" w:hAnsi="宋体" w:cs="宋体" w:eastAsia="宋体" w:hint="default"/>
                <w:spacing w:val="-5"/>
                <w:sz w:val="18"/>
                <w:szCs w:val="18"/>
              </w:rPr>
              <w:t>1</w:t>
            </w:r>
            <w:r>
              <w:rPr>
                <w:rFonts w:ascii="宋体" w:hAnsi="宋体" w:cs="宋体" w:eastAsia="宋体" w:hint="default"/>
                <w:spacing w:val="-5"/>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sz w:val="18"/>
              </w:rPr>
              <w:t>2019-10-1</w:t>
            </w:r>
          </w:p>
          <w:p>
            <w:pPr>
              <w:pStyle w:val="TableParagraph"/>
              <w:spacing w:line="240" w:lineRule="auto" w:before="77"/>
              <w:ind w:left="22" w:right="0"/>
              <w:jc w:val="left"/>
              <w:rPr>
                <w:rFonts w:ascii="宋体" w:hAnsi="宋体" w:cs="宋体" w:eastAsia="宋体" w:hint="default"/>
                <w:sz w:val="18"/>
                <w:szCs w:val="18"/>
              </w:rPr>
            </w:pPr>
            <w:r>
              <w:rPr>
                <w:rFonts w:ascii="宋体"/>
                <w:sz w:val="18"/>
              </w:rPr>
              <w:t>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6.593994pt;margin-top:215.419983pt;width:98.45pt;height:15.6pt;mso-position-horizontal-relative:page;mso-position-vertical-relative:page;z-index:-91045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钟超承诺，</w:t>
                  </w:r>
                </w:p>
              </w:txbxContent>
            </v:textbox>
            <w10:wrap type="none"/>
          </v:shape>
        </w:pict>
      </w:r>
      <w:r>
        <w:rPr/>
        <w:pict>
          <v:group style="position:absolute;margin-left:368.859985pt;margin-top:411.619995pt;width:56.2pt;height:33.2pt;mso-position-horizontal-relative:page;mso-position-vertical-relative:page;z-index:-910432" coordorigin="7377,8232" coordsize="1124,664">
            <v:group style="position:absolute;left:7377;top:8232;width:1124;height:313" coordorigin="7377,8232" coordsize="1124,313">
              <v:shape style="position:absolute;left:7377;top:8232;width:1124;height:313" coordorigin="7377,8232" coordsize="1124,313" path="m7377,8545l8501,8545,8501,8232,7377,8232,7377,8545xe" filled="true" fillcolor="#ffffff" stroked="false">
                <v:path arrowok="t"/>
                <v:fill type="solid"/>
              </v:shape>
            </v:group>
            <v:group style="position:absolute;left:7400;top:8545;width:1078;height:352" coordorigin="7400,8545" coordsize="1078,352">
              <v:shape style="position:absolute;left:7400;top:8545;width:1078;height:352" coordorigin="7400,8545" coordsize="1078,352" path="m7400,8896l8478,8896,8478,8545,7400,8545,7400,889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3544"/>
        <w:gridCol w:w="1134"/>
        <w:gridCol w:w="928"/>
        <w:gridCol w:w="1268"/>
      </w:tblGrid>
      <w:tr>
        <w:trPr>
          <w:trHeight w:val="285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自交割日起任职期限不满</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pacing w:val="-4"/>
                <w:sz w:val="18"/>
                <w:szCs w:val="18"/>
              </w:rPr>
              <w:t>个月的，违约方</w:t>
            </w:r>
            <w:r>
              <w:rPr>
                <w:rFonts w:ascii="宋体" w:hAnsi="宋体" w:cs="宋体" w:eastAsia="宋体" w:hint="default"/>
                <w:sz w:val="18"/>
                <w:szCs w:val="18"/>
              </w:rPr>
              <w:t> 应将其于本交易中已获对价的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作为赔偿 金返还给上市公司，上市公司尚未支付的对 </w:t>
            </w:r>
            <w:r>
              <w:rPr>
                <w:rFonts w:ascii="宋体" w:hAnsi="宋体" w:cs="宋体" w:eastAsia="宋体" w:hint="default"/>
                <w:spacing w:val="-5"/>
                <w:sz w:val="18"/>
                <w:szCs w:val="18"/>
              </w:rPr>
              <w:t>价无需支付；（</w:t>
            </w:r>
            <w:r>
              <w:rPr>
                <w:rFonts w:ascii="宋体" w:hAnsi="宋体" w:cs="宋体" w:eastAsia="宋体" w:hint="default"/>
                <w:spacing w:val="-5"/>
                <w:sz w:val="18"/>
                <w:szCs w:val="18"/>
              </w:rPr>
              <w:t>2</w:t>
            </w:r>
            <w:r>
              <w:rPr>
                <w:rFonts w:ascii="宋体" w:hAnsi="宋体" w:cs="宋体" w:eastAsia="宋体" w:hint="default"/>
                <w:spacing w:val="-5"/>
                <w:sz w:val="18"/>
                <w:szCs w:val="18"/>
              </w:rPr>
              <w:t>）自交割日起任职期限已满</w:t>
            </w:r>
            <w:r>
              <w:rPr>
                <w:rFonts w:ascii="宋体" w:hAnsi="宋体" w:cs="宋体" w:eastAsia="宋体" w:hint="default"/>
                <w:spacing w:val="-80"/>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个月不满</w:t>
            </w:r>
            <w:r>
              <w:rPr>
                <w:rFonts w:ascii="宋体" w:hAnsi="宋体" w:cs="宋体" w:eastAsia="宋体" w:hint="default"/>
                <w:spacing w:val="-44"/>
                <w:sz w:val="18"/>
                <w:szCs w:val="18"/>
              </w:rPr>
              <w:t> </w:t>
            </w:r>
            <w:r>
              <w:rPr>
                <w:rFonts w:ascii="宋体" w:hAnsi="宋体" w:cs="宋体" w:eastAsia="宋体" w:hint="default"/>
                <w:sz w:val="18"/>
                <w:szCs w:val="18"/>
              </w:rPr>
              <w:t>60</w:t>
            </w:r>
            <w:r>
              <w:rPr>
                <w:rFonts w:ascii="宋体" w:hAnsi="宋体" w:cs="宋体" w:eastAsia="宋体" w:hint="default"/>
                <w:spacing w:val="-42"/>
                <w:sz w:val="18"/>
                <w:szCs w:val="18"/>
              </w:rPr>
              <w:t> </w:t>
            </w:r>
            <w:r>
              <w:rPr>
                <w:rFonts w:ascii="宋体" w:hAnsi="宋体" w:cs="宋体" w:eastAsia="宋体" w:hint="default"/>
                <w:spacing w:val="-6"/>
                <w:sz w:val="18"/>
                <w:szCs w:val="18"/>
              </w:rPr>
              <w:t>个月的，违约方应将其于本交</w:t>
            </w:r>
            <w:r>
              <w:rPr>
                <w:rFonts w:ascii="宋体" w:hAnsi="宋体" w:cs="宋体" w:eastAsia="宋体" w:hint="default"/>
                <w:sz w:val="18"/>
                <w:szCs w:val="18"/>
              </w:rPr>
              <w:t> 易中所获对价的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作为赔偿金支付给上市 </w:t>
            </w:r>
            <w:r>
              <w:rPr>
                <w:rFonts w:ascii="宋体" w:hAnsi="宋体" w:cs="宋体" w:eastAsia="宋体" w:hint="default"/>
                <w:spacing w:val="-12"/>
                <w:sz w:val="18"/>
                <w:szCs w:val="18"/>
              </w:rPr>
              <w:t>公司；（</w:t>
            </w:r>
            <w:r>
              <w:rPr>
                <w:rFonts w:ascii="宋体" w:hAnsi="宋体" w:cs="宋体" w:eastAsia="宋体" w:hint="default"/>
                <w:spacing w:val="-12"/>
                <w:sz w:val="18"/>
                <w:szCs w:val="18"/>
              </w:rPr>
              <w:t>3</w:t>
            </w:r>
            <w:r>
              <w:rPr>
                <w:rFonts w:ascii="宋体" w:hAnsi="宋体" w:cs="宋体" w:eastAsia="宋体" w:hint="default"/>
                <w:spacing w:val="-12"/>
                <w:sz w:val="18"/>
                <w:szCs w:val="18"/>
              </w:rPr>
              <w:t>）自离职后</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个月内违反竞业禁止 义务的，违约方还应向上市公司支付相当于 其上一年度报酬总额的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倍的违约金。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86"/>
              <w:jc w:val="left"/>
              <w:rPr>
                <w:rFonts w:ascii="宋体" w:hAnsi="宋体" w:cs="宋体" w:eastAsia="宋体" w:hint="default"/>
                <w:sz w:val="18"/>
                <w:szCs w:val="18"/>
              </w:rPr>
            </w:pPr>
            <w:r>
              <w:rPr>
                <w:rFonts w:ascii="宋体" w:hAnsi="宋体" w:cs="宋体" w:eastAsia="宋体" w:hint="default"/>
                <w:sz w:val="18"/>
                <w:szCs w:val="18"/>
              </w:rPr>
              <w:t>任红军</w:t>
            </w:r>
            <w:r>
              <w:rPr>
                <w:rFonts w:ascii="宋体" w:hAnsi="宋体" w:cs="宋体" w:eastAsia="宋体" w:hint="default"/>
                <w:sz w:val="18"/>
                <w:szCs w:val="18"/>
              </w:rPr>
              <w:t>; </w:t>
            </w:r>
            <w:r>
              <w:rPr>
                <w:rFonts w:ascii="宋体" w:hAnsi="宋体" w:cs="宋体" w:eastAsia="宋体" w:hint="default"/>
                <w:sz w:val="18"/>
                <w:szCs w:val="18"/>
              </w:rPr>
              <w:t>钟超</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上市前，公司实际控制人任红军、 承诺将尽量避免与公司进行关联交易，对于 因生产经营需要而发生的关联交易，将严格 按照公司章程及相关法律法规进行操作。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6.2pt;height:15.6pt;mso-position-horizontal-relative:char;mso-position-vertical-relative:line" coordorigin="0,0" coordsize="1124,312">
                  <v:group style="position:absolute;left:0;top:0;width:1124;height:312" coordorigin="0,0" coordsize="1124,312">
                    <v:shape style="position:absolute;left:0;top:0;width:1124;height:312" coordorigin="0,0" coordsize="1124,312" path="m0,312l1124,312,112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86"/>
              <w:jc w:val="left"/>
              <w:rPr>
                <w:rFonts w:ascii="宋体" w:hAnsi="宋体" w:cs="宋体" w:eastAsia="宋体" w:hint="default"/>
                <w:sz w:val="18"/>
                <w:szCs w:val="18"/>
              </w:rPr>
            </w:pPr>
            <w:r>
              <w:rPr>
                <w:rFonts w:ascii="宋体" w:hAnsi="宋体" w:cs="宋体" w:eastAsia="宋体" w:hint="default"/>
                <w:sz w:val="18"/>
                <w:szCs w:val="18"/>
              </w:rPr>
              <w:t>任红军</w:t>
            </w:r>
            <w:r>
              <w:rPr>
                <w:rFonts w:ascii="宋体" w:hAnsi="宋体" w:cs="宋体" w:eastAsia="宋体" w:hint="default"/>
                <w:sz w:val="18"/>
                <w:szCs w:val="18"/>
              </w:rPr>
              <w:t>; </w:t>
            </w:r>
            <w:r>
              <w:rPr>
                <w:rFonts w:ascii="宋体" w:hAnsi="宋体" w:cs="宋体" w:eastAsia="宋体" w:hint="default"/>
                <w:sz w:val="18"/>
                <w:szCs w:val="18"/>
              </w:rPr>
              <w:t>钟超</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上市前，公司实际控制人及持股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 </w:t>
            </w:r>
            <w:r>
              <w:rPr>
                <w:rFonts w:ascii="宋体" w:hAnsi="宋体" w:cs="宋体" w:eastAsia="宋体" w:hint="default"/>
                <w:spacing w:val="-5"/>
                <w:sz w:val="18"/>
                <w:szCs w:val="18"/>
              </w:rPr>
              <w:t>任红军、钟超承诺：</w:t>
            </w:r>
            <w:r>
              <w:rPr>
                <w:rFonts w:ascii="宋体" w:hAnsi="宋体" w:cs="宋体" w:eastAsia="宋体" w:hint="default"/>
                <w:spacing w:val="-5"/>
                <w:sz w:val="18"/>
                <w:szCs w:val="18"/>
              </w:rPr>
              <w:t>1</w:t>
            </w:r>
            <w:r>
              <w:rPr>
                <w:rFonts w:ascii="宋体" w:hAnsi="宋体" w:cs="宋体" w:eastAsia="宋体" w:hint="default"/>
                <w:spacing w:val="-5"/>
                <w:sz w:val="18"/>
                <w:szCs w:val="18"/>
              </w:rPr>
              <w:t>、在其持有</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以上股份 期间，</w:t>
            </w:r>
            <w:r>
              <w:rPr>
                <w:rFonts w:ascii="宋体" w:hAnsi="宋体" w:cs="宋体" w:eastAsia="宋体" w:hint="default"/>
                <w:spacing w:val="-23"/>
                <w:sz w:val="18"/>
                <w:szCs w:val="18"/>
              </w:rPr>
              <w:t> </w:t>
            </w:r>
            <w:r>
              <w:rPr>
                <w:rFonts w:ascii="宋体" w:hAnsi="宋体" w:cs="宋体" w:eastAsia="宋体" w:hint="default"/>
                <w:sz w:val="18"/>
                <w:szCs w:val="18"/>
              </w:rPr>
              <w:t>不在任何地域以任何形式从事可能与</w:t>
            </w:r>
            <w:r>
              <w:rPr>
                <w:rFonts w:ascii="宋体" w:hAnsi="宋体" w:cs="宋体" w:eastAsia="宋体" w:hint="default"/>
                <w:sz w:val="18"/>
                <w:szCs w:val="18"/>
              </w:rPr>
              <w:t> </w:t>
            </w:r>
            <w:r>
              <w:rPr>
                <w:rFonts w:ascii="宋体" w:hAnsi="宋体" w:cs="宋体" w:eastAsia="宋体" w:hint="default"/>
                <w:spacing w:val="-2"/>
                <w:sz w:val="18"/>
                <w:szCs w:val="18"/>
              </w:rPr>
              <w:t>公司构成同业竞争关系的活动；</w:t>
            </w:r>
            <w:r>
              <w:rPr>
                <w:rFonts w:ascii="宋体" w:hAnsi="宋体" w:cs="宋体" w:eastAsia="宋体" w:hint="default"/>
                <w:spacing w:val="-2"/>
                <w:sz w:val="18"/>
                <w:szCs w:val="18"/>
              </w:rPr>
              <w:t>2</w:t>
            </w:r>
            <w:r>
              <w:rPr>
                <w:rFonts w:ascii="宋体" w:hAnsi="宋体" w:cs="宋体" w:eastAsia="宋体" w:hint="default"/>
                <w:spacing w:val="-2"/>
                <w:sz w:val="18"/>
                <w:szCs w:val="18"/>
              </w:rPr>
              <w:t>、从第三方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获得的商业机会如果属于公司主要业务范围 之内的，将告知公司并尽可能协助公司取得 </w:t>
            </w:r>
            <w:r>
              <w:rPr>
                <w:rFonts w:ascii="宋体" w:hAnsi="宋体" w:cs="宋体" w:eastAsia="宋体" w:hint="default"/>
                <w:spacing w:val="-2"/>
                <w:sz w:val="18"/>
                <w:szCs w:val="18"/>
              </w:rPr>
              <w:t>该机会；</w:t>
            </w:r>
            <w:r>
              <w:rPr>
                <w:rFonts w:ascii="宋体" w:hAnsi="宋体" w:cs="宋体" w:eastAsia="宋体" w:hint="default"/>
                <w:spacing w:val="-2"/>
                <w:sz w:val="18"/>
                <w:szCs w:val="18"/>
              </w:rPr>
              <w:t>3</w:t>
            </w:r>
            <w:r>
              <w:rPr>
                <w:rFonts w:ascii="宋体" w:hAnsi="宋体" w:cs="宋体" w:eastAsia="宋体" w:hint="default"/>
                <w:spacing w:val="-2"/>
                <w:sz w:val="18"/>
                <w:szCs w:val="18"/>
              </w:rPr>
              <w:t>、不以任何形式从事可能影响公司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经营和发展的业务或活动。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1338"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任红军</w:t>
            </w:r>
            <w:r>
              <w:rPr>
                <w:rFonts w:ascii="宋体" w:hAnsi="宋体" w:cs="宋体" w:eastAsia="宋体" w:hint="default"/>
                <w:sz w:val="18"/>
                <w:szCs w:val="18"/>
              </w:rPr>
              <w:t>; </w:t>
            </w:r>
            <w:r>
              <w:rPr>
                <w:rFonts w:ascii="宋体" w:hAnsi="宋体" w:cs="宋体" w:eastAsia="宋体" w:hint="default"/>
                <w:sz w:val="18"/>
                <w:szCs w:val="18"/>
              </w:rPr>
              <w:t>刘瑞玲</w:t>
            </w:r>
            <w:r>
              <w:rPr>
                <w:rFonts w:ascii="宋体" w:hAnsi="宋体" w:cs="宋体" w:eastAsia="宋体" w:hint="default"/>
                <w:sz w:val="18"/>
                <w:szCs w:val="18"/>
              </w:rPr>
              <w:t>; </w:t>
            </w:r>
            <w:r>
              <w:rPr>
                <w:rFonts w:ascii="宋体" w:hAnsi="宋体" w:cs="宋体" w:eastAsia="宋体" w:hint="default"/>
                <w:sz w:val="18"/>
                <w:szCs w:val="18"/>
              </w:rPr>
              <w:t>张小水</w:t>
            </w:r>
            <w:r>
              <w:rPr>
                <w:rFonts w:ascii="宋体" w:hAnsi="宋体" w:cs="宋体" w:eastAsia="宋体" w:hint="default"/>
                <w:sz w:val="18"/>
                <w:szCs w:val="18"/>
              </w:rPr>
              <w:t>; </w:t>
            </w:r>
            <w:r>
              <w:rPr>
                <w:rFonts w:ascii="宋体" w:hAnsi="宋体" w:cs="宋体" w:eastAsia="宋体" w:hint="default"/>
                <w:sz w:val="18"/>
                <w:szCs w:val="18"/>
              </w:rPr>
              <w:t>焦桂东</w:t>
            </w:r>
          </w:p>
        </w:tc>
        <w:tc>
          <w:tcPr>
            <w:tcW w:w="354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8"/>
              <w:jc w:val="both"/>
              <w:rPr>
                <w:rFonts w:ascii="宋体" w:hAnsi="宋体" w:cs="宋体" w:eastAsia="宋体" w:hint="default"/>
                <w:sz w:val="18"/>
                <w:szCs w:val="18"/>
              </w:rPr>
            </w:pPr>
            <w:r>
              <w:rPr>
                <w:rFonts w:ascii="宋体" w:hAnsi="宋体" w:cs="宋体" w:eastAsia="宋体" w:hint="default"/>
                <w:sz w:val="18"/>
                <w:szCs w:val="18"/>
              </w:rPr>
              <w:t>上市前，公司董事承诺涉及关联交易事项时 将严格按照公司章程及相关法律法规规定， 严格履行董事的职责。</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19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2274" w:hRule="exact"/>
        </w:trPr>
        <w:tc>
          <w:tcPr>
            <w:tcW w:w="184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刘瑞玲</w:t>
            </w:r>
            <w:r>
              <w:rPr>
                <w:rFonts w:ascii="宋体" w:hAnsi="宋体" w:cs="宋体" w:eastAsia="宋体" w:hint="default"/>
                <w:sz w:val="18"/>
                <w:szCs w:val="18"/>
              </w:rPr>
              <w:t>; </w:t>
            </w:r>
            <w:r>
              <w:rPr>
                <w:rFonts w:ascii="宋体" w:hAnsi="宋体" w:cs="宋体" w:eastAsia="宋体" w:hint="default"/>
                <w:sz w:val="18"/>
                <w:szCs w:val="18"/>
              </w:rPr>
              <w:t>张小水</w:t>
            </w:r>
            <w:r>
              <w:rPr>
                <w:rFonts w:ascii="宋体" w:hAnsi="宋体" w:cs="宋体" w:eastAsia="宋体" w:hint="default"/>
                <w:sz w:val="18"/>
                <w:szCs w:val="18"/>
              </w:rPr>
              <w:t>; </w:t>
            </w:r>
            <w:r>
              <w:rPr>
                <w:rFonts w:ascii="宋体" w:hAnsi="宋体" w:cs="宋体" w:eastAsia="宋体" w:hint="default"/>
                <w:sz w:val="18"/>
                <w:szCs w:val="18"/>
              </w:rPr>
              <w:t>焦桂东</w:t>
            </w:r>
            <w:r>
              <w:rPr>
                <w:rFonts w:ascii="宋体" w:hAnsi="宋体" w:cs="宋体" w:eastAsia="宋体" w:hint="default"/>
                <w:sz w:val="18"/>
                <w:szCs w:val="18"/>
              </w:rPr>
              <w:t>; </w:t>
            </w:r>
            <w:r>
              <w:rPr>
                <w:rFonts w:ascii="宋体" w:hAnsi="宋体" w:cs="宋体" w:eastAsia="宋体" w:hint="default"/>
                <w:sz w:val="18"/>
                <w:szCs w:val="18"/>
              </w:rPr>
              <w:t>张艳丽</w:t>
            </w:r>
            <w:r>
              <w:rPr>
                <w:rFonts w:ascii="宋体" w:hAnsi="宋体" w:cs="宋体" w:eastAsia="宋体" w:hint="default"/>
                <w:sz w:val="18"/>
                <w:szCs w:val="18"/>
              </w:rPr>
              <w:t>; </w:t>
            </w:r>
            <w:r>
              <w:rPr>
                <w:rFonts w:ascii="宋体" w:hAnsi="宋体" w:cs="宋体" w:eastAsia="宋体" w:hint="default"/>
                <w:sz w:val="18"/>
                <w:szCs w:val="18"/>
              </w:rPr>
              <w:t>尚中锋</w:t>
            </w:r>
            <w:r>
              <w:rPr>
                <w:rFonts w:ascii="宋体" w:hAnsi="宋体" w:cs="宋体" w:eastAsia="宋体" w:hint="default"/>
                <w:sz w:val="18"/>
                <w:szCs w:val="18"/>
              </w:rPr>
              <w:t>; </w:t>
            </w:r>
            <w:r>
              <w:rPr>
                <w:rFonts w:ascii="宋体" w:hAnsi="宋体" w:cs="宋体" w:eastAsia="宋体" w:hint="default"/>
                <w:sz w:val="18"/>
                <w:szCs w:val="18"/>
              </w:rPr>
              <w:t>任红军</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上市前，公司董事、监事、高管承诺</w:t>
            </w:r>
            <w:r>
              <w:rPr>
                <w:rFonts w:ascii="宋体" w:hAnsi="宋体" w:cs="宋体" w:eastAsia="宋体" w:hint="default"/>
                <w:sz w:val="18"/>
                <w:szCs w:val="18"/>
              </w:rPr>
              <w:t>:1</w:t>
            </w:r>
            <w:r>
              <w:rPr>
                <w:rFonts w:ascii="宋体" w:hAnsi="宋体" w:cs="宋体" w:eastAsia="宋体" w:hint="default"/>
                <w:sz w:val="18"/>
                <w:szCs w:val="18"/>
              </w:rPr>
              <w:t>、不 存在自营或为他人经营与公司同类业务的情 </w:t>
            </w:r>
            <w:r>
              <w:rPr>
                <w:rFonts w:ascii="宋体" w:hAnsi="宋体" w:cs="宋体" w:eastAsia="宋体" w:hint="default"/>
                <w:spacing w:val="-2"/>
                <w:sz w:val="18"/>
                <w:szCs w:val="18"/>
              </w:rPr>
              <w:t>况；</w:t>
            </w:r>
            <w:r>
              <w:rPr>
                <w:rFonts w:ascii="宋体" w:hAnsi="宋体" w:cs="宋体" w:eastAsia="宋体" w:hint="default"/>
                <w:spacing w:val="-2"/>
                <w:sz w:val="18"/>
                <w:szCs w:val="18"/>
              </w:rPr>
              <w:t>2</w:t>
            </w:r>
            <w:r>
              <w:rPr>
                <w:rFonts w:ascii="宋体" w:hAnsi="宋体" w:cs="宋体" w:eastAsia="宋体" w:hint="default"/>
                <w:spacing w:val="-2"/>
                <w:sz w:val="18"/>
                <w:szCs w:val="18"/>
              </w:rPr>
              <w:t>、在担任公司职务期间，不在任何地域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以任何形式从事可能与公司构成同业竞争关 系的活动，同时督促其本人的配偶、成年子 女及其配偶等主要亲属遵守上述承诺的约 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348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兴业全球 基金管理 有限公 司</w:t>
            </w:r>
            <w:r>
              <w:rPr>
                <w:rFonts w:ascii="宋体" w:hAnsi="宋体" w:cs="宋体" w:eastAsia="宋体" w:hint="default"/>
                <w:sz w:val="18"/>
                <w:szCs w:val="18"/>
              </w:rPr>
              <w:t>;</w:t>
            </w:r>
            <w:r>
              <w:rPr>
                <w:rFonts w:ascii="宋体" w:hAnsi="宋体" w:cs="宋体" w:eastAsia="宋体" w:hint="default"/>
                <w:sz w:val="18"/>
                <w:szCs w:val="18"/>
              </w:rPr>
              <w:t>国投 瑞银资本 管理有限 公司</w:t>
            </w:r>
            <w:r>
              <w:rPr>
                <w:rFonts w:ascii="宋体" w:hAnsi="宋体" w:cs="宋体" w:eastAsia="宋体" w:hint="default"/>
                <w:sz w:val="18"/>
                <w:szCs w:val="18"/>
              </w:rPr>
              <w:t>;</w:t>
            </w:r>
            <w:r>
              <w:rPr>
                <w:rFonts w:ascii="宋体" w:hAnsi="宋体" w:cs="宋体" w:eastAsia="宋体" w:hint="default"/>
                <w:sz w:val="18"/>
                <w:szCs w:val="18"/>
              </w:rPr>
              <w:t>北 信瑞丰基 金管理有 限公司</w:t>
            </w:r>
            <w:r>
              <w:rPr>
                <w:rFonts w:ascii="宋体" w:hAnsi="宋体" w:cs="宋体" w:eastAsia="宋体" w:hint="default"/>
                <w:sz w:val="18"/>
                <w:szCs w:val="18"/>
              </w:rPr>
              <w:t>; </w:t>
            </w:r>
            <w:r>
              <w:rPr>
                <w:rFonts w:ascii="宋体" w:hAnsi="宋体" w:cs="宋体" w:eastAsia="宋体" w:hint="default"/>
                <w:sz w:val="18"/>
                <w:szCs w:val="18"/>
              </w:rPr>
              <w:t>华宝信托</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承诺因汉威电子非公开发行获得的股票自上 市后</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个月不进行流动转让。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sz w:val="18"/>
              </w:rPr>
              <w:t>2016-1-9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3544"/>
        <w:gridCol w:w="1134"/>
        <w:gridCol w:w="928"/>
        <w:gridCol w:w="1268"/>
      </w:tblGrid>
      <w:tr>
        <w:trPr>
          <w:trHeight w:val="161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有限责任 公司</w:t>
            </w:r>
            <w:r>
              <w:rPr>
                <w:rFonts w:ascii="宋体" w:hAnsi="宋体" w:cs="宋体" w:eastAsia="宋体" w:hint="default"/>
                <w:sz w:val="18"/>
                <w:szCs w:val="18"/>
              </w:rPr>
              <w:t>;</w:t>
            </w:r>
            <w:r>
              <w:rPr>
                <w:rFonts w:ascii="宋体" w:hAnsi="宋体" w:cs="宋体" w:eastAsia="宋体" w:hint="default"/>
                <w:sz w:val="18"/>
                <w:szCs w:val="18"/>
              </w:rPr>
              <w:t>第 一创业证 券股份有 限公司</w:t>
            </w:r>
          </w:p>
        </w:tc>
        <w:tc>
          <w:tcPr>
            <w:tcW w:w="35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王明慧</w:t>
            </w:r>
            <w:r>
              <w:rPr>
                <w:rFonts w:ascii="宋体" w:hAnsi="宋体" w:cs="宋体" w:eastAsia="宋体" w:hint="default"/>
                <w:sz w:val="18"/>
                <w:szCs w:val="18"/>
              </w:rPr>
              <w:t>; </w:t>
            </w:r>
            <w:r>
              <w:rPr>
                <w:rFonts w:ascii="宋体" w:hAnsi="宋体" w:cs="宋体" w:eastAsia="宋体" w:hint="default"/>
                <w:sz w:val="18"/>
                <w:szCs w:val="18"/>
              </w:rPr>
              <w:t>张连富</w:t>
            </w:r>
            <w:r>
              <w:rPr>
                <w:rFonts w:ascii="宋体" w:hAnsi="宋体" w:cs="宋体" w:eastAsia="宋体" w:hint="default"/>
                <w:sz w:val="18"/>
                <w:szCs w:val="18"/>
              </w:rPr>
              <w:t>; </w:t>
            </w:r>
            <w:r>
              <w:rPr>
                <w:rFonts w:ascii="宋体" w:hAnsi="宋体" w:cs="宋体" w:eastAsia="宋体" w:hint="default"/>
                <w:sz w:val="18"/>
                <w:szCs w:val="18"/>
              </w:rPr>
              <w:t>韩晓东</w:t>
            </w:r>
            <w:r>
              <w:rPr>
                <w:rFonts w:ascii="宋体" w:hAnsi="宋体" w:cs="宋体" w:eastAsia="宋体" w:hint="default"/>
                <w:sz w:val="18"/>
                <w:szCs w:val="18"/>
              </w:rPr>
              <w:t>; </w:t>
            </w:r>
            <w:r>
              <w:rPr>
                <w:rFonts w:ascii="宋体" w:hAnsi="宋体" w:cs="宋体" w:eastAsia="宋体" w:hint="default"/>
                <w:sz w:val="18"/>
                <w:szCs w:val="18"/>
              </w:rPr>
              <w:t>吴世伟</w:t>
            </w:r>
            <w:r>
              <w:rPr>
                <w:rFonts w:ascii="宋体" w:hAnsi="宋体" w:cs="宋体" w:eastAsia="宋体" w:hint="default"/>
                <w:sz w:val="18"/>
                <w:szCs w:val="18"/>
              </w:rPr>
              <w:t>; </w:t>
            </w:r>
            <w:r>
              <w:rPr>
                <w:rFonts w:ascii="宋体" w:hAnsi="宋体" w:cs="宋体" w:eastAsia="宋体" w:hint="default"/>
                <w:sz w:val="18"/>
                <w:szCs w:val="18"/>
              </w:rPr>
              <w:t>邢洪杰</w:t>
            </w:r>
            <w:r>
              <w:rPr>
                <w:rFonts w:ascii="宋体" w:hAnsi="宋体" w:cs="宋体" w:eastAsia="宋体" w:hint="default"/>
                <w:sz w:val="18"/>
                <w:szCs w:val="18"/>
              </w:rPr>
              <w:t>; </w:t>
            </w:r>
            <w:r>
              <w:rPr>
                <w:rFonts w:ascii="宋体" w:hAnsi="宋体" w:cs="宋体" w:eastAsia="宋体" w:hint="default"/>
                <w:sz w:val="18"/>
                <w:szCs w:val="18"/>
              </w:rPr>
              <w:t>高伟</w:t>
            </w:r>
            <w:r>
              <w:rPr>
                <w:rFonts w:ascii="宋体" w:hAnsi="宋体" w:cs="宋体" w:eastAsia="宋体" w:hint="default"/>
                <w:sz w:val="18"/>
                <w:szCs w:val="18"/>
              </w:rPr>
              <w:t>;</w:t>
            </w:r>
            <w:r>
              <w:rPr>
                <w:rFonts w:ascii="宋体" w:hAnsi="宋体" w:cs="宋体" w:eastAsia="宋体" w:hint="default"/>
                <w:sz w:val="18"/>
                <w:szCs w:val="18"/>
              </w:rPr>
              <w:t>李 世铭</w:t>
            </w:r>
            <w:r>
              <w:rPr>
                <w:rFonts w:ascii="宋体" w:hAnsi="宋体" w:cs="宋体" w:eastAsia="宋体" w:hint="default"/>
                <w:sz w:val="18"/>
                <w:szCs w:val="18"/>
              </w:rPr>
              <w:t>;</w:t>
            </w:r>
            <w:r>
              <w:rPr>
                <w:rFonts w:ascii="宋体" w:hAnsi="宋体" w:cs="宋体" w:eastAsia="宋体" w:hint="default"/>
                <w:sz w:val="18"/>
                <w:szCs w:val="18"/>
              </w:rPr>
              <w:t>王 铭岩</w:t>
            </w:r>
            <w:r>
              <w:rPr>
                <w:rFonts w:ascii="宋体" w:hAnsi="宋体" w:cs="宋体" w:eastAsia="宋体" w:hint="default"/>
                <w:sz w:val="18"/>
                <w:szCs w:val="18"/>
              </w:rPr>
              <w:t>;</w:t>
            </w:r>
            <w:r>
              <w:rPr>
                <w:rFonts w:ascii="宋体" w:hAnsi="宋体" w:cs="宋体" w:eastAsia="宋体" w:hint="default"/>
                <w:sz w:val="18"/>
                <w:szCs w:val="18"/>
              </w:rPr>
              <w:t>赵 东阳</w:t>
            </w:r>
            <w:r>
              <w:rPr>
                <w:rFonts w:ascii="宋体" w:hAnsi="宋体" w:cs="宋体" w:eastAsia="宋体" w:hint="default"/>
                <w:sz w:val="18"/>
                <w:szCs w:val="18"/>
              </w:rPr>
              <w:t>;</w:t>
            </w:r>
            <w:r>
              <w:rPr>
                <w:rFonts w:ascii="宋体" w:hAnsi="宋体" w:cs="宋体" w:eastAsia="宋体" w:hint="default"/>
                <w:sz w:val="18"/>
                <w:szCs w:val="18"/>
              </w:rPr>
              <w:t>曲 兴瑞</w:t>
            </w:r>
            <w:r>
              <w:rPr>
                <w:rFonts w:ascii="宋体" w:hAnsi="宋体" w:cs="宋体" w:eastAsia="宋体" w:hint="default"/>
                <w:sz w:val="18"/>
                <w:szCs w:val="18"/>
              </w:rPr>
              <w:t>;</w:t>
            </w:r>
            <w:r>
              <w:rPr>
                <w:rFonts w:ascii="宋体" w:hAnsi="宋体" w:cs="宋体" w:eastAsia="宋体" w:hint="default"/>
                <w:sz w:val="18"/>
                <w:szCs w:val="18"/>
              </w:rPr>
              <w:t>李 想</w:t>
            </w:r>
            <w:r>
              <w:rPr>
                <w:rFonts w:ascii="宋体" w:hAnsi="宋体" w:cs="宋体" w:eastAsia="宋体" w:hint="default"/>
                <w:sz w:val="18"/>
                <w:szCs w:val="18"/>
              </w:rPr>
              <w:t>;</w:t>
            </w:r>
            <w:r>
              <w:rPr>
                <w:rFonts w:ascii="宋体" w:hAnsi="宋体" w:cs="宋体" w:eastAsia="宋体" w:hint="default"/>
                <w:sz w:val="18"/>
                <w:szCs w:val="18"/>
              </w:rPr>
              <w:t>杨金 龙</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both"/>
              <w:rPr>
                <w:rFonts w:ascii="宋体" w:hAnsi="宋体" w:cs="宋体" w:eastAsia="宋体" w:hint="default"/>
                <w:sz w:val="18"/>
                <w:szCs w:val="18"/>
              </w:rPr>
            </w:pPr>
            <w:r>
              <w:rPr>
                <w:rFonts w:ascii="宋体" w:hAnsi="宋体" w:cs="宋体" w:eastAsia="宋体" w:hint="default"/>
                <w:sz w:val="18"/>
                <w:szCs w:val="18"/>
              </w:rPr>
              <w:t>鞍山易兴交易对方王明慧、张连富、韩晓东 等承诺：鞍山易兴</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年实现的净利润扣除非经常性损益 后孰低值不低于</w:t>
            </w:r>
            <w:r>
              <w:rPr>
                <w:rFonts w:ascii="宋体" w:hAnsi="宋体" w:cs="宋体" w:eastAsia="宋体" w:hint="default"/>
                <w:spacing w:val="-52"/>
                <w:sz w:val="18"/>
                <w:szCs w:val="18"/>
              </w:rPr>
              <w:t> </w:t>
            </w:r>
            <w:r>
              <w:rPr>
                <w:rFonts w:ascii="宋体" w:hAnsi="宋体" w:cs="宋体" w:eastAsia="宋体" w:hint="default"/>
                <w:sz w:val="18"/>
                <w:szCs w:val="18"/>
              </w:rPr>
              <w:t>450</w:t>
            </w:r>
            <w:r>
              <w:rPr>
                <w:rFonts w:ascii="宋体" w:hAnsi="宋体" w:cs="宋体" w:eastAsia="宋体" w:hint="default"/>
                <w:spacing w:val="-52"/>
                <w:sz w:val="18"/>
                <w:szCs w:val="18"/>
              </w:rPr>
              <w:t> </w:t>
            </w:r>
            <w:r>
              <w:rPr>
                <w:rFonts w:ascii="宋体" w:hAnsi="宋体" w:cs="宋体" w:eastAsia="宋体" w:hint="default"/>
                <w:sz w:val="18"/>
                <w:szCs w:val="18"/>
              </w:rPr>
              <w:t>万元、</w:t>
            </w:r>
            <w:r>
              <w:rPr>
                <w:rFonts w:ascii="宋体" w:hAnsi="宋体" w:cs="宋体" w:eastAsia="宋体" w:hint="default"/>
                <w:sz w:val="18"/>
                <w:szCs w:val="18"/>
              </w:rPr>
              <w:t>600</w:t>
            </w:r>
            <w:r>
              <w:rPr>
                <w:rFonts w:ascii="宋体" w:hAnsi="宋体" w:cs="宋体" w:eastAsia="宋体" w:hint="default"/>
                <w:spacing w:val="-52"/>
                <w:sz w:val="18"/>
                <w:szCs w:val="18"/>
              </w:rPr>
              <w:t> </w:t>
            </w:r>
            <w:r>
              <w:rPr>
                <w:rFonts w:ascii="宋体" w:hAnsi="宋体" w:cs="宋体" w:eastAsia="宋体" w:hint="default"/>
                <w:sz w:val="18"/>
                <w:szCs w:val="18"/>
              </w:rPr>
              <w:t>万元、</w:t>
            </w:r>
            <w:r>
              <w:rPr>
                <w:rFonts w:ascii="宋体" w:hAnsi="宋体" w:cs="宋体" w:eastAsia="宋体" w:hint="default"/>
                <w:sz w:val="18"/>
                <w:szCs w:val="18"/>
              </w:rPr>
              <w:t>750</w:t>
            </w:r>
            <w:r>
              <w:rPr>
                <w:rFonts w:ascii="宋体" w:hAnsi="宋体" w:cs="宋体" w:eastAsia="宋体" w:hint="default"/>
                <w:spacing w:val="-51"/>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w:t>
            </w:r>
            <w:r>
              <w:rPr>
                <w:rFonts w:ascii="宋体" w:hAnsi="宋体" w:cs="宋体" w:eastAsia="宋体" w:hint="default"/>
                <w:spacing w:val="-4"/>
                <w:sz w:val="18"/>
                <w:szCs w:val="18"/>
              </w:rPr>
              <w:t>1000</w:t>
            </w:r>
            <w:r>
              <w:rPr>
                <w:rFonts w:ascii="宋体" w:hAnsi="宋体" w:cs="宋体" w:eastAsia="宋体" w:hint="default"/>
                <w:spacing w:val="-44"/>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2018</w:t>
            </w:r>
            <w:r>
              <w:rPr>
                <w:rFonts w:ascii="宋体" w:hAnsi="宋体" w:cs="宋体" w:eastAsia="宋体" w:hint="default"/>
                <w:spacing w:val="-44"/>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年分别不低于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年的承诺水平。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sz w:val="18"/>
              </w:rPr>
              <w:t>2019-12-3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r>
        <w:trPr>
          <w:trHeight w:val="847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任红军</w:t>
            </w:r>
            <w:r>
              <w:rPr>
                <w:rFonts w:ascii="宋体" w:hAnsi="宋体" w:cs="宋体" w:eastAsia="宋体" w:hint="default"/>
                <w:sz w:val="18"/>
                <w:szCs w:val="18"/>
              </w:rPr>
              <w:t>; </w:t>
            </w:r>
            <w:r>
              <w:rPr>
                <w:rFonts w:ascii="宋体" w:hAnsi="宋体" w:cs="宋体" w:eastAsia="宋体" w:hint="default"/>
                <w:sz w:val="18"/>
                <w:szCs w:val="18"/>
              </w:rPr>
              <w:t>钟超</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为充分保护上市公司的利益，作为汉威电子 的控股股东及实际控制人，任红军先生、钟 </w:t>
            </w:r>
            <w:r>
              <w:rPr>
                <w:rFonts w:ascii="宋体" w:hAnsi="宋体" w:cs="宋体" w:eastAsia="宋体" w:hint="default"/>
                <w:spacing w:val="-5"/>
                <w:sz w:val="18"/>
                <w:szCs w:val="18"/>
              </w:rPr>
              <w:t>超女士承诺：（</w:t>
            </w:r>
            <w:r>
              <w:rPr>
                <w:rFonts w:ascii="宋体" w:hAnsi="宋体" w:cs="宋体" w:eastAsia="宋体" w:hint="default"/>
                <w:spacing w:val="-5"/>
                <w:sz w:val="18"/>
                <w:szCs w:val="18"/>
              </w:rPr>
              <w:t>1</w:t>
            </w:r>
            <w:r>
              <w:rPr>
                <w:rFonts w:ascii="宋体" w:hAnsi="宋体" w:cs="宋体" w:eastAsia="宋体" w:hint="default"/>
                <w:spacing w:val="-5"/>
                <w:sz w:val="18"/>
                <w:szCs w:val="18"/>
              </w:rPr>
              <w:t>）将采取有效措施尽量避免</w:t>
            </w:r>
            <w:r>
              <w:rPr>
                <w:rFonts w:ascii="宋体" w:hAnsi="宋体" w:cs="宋体" w:eastAsia="宋体" w:hint="default"/>
                <w:spacing w:val="-80"/>
                <w:sz w:val="18"/>
                <w:szCs w:val="18"/>
              </w:rPr>
              <w:t> </w:t>
            </w:r>
            <w:r>
              <w:rPr>
                <w:rFonts w:ascii="宋体" w:hAnsi="宋体" w:cs="宋体" w:eastAsia="宋体" w:hint="default"/>
                <w:sz w:val="18"/>
                <w:szCs w:val="18"/>
              </w:rPr>
              <w:t>任红军、钟超及其控制的其他子公司、分公 司、合营或联营公司与汉威电子及其子公司 </w:t>
            </w:r>
            <w:r>
              <w:rPr>
                <w:rFonts w:ascii="宋体" w:hAnsi="宋体" w:cs="宋体" w:eastAsia="宋体" w:hint="default"/>
                <w:spacing w:val="-5"/>
                <w:sz w:val="18"/>
                <w:szCs w:val="18"/>
              </w:rPr>
              <w:t>之间发生关联交易。（</w:t>
            </w:r>
            <w:r>
              <w:rPr>
                <w:rFonts w:ascii="宋体" w:hAnsi="宋体" w:cs="宋体" w:eastAsia="宋体" w:hint="default"/>
                <w:spacing w:val="-5"/>
                <w:sz w:val="18"/>
                <w:szCs w:val="18"/>
              </w:rPr>
              <w:t>2</w:t>
            </w:r>
            <w:r>
              <w:rPr>
                <w:rFonts w:ascii="宋体" w:hAnsi="宋体" w:cs="宋体" w:eastAsia="宋体" w:hint="default"/>
                <w:spacing w:val="-5"/>
                <w:sz w:val="18"/>
                <w:szCs w:val="18"/>
              </w:rPr>
              <w:t>）不利用自身作为汉</w:t>
            </w:r>
            <w:r>
              <w:rPr>
                <w:rFonts w:ascii="宋体" w:hAnsi="宋体" w:cs="宋体" w:eastAsia="宋体" w:hint="default"/>
                <w:spacing w:val="-80"/>
                <w:sz w:val="18"/>
                <w:szCs w:val="18"/>
              </w:rPr>
              <w:t> </w:t>
            </w:r>
            <w:r>
              <w:rPr>
                <w:rFonts w:ascii="宋体" w:hAnsi="宋体" w:cs="宋体" w:eastAsia="宋体" w:hint="default"/>
                <w:sz w:val="18"/>
                <w:szCs w:val="18"/>
              </w:rPr>
              <w:t>威电子控股股东之地位为任红军、钟超及其 控制的其他子公司、分公司、合营或联营公 司谋求与汉威电子在业务合作等方面给予优 </w:t>
            </w:r>
            <w:r>
              <w:rPr>
                <w:rFonts w:ascii="宋体" w:hAnsi="宋体" w:cs="宋体" w:eastAsia="宋体" w:hint="default"/>
                <w:spacing w:val="-5"/>
                <w:sz w:val="18"/>
                <w:szCs w:val="18"/>
              </w:rPr>
              <w:t>于市场其他第三方的权利；（</w:t>
            </w:r>
            <w:r>
              <w:rPr>
                <w:rFonts w:ascii="宋体" w:hAnsi="宋体" w:cs="宋体" w:eastAsia="宋体" w:hint="default"/>
                <w:spacing w:val="-5"/>
                <w:sz w:val="18"/>
                <w:szCs w:val="18"/>
              </w:rPr>
              <w:t>3</w:t>
            </w:r>
            <w:r>
              <w:rPr>
                <w:rFonts w:ascii="宋体" w:hAnsi="宋体" w:cs="宋体" w:eastAsia="宋体" w:hint="default"/>
                <w:spacing w:val="-5"/>
                <w:sz w:val="18"/>
                <w:szCs w:val="18"/>
              </w:rPr>
              <w:t>）不利用自身</w:t>
            </w:r>
            <w:r>
              <w:rPr>
                <w:rFonts w:ascii="宋体" w:hAnsi="宋体" w:cs="宋体" w:eastAsia="宋体" w:hint="default"/>
                <w:spacing w:val="-80"/>
                <w:sz w:val="18"/>
                <w:szCs w:val="18"/>
              </w:rPr>
              <w:t> </w:t>
            </w:r>
            <w:r>
              <w:rPr>
                <w:rFonts w:ascii="宋体" w:hAnsi="宋体" w:cs="宋体" w:eastAsia="宋体" w:hint="default"/>
                <w:sz w:val="18"/>
                <w:szCs w:val="18"/>
              </w:rPr>
              <w:t>作为汉威电子控股股东之地位为任红军、钟 超及其控制的其他子公司、分公司、合营或 联营公司谋求与汉威电子优先达成交易的权 </w:t>
            </w:r>
            <w:r>
              <w:rPr>
                <w:rFonts w:ascii="宋体" w:hAnsi="宋体" w:cs="宋体" w:eastAsia="宋体" w:hint="default"/>
                <w:spacing w:val="-5"/>
                <w:sz w:val="18"/>
                <w:szCs w:val="18"/>
              </w:rPr>
              <w:t>利；（</w:t>
            </w:r>
            <w:r>
              <w:rPr>
                <w:rFonts w:ascii="宋体" w:hAnsi="宋体" w:cs="宋体" w:eastAsia="宋体" w:hint="default"/>
                <w:spacing w:val="-5"/>
                <w:sz w:val="18"/>
                <w:szCs w:val="18"/>
              </w:rPr>
              <w:t>4</w:t>
            </w:r>
            <w:r>
              <w:rPr>
                <w:rFonts w:ascii="宋体" w:hAnsi="宋体" w:cs="宋体" w:eastAsia="宋体" w:hint="default"/>
                <w:spacing w:val="-5"/>
                <w:sz w:val="18"/>
                <w:szCs w:val="18"/>
              </w:rPr>
              <w:t>）在进行确有必要且无法避免的关联</w:t>
            </w:r>
            <w:r>
              <w:rPr>
                <w:rFonts w:ascii="宋体" w:hAnsi="宋体" w:cs="宋体" w:eastAsia="宋体" w:hint="default"/>
                <w:spacing w:val="-80"/>
                <w:sz w:val="18"/>
                <w:szCs w:val="18"/>
              </w:rPr>
              <w:t> </w:t>
            </w:r>
            <w:r>
              <w:rPr>
                <w:rFonts w:ascii="宋体" w:hAnsi="宋体" w:cs="宋体" w:eastAsia="宋体" w:hint="default"/>
                <w:sz w:val="18"/>
                <w:szCs w:val="18"/>
              </w:rPr>
              <w:t>交易时，保证按市场化原则和公允价格进行 公平操作，并按相关法律法规、规范性文件 及汉威电子的公司章程的规定履行相应审批 程序及信息披露义务。为充分保护上市公司 的利益，作为汉威电子的控股股东及实际控 </w:t>
            </w:r>
            <w:r>
              <w:rPr>
                <w:rFonts w:ascii="宋体" w:hAnsi="宋体" w:cs="宋体" w:eastAsia="宋体" w:hint="default"/>
                <w:spacing w:val="-2"/>
                <w:sz w:val="18"/>
                <w:szCs w:val="18"/>
              </w:rPr>
              <w:t>制人，任红军先生、钟超女士承诺（</w:t>
            </w:r>
            <w:r>
              <w:rPr>
                <w:rFonts w:ascii="宋体" w:hAnsi="宋体" w:cs="宋体" w:eastAsia="宋体" w:hint="default"/>
                <w:spacing w:val="-2"/>
                <w:sz w:val="18"/>
                <w:szCs w:val="18"/>
              </w:rPr>
              <w:t>1</w:t>
            </w:r>
            <w:r>
              <w:rPr>
                <w:rFonts w:ascii="宋体" w:hAnsi="宋体" w:cs="宋体" w:eastAsia="宋体" w:hint="default"/>
                <w:spacing w:val="-2"/>
                <w:sz w:val="18"/>
                <w:szCs w:val="18"/>
              </w:rPr>
              <w:t>）承诺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人及承诺人所控制的其他子公司、分公司、 合营或联营公司及其他任何类型企业（以下 统称为“相关企业”）目前均未从事任何与 汉威电子及其子公司、嘉园环保、沈阳金建 构成直接或间接竞争的生产经营业务或活 </w:t>
            </w:r>
            <w:r>
              <w:rPr>
                <w:rFonts w:ascii="宋体" w:hAnsi="宋体" w:cs="宋体" w:eastAsia="宋体" w:hint="default"/>
                <w:spacing w:val="-5"/>
                <w:sz w:val="18"/>
                <w:szCs w:val="18"/>
              </w:rPr>
              <w:t>动。（</w:t>
            </w:r>
            <w:r>
              <w:rPr>
                <w:rFonts w:ascii="宋体" w:hAnsi="宋体" w:cs="宋体" w:eastAsia="宋体" w:hint="default"/>
                <w:spacing w:val="-5"/>
                <w:sz w:val="18"/>
                <w:szCs w:val="18"/>
              </w:rPr>
              <w:t>2</w:t>
            </w:r>
            <w:r>
              <w:rPr>
                <w:rFonts w:ascii="宋体" w:hAnsi="宋体" w:cs="宋体" w:eastAsia="宋体" w:hint="default"/>
                <w:spacing w:val="-5"/>
                <w:sz w:val="18"/>
                <w:szCs w:val="18"/>
              </w:rPr>
              <w:t>）承诺人及相关企业将来亦不直接或</w:t>
            </w:r>
            <w:r>
              <w:rPr>
                <w:rFonts w:ascii="宋体" w:hAnsi="宋体" w:cs="宋体" w:eastAsia="宋体" w:hint="default"/>
                <w:spacing w:val="-80"/>
                <w:sz w:val="18"/>
                <w:szCs w:val="18"/>
              </w:rPr>
              <w:t> </w:t>
            </w:r>
            <w:r>
              <w:rPr>
                <w:rFonts w:ascii="宋体" w:hAnsi="宋体" w:cs="宋体" w:eastAsia="宋体" w:hint="default"/>
                <w:sz w:val="18"/>
                <w:szCs w:val="18"/>
              </w:rPr>
              <w:t>间接从事任何与汉威电子及其子公司相同或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sz w:val="18"/>
              </w:rPr>
              <w:t>2020-01-0</w:t>
            </w:r>
          </w:p>
          <w:p>
            <w:pPr>
              <w:pStyle w:val="TableParagraph"/>
              <w:spacing w:line="240" w:lineRule="auto" w:before="77"/>
              <w:ind w:left="22" w:right="0"/>
              <w:jc w:val="left"/>
              <w:rPr>
                <w:rFonts w:ascii="宋体" w:hAnsi="宋体" w:cs="宋体" w:eastAsia="宋体" w:hint="default"/>
                <w:sz w:val="18"/>
                <w:szCs w:val="18"/>
              </w:rPr>
            </w:pPr>
            <w:r>
              <w:rPr>
                <w:rFonts w:ascii="宋体"/>
                <w:sz w:val="18"/>
              </w:rPr>
              <w:t>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截至报告期末， 上述承诺人均 遵守了所做的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851"/>
        <w:gridCol w:w="3544"/>
        <w:gridCol w:w="1134"/>
        <w:gridCol w:w="928"/>
        <w:gridCol w:w="1268"/>
      </w:tblGrid>
      <w:tr>
        <w:trPr>
          <w:trHeight w:val="504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类似的业务，不直接或间接从事、参与或进 行与汉威电子及其子公司的生产经营构成竞 争的任何生产经营业务或活动，且不再对具 有与汉威电子及其子公司有相同或类似业务 </w:t>
            </w:r>
            <w:r>
              <w:rPr>
                <w:rFonts w:ascii="宋体" w:hAnsi="宋体" w:cs="宋体" w:eastAsia="宋体" w:hint="default"/>
                <w:spacing w:val="-5"/>
                <w:sz w:val="18"/>
                <w:szCs w:val="18"/>
              </w:rPr>
              <w:t>的企业进行投资。（</w:t>
            </w:r>
            <w:r>
              <w:rPr>
                <w:rFonts w:ascii="宋体" w:hAnsi="宋体" w:cs="宋体" w:eastAsia="宋体" w:hint="default"/>
                <w:spacing w:val="-5"/>
                <w:sz w:val="18"/>
                <w:szCs w:val="18"/>
              </w:rPr>
              <w:t>3</w:t>
            </w:r>
            <w:r>
              <w:rPr>
                <w:rFonts w:ascii="宋体" w:hAnsi="宋体" w:cs="宋体" w:eastAsia="宋体" w:hint="default"/>
                <w:spacing w:val="-5"/>
                <w:sz w:val="18"/>
                <w:szCs w:val="18"/>
              </w:rPr>
              <w:t>）承诺人将对自身及相</w:t>
            </w:r>
            <w:r>
              <w:rPr>
                <w:rFonts w:ascii="宋体" w:hAnsi="宋体" w:cs="宋体" w:eastAsia="宋体" w:hint="default"/>
                <w:spacing w:val="-80"/>
                <w:sz w:val="18"/>
                <w:szCs w:val="18"/>
              </w:rPr>
              <w:t> </w:t>
            </w:r>
            <w:r>
              <w:rPr>
                <w:rFonts w:ascii="宋体" w:hAnsi="宋体" w:cs="宋体" w:eastAsia="宋体" w:hint="default"/>
                <w:sz w:val="18"/>
                <w:szCs w:val="18"/>
              </w:rPr>
              <w:t>关企业的生产经营活动进行监督和约束，如 果将来承诺人及相关企业的产品或业务与汉 威电子及其子公司的产品或业务出现相同或 类似的情况，承诺人承诺将采取以下措施解 </w:t>
            </w:r>
            <w:r>
              <w:rPr>
                <w:rFonts w:ascii="宋体" w:hAnsi="宋体" w:cs="宋体" w:eastAsia="宋体" w:hint="default"/>
                <w:spacing w:val="-4"/>
                <w:sz w:val="18"/>
                <w:szCs w:val="18"/>
              </w:rPr>
              <w:t>决：①</w:t>
            </w:r>
            <w:r>
              <w:rPr>
                <w:rFonts w:ascii="宋体" w:hAnsi="宋体" w:cs="宋体" w:eastAsia="宋体" w:hint="default"/>
                <w:spacing w:val="-12"/>
                <w:sz w:val="18"/>
                <w:szCs w:val="18"/>
              </w:rPr>
              <w:t> </w:t>
            </w:r>
            <w:r>
              <w:rPr>
                <w:rFonts w:ascii="宋体" w:hAnsi="宋体" w:cs="宋体" w:eastAsia="宋体" w:hint="default"/>
                <w:sz w:val="18"/>
                <w:szCs w:val="18"/>
              </w:rPr>
              <w:t>汉威电子认为必要时，承诺人及相关</w:t>
            </w:r>
            <w:r>
              <w:rPr>
                <w:rFonts w:ascii="宋体" w:hAnsi="宋体" w:cs="宋体" w:eastAsia="宋体" w:hint="default"/>
                <w:sz w:val="18"/>
                <w:szCs w:val="18"/>
              </w:rPr>
              <w:t> 企业将减持直至全部转让所持有的有关资产 </w:t>
            </w:r>
            <w:r>
              <w:rPr>
                <w:rFonts w:ascii="宋体" w:hAnsi="宋体" w:cs="宋体" w:eastAsia="宋体" w:hint="default"/>
                <w:spacing w:val="-3"/>
                <w:sz w:val="18"/>
                <w:szCs w:val="18"/>
              </w:rPr>
              <w:t>和业务；②</w:t>
            </w:r>
            <w:r>
              <w:rPr>
                <w:rFonts w:ascii="宋体" w:hAnsi="宋体" w:cs="宋体" w:eastAsia="宋体" w:hint="default"/>
                <w:spacing w:val="-9"/>
                <w:sz w:val="18"/>
                <w:szCs w:val="18"/>
              </w:rPr>
              <w:t> </w:t>
            </w:r>
            <w:r>
              <w:rPr>
                <w:rFonts w:ascii="宋体" w:hAnsi="宋体" w:cs="宋体" w:eastAsia="宋体" w:hint="default"/>
                <w:sz w:val="18"/>
                <w:szCs w:val="18"/>
              </w:rPr>
              <w:t>汉威电子认为必要时，可以通过</w:t>
            </w:r>
            <w:r>
              <w:rPr>
                <w:rFonts w:ascii="宋体" w:hAnsi="宋体" w:cs="宋体" w:eastAsia="宋体" w:hint="default"/>
                <w:sz w:val="18"/>
                <w:szCs w:val="18"/>
              </w:rPr>
              <w:t> 适当方式优先收购承诺人及相关企业持有的 </w:t>
            </w:r>
            <w:r>
              <w:rPr>
                <w:rFonts w:ascii="宋体" w:hAnsi="宋体" w:cs="宋体" w:eastAsia="宋体" w:hint="default"/>
                <w:spacing w:val="-3"/>
                <w:sz w:val="18"/>
                <w:szCs w:val="18"/>
              </w:rPr>
              <w:t>有关资产和业务；③</w:t>
            </w:r>
            <w:r>
              <w:rPr>
                <w:rFonts w:ascii="宋体" w:hAnsi="宋体" w:cs="宋体" w:eastAsia="宋体" w:hint="default"/>
                <w:spacing w:val="3"/>
                <w:sz w:val="18"/>
                <w:szCs w:val="18"/>
              </w:rPr>
              <w:t> </w:t>
            </w:r>
            <w:r>
              <w:rPr>
                <w:rFonts w:ascii="宋体" w:hAnsi="宋体" w:cs="宋体" w:eastAsia="宋体" w:hint="default"/>
                <w:sz w:val="18"/>
                <w:szCs w:val="18"/>
              </w:rPr>
              <w:t>如承诺人及相关企业与</w:t>
            </w:r>
            <w:r>
              <w:rPr>
                <w:rFonts w:ascii="宋体" w:hAnsi="宋体" w:cs="宋体" w:eastAsia="宋体" w:hint="default"/>
                <w:sz w:val="18"/>
                <w:szCs w:val="18"/>
              </w:rPr>
              <w:t> 汉威电子及其子公司因同业竞争产生利益冲 突，则无条件将相关利益让与汉威电子。</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未完成履行的具体原 因及下一步计划（如 有）</w:t>
            </w:r>
          </w:p>
        </w:tc>
        <w:tc>
          <w:tcPr>
            <w:tcW w:w="77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73" w:lineRule="auto" w:before="35"/>
        <w:ind w:left="154"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7"/>
        <w:rPr>
          <w:rFonts w:ascii="宋体" w:hAnsi="宋体" w:cs="宋体" w:eastAsia="宋体" w:hint="default"/>
          <w:b/>
          <w:bCs/>
          <w:sz w:val="25"/>
          <w:szCs w:val="25"/>
        </w:rPr>
      </w:pPr>
    </w:p>
    <w:p>
      <w:pPr>
        <w:spacing w:before="0"/>
        <w:ind w:left="154" w:right="205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139"/>
        <w:gridCol w:w="980"/>
        <w:gridCol w:w="979"/>
        <w:gridCol w:w="1319"/>
        <w:gridCol w:w="1318"/>
        <w:gridCol w:w="1163"/>
        <w:gridCol w:w="1211"/>
        <w:gridCol w:w="1586"/>
      </w:tblGrid>
      <w:tr>
        <w:trPr>
          <w:trHeight w:val="725" w:hRule="exact"/>
        </w:trPr>
        <w:tc>
          <w:tcPr>
            <w:tcW w:w="113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04" w:right="2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92" w:right="31"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9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92" w:right="30"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3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09" w:right="57" w:hanging="451"/>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20" w:hRule="exact"/>
        </w:trPr>
        <w:tc>
          <w:tcPr>
            <w:tcW w:w="11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沈阳金建公司</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1,156.09</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1,177.42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hyperlink r:id="rId11">
              <w:r>
                <w:rPr>
                  <w:rFonts w:ascii="宋体"/>
                  <w:sz w:val="18"/>
                </w:rPr>
                <w:t>www.cninfo.com.cn</w:t>
              </w:r>
            </w:hyperlink>
          </w:p>
        </w:tc>
      </w:tr>
      <w:tr>
        <w:trPr>
          <w:trHeight w:val="719" w:hRule="exact"/>
        </w:trPr>
        <w:tc>
          <w:tcPr>
            <w:tcW w:w="11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嘉园环保公司</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3,353.2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3,759.78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hyperlink r:id="rId11">
              <w:r>
                <w:rPr>
                  <w:rFonts w:ascii="宋体"/>
                  <w:sz w:val="18"/>
                </w:rPr>
                <w:t>www.cninfo.com.cn</w:t>
              </w:r>
            </w:hyperlink>
          </w:p>
        </w:tc>
      </w:tr>
      <w:tr>
        <w:trPr>
          <w:trHeight w:val="719" w:hRule="exact"/>
        </w:trPr>
        <w:tc>
          <w:tcPr>
            <w:tcW w:w="11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鞍山易兴公司</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450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427.94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hyperlink r:id="rId11">
              <w:r>
                <w:rPr>
                  <w:rFonts w:ascii="宋体"/>
                  <w:sz w:val="18"/>
                </w:rPr>
                <w:t>www.cninfo.com.cn</w:t>
              </w:r>
            </w:hyperlink>
          </w:p>
        </w:tc>
      </w:tr>
      <w:tr>
        <w:trPr>
          <w:trHeight w:val="727" w:hRule="exact"/>
        </w:trPr>
        <w:tc>
          <w:tcPr>
            <w:tcW w:w="9695" w:type="dxa"/>
            <w:gridSpan w:val="8"/>
            <w:tcBorders>
              <w:top w:val="single" w:sz="6" w:space="0" w:color="000000"/>
              <w:left w:val="single" w:sz="12" w:space="0" w:color="000000"/>
              <w:bottom w:val="single" w:sz="12" w:space="0" w:color="000000"/>
              <w:right w:val="single" w:sz="12" w:space="0" w:color="000000"/>
            </w:tcBorders>
          </w:tcPr>
          <w:p>
            <w:pPr>
              <w:pStyle w:val="TableParagraph"/>
              <w:spacing w:line="319" w:lineRule="auto" w:before="51"/>
              <w:ind w:left="13" w:right="13"/>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9"/>
                <w:sz w:val="18"/>
                <w:szCs w:val="18"/>
              </w:rPr>
              <w:t>：</w:t>
            </w:r>
            <w:r>
              <w:rPr>
                <w:rFonts w:ascii="宋体" w:hAnsi="宋体" w:cs="宋体" w:eastAsia="宋体" w:hint="default"/>
                <w:sz w:val="18"/>
                <w:szCs w:val="18"/>
              </w:rPr>
              <w:t>根据公司与鞍山易兴原股东签订</w:t>
            </w:r>
            <w:r>
              <w:rPr>
                <w:rFonts w:ascii="宋体" w:hAnsi="宋体" w:cs="宋体" w:eastAsia="宋体" w:hint="default"/>
                <w:spacing w:val="-29"/>
                <w:sz w:val="18"/>
                <w:szCs w:val="18"/>
              </w:rPr>
              <w:t>的</w:t>
            </w:r>
            <w:r>
              <w:rPr>
                <w:rFonts w:ascii="宋体" w:hAnsi="宋体" w:cs="宋体" w:eastAsia="宋体" w:hint="default"/>
                <w:sz w:val="18"/>
                <w:szCs w:val="18"/>
              </w:rPr>
              <w:t>《股权转让暨增资协议</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承诺期内按照业绩累计计算原则进行考核</w:t>
            </w:r>
            <w:r>
              <w:rPr>
                <w:rFonts w:ascii="宋体" w:hAnsi="宋体" w:cs="宋体" w:eastAsia="宋体" w:hint="default"/>
                <w:spacing w:val="-29"/>
                <w:sz w:val="18"/>
                <w:szCs w:val="18"/>
              </w:rPr>
              <w:t>。</w:t>
            </w:r>
            <w:r>
              <w:rPr>
                <w:rFonts w:ascii="宋体" w:hAnsi="宋体" w:cs="宋体" w:eastAsia="宋体" w:hint="default"/>
                <w:sz w:val="18"/>
                <w:szCs w:val="18"/>
              </w:rPr>
              <w:t>同时</w:t>
            </w:r>
            <w:r>
              <w:rPr>
                <w:rFonts w:ascii="宋体" w:hAnsi="宋体" w:cs="宋体" w:eastAsia="宋体" w:hint="default"/>
                <w:spacing w:val="-29"/>
                <w:sz w:val="18"/>
                <w:szCs w:val="18"/>
              </w:rPr>
              <w:t>，</w:t>
            </w:r>
            <w:r>
              <w:rPr>
                <w:rFonts w:ascii="宋体" w:hAnsi="宋体" w:cs="宋体" w:eastAsia="宋体" w:hint="default"/>
                <w:sz w:val="18"/>
                <w:szCs w:val="18"/>
              </w:rPr>
              <w:t>按</w:t>
            </w:r>
            <w:r>
              <w:rPr>
                <w:rFonts w:ascii="宋体" w:hAnsi="宋体" w:cs="宋体" w:eastAsia="宋体" w:hint="default"/>
                <w:spacing w:val="-29"/>
                <w:sz w:val="18"/>
                <w:szCs w:val="18"/>
              </w:rPr>
              <w:t>照</w:t>
            </w:r>
            <w:r>
              <w:rPr>
                <w:rFonts w:ascii="宋体" w:hAnsi="宋体" w:cs="宋体" w:eastAsia="宋体" w:hint="default"/>
                <w:sz w:val="18"/>
                <w:szCs w:val="18"/>
              </w:rPr>
              <w:t>《股</w:t>
            </w:r>
            <w:r>
              <w:rPr>
                <w:rFonts w:ascii="宋体" w:hAnsi="宋体" w:cs="宋体" w:eastAsia="宋体" w:hint="default"/>
                <w:sz w:val="18"/>
                <w:szCs w:val="18"/>
              </w:rPr>
              <w:t> 权转让暨增资协议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年实际业绩已完成当年业绩承诺的</w:t>
            </w:r>
            <w:r>
              <w:rPr>
                <w:rFonts w:ascii="宋体" w:hAnsi="宋体" w:cs="宋体" w:eastAsia="宋体" w:hint="default"/>
                <w:spacing w:val="-46"/>
                <w:sz w:val="18"/>
                <w:szCs w:val="18"/>
              </w:rPr>
              <w:t> </w:t>
            </w:r>
            <w:r>
              <w:rPr>
                <w:rFonts w:ascii="宋体" w:hAnsi="宋体" w:cs="宋体" w:eastAsia="宋体" w:hint="default"/>
                <w:sz w:val="18"/>
                <w:szCs w:val="18"/>
              </w:rPr>
              <w:t>90%</w:t>
            </w:r>
            <w:r>
              <w:rPr>
                <w:rFonts w:ascii="宋体" w:hAnsi="宋体" w:cs="宋体" w:eastAsia="宋体" w:hint="default"/>
                <w:sz w:val="18"/>
                <w:szCs w:val="18"/>
              </w:rPr>
              <w:t>以上，符合协议约定要求。</w:t>
            </w:r>
          </w:p>
        </w:tc>
      </w:tr>
    </w:tbl>
    <w:p>
      <w:pPr>
        <w:spacing w:line="240" w:lineRule="auto" w:before="2"/>
        <w:rPr>
          <w:rFonts w:ascii="宋体" w:hAnsi="宋体" w:cs="宋体" w:eastAsia="宋体" w:hint="default"/>
          <w:sz w:val="18"/>
          <w:szCs w:val="18"/>
        </w:rPr>
      </w:pPr>
    </w:p>
    <w:p>
      <w:pPr>
        <w:pStyle w:val="Heading2"/>
        <w:spacing w:line="240" w:lineRule="auto" w:before="26"/>
        <w:ind w:left="154" w:right="2053"/>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205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887"/>
        <w:gridCol w:w="5682"/>
      </w:tblGrid>
      <w:tr>
        <w:trPr>
          <w:trHeight w:val="422" w:hRule="exact"/>
        </w:trPr>
        <w:tc>
          <w:tcPr>
            <w:tcW w:w="388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887"/>
        <w:gridCol w:w="5682"/>
      </w:tblGrid>
      <w:tr>
        <w:trPr>
          <w:trHeight w:val="415" w:hRule="exact"/>
        </w:trPr>
        <w:tc>
          <w:tcPr>
            <w:tcW w:w="388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60</w:t>
            </w:r>
          </w:p>
        </w:tc>
      </w:tr>
      <w:tr>
        <w:trPr>
          <w:trHeight w:val="407" w:hRule="exact"/>
        </w:trPr>
        <w:tc>
          <w:tcPr>
            <w:tcW w:w="38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sz w:val="18"/>
              </w:rPr>
              <w:t>2</w:t>
            </w:r>
          </w:p>
        </w:tc>
      </w:tr>
      <w:tr>
        <w:trPr>
          <w:trHeight w:val="414" w:hRule="exact"/>
        </w:trPr>
        <w:tc>
          <w:tcPr>
            <w:tcW w:w="38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孔庆华、王晓玲</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2"/>
        <w:spacing w:line="240" w:lineRule="auto"/>
        <w:ind w:right="217"/>
        <w:jc w:val="left"/>
        <w:rPr>
          <w:b w:val="0"/>
          <w:bCs w:val="0"/>
        </w:rPr>
      </w:pPr>
      <w:bookmarkStart w:name="十、上市公司及其董事、监事、高级管理人员、公司股东、实际控制人和收购人处罚及整改" w:id="67"/>
      <w:bookmarkEnd w:id="67"/>
      <w:r>
        <w:rPr>
          <w:b w:val="0"/>
          <w:bCs w:val="0"/>
        </w:rPr>
      </w:r>
      <w:r>
        <w:rPr>
          <w:w w:val="95"/>
        </w:rPr>
        <w:t>十、上市公司及其董事、监事、高级管理人员、公司股东、实际控制人和收购人处罚及整改  </w:t>
      </w:r>
      <w:r>
        <w:rPr>
          <w:spacing w:val="106"/>
          <w:w w:val="95"/>
        </w:rPr>
        <w:t> </w:t>
      </w:r>
      <w:r>
        <w:rPr>
          <w:spacing w:val="106"/>
          <w:w w:val="95"/>
        </w:rPr>
      </w:r>
      <w:r>
        <w:rPr/>
        <w:t>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4552" w:firstLine="0"/>
        <w:jc w:val="left"/>
        <w:rPr>
          <w:rFonts w:ascii="宋体" w:hAnsi="宋体" w:cs="宋体" w:eastAsia="宋体" w:hint="default"/>
          <w:sz w:val="18"/>
          <w:szCs w:val="18"/>
        </w:rPr>
      </w:pPr>
      <w:r>
        <w:rPr>
          <w:rFonts w:ascii="宋体" w:hAnsi="宋体" w:cs="宋体" w:eastAsia="宋体" w:hint="default"/>
          <w:sz w:val="18"/>
          <w:szCs w:val="18"/>
        </w:rPr>
        <w:t>□ 适用 √ 不适用 上市公司及其子公司是否被列入环保部门公布的污染严重企业名单</w:t>
      </w:r>
    </w:p>
    <w:p>
      <w:pPr>
        <w:spacing w:line="360" w:lineRule="auto" w:before="28"/>
        <w:ind w:left="154" w:right="5632" w:firstLine="0"/>
        <w:jc w:val="left"/>
        <w:rPr>
          <w:rFonts w:ascii="宋体" w:hAnsi="宋体" w:cs="宋体" w:eastAsia="宋体" w:hint="default"/>
          <w:sz w:val="18"/>
          <w:szCs w:val="18"/>
        </w:rPr>
      </w:pPr>
      <w:r>
        <w:rPr>
          <w:rFonts w:ascii="宋体" w:hAnsi="宋体" w:cs="宋体" w:eastAsia="宋体" w:hint="default"/>
          <w:sz w:val="18"/>
          <w:szCs w:val="18"/>
        </w:rPr>
        <w:t>□ 是 √ 否 □ 不适用 上市公司及其子公司是否存在其他重大社会安全问题</w:t>
      </w:r>
    </w:p>
    <w:p>
      <w:pPr>
        <w:spacing w:line="357" w:lineRule="auto" w:before="26"/>
        <w:ind w:left="154" w:right="7792" w:firstLine="0"/>
        <w:jc w:val="left"/>
        <w:rPr>
          <w:rFonts w:ascii="宋体" w:hAnsi="宋体" w:cs="宋体" w:eastAsia="宋体" w:hint="default"/>
          <w:sz w:val="18"/>
          <w:szCs w:val="18"/>
        </w:rPr>
      </w:pPr>
      <w:r>
        <w:rPr>
          <w:rFonts w:ascii="宋体" w:hAnsi="宋体" w:cs="宋体" w:eastAsia="宋体" w:hint="default"/>
          <w:sz w:val="18"/>
          <w:szCs w:val="18"/>
        </w:rPr>
        <w:t>□ 是 √ 否 □ 不适用 报告期内是否被行政处罚</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4552" w:firstLine="0"/>
        <w:jc w:val="left"/>
        <w:rPr>
          <w:rFonts w:ascii="宋体" w:hAnsi="宋体" w:cs="宋体" w:eastAsia="宋体" w:hint="default"/>
          <w:sz w:val="18"/>
          <w:szCs w:val="18"/>
        </w:rPr>
      </w:pPr>
      <w:r>
        <w:rPr>
          <w:rFonts w:ascii="宋体" w:hAnsi="宋体" w:cs="宋体" w:eastAsia="宋体" w:hint="default"/>
          <w:sz w:val="18"/>
          <w:szCs w:val="18"/>
        </w:rPr>
        <w:t>□ 适用 √ 不适用 公司股东及其一致行动人在报告期内未提出或实施股份增持计划。</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8"/>
        </w:rPr>
        <w:t> </w:t>
      </w:r>
      <w:r>
        <w:rPr>
          <w:rFonts w:ascii="宋体" w:hAnsi="宋体" w:cs="宋体" w:eastAsia="宋体" w:hint="default"/>
        </w:rPr>
        <w:t>5%</w:t>
      </w:r>
      <w:r>
        <w:rPr/>
        <w:t>以上的股东违规买卖公司股票情况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240" w:lineRule="auto" w:before="0"/>
        <w:ind w:left="573" w:right="0"/>
        <w:jc w:val="left"/>
      </w:pPr>
      <w:r>
        <w:rPr>
          <w:rFonts w:ascii="宋体" w:hAnsi="宋体" w:cs="宋体" w:eastAsia="宋体" w:hint="default"/>
        </w:rPr>
        <w:t>1</w:t>
      </w:r>
      <w:r>
        <w:rPr/>
        <w:t>、</w:t>
      </w:r>
      <w:r>
        <w:rPr>
          <w:rFonts w:ascii="宋体" w:hAnsi="宋体" w:cs="宋体" w:eastAsia="宋体" w:hint="default"/>
        </w:rPr>
        <w:t>2014</w:t>
      </w:r>
      <w:r>
        <w:rPr/>
        <w:t>年 </w:t>
      </w:r>
      <w:r>
        <w:rPr>
          <w:rFonts w:ascii="宋体" w:hAnsi="宋体" w:cs="宋体" w:eastAsia="宋体" w:hint="default"/>
        </w:rPr>
        <w:t>8 </w:t>
      </w:r>
      <w:r>
        <w:rPr/>
        <w:t>月 </w:t>
      </w:r>
      <w:r>
        <w:rPr>
          <w:rFonts w:ascii="宋体" w:hAnsi="宋体" w:cs="宋体" w:eastAsia="宋体" w:hint="default"/>
        </w:rPr>
        <w:t>20</w:t>
      </w:r>
      <w:r>
        <w:rPr>
          <w:rFonts w:ascii="宋体" w:hAnsi="宋体" w:cs="宋体" w:eastAsia="宋体" w:hint="default"/>
          <w:spacing w:val="-24"/>
        </w:rPr>
        <w:t> </w:t>
      </w:r>
      <w:r>
        <w:rPr/>
        <w:t>日，公司发行股份及支付现金购买资产并募集配套资金暨关联交易事项经中国证</w:t>
      </w:r>
    </w:p>
    <w:p>
      <w:pPr>
        <w:spacing w:line="240" w:lineRule="auto" w:before="10"/>
        <w:rPr>
          <w:rFonts w:ascii="宋体" w:hAnsi="宋体" w:cs="宋体" w:eastAsia="宋体" w:hint="default"/>
          <w:sz w:val="14"/>
          <w:szCs w:val="14"/>
        </w:rPr>
      </w:pPr>
    </w:p>
    <w:p>
      <w:pPr>
        <w:pStyle w:val="BodyText"/>
        <w:spacing w:line="408" w:lineRule="auto" w:before="0"/>
        <w:ind w:right="138"/>
        <w:jc w:val="left"/>
      </w:pPr>
      <w:r>
        <w:rPr/>
        <w:t>券监督管理委员会上市公司并购重组审核委员会 </w:t>
      </w:r>
      <w:r>
        <w:rPr>
          <w:rFonts w:ascii="宋体" w:hAnsi="宋体" w:cs="宋体" w:eastAsia="宋体" w:hint="default"/>
        </w:rPr>
        <w:t>2014 </w:t>
      </w:r>
      <w:r>
        <w:rPr/>
        <w:t>年第 </w:t>
      </w:r>
      <w:r>
        <w:rPr>
          <w:rFonts w:ascii="宋体" w:hAnsi="宋体" w:cs="宋体" w:eastAsia="宋体" w:hint="default"/>
        </w:rPr>
        <w:t>41</w:t>
      </w:r>
      <w:r>
        <w:rPr>
          <w:rFonts w:ascii="宋体" w:hAnsi="宋体" w:cs="宋体" w:eastAsia="宋体" w:hint="default"/>
          <w:spacing w:val="-25"/>
        </w:rPr>
        <w:t> </w:t>
      </w:r>
      <w:r>
        <w:rPr/>
        <w:t>次工作会议审核并获得无条件通过（具体 内容情况请见公司于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21</w:t>
      </w:r>
      <w:r>
        <w:rPr/>
        <w:t>日在巨潮资讯网</w:t>
      </w:r>
      <w:hyperlink r:id="rId18">
        <w:r>
          <w:rPr>
            <w:rFonts w:ascii="宋体" w:hAnsi="宋体" w:cs="宋体" w:eastAsia="宋体" w:hint="default"/>
          </w:rPr>
          <w:t>www.cninfo.com.cn</w:t>
        </w:r>
        <w:r>
          <w:rPr/>
          <w:t>刊登的公告）。</w:t>
        </w:r>
      </w:hyperlink>
    </w:p>
    <w:p>
      <w:pPr>
        <w:pStyle w:val="BodyText"/>
        <w:spacing w:line="408" w:lineRule="auto"/>
        <w:ind w:left="154" w:right="0" w:firstLine="420"/>
        <w:jc w:val="left"/>
      </w:pPr>
      <w:r>
        <w:rPr>
          <w:rFonts w:ascii="宋体" w:hAnsi="宋体" w:cs="宋体" w:eastAsia="宋体" w:hint="default"/>
        </w:rPr>
        <w:t>2</w:t>
      </w:r>
      <w:r>
        <w:rPr/>
        <w:t>、</w:t>
      </w:r>
      <w:r>
        <w:rPr>
          <w:rFonts w:ascii="宋体" w:hAnsi="宋体" w:cs="宋体" w:eastAsia="宋体" w:hint="default"/>
        </w:rPr>
        <w:t>2014 </w:t>
      </w:r>
      <w:r>
        <w:rPr/>
        <w:t>年 </w:t>
      </w:r>
      <w:r>
        <w:rPr>
          <w:rFonts w:ascii="宋体" w:hAnsi="宋体" w:cs="宋体" w:eastAsia="宋体" w:hint="default"/>
        </w:rPr>
        <w:t>9 </w:t>
      </w:r>
      <w:r>
        <w:rPr/>
        <w:t>月 </w:t>
      </w:r>
      <w:r>
        <w:rPr>
          <w:rFonts w:ascii="宋体" w:hAnsi="宋体" w:cs="宋体" w:eastAsia="宋体" w:hint="default"/>
        </w:rPr>
        <w:t>12 </w:t>
      </w:r>
      <w:r>
        <w:rPr/>
        <w:t>日，公司收到中国证券监督管理委员会证监许可〔</w:t>
      </w:r>
      <w:r>
        <w:rPr>
          <w:rFonts w:ascii="宋体" w:hAnsi="宋体" w:cs="宋体" w:eastAsia="宋体" w:hint="default"/>
        </w:rPr>
        <w:t>2014</w:t>
      </w:r>
      <w:r>
        <w:rPr/>
        <w:t>〕</w:t>
      </w:r>
      <w:r>
        <w:rPr>
          <w:rFonts w:ascii="宋体" w:hAnsi="宋体" w:cs="宋体" w:eastAsia="宋体" w:hint="default"/>
        </w:rPr>
        <w:t>937</w:t>
      </w:r>
      <w:r>
        <w:rPr>
          <w:rFonts w:ascii="宋体" w:hAnsi="宋体" w:cs="宋体" w:eastAsia="宋体" w:hint="default"/>
          <w:spacing w:val="-6"/>
        </w:rPr>
        <w:t> </w:t>
      </w:r>
      <w:r>
        <w:rPr/>
        <w:t>号《关于核准河 </w:t>
      </w:r>
      <w:r>
        <w:rPr>
          <w:spacing w:val="-1"/>
        </w:rPr>
        <w:t>南汉威电子股份有限公司向陈泽枝等发行股份购买资产并募集配套资金的批复》（具体内容情况请见公司</w:t>
      </w:r>
      <w:r>
        <w:rPr>
          <w:spacing w:val="-81"/>
        </w:rPr>
        <w:t> </w:t>
      </w:r>
      <w:r>
        <w:rPr>
          <w:spacing w:val="-81"/>
        </w:rPr>
      </w:r>
      <w:r>
        <w:rPr/>
        <w:t>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13</w:t>
      </w:r>
      <w:r>
        <w:rPr/>
        <w:t>日在巨潮资讯网</w:t>
      </w:r>
      <w:hyperlink r:id="rId18">
        <w:r>
          <w:rPr>
            <w:rFonts w:ascii="宋体" w:hAnsi="宋体" w:cs="宋体" w:eastAsia="宋体" w:hint="default"/>
          </w:rPr>
          <w:t>www.cninfo.com.cn</w:t>
        </w:r>
        <w:r>
          <w:rPr/>
          <w:t>刊登的公告</w:t>
        </w:r>
      </w:hyperlink>
      <w:r>
        <w:rPr/>
        <w:t>）。</w:t>
      </w:r>
    </w:p>
    <w:p>
      <w:pPr>
        <w:spacing w:after="0" w:line="40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154" w:right="233" w:firstLine="420"/>
        <w:jc w:val="both"/>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7</w:t>
      </w:r>
      <w:r>
        <w:rPr/>
        <w:t>日，公司刊登了《发行股份及支付现金购买资产并募集配套资金暨关联交易实施情况 暨新增股份上市报告书》，重大资产重组事项实施完成（具体内容情况请见公司于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13</w:t>
      </w:r>
      <w:r>
        <w:rPr/>
        <w:t>日在巨潮 资讯网</w:t>
      </w:r>
      <w:hyperlink r:id="rId18">
        <w:r>
          <w:rPr>
            <w:rFonts w:ascii="宋体" w:hAnsi="宋体" w:cs="宋体" w:eastAsia="宋体" w:hint="default"/>
          </w:rPr>
          <w:t>www.cninfo.com.cn</w:t>
        </w:r>
        <w:r>
          <w:rPr/>
          <w:t>刊登的公告</w:t>
        </w:r>
      </w:hyperlink>
      <w:r>
        <w:rPr/>
        <w:t>）。</w:t>
      </w:r>
    </w:p>
    <w:p>
      <w:pPr>
        <w:pStyle w:val="Heading2"/>
        <w:spacing w:line="240" w:lineRule="auto" w:before="64"/>
        <w:ind w:left="154" w:right="0"/>
        <w:jc w:val="left"/>
        <w:rPr>
          <w:b w:val="0"/>
          <w:bCs w:val="0"/>
        </w:rPr>
      </w:pPr>
      <w:bookmarkStart w:name="十五、控股子公司重要事项" w:id="72"/>
      <w:bookmarkEnd w:id="72"/>
      <w:r>
        <w:rPr>
          <w:b w:val="0"/>
          <w:bCs w:val="0"/>
        </w:rPr>
      </w:r>
      <w:r>
        <w:rPr/>
        <w:t>十五、控股子公司重要事项</w:t>
      </w:r>
      <w:r>
        <w:rPr>
          <w:b w:val="0"/>
          <w:bCs w:val="0"/>
        </w:rPr>
      </w:r>
    </w:p>
    <w:p>
      <w:pPr>
        <w:spacing w:before="16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4"/>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
        <w:jc w:val="left"/>
        <w:rPr>
          <w:b w:val="0"/>
          <w:bCs w:val="0"/>
        </w:rPr>
      </w:pPr>
      <w:bookmarkStart w:name="一、股份变动情况" w:id="75"/>
      <w:bookmarkEnd w:id="7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股份变动情况" w:id="76"/>
      <w:bookmarkEnd w:id="76"/>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875"/>
        <w:gridCol w:w="1057"/>
        <w:gridCol w:w="688"/>
        <w:gridCol w:w="957"/>
        <w:gridCol w:w="689"/>
        <w:gridCol w:w="689"/>
        <w:gridCol w:w="1047"/>
        <w:gridCol w:w="957"/>
        <w:gridCol w:w="1045"/>
        <w:gridCol w:w="686"/>
      </w:tblGrid>
      <w:tr>
        <w:trPr>
          <w:trHeight w:val="414" w:hRule="exact"/>
        </w:trPr>
        <w:tc>
          <w:tcPr>
            <w:tcW w:w="187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74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38"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31"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4" w:hRule="exact"/>
        </w:trPr>
        <w:tc>
          <w:tcPr>
            <w:tcW w:w="1875" w:type="dxa"/>
            <w:vMerge w:val="restart"/>
            <w:tcBorders>
              <w:top w:val="nil" w:sz="6" w:space="0" w:color="auto"/>
              <w:left w:val="single" w:sz="12" w:space="0" w:color="000000"/>
              <w:right w:val="single" w:sz="6" w:space="0" w:color="000000"/>
            </w:tcBorders>
            <w:shd w:val="clear" w:color="auto" w:fill="D2D2D2"/>
          </w:tcPr>
          <w:p>
            <w:pPr/>
          </w:p>
        </w:tc>
        <w:tc>
          <w:tcPr>
            <w:tcW w:w="1057" w:type="dxa"/>
            <w:tcBorders>
              <w:top w:val="single" w:sz="6" w:space="0" w:color="000000"/>
              <w:left w:val="single" w:sz="6" w:space="0" w:color="000000"/>
              <w:bottom w:val="nil" w:sz="6" w:space="0" w:color="auto"/>
              <w:right w:val="single" w:sz="6" w:space="0" w:color="000000"/>
            </w:tcBorders>
            <w:shd w:val="clear" w:color="auto" w:fill="D2D2D2"/>
          </w:tcPr>
          <w:p>
            <w:pPr/>
          </w:p>
        </w:tc>
        <w:tc>
          <w:tcPr>
            <w:tcW w:w="688" w:type="dxa"/>
            <w:tcBorders>
              <w:top w:val="single" w:sz="6" w:space="0" w:color="000000"/>
              <w:left w:val="single" w:sz="6" w:space="0" w:color="000000"/>
              <w:bottom w:val="nil" w:sz="6" w:space="0" w:color="auto"/>
              <w:right w:val="single" w:sz="6" w:space="0" w:color="000000"/>
            </w:tcBorders>
            <w:shd w:val="clear" w:color="auto" w:fill="D2D2D2"/>
          </w:tcPr>
          <w:p>
            <w:pPr/>
          </w:p>
        </w:tc>
        <w:tc>
          <w:tcPr>
            <w:tcW w:w="957" w:type="dxa"/>
            <w:tcBorders>
              <w:top w:val="single" w:sz="6" w:space="0" w:color="000000"/>
              <w:left w:val="single" w:sz="6" w:space="0" w:color="000000"/>
              <w:bottom w:val="nil" w:sz="6" w:space="0" w:color="auto"/>
              <w:right w:val="single" w:sz="6" w:space="0" w:color="000000"/>
            </w:tcBorders>
            <w:shd w:val="clear" w:color="auto" w:fill="D2D2D2"/>
          </w:tcPr>
          <w:p>
            <w:pPr/>
          </w:p>
        </w:tc>
        <w:tc>
          <w:tcPr>
            <w:tcW w:w="689" w:type="dxa"/>
            <w:tcBorders>
              <w:top w:val="single" w:sz="6" w:space="0" w:color="000000"/>
              <w:left w:val="single" w:sz="6" w:space="0" w:color="000000"/>
              <w:bottom w:val="nil" w:sz="6" w:space="0" w:color="auto"/>
              <w:right w:val="single" w:sz="6" w:space="0" w:color="000000"/>
            </w:tcBorders>
            <w:shd w:val="clear" w:color="auto" w:fill="D2D2D2"/>
          </w:tcPr>
          <w:p>
            <w:pPr/>
          </w:p>
        </w:tc>
        <w:tc>
          <w:tcPr>
            <w:tcW w:w="689"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157" w:right="65"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47" w:type="dxa"/>
            <w:tcBorders>
              <w:top w:val="single" w:sz="6" w:space="0" w:color="000000"/>
              <w:left w:val="single" w:sz="6" w:space="0" w:color="000000"/>
              <w:bottom w:val="nil" w:sz="6" w:space="0" w:color="auto"/>
              <w:right w:val="single" w:sz="6" w:space="0" w:color="000000"/>
            </w:tcBorders>
            <w:shd w:val="clear" w:color="auto" w:fill="D2D2D2"/>
          </w:tcPr>
          <w:p>
            <w:pPr/>
          </w:p>
        </w:tc>
        <w:tc>
          <w:tcPr>
            <w:tcW w:w="95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5" w:type="dxa"/>
            <w:tcBorders>
              <w:top w:val="single" w:sz="6" w:space="0" w:color="000000"/>
              <w:left w:val="single" w:sz="6" w:space="0" w:color="000000"/>
              <w:bottom w:val="nil" w:sz="6" w:space="0" w:color="auto"/>
              <w:right w:val="single" w:sz="6" w:space="0" w:color="000000"/>
            </w:tcBorders>
            <w:shd w:val="clear" w:color="auto" w:fill="D2D2D2"/>
          </w:tcPr>
          <w:p>
            <w:pPr/>
          </w:p>
        </w:tc>
        <w:tc>
          <w:tcPr>
            <w:tcW w:w="686"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8" w:hRule="exact"/>
        </w:trPr>
        <w:tc>
          <w:tcPr>
            <w:tcW w:w="1875" w:type="dxa"/>
            <w:vMerge/>
            <w:tcBorders>
              <w:left w:val="single" w:sz="12" w:space="0" w:color="000000"/>
              <w:bottom w:val="nil" w:sz="6" w:space="0" w:color="auto"/>
              <w:right w:val="single" w:sz="6" w:space="0" w:color="000000"/>
            </w:tcBorders>
            <w:shd w:val="clear" w:color="auto" w:fill="D2D2D2"/>
          </w:tcPr>
          <w:p>
            <w:pPr/>
          </w:p>
        </w:tc>
        <w:tc>
          <w:tcPr>
            <w:tcW w:w="105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89" w:type="dxa"/>
            <w:vMerge/>
            <w:tcBorders>
              <w:left w:val="single" w:sz="6" w:space="0" w:color="000000"/>
              <w:right w:val="single" w:sz="6" w:space="0" w:color="000000"/>
            </w:tcBorders>
            <w:shd w:val="clear" w:color="auto" w:fill="D2D2D2"/>
          </w:tcPr>
          <w:p>
            <w:pPr/>
          </w:p>
        </w:tc>
        <w:tc>
          <w:tcPr>
            <w:tcW w:w="104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75" w:type="dxa"/>
            <w:vMerge w:val="restart"/>
            <w:tcBorders>
              <w:top w:val="nil" w:sz="6" w:space="0" w:color="auto"/>
              <w:left w:val="single" w:sz="12" w:space="0" w:color="000000"/>
              <w:right w:val="single" w:sz="6" w:space="0" w:color="000000"/>
            </w:tcBorders>
            <w:shd w:val="clear" w:color="auto" w:fill="D2D2D2"/>
          </w:tcPr>
          <w:p>
            <w:pPr/>
          </w:p>
        </w:tc>
        <w:tc>
          <w:tcPr>
            <w:tcW w:w="1057" w:type="dxa"/>
            <w:vMerge/>
            <w:tcBorders>
              <w:left w:val="single" w:sz="6" w:space="0" w:color="000000"/>
              <w:bottom w:val="nil" w:sz="6" w:space="0" w:color="auto"/>
              <w:right w:val="single" w:sz="6" w:space="0" w:color="000000"/>
            </w:tcBorders>
            <w:shd w:val="clear" w:color="auto" w:fill="D2D2D2"/>
          </w:tcPr>
          <w:p>
            <w:pPr/>
          </w:p>
        </w:tc>
        <w:tc>
          <w:tcPr>
            <w:tcW w:w="688" w:type="dxa"/>
            <w:vMerge/>
            <w:tcBorders>
              <w:left w:val="single" w:sz="6" w:space="0" w:color="000000"/>
              <w:bottom w:val="nil" w:sz="6" w:space="0" w:color="auto"/>
              <w:right w:val="single" w:sz="6" w:space="0" w:color="000000"/>
            </w:tcBorders>
            <w:shd w:val="clear" w:color="auto" w:fill="D2D2D2"/>
          </w:tcPr>
          <w:p>
            <w:pPr/>
          </w:p>
        </w:tc>
        <w:tc>
          <w:tcPr>
            <w:tcW w:w="957" w:type="dxa"/>
            <w:vMerge/>
            <w:tcBorders>
              <w:left w:val="single" w:sz="6" w:space="0" w:color="000000"/>
              <w:bottom w:val="nil" w:sz="6" w:space="0" w:color="auto"/>
              <w:right w:val="single" w:sz="6" w:space="0" w:color="000000"/>
            </w:tcBorders>
            <w:shd w:val="clear" w:color="auto" w:fill="D2D2D2"/>
          </w:tcPr>
          <w:p>
            <w:pPr/>
          </w:p>
        </w:tc>
        <w:tc>
          <w:tcPr>
            <w:tcW w:w="689" w:type="dxa"/>
            <w:vMerge/>
            <w:tcBorders>
              <w:left w:val="single" w:sz="6" w:space="0" w:color="000000"/>
              <w:bottom w:val="nil" w:sz="6" w:space="0" w:color="auto"/>
              <w:right w:val="single" w:sz="6" w:space="0" w:color="000000"/>
            </w:tcBorders>
            <w:shd w:val="clear" w:color="auto" w:fill="D2D2D2"/>
          </w:tcPr>
          <w:p>
            <w:pPr/>
          </w:p>
        </w:tc>
        <w:tc>
          <w:tcPr>
            <w:tcW w:w="689" w:type="dxa"/>
            <w:vMerge/>
            <w:tcBorders>
              <w:left w:val="single" w:sz="6" w:space="0" w:color="000000"/>
              <w:right w:val="single" w:sz="6" w:space="0" w:color="000000"/>
            </w:tcBorders>
            <w:shd w:val="clear" w:color="auto" w:fill="D2D2D2"/>
          </w:tcPr>
          <w:p>
            <w:pPr/>
          </w:p>
        </w:tc>
        <w:tc>
          <w:tcPr>
            <w:tcW w:w="1047" w:type="dxa"/>
            <w:vMerge/>
            <w:tcBorders>
              <w:left w:val="single" w:sz="6" w:space="0" w:color="000000"/>
              <w:bottom w:val="nil" w:sz="6" w:space="0" w:color="auto"/>
              <w:right w:val="single" w:sz="6" w:space="0" w:color="000000"/>
            </w:tcBorders>
            <w:shd w:val="clear" w:color="auto" w:fill="D2D2D2"/>
          </w:tcPr>
          <w:p>
            <w:pPr/>
          </w:p>
        </w:tc>
        <w:tc>
          <w:tcPr>
            <w:tcW w:w="957" w:type="dxa"/>
            <w:vMerge/>
            <w:tcBorders>
              <w:left w:val="single" w:sz="6" w:space="0" w:color="000000"/>
              <w:bottom w:val="nil" w:sz="6" w:space="0" w:color="auto"/>
              <w:right w:val="single" w:sz="6" w:space="0" w:color="000000"/>
            </w:tcBorders>
            <w:shd w:val="clear" w:color="auto" w:fill="D2D2D2"/>
          </w:tcPr>
          <w:p>
            <w:pPr/>
          </w:p>
        </w:tc>
        <w:tc>
          <w:tcPr>
            <w:tcW w:w="1045" w:type="dxa"/>
            <w:vMerge/>
            <w:tcBorders>
              <w:left w:val="single" w:sz="6" w:space="0" w:color="000000"/>
              <w:bottom w:val="nil" w:sz="6" w:space="0" w:color="auto"/>
              <w:right w:val="single" w:sz="6" w:space="0" w:color="000000"/>
            </w:tcBorders>
            <w:shd w:val="clear" w:color="auto" w:fill="D2D2D2"/>
          </w:tcPr>
          <w:p>
            <w:pPr/>
          </w:p>
        </w:tc>
        <w:tc>
          <w:tcPr>
            <w:tcW w:w="686"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875" w:type="dxa"/>
            <w:vMerge/>
            <w:tcBorders>
              <w:left w:val="single" w:sz="12" w:space="0" w:color="000000"/>
              <w:bottom w:val="single" w:sz="6" w:space="0" w:color="000000"/>
              <w:right w:val="single" w:sz="6" w:space="0" w:color="000000"/>
            </w:tcBorders>
            <w:shd w:val="clear" w:color="auto" w:fill="D2D2D2"/>
          </w:tcPr>
          <w:p>
            <w:pPr/>
          </w:p>
        </w:tc>
        <w:tc>
          <w:tcPr>
            <w:tcW w:w="1057" w:type="dxa"/>
            <w:tcBorders>
              <w:top w:val="nil" w:sz="6" w:space="0" w:color="auto"/>
              <w:left w:val="single" w:sz="6" w:space="0" w:color="000000"/>
              <w:bottom w:val="single" w:sz="6" w:space="0" w:color="000000"/>
              <w:right w:val="single" w:sz="6" w:space="0" w:color="000000"/>
            </w:tcBorders>
            <w:shd w:val="clear" w:color="auto" w:fill="D2D2D2"/>
          </w:tcPr>
          <w:p>
            <w:pPr/>
          </w:p>
        </w:tc>
        <w:tc>
          <w:tcPr>
            <w:tcW w:w="688" w:type="dxa"/>
            <w:tcBorders>
              <w:top w:val="nil" w:sz="6" w:space="0" w:color="auto"/>
              <w:left w:val="single" w:sz="6" w:space="0" w:color="000000"/>
              <w:bottom w:val="single" w:sz="6" w:space="0" w:color="000000"/>
              <w:right w:val="single" w:sz="6" w:space="0" w:color="000000"/>
            </w:tcBorders>
            <w:shd w:val="clear" w:color="auto" w:fill="D2D2D2"/>
          </w:tcPr>
          <w:p>
            <w:pPr/>
          </w:p>
        </w:tc>
        <w:tc>
          <w:tcPr>
            <w:tcW w:w="957" w:type="dxa"/>
            <w:tcBorders>
              <w:top w:val="nil" w:sz="6" w:space="0" w:color="auto"/>
              <w:left w:val="single" w:sz="6" w:space="0" w:color="000000"/>
              <w:bottom w:val="single" w:sz="6" w:space="0" w:color="000000"/>
              <w:right w:val="single" w:sz="6" w:space="0" w:color="000000"/>
            </w:tcBorders>
            <w:shd w:val="clear" w:color="auto" w:fill="D2D2D2"/>
          </w:tcPr>
          <w:p>
            <w:pPr/>
          </w:p>
        </w:tc>
        <w:tc>
          <w:tcPr>
            <w:tcW w:w="689" w:type="dxa"/>
            <w:tcBorders>
              <w:top w:val="nil" w:sz="6" w:space="0" w:color="auto"/>
              <w:left w:val="single" w:sz="6" w:space="0" w:color="000000"/>
              <w:bottom w:val="single" w:sz="6" w:space="0" w:color="000000"/>
              <w:right w:val="single" w:sz="6" w:space="0" w:color="000000"/>
            </w:tcBorders>
            <w:shd w:val="clear" w:color="auto" w:fill="D2D2D2"/>
          </w:tcPr>
          <w:p>
            <w:pPr/>
          </w:p>
        </w:tc>
        <w:tc>
          <w:tcPr>
            <w:tcW w:w="689" w:type="dxa"/>
            <w:vMerge/>
            <w:tcBorders>
              <w:left w:val="single" w:sz="6" w:space="0" w:color="000000"/>
              <w:bottom w:val="single" w:sz="6" w:space="0" w:color="000000"/>
              <w:right w:val="single" w:sz="6" w:space="0" w:color="000000"/>
            </w:tcBorders>
            <w:shd w:val="clear" w:color="auto" w:fill="D2D2D2"/>
          </w:tcPr>
          <w:p>
            <w:pPr/>
          </w:p>
        </w:tc>
        <w:tc>
          <w:tcPr>
            <w:tcW w:w="1047" w:type="dxa"/>
            <w:tcBorders>
              <w:top w:val="nil" w:sz="6" w:space="0" w:color="auto"/>
              <w:left w:val="single" w:sz="6" w:space="0" w:color="000000"/>
              <w:bottom w:val="single" w:sz="6" w:space="0" w:color="000000"/>
              <w:right w:val="single" w:sz="6" w:space="0" w:color="000000"/>
            </w:tcBorders>
            <w:shd w:val="clear" w:color="auto" w:fill="D2D2D2"/>
          </w:tcPr>
          <w:p>
            <w:pPr/>
          </w:p>
        </w:tc>
        <w:tc>
          <w:tcPr>
            <w:tcW w:w="95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5" w:type="dxa"/>
            <w:tcBorders>
              <w:top w:val="nil" w:sz="6" w:space="0" w:color="auto"/>
              <w:left w:val="single" w:sz="6" w:space="0" w:color="000000"/>
              <w:bottom w:val="single" w:sz="6" w:space="0" w:color="000000"/>
              <w:right w:val="single" w:sz="6" w:space="0" w:color="000000"/>
            </w:tcBorders>
            <w:shd w:val="clear" w:color="auto" w:fill="D2D2D2"/>
          </w:tcPr>
          <w:p>
            <w:pPr/>
          </w:p>
        </w:tc>
        <w:tc>
          <w:tcPr>
            <w:tcW w:w="68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8"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50,141,339</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2" w:right="0"/>
              <w:jc w:val="center"/>
              <w:rPr>
                <w:rFonts w:ascii="宋体" w:hAnsi="宋体" w:cs="宋体" w:eastAsia="宋体" w:hint="default"/>
                <w:sz w:val="18"/>
                <w:szCs w:val="18"/>
              </w:rPr>
            </w:pPr>
            <w:r>
              <w:rPr>
                <w:rFonts w:ascii="宋体"/>
                <w:sz w:val="18"/>
              </w:rPr>
              <w:t>42.49%</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28,511,403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-14,637,796</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13,873,607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64,014,946</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43.69%</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700,000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700,000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0.48%</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50,141,339</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42.49%</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27,811,403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-14,637,796</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13,173,607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63,314,946</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43.22%</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5,849,609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5,849,609</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5,849,609</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3.99%</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50,141,339</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2" w:right="0"/>
              <w:jc w:val="center"/>
              <w:rPr>
                <w:rFonts w:ascii="宋体" w:hAnsi="宋体" w:cs="宋体" w:eastAsia="宋体" w:hint="default"/>
                <w:sz w:val="18"/>
                <w:szCs w:val="18"/>
              </w:rPr>
            </w:pPr>
            <w:r>
              <w:rPr>
                <w:rFonts w:ascii="宋体"/>
                <w:sz w:val="18"/>
              </w:rPr>
              <w:t>42.49%</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21,961,794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-14,637,796</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7,323,998</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57,465,337</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39.22%</w:t>
            </w:r>
          </w:p>
        </w:tc>
      </w:tr>
      <w:tr>
        <w:trPr>
          <w:trHeight w:val="408"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67,858,661</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57.51%</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14,637,796</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14,637,796</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82,496,457</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56.31%</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67,858,661</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2" w:right="0"/>
              <w:jc w:val="center"/>
              <w:rPr>
                <w:rFonts w:ascii="宋体" w:hAnsi="宋体" w:cs="宋体" w:eastAsia="宋体" w:hint="default"/>
                <w:sz w:val="18"/>
                <w:szCs w:val="18"/>
              </w:rPr>
            </w:pPr>
            <w:r>
              <w:rPr>
                <w:rFonts w:ascii="宋体"/>
                <w:sz w:val="18"/>
              </w:rPr>
              <w:t>57.51%</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14,637,796</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14,637,796</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82,496,457</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56.31%</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8"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7" w:hRule="exact"/>
        </w:trPr>
        <w:tc>
          <w:tcPr>
            <w:tcW w:w="18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5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2" w:right="0"/>
              <w:jc w:val="center"/>
              <w:rPr>
                <w:rFonts w:ascii="宋体" w:hAnsi="宋体" w:cs="宋体" w:eastAsia="宋体" w:hint="default"/>
                <w:sz w:val="18"/>
                <w:szCs w:val="18"/>
              </w:rPr>
            </w:pPr>
            <w:r>
              <w:rPr>
                <w:rFonts w:ascii="宋体"/>
                <w:sz w:val="18"/>
              </w:rPr>
              <w:t>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15" w:hRule="exact"/>
        </w:trPr>
        <w:tc>
          <w:tcPr>
            <w:tcW w:w="18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5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118,000,000</w:t>
            </w:r>
          </w:p>
        </w:tc>
        <w:tc>
          <w:tcPr>
            <w:tcW w:w="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100.00%</w:t>
            </w:r>
          </w:p>
        </w:tc>
        <w:tc>
          <w:tcPr>
            <w:tcW w:w="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28,511,403</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28,511,403</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146,511,403</w:t>
            </w:r>
          </w:p>
        </w:tc>
        <w:tc>
          <w:tcPr>
            <w:tcW w:w="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适用□不适用</w:t>
      </w:r>
    </w:p>
    <w:p>
      <w:pPr>
        <w:spacing w:line="240" w:lineRule="auto" w:before="10"/>
        <w:rPr>
          <w:rFonts w:ascii="宋体" w:hAnsi="宋体" w:cs="宋体" w:eastAsia="宋体" w:hint="default"/>
          <w:sz w:val="12"/>
          <w:szCs w:val="12"/>
        </w:rPr>
      </w:pPr>
    </w:p>
    <w:p>
      <w:pPr>
        <w:pStyle w:val="BodyText"/>
        <w:spacing w:line="408" w:lineRule="auto" w:before="0"/>
        <w:ind w:right="211"/>
        <w:jc w:val="both"/>
      </w:pPr>
      <w:r>
        <w:rPr>
          <w:rFonts w:ascii="宋体" w:hAnsi="宋体" w:cs="宋体" w:eastAsia="宋体" w:hint="default"/>
        </w:rPr>
        <w:t>2014</w:t>
      </w:r>
      <w:r>
        <w:rPr>
          <w:rFonts w:ascii="宋体" w:hAnsi="宋体" w:cs="宋体" w:eastAsia="宋体" w:hint="default"/>
          <w:spacing w:val="-51"/>
        </w:rPr>
        <w:t> </w:t>
      </w:r>
      <w:r>
        <w:rPr/>
        <w:t>年</w:t>
      </w:r>
      <w:r>
        <w:rPr>
          <w:spacing w:val="-50"/>
        </w:rPr>
        <w:t> </w:t>
      </w:r>
      <w:r>
        <w:rPr>
          <w:rFonts w:ascii="宋体" w:hAnsi="宋体" w:cs="宋体" w:eastAsia="宋体" w:hint="default"/>
        </w:rPr>
        <w:t>5</w:t>
      </w:r>
      <w:r>
        <w:rPr>
          <w:rFonts w:ascii="宋体" w:hAnsi="宋体" w:cs="宋体" w:eastAsia="宋体" w:hint="default"/>
          <w:spacing w:val="-51"/>
        </w:rPr>
        <w:t> </w:t>
      </w:r>
      <w:r>
        <w:rPr/>
        <w:t>月</w:t>
      </w:r>
      <w:r>
        <w:rPr>
          <w:spacing w:val="-52"/>
        </w:rPr>
        <w:t> </w:t>
      </w:r>
      <w:r>
        <w:rPr>
          <w:rFonts w:ascii="宋体" w:hAnsi="宋体" w:cs="宋体" w:eastAsia="宋体" w:hint="default"/>
        </w:rPr>
        <w:t>14</w:t>
      </w:r>
      <w:r>
        <w:rPr>
          <w:rFonts w:ascii="宋体" w:hAnsi="宋体" w:cs="宋体" w:eastAsia="宋体" w:hint="default"/>
          <w:spacing w:val="-50"/>
        </w:rPr>
        <w:t> </w:t>
      </w:r>
      <w:r>
        <w:rPr>
          <w:spacing w:val="-5"/>
        </w:rPr>
        <w:t>日，公司与交易对方签署了《发行股份及支付现金购买资产协议》。公司通过发行股份及支</w:t>
      </w:r>
      <w:r>
        <w:rPr/>
        <w:t> 付现金的方式向华顺置业及陈泽枝等</w:t>
      </w:r>
      <w:r>
        <w:rPr>
          <w:spacing w:val="-55"/>
        </w:rPr>
        <w:t> </w:t>
      </w:r>
      <w:r>
        <w:rPr>
          <w:rFonts w:ascii="宋体" w:hAnsi="宋体" w:cs="宋体" w:eastAsia="宋体" w:hint="default"/>
        </w:rPr>
        <w:t>14</w:t>
      </w:r>
      <w:r>
        <w:rPr>
          <w:rFonts w:ascii="宋体" w:hAnsi="宋体" w:cs="宋体" w:eastAsia="宋体" w:hint="default"/>
          <w:spacing w:val="-54"/>
        </w:rPr>
        <w:t> </w:t>
      </w:r>
      <w:r>
        <w:rPr/>
        <w:t>名自然人股东购买其合计持有的嘉园环保</w:t>
      </w:r>
      <w:r>
        <w:rPr>
          <w:spacing w:val="-54"/>
        </w:rPr>
        <w:t> </w:t>
      </w:r>
      <w:r>
        <w:rPr>
          <w:rFonts w:ascii="宋体" w:hAnsi="宋体" w:cs="宋体" w:eastAsia="宋体" w:hint="default"/>
        </w:rPr>
        <w:t>80.00%</w:t>
      </w:r>
      <w:r>
        <w:rPr/>
        <w:t>股权，向尚剑红 购买其持有的沈阳金建</w:t>
      </w:r>
      <w:r>
        <w:rPr>
          <w:spacing w:val="-21"/>
        </w:rPr>
        <w:t> </w:t>
      </w:r>
      <w:r>
        <w:rPr>
          <w:rFonts w:ascii="宋体" w:hAnsi="宋体" w:cs="宋体" w:eastAsia="宋体" w:hint="default"/>
          <w:spacing w:val="-3"/>
        </w:rPr>
        <w:t>48.91%</w:t>
      </w:r>
      <w:r>
        <w:rPr>
          <w:spacing w:val="-3"/>
        </w:rPr>
        <w:t>股权。根据中国证监会《重大资产重组管理办法》的相关规定，本次交易构</w:t>
      </w:r>
      <w:r>
        <w:rPr>
          <w:spacing w:val="-98"/>
        </w:rPr>
        <w:t> </w:t>
      </w:r>
      <w:r>
        <w:rPr>
          <w:spacing w:val="-98"/>
        </w:rPr>
      </w:r>
      <w:r>
        <w:rPr>
          <w:spacing w:val="-4"/>
        </w:rPr>
        <w:t>成重大资产重组。</w:t>
      </w:r>
      <w:r>
        <w:rPr>
          <w:rFonts w:ascii="宋体" w:hAnsi="宋体" w:cs="宋体" w:eastAsia="宋体" w:hint="default"/>
          <w:spacing w:val="-4"/>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t>日，汉威电子发行股份购买资产及募集配套资金的股份向中国证券登记</w:t>
      </w:r>
    </w:p>
    <w:p>
      <w:pPr>
        <w:pStyle w:val="BodyText"/>
        <w:spacing w:line="240" w:lineRule="auto"/>
        <w:ind w:left="154" w:right="0"/>
        <w:jc w:val="both"/>
      </w:pPr>
      <w:r>
        <w:rPr/>
        <w:t>结算有限责任公司深圳分公司进行登记，其中非公开发行股份购买资产股份发行数量为</w:t>
      </w:r>
      <w:r>
        <w:rPr>
          <w:spacing w:val="-63"/>
        </w:rPr>
        <w:t> </w:t>
      </w:r>
      <w:r>
        <w:rPr>
          <w:rFonts w:ascii="宋体" w:hAnsi="宋体" w:cs="宋体" w:eastAsia="宋体" w:hint="default"/>
        </w:rPr>
        <w:t>2,282.0347</w:t>
      </w:r>
      <w:r>
        <w:rPr>
          <w:rFonts w:ascii="宋体" w:hAnsi="宋体" w:cs="宋体" w:eastAsia="宋体" w:hint="default"/>
          <w:spacing w:val="-64"/>
        </w:rPr>
        <w:t> </w:t>
      </w:r>
      <w:r>
        <w:rPr/>
        <w:t>万股，</w:t>
      </w:r>
    </w:p>
    <w:p>
      <w:pPr>
        <w:spacing w:line="240" w:lineRule="auto" w:before="10"/>
        <w:rPr>
          <w:rFonts w:ascii="宋体" w:hAnsi="宋体" w:cs="宋体" w:eastAsia="宋体" w:hint="default"/>
          <w:sz w:val="14"/>
          <w:szCs w:val="14"/>
        </w:rPr>
      </w:pPr>
    </w:p>
    <w:p>
      <w:pPr>
        <w:pStyle w:val="BodyText"/>
        <w:spacing w:line="240" w:lineRule="auto" w:before="0"/>
        <w:ind w:left="154" w:right="0"/>
        <w:jc w:val="both"/>
      </w:pPr>
      <w:r>
        <w:rPr/>
        <w:t>募集配套资金的股份发行数量为</w:t>
      </w:r>
      <w:r>
        <w:rPr>
          <w:spacing w:val="-53"/>
        </w:rPr>
        <w:t> </w:t>
      </w:r>
      <w:r>
        <w:rPr>
          <w:rFonts w:ascii="宋体" w:hAnsi="宋体" w:cs="宋体" w:eastAsia="宋体" w:hint="default"/>
        </w:rPr>
        <w:t>569.1056</w:t>
      </w:r>
      <w:r>
        <w:rPr>
          <w:rFonts w:ascii="宋体" w:hAnsi="宋体" w:cs="宋体" w:eastAsia="宋体" w:hint="default"/>
          <w:spacing w:val="-53"/>
        </w:rPr>
        <w:t> </w:t>
      </w:r>
      <w:r>
        <w:rPr/>
        <w:t>万股，股份登记完成后公司总股本由</w:t>
      </w:r>
      <w:r>
        <w:rPr>
          <w:spacing w:val="-53"/>
        </w:rPr>
        <w:t> </w:t>
      </w:r>
      <w:r>
        <w:rPr>
          <w:rFonts w:ascii="宋体" w:hAnsi="宋体" w:cs="宋体" w:eastAsia="宋体" w:hint="default"/>
        </w:rPr>
        <w:t>11,800</w:t>
      </w:r>
      <w:r>
        <w:rPr>
          <w:rFonts w:ascii="宋体" w:hAnsi="宋体" w:cs="宋体" w:eastAsia="宋体" w:hint="default"/>
          <w:spacing w:val="-54"/>
        </w:rPr>
        <w:t> </w:t>
      </w:r>
      <w:r>
        <w:rPr/>
        <w:t>万股变更为</w:t>
      </w:r>
    </w:p>
    <w:p>
      <w:pPr>
        <w:spacing w:after="0" w:line="240"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rFonts w:ascii="宋体" w:hAnsi="宋体" w:cs="宋体" w:eastAsia="宋体" w:hint="default"/>
        </w:rPr>
        <w:t>14,651.1403</w:t>
      </w:r>
      <w:r>
        <w:rPr>
          <w:rFonts w:ascii="宋体" w:hAnsi="宋体" w:cs="宋体" w:eastAsia="宋体" w:hint="default"/>
          <w:spacing w:val="-55"/>
        </w:rPr>
        <w:t> </w:t>
      </w:r>
      <w:r>
        <w:rPr/>
        <w:t>万股，发行前限售流通股为</w:t>
      </w:r>
      <w:r>
        <w:rPr>
          <w:spacing w:val="-54"/>
        </w:rPr>
        <w:t> </w:t>
      </w:r>
      <w:r>
        <w:rPr>
          <w:rFonts w:ascii="宋体" w:hAnsi="宋体" w:cs="宋体" w:eastAsia="宋体" w:hint="default"/>
        </w:rPr>
        <w:t>35,503,543</w:t>
      </w:r>
      <w:r>
        <w:rPr>
          <w:rFonts w:ascii="宋体" w:hAnsi="宋体" w:cs="宋体" w:eastAsia="宋体" w:hint="default"/>
          <w:spacing w:val="-54"/>
        </w:rPr>
        <w:t> </w:t>
      </w:r>
      <w:r>
        <w:rPr/>
        <w:t>股，无限售流通股为</w:t>
      </w:r>
      <w:r>
        <w:rPr>
          <w:spacing w:val="-55"/>
        </w:rPr>
        <w:t> </w:t>
      </w:r>
      <w:r>
        <w:rPr>
          <w:rFonts w:ascii="宋体" w:hAnsi="宋体" w:cs="宋体" w:eastAsia="宋体" w:hint="default"/>
        </w:rPr>
        <w:t>82,496,457</w:t>
      </w:r>
      <w:r>
        <w:rPr>
          <w:rFonts w:ascii="宋体" w:hAnsi="宋体" w:cs="宋体" w:eastAsia="宋体" w:hint="default"/>
          <w:spacing w:val="-54"/>
        </w:rPr>
        <w:t> </w:t>
      </w:r>
      <w:r>
        <w:rPr/>
        <w:t>股，发行后限售流</w:t>
      </w:r>
    </w:p>
    <w:p>
      <w:pPr>
        <w:spacing w:line="240" w:lineRule="auto" w:before="10"/>
        <w:rPr>
          <w:rFonts w:ascii="宋体" w:hAnsi="宋体" w:cs="宋体" w:eastAsia="宋体" w:hint="default"/>
          <w:sz w:val="14"/>
          <w:szCs w:val="14"/>
        </w:rPr>
      </w:pPr>
    </w:p>
    <w:p>
      <w:pPr>
        <w:pStyle w:val="BodyText"/>
        <w:spacing w:line="410" w:lineRule="auto" w:before="0"/>
        <w:ind w:right="230"/>
        <w:jc w:val="left"/>
      </w:pPr>
      <w:r>
        <w:rPr/>
        <w:t>通股为</w:t>
      </w:r>
      <w:r>
        <w:rPr>
          <w:spacing w:val="-53"/>
        </w:rPr>
        <w:t> </w:t>
      </w:r>
      <w:r>
        <w:rPr>
          <w:rFonts w:ascii="宋体" w:hAnsi="宋体" w:cs="宋体" w:eastAsia="宋体" w:hint="default"/>
        </w:rPr>
        <w:t>64,014,946</w:t>
      </w:r>
      <w:r>
        <w:rPr>
          <w:rFonts w:ascii="宋体" w:hAnsi="宋体" w:cs="宋体" w:eastAsia="宋体" w:hint="default"/>
          <w:spacing w:val="-54"/>
        </w:rPr>
        <w:t> </w:t>
      </w:r>
      <w:r>
        <w:rPr/>
        <w:t>股，无限售流通股为</w:t>
      </w:r>
      <w:r>
        <w:rPr>
          <w:spacing w:val="-54"/>
        </w:rPr>
        <w:t> </w:t>
      </w:r>
      <w:r>
        <w:rPr>
          <w:rFonts w:ascii="宋体" w:hAnsi="宋体" w:cs="宋体" w:eastAsia="宋体" w:hint="default"/>
        </w:rPr>
        <w:t>82,496,457</w:t>
      </w:r>
      <w:r>
        <w:rPr>
          <w:rFonts w:ascii="宋体" w:hAnsi="宋体" w:cs="宋体" w:eastAsia="宋体" w:hint="default"/>
          <w:spacing w:val="-53"/>
        </w:rPr>
        <w:t> </w:t>
      </w:r>
      <w:r>
        <w:rPr/>
        <w:t>股。具体信息请查阅公司于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日在巨潮 资讯网刊登的公告。</w:t>
      </w:r>
    </w:p>
    <w:p>
      <w:pPr>
        <w:spacing w:before="31"/>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√适用□不适用</w:t>
      </w:r>
    </w:p>
    <w:p>
      <w:pPr>
        <w:spacing w:line="240" w:lineRule="auto" w:before="10"/>
        <w:rPr>
          <w:rFonts w:ascii="宋体" w:hAnsi="宋体" w:cs="宋体" w:eastAsia="宋体" w:hint="default"/>
          <w:sz w:val="12"/>
          <w:szCs w:val="12"/>
        </w:rPr>
      </w:pPr>
    </w:p>
    <w:p>
      <w:pPr>
        <w:pStyle w:val="BodyText"/>
        <w:spacing w:line="403" w:lineRule="auto" w:before="0"/>
        <w:ind w:right="172"/>
        <w:jc w:val="left"/>
        <w:rPr>
          <w:sz w:val="18"/>
          <w:szCs w:val="18"/>
        </w:rPr>
      </w:pP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日，中国证监会出具了《关于核准河南汉威电子股份有限公司向陈泽枝等发行股份购买资 产并募集配套资金的批复》（证监许可</w:t>
      </w:r>
      <w:r>
        <w:rPr>
          <w:rFonts w:ascii="宋体" w:hAnsi="宋体" w:cs="宋体" w:eastAsia="宋体" w:hint="default"/>
        </w:rPr>
        <w:t>[2014]937</w:t>
      </w:r>
      <w:r>
        <w:rPr>
          <w:rFonts w:ascii="宋体" w:hAnsi="宋体" w:cs="宋体" w:eastAsia="宋体" w:hint="default"/>
          <w:spacing w:val="-53"/>
        </w:rPr>
        <w:t> </w:t>
      </w:r>
      <w:r>
        <w:rPr/>
        <w:t>号），对公司重大资产重组进行了核准。 </w:t>
      </w:r>
      <w:r>
        <w:rPr>
          <w:sz w:val="18"/>
          <w:szCs w:val="18"/>
        </w:rPr>
        <w:t>股份变动的过户情况</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√适用□不适用</w:t>
      </w:r>
    </w:p>
    <w:p>
      <w:pPr>
        <w:spacing w:line="240" w:lineRule="auto" w:before="10"/>
        <w:rPr>
          <w:rFonts w:ascii="宋体" w:hAnsi="宋体" w:cs="宋体" w:eastAsia="宋体" w:hint="default"/>
          <w:sz w:val="12"/>
          <w:szCs w:val="12"/>
        </w:rPr>
      </w:pPr>
    </w:p>
    <w:p>
      <w:pPr>
        <w:pStyle w:val="BodyText"/>
        <w:spacing w:line="240" w:lineRule="auto" w:before="0"/>
        <w:ind w:left="244" w:right="0"/>
        <w:jc w:val="left"/>
      </w:pPr>
      <w:r>
        <w:rPr>
          <w:rFonts w:ascii="宋体" w:hAnsi="宋体" w:cs="宋体" w:eastAsia="宋体" w:hint="default"/>
        </w:rPr>
        <w:t>2014</w:t>
      </w:r>
      <w:r>
        <w:rPr>
          <w:rFonts w:ascii="宋体" w:hAnsi="宋体" w:cs="宋体" w:eastAsia="宋体" w:hint="default"/>
          <w:spacing w:val="-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4"/>
        </w:rPr>
        <w:t> </w:t>
      </w:r>
      <w:r>
        <w:rPr/>
        <w:t>日，公司收到中国证券登记结算有限责任公司深圳分公司出具的《股份登记申请受理确</w:t>
      </w:r>
    </w:p>
    <w:p>
      <w:pPr>
        <w:spacing w:line="240" w:lineRule="auto" w:before="10"/>
        <w:rPr>
          <w:rFonts w:ascii="宋体" w:hAnsi="宋体" w:cs="宋体" w:eastAsia="宋体" w:hint="default"/>
          <w:sz w:val="14"/>
          <w:szCs w:val="14"/>
        </w:rPr>
      </w:pPr>
    </w:p>
    <w:p>
      <w:pPr>
        <w:pStyle w:val="BodyText"/>
        <w:spacing w:line="405" w:lineRule="auto" w:before="0"/>
        <w:ind w:right="150"/>
        <w:jc w:val="both"/>
        <w:rPr>
          <w:sz w:val="18"/>
          <w:szCs w:val="18"/>
        </w:rPr>
      </w:pPr>
      <w:r>
        <w:rPr>
          <w:spacing w:val="-2"/>
        </w:rPr>
        <w:t>认书》、《上市公司股份未到账结构表》及《证券持有人名册》，公司向芜湖华顺及陈泽枝、尚剑红等</w:t>
      </w:r>
      <w:r>
        <w:rPr>
          <w:spacing w:val="-42"/>
        </w:rPr>
        <w:t> </w:t>
      </w:r>
      <w:r>
        <w:rPr>
          <w:rFonts w:ascii="宋体" w:hAnsi="宋体" w:cs="宋体" w:eastAsia="宋体" w:hint="default"/>
        </w:rPr>
        <w:t>15 </w:t>
      </w:r>
      <w:r>
        <w:rPr/>
        <w:t>名交易对方因收购资产所发行的 </w:t>
      </w:r>
      <w:r>
        <w:rPr>
          <w:rFonts w:ascii="宋体" w:hAnsi="宋体" w:cs="宋体" w:eastAsia="宋体" w:hint="default"/>
        </w:rPr>
        <w:t>22,820,347 </w:t>
      </w:r>
      <w:r>
        <w:rPr/>
        <w:t>股人民币普通 </w:t>
      </w:r>
      <w:r>
        <w:rPr>
          <w:rFonts w:ascii="宋体" w:hAnsi="宋体" w:cs="宋体" w:eastAsia="宋体" w:hint="default"/>
        </w:rPr>
        <w:t>A</w:t>
      </w:r>
      <w:r>
        <w:rPr>
          <w:rFonts w:ascii="宋体" w:hAnsi="宋体" w:cs="宋体" w:eastAsia="宋体" w:hint="default"/>
          <w:spacing w:val="-55"/>
        </w:rPr>
        <w:t> </w:t>
      </w:r>
      <w:r>
        <w:rPr>
          <w:spacing w:val="-4"/>
        </w:rPr>
        <w:t>股股票，以及公司向华宝信托有限责任公司</w:t>
      </w:r>
      <w:r>
        <w:rPr/>
        <w:t> 等</w:t>
      </w:r>
      <w:r>
        <w:rPr>
          <w:spacing w:val="-69"/>
        </w:rPr>
        <w:t> </w:t>
      </w:r>
      <w:r>
        <w:rPr>
          <w:rFonts w:ascii="宋体" w:hAnsi="宋体" w:cs="宋体" w:eastAsia="宋体" w:hint="default"/>
        </w:rPr>
        <w:t>5</w:t>
      </w:r>
      <w:r>
        <w:rPr>
          <w:rFonts w:ascii="宋体" w:hAnsi="宋体" w:cs="宋体" w:eastAsia="宋体" w:hint="default"/>
          <w:spacing w:val="-69"/>
        </w:rPr>
        <w:t> </w:t>
      </w:r>
      <w:r>
        <w:rPr/>
        <w:t>名发行对象交易对方象因募集配套资金所发行的合计</w:t>
      </w:r>
      <w:r>
        <w:rPr>
          <w:spacing w:val="-68"/>
        </w:rPr>
        <w:t> </w:t>
      </w:r>
      <w:r>
        <w:rPr>
          <w:rFonts w:ascii="宋体" w:hAnsi="宋体" w:cs="宋体" w:eastAsia="宋体" w:hint="default"/>
        </w:rPr>
        <w:t>5,691,056</w:t>
      </w:r>
      <w:r>
        <w:rPr>
          <w:rFonts w:ascii="宋体" w:hAnsi="宋体" w:cs="宋体" w:eastAsia="宋体" w:hint="default"/>
          <w:spacing w:val="-69"/>
        </w:rPr>
        <w:t> </w:t>
      </w:r>
      <w:r>
        <w:rPr/>
        <w:t>股人民币普通</w:t>
      </w:r>
      <w:r>
        <w:rPr>
          <w:spacing w:val="-69"/>
        </w:rPr>
        <w:t> </w:t>
      </w:r>
      <w:r>
        <w:rPr>
          <w:rFonts w:ascii="宋体" w:hAnsi="宋体" w:cs="宋体" w:eastAsia="宋体" w:hint="default"/>
        </w:rPr>
        <w:t>A</w:t>
      </w:r>
      <w:r>
        <w:rPr>
          <w:rFonts w:ascii="宋体" w:hAnsi="宋体" w:cs="宋体" w:eastAsia="宋体" w:hint="default"/>
          <w:spacing w:val="-1"/>
        </w:rPr>
        <w:t> </w:t>
      </w:r>
      <w:r>
        <w:rPr/>
        <w:t>股股票已全部办理完 毕股份登记手续。本次定向发行新增股份的性质全部为有限售条件流通股，上市日为</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1"/>
        </w:rPr>
        <w:t> </w:t>
      </w:r>
      <w:r>
        <w:rPr>
          <w:rFonts w:ascii="宋体" w:hAnsi="宋体" w:cs="宋体" w:eastAsia="宋体" w:hint="default"/>
        </w:rPr>
        <w:t>9</w:t>
      </w:r>
      <w:r>
        <w:rPr>
          <w:rFonts w:ascii="宋体" w:hAnsi="宋体" w:cs="宋体" w:eastAsia="宋体" w:hint="default"/>
          <w:spacing w:val="-52"/>
        </w:rPr>
        <w:t> </w:t>
      </w:r>
      <w:r>
        <w:rPr/>
        <w:t>日。 </w:t>
      </w:r>
      <w:r>
        <w:rPr>
          <w:sz w:val="18"/>
          <w:szCs w:val="18"/>
        </w:rPr>
        <w:t>股份变动对最近一年和最近一期基本每股收益和稀释每股收益、归属于公司普通股股东的每股净资产等财务指标的影响</w:t>
      </w:r>
    </w:p>
    <w:p>
      <w:pPr>
        <w:spacing w:line="357" w:lineRule="auto" w:before="0"/>
        <w:ind w:left="154" w:right="5812"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限售股份变动情况" w:id="77"/>
      <w:bookmarkEnd w:id="77"/>
      <w:r>
        <w:rPr>
          <w:b w:val="0"/>
          <w:bCs w:val="0"/>
        </w:rPr>
      </w:r>
      <w:r>
        <w:rPr>
          <w:rFonts w:ascii="宋体" w:hAnsi="宋体" w:cs="宋体" w:eastAsia="宋体" w:hint="default"/>
        </w:rPr>
        <w:t>2</w:t>
      </w:r>
      <w:r>
        <w:rPr/>
        <w:t>、限售股份变动情况</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995"/>
        <w:gridCol w:w="1134"/>
        <w:gridCol w:w="1416"/>
        <w:gridCol w:w="993"/>
        <w:gridCol w:w="1134"/>
        <w:gridCol w:w="2128"/>
        <w:gridCol w:w="1773"/>
      </w:tblGrid>
      <w:tr>
        <w:trPr>
          <w:trHeight w:val="727" w:hRule="exact"/>
        </w:trPr>
        <w:tc>
          <w:tcPr>
            <w:tcW w:w="9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69" w:right="10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4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10" w:right="6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9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20" w:right="36" w:hanging="181"/>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69" w:right="10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1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7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51,660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51,660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2015-01-05</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2015-01-05</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1,555,335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1,555,335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2015-01-05</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31,700,000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31,700,000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高管锁定；质押</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2015-01-05</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1,143,439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1,143,439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2015-01-05</w:t>
            </w:r>
          </w:p>
        </w:tc>
      </w:tr>
      <w:tr>
        <w:trPr>
          <w:trHeight w:val="408"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174,045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43,511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130,534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sz w:val="18"/>
              </w:rPr>
              <w:t>2015-01-05</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922,500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922,500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2015-01-05</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张志广</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17,220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17,220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离任满</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个月已解除限售</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2014-7-17</w:t>
            </w:r>
          </w:p>
        </w:tc>
      </w:tr>
      <w:tr>
        <w:trPr>
          <w:trHeight w:val="415" w:hRule="exact"/>
        </w:trPr>
        <w:tc>
          <w:tcPr>
            <w:tcW w:w="9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14,577,140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14,577,140</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离任满</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个月已解除限售</w:t>
            </w:r>
          </w:p>
        </w:tc>
        <w:tc>
          <w:tcPr>
            <w:tcW w:w="17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2014-2-18</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995"/>
        <w:gridCol w:w="1134"/>
        <w:gridCol w:w="1416"/>
        <w:gridCol w:w="993"/>
        <w:gridCol w:w="1134"/>
        <w:gridCol w:w="2128"/>
        <w:gridCol w:w="1773"/>
      </w:tblGrid>
      <w:tr>
        <w:trPr>
          <w:trHeight w:val="1975" w:hRule="exact"/>
        </w:trPr>
        <w:tc>
          <w:tcPr>
            <w:tcW w:w="995"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51"/>
              <w:ind w:left="13" w:right="57"/>
              <w:jc w:val="both"/>
              <w:rPr>
                <w:rFonts w:ascii="宋体" w:hAnsi="宋体" w:cs="宋体" w:eastAsia="宋体" w:hint="default"/>
                <w:sz w:val="18"/>
                <w:szCs w:val="18"/>
              </w:rPr>
            </w:pPr>
            <w:r>
              <w:rPr>
                <w:rFonts w:ascii="宋体" w:hAnsi="宋体" w:cs="宋体" w:eastAsia="宋体" w:hint="default"/>
                <w:sz w:val="18"/>
                <w:szCs w:val="18"/>
              </w:rPr>
              <w:t>北信瑞丰基 金－宁波银 行－北信瑞 丰基金丰庆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号资产管 理计划</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3,000,000</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3,000,000</w:t>
            </w:r>
          </w:p>
        </w:tc>
        <w:tc>
          <w:tcPr>
            <w:tcW w:w="2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sz w:val="18"/>
              </w:rPr>
              <w:t>2016-01-09</w:t>
            </w:r>
          </w:p>
        </w:tc>
      </w:tr>
      <w:tr>
        <w:trPr>
          <w:trHeight w:val="196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57"/>
              <w:jc w:val="both"/>
              <w:rPr>
                <w:rFonts w:ascii="宋体" w:hAnsi="宋体" w:cs="宋体" w:eastAsia="宋体" w:hint="default"/>
                <w:sz w:val="18"/>
                <w:szCs w:val="18"/>
              </w:rPr>
            </w:pPr>
            <w:r>
              <w:rPr>
                <w:rFonts w:ascii="宋体" w:hAnsi="宋体" w:cs="宋体" w:eastAsia="宋体" w:hint="default"/>
                <w:sz w:val="18"/>
                <w:szCs w:val="18"/>
              </w:rPr>
              <w:t>第一创业证 券－兴业银 行－一创启 程定增</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 集合资产管 理计划</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1,050,000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1,050,000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sz w:val="18"/>
              </w:rPr>
              <w:t>2016-01-09</w:t>
            </w:r>
          </w:p>
        </w:tc>
      </w:tr>
      <w:tr>
        <w:trPr>
          <w:trHeight w:val="259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57"/>
              <w:jc w:val="both"/>
              <w:rPr>
                <w:rFonts w:ascii="宋体" w:hAnsi="宋体" w:cs="宋体" w:eastAsia="宋体" w:hint="default"/>
                <w:sz w:val="18"/>
                <w:szCs w:val="18"/>
              </w:rPr>
            </w:pPr>
            <w:r>
              <w:rPr>
                <w:rFonts w:ascii="宋体" w:hAnsi="宋体" w:cs="宋体" w:eastAsia="宋体" w:hint="default"/>
                <w:sz w:val="18"/>
                <w:szCs w:val="18"/>
              </w:rPr>
              <w:t>国投瑞银资 本－民生银 行－国投瑞 银资本瑞银 证券定向增 发</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号专项 资产管理计 划</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8"/>
              <w:jc w:val="right"/>
              <w:rPr>
                <w:rFonts w:ascii="宋体" w:hAnsi="宋体" w:cs="宋体" w:eastAsia="宋体" w:hint="default"/>
                <w:sz w:val="18"/>
                <w:szCs w:val="18"/>
              </w:rPr>
            </w:pPr>
            <w:r>
              <w:rPr>
                <w:rFonts w:ascii="宋体"/>
                <w:sz w:val="18"/>
              </w:rPr>
              <w:t>800,000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9"/>
              <w:jc w:val="right"/>
              <w:rPr>
                <w:rFonts w:ascii="宋体" w:hAnsi="宋体" w:cs="宋体" w:eastAsia="宋体" w:hint="default"/>
                <w:sz w:val="18"/>
                <w:szCs w:val="18"/>
              </w:rPr>
            </w:pPr>
            <w:r>
              <w:rPr>
                <w:rFonts w:ascii="宋体"/>
                <w:sz w:val="18"/>
              </w:rPr>
              <w:t>800,000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0" w:right="0"/>
              <w:jc w:val="left"/>
              <w:rPr>
                <w:rFonts w:ascii="宋体" w:hAnsi="宋体" w:cs="宋体" w:eastAsia="宋体" w:hint="default"/>
                <w:sz w:val="18"/>
                <w:szCs w:val="18"/>
              </w:rPr>
            </w:pPr>
            <w:r>
              <w:rPr>
                <w:rFonts w:ascii="宋体"/>
                <w:sz w:val="18"/>
              </w:rPr>
              <w:t>2016-01-09</w:t>
            </w:r>
          </w:p>
        </w:tc>
      </w:tr>
      <w:tr>
        <w:trPr>
          <w:trHeight w:val="196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56"/>
              <w:jc w:val="both"/>
              <w:rPr>
                <w:rFonts w:ascii="宋体" w:hAnsi="宋体" w:cs="宋体" w:eastAsia="宋体" w:hint="default"/>
                <w:sz w:val="18"/>
                <w:szCs w:val="18"/>
              </w:rPr>
            </w:pPr>
            <w:r>
              <w:rPr>
                <w:rFonts w:ascii="宋体" w:hAnsi="宋体" w:cs="宋体" w:eastAsia="宋体" w:hint="default"/>
                <w:sz w:val="18"/>
                <w:szCs w:val="18"/>
              </w:rPr>
              <w:t>中国建设银 行股份有限 公司－兴全 社会责任股 票型证券投 资基金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121,056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121,056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sz w:val="18"/>
              </w:rPr>
              <w:t>2016-01-09</w:t>
            </w:r>
          </w:p>
        </w:tc>
      </w:tr>
      <w:tr>
        <w:trPr>
          <w:trHeight w:val="196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7"/>
              <w:jc w:val="both"/>
              <w:rPr>
                <w:rFonts w:ascii="宋体" w:hAnsi="宋体" w:cs="宋体" w:eastAsia="宋体" w:hint="default"/>
                <w:sz w:val="18"/>
                <w:szCs w:val="18"/>
              </w:rPr>
            </w:pPr>
            <w:r>
              <w:rPr>
                <w:rFonts w:ascii="宋体" w:hAnsi="宋体" w:cs="宋体" w:eastAsia="宋体" w:hint="default"/>
                <w:sz w:val="18"/>
                <w:szCs w:val="18"/>
              </w:rPr>
              <w:t>兴业全球基 金－光大银 行－兴全广 源特定多客 户资产管理 计划</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sz w:val="18"/>
              </w:rPr>
              <w:t>2016-01-09</w:t>
            </w:r>
          </w:p>
        </w:tc>
      </w:tr>
      <w:tr>
        <w:trPr>
          <w:trHeight w:val="719"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7"/>
              <w:jc w:val="left"/>
              <w:rPr>
                <w:rFonts w:ascii="宋体" w:hAnsi="宋体" w:cs="宋体" w:eastAsia="宋体" w:hint="default"/>
                <w:sz w:val="18"/>
                <w:szCs w:val="18"/>
              </w:rPr>
            </w:pPr>
            <w:r>
              <w:rPr>
                <w:rFonts w:ascii="宋体" w:hAnsi="宋体" w:cs="宋体" w:eastAsia="宋体" w:hint="default"/>
                <w:sz w:val="18"/>
                <w:szCs w:val="18"/>
              </w:rPr>
              <w:t>华宝信托有 限责任公司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700,000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700,000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sz w:val="18"/>
              </w:rPr>
              <w:t>2016-01-09</w:t>
            </w:r>
          </w:p>
        </w:tc>
      </w:tr>
      <w:tr>
        <w:trPr>
          <w:trHeight w:val="103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8,521,511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8,521,511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08"/>
              <w:jc w:val="both"/>
              <w:rPr>
                <w:rFonts w:ascii="宋体" w:hAnsi="宋体" w:cs="宋体" w:eastAsia="宋体" w:hint="default"/>
                <w:sz w:val="18"/>
                <w:szCs w:val="18"/>
              </w:rPr>
            </w:pPr>
            <w:r>
              <w:rPr>
                <w:rFonts w:ascii="宋体" w:hAnsi="宋体" w:cs="宋体" w:eastAsia="宋体" w:hint="default"/>
                <w:sz w:val="18"/>
                <w:szCs w:val="18"/>
              </w:rPr>
              <w:t>根据重大资产重组非 公开发行股票解锁条 件分三次进行解锁。</w:t>
            </w: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3,940,333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3,940,333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8"/>
              <w:jc w:val="both"/>
              <w:rPr>
                <w:rFonts w:ascii="宋体" w:hAnsi="宋体" w:cs="宋体" w:eastAsia="宋体" w:hint="default"/>
                <w:sz w:val="18"/>
                <w:szCs w:val="18"/>
              </w:rPr>
            </w:pPr>
            <w:r>
              <w:rPr>
                <w:rFonts w:ascii="宋体" w:hAnsi="宋体" w:cs="宋体" w:eastAsia="宋体" w:hint="default"/>
                <w:sz w:val="18"/>
                <w:szCs w:val="18"/>
              </w:rPr>
              <w:t>根据重大资产重组非 公开发行股票解锁条 件分三次进行解锁。</w:t>
            </w:r>
          </w:p>
        </w:tc>
      </w:tr>
      <w:tr>
        <w:trPr>
          <w:trHeight w:val="415" w:hRule="exact"/>
        </w:trPr>
        <w:tc>
          <w:tcPr>
            <w:tcW w:w="9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2,461,315</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2,461,315</w:t>
            </w:r>
          </w:p>
        </w:tc>
        <w:tc>
          <w:tcPr>
            <w:tcW w:w="2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根据重大资产重组非</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995"/>
        <w:gridCol w:w="1134"/>
        <w:gridCol w:w="1416"/>
        <w:gridCol w:w="993"/>
        <w:gridCol w:w="1134"/>
        <w:gridCol w:w="2128"/>
        <w:gridCol w:w="1773"/>
      </w:tblGrid>
      <w:tr>
        <w:trPr>
          <w:trHeight w:val="686" w:hRule="exact"/>
        </w:trPr>
        <w:tc>
          <w:tcPr>
            <w:tcW w:w="995" w:type="dxa"/>
            <w:tcBorders>
              <w:top w:val="single" w:sz="12" w:space="0" w:color="000000"/>
              <w:left w:val="single" w:sz="12"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1416" w:type="dxa"/>
            <w:tcBorders>
              <w:top w:val="single" w:sz="12" w:space="0" w:color="000000"/>
              <w:left w:val="single" w:sz="6" w:space="0" w:color="000000"/>
              <w:bottom w:val="single" w:sz="6" w:space="0" w:color="000000"/>
              <w:right w:val="single" w:sz="6" w:space="0" w:color="000000"/>
            </w:tcBorders>
          </w:tcPr>
          <w:p>
            <w:pPr/>
          </w:p>
        </w:tc>
        <w:tc>
          <w:tcPr>
            <w:tcW w:w="993" w:type="dxa"/>
            <w:tcBorders>
              <w:top w:val="single" w:sz="12" w:space="0" w:color="000000"/>
              <w:left w:val="single" w:sz="6"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2128" w:type="dxa"/>
            <w:tcBorders>
              <w:top w:val="single" w:sz="12" w:space="0" w:color="000000"/>
              <w:left w:val="single" w:sz="6" w:space="0" w:color="000000"/>
              <w:bottom w:val="single" w:sz="6" w:space="0" w:color="000000"/>
              <w:right w:val="single" w:sz="6" w:space="0" w:color="000000"/>
            </w:tcBorders>
          </w:tcPr>
          <w:p>
            <w:pPr/>
          </w:p>
        </w:tc>
        <w:tc>
          <w:tcPr>
            <w:tcW w:w="1773"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10"/>
              <w:ind w:left="20" w:right="108"/>
              <w:jc w:val="left"/>
              <w:rPr>
                <w:rFonts w:ascii="宋体" w:hAnsi="宋体" w:cs="宋体" w:eastAsia="宋体" w:hint="default"/>
                <w:sz w:val="18"/>
                <w:szCs w:val="18"/>
              </w:rPr>
            </w:pPr>
            <w:r>
              <w:rPr>
                <w:rFonts w:ascii="宋体" w:hAnsi="宋体" w:cs="宋体" w:eastAsia="宋体" w:hint="default"/>
                <w:sz w:val="18"/>
                <w:szCs w:val="18"/>
              </w:rPr>
              <w:t>公开发行股票解锁条 件分三次进行解锁。</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2,215,067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2,215,067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28"/>
              <w:jc w:val="right"/>
              <w:rPr>
                <w:rFonts w:ascii="宋体" w:hAnsi="宋体" w:cs="宋体" w:eastAsia="宋体" w:hint="default"/>
                <w:sz w:val="18"/>
                <w:szCs w:val="18"/>
              </w:rPr>
            </w:pPr>
            <w:r>
              <w:rPr>
                <w:rFonts w:ascii="宋体"/>
                <w:sz w:val="18"/>
              </w:rPr>
              <w:t>2016-01-09</w:t>
            </w:r>
          </w:p>
        </w:tc>
      </w:tr>
      <w:tr>
        <w:trPr>
          <w:trHeight w:val="408"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缪品章</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1,034,006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1,034,006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828"/>
              <w:jc w:val="right"/>
              <w:rPr>
                <w:rFonts w:ascii="宋体" w:hAnsi="宋体" w:cs="宋体" w:eastAsia="宋体" w:hint="default"/>
                <w:sz w:val="18"/>
                <w:szCs w:val="18"/>
              </w:rPr>
            </w:pPr>
            <w:r>
              <w:rPr>
                <w:rFonts w:ascii="宋体"/>
                <w:sz w:val="18"/>
              </w:rPr>
              <w:t>2016-01-09</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李扬</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979,185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979,185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28"/>
              <w:jc w:val="right"/>
              <w:rPr>
                <w:rFonts w:ascii="宋体" w:hAnsi="宋体" w:cs="宋体" w:eastAsia="宋体" w:hint="default"/>
                <w:sz w:val="18"/>
                <w:szCs w:val="18"/>
              </w:rPr>
            </w:pPr>
            <w:r>
              <w:rPr>
                <w:rFonts w:ascii="宋体"/>
                <w:sz w:val="18"/>
              </w:rPr>
              <w:t>2016-01-09</w:t>
            </w: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57"/>
              <w:jc w:val="both"/>
              <w:rPr>
                <w:rFonts w:ascii="宋体" w:hAnsi="宋体" w:cs="宋体" w:eastAsia="宋体" w:hint="default"/>
                <w:sz w:val="18"/>
                <w:szCs w:val="18"/>
              </w:rPr>
            </w:pPr>
            <w:r>
              <w:rPr>
                <w:rFonts w:ascii="宋体" w:hAnsi="宋体" w:cs="宋体" w:eastAsia="宋体" w:hint="default"/>
                <w:sz w:val="18"/>
                <w:szCs w:val="18"/>
              </w:rPr>
              <w:t>芜湖华顺置 业投资有限 责任公司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858,553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858,553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8"/>
              <w:jc w:val="both"/>
              <w:rPr>
                <w:rFonts w:ascii="宋体" w:hAnsi="宋体" w:cs="宋体" w:eastAsia="宋体" w:hint="default"/>
                <w:sz w:val="18"/>
                <w:szCs w:val="18"/>
              </w:rPr>
            </w:pPr>
            <w:r>
              <w:rPr>
                <w:rFonts w:ascii="宋体" w:hAnsi="宋体" w:cs="宋体" w:eastAsia="宋体" w:hint="default"/>
                <w:sz w:val="18"/>
                <w:szCs w:val="18"/>
              </w:rPr>
              <w:t>根据重大资产重组非 公开发行股票解锁条 件分三次进行解锁。</w:t>
            </w: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许金炉</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668,670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668,670</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8"/>
              <w:jc w:val="both"/>
              <w:rPr>
                <w:rFonts w:ascii="宋体" w:hAnsi="宋体" w:cs="宋体" w:eastAsia="宋体" w:hint="default"/>
                <w:sz w:val="18"/>
                <w:szCs w:val="18"/>
              </w:rPr>
            </w:pPr>
            <w:r>
              <w:rPr>
                <w:rFonts w:ascii="宋体" w:hAnsi="宋体" w:cs="宋体" w:eastAsia="宋体" w:hint="default"/>
                <w:sz w:val="18"/>
                <w:szCs w:val="18"/>
              </w:rPr>
              <w:t>根据重大资产重组非 公开发行股票解锁条 件分三次进行解锁。</w:t>
            </w: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 w:right="0"/>
              <w:jc w:val="left"/>
              <w:rPr>
                <w:rFonts w:ascii="宋体" w:hAnsi="宋体" w:cs="宋体" w:eastAsia="宋体" w:hint="default"/>
                <w:sz w:val="18"/>
                <w:szCs w:val="18"/>
              </w:rPr>
            </w:pPr>
            <w:r>
              <w:rPr>
                <w:rFonts w:ascii="宋体" w:hAnsi="宋体" w:cs="宋体" w:eastAsia="宋体" w:hint="default"/>
                <w:sz w:val="18"/>
                <w:szCs w:val="18"/>
              </w:rPr>
              <w:t>刘智良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宋体" w:hAnsi="宋体" w:cs="宋体" w:eastAsia="宋体" w:hint="default"/>
                <w:sz w:val="18"/>
                <w:szCs w:val="18"/>
              </w:rPr>
            </w:pPr>
            <w:r>
              <w:rPr>
                <w:rFonts w:ascii="宋体"/>
                <w:sz w:val="18"/>
              </w:rPr>
              <w:t>471,037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471,037</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08"/>
              <w:jc w:val="both"/>
              <w:rPr>
                <w:rFonts w:ascii="宋体" w:hAnsi="宋体" w:cs="宋体" w:eastAsia="宋体" w:hint="default"/>
                <w:sz w:val="18"/>
                <w:szCs w:val="18"/>
              </w:rPr>
            </w:pPr>
            <w:r>
              <w:rPr>
                <w:rFonts w:ascii="宋体" w:hAnsi="宋体" w:cs="宋体" w:eastAsia="宋体" w:hint="default"/>
                <w:sz w:val="18"/>
                <w:szCs w:val="18"/>
              </w:rPr>
              <w:t>根据重大资产重组非 公开发行股票解锁条 件分三次进行解锁。</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梁一红</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393,374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393,374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28"/>
              <w:jc w:val="right"/>
              <w:rPr>
                <w:rFonts w:ascii="宋体" w:hAnsi="宋体" w:cs="宋体" w:eastAsia="宋体" w:hint="default"/>
                <w:sz w:val="18"/>
                <w:szCs w:val="18"/>
              </w:rPr>
            </w:pPr>
            <w:r>
              <w:rPr>
                <w:rFonts w:ascii="宋体"/>
                <w:sz w:val="18"/>
              </w:rPr>
              <w:t>2016-01-09</w:t>
            </w:r>
          </w:p>
        </w:tc>
      </w:tr>
      <w:tr>
        <w:trPr>
          <w:trHeight w:val="408"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叶明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393,374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393,374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28"/>
              <w:jc w:val="right"/>
              <w:rPr>
                <w:rFonts w:ascii="宋体" w:hAnsi="宋体" w:cs="宋体" w:eastAsia="宋体" w:hint="default"/>
                <w:sz w:val="18"/>
                <w:szCs w:val="18"/>
              </w:rPr>
            </w:pPr>
            <w:r>
              <w:rPr>
                <w:rFonts w:ascii="宋体"/>
                <w:sz w:val="18"/>
              </w:rPr>
              <w:t>2016-01-09</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刘光江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349,989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349,989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28"/>
              <w:jc w:val="right"/>
              <w:rPr>
                <w:rFonts w:ascii="宋体" w:hAnsi="宋体" w:cs="宋体" w:eastAsia="宋体" w:hint="default"/>
                <w:sz w:val="18"/>
                <w:szCs w:val="18"/>
              </w:rPr>
            </w:pPr>
            <w:r>
              <w:rPr>
                <w:rFonts w:ascii="宋体"/>
                <w:sz w:val="18"/>
              </w:rPr>
              <w:t>2016-01-09</w:t>
            </w: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黄开坚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339,495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339,495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8"/>
              <w:jc w:val="both"/>
              <w:rPr>
                <w:rFonts w:ascii="宋体" w:hAnsi="宋体" w:cs="宋体" w:eastAsia="宋体" w:hint="default"/>
                <w:sz w:val="18"/>
                <w:szCs w:val="18"/>
              </w:rPr>
            </w:pPr>
            <w:r>
              <w:rPr>
                <w:rFonts w:ascii="宋体" w:hAnsi="宋体" w:cs="宋体" w:eastAsia="宋体" w:hint="default"/>
                <w:sz w:val="18"/>
                <w:szCs w:val="18"/>
              </w:rPr>
              <w:t>根据重大资产重组非 公开发行股票解锁条 件分三次进行解锁。</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邱宇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97,219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97,219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28"/>
              <w:jc w:val="right"/>
              <w:rPr>
                <w:rFonts w:ascii="宋体" w:hAnsi="宋体" w:cs="宋体" w:eastAsia="宋体" w:hint="default"/>
                <w:sz w:val="18"/>
                <w:szCs w:val="18"/>
              </w:rPr>
            </w:pPr>
            <w:r>
              <w:rPr>
                <w:rFonts w:ascii="宋体"/>
                <w:sz w:val="18"/>
              </w:rPr>
              <w:t>2016-01-09</w:t>
            </w: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王锐</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97,219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97,219</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28"/>
              <w:jc w:val="right"/>
              <w:rPr>
                <w:rFonts w:ascii="宋体" w:hAnsi="宋体" w:cs="宋体" w:eastAsia="宋体" w:hint="default"/>
                <w:sz w:val="18"/>
                <w:szCs w:val="18"/>
              </w:rPr>
            </w:pPr>
            <w:r>
              <w:rPr>
                <w:rFonts w:ascii="宋体"/>
                <w:sz w:val="18"/>
              </w:rPr>
              <w:t>2016-01-09</w:t>
            </w:r>
          </w:p>
        </w:tc>
      </w:tr>
      <w:tr>
        <w:trPr>
          <w:trHeight w:val="415" w:hRule="exact"/>
        </w:trPr>
        <w:tc>
          <w:tcPr>
            <w:tcW w:w="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50,141,339</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14,637,871</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28,511,478</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64,014,946</w:t>
            </w:r>
          </w:p>
        </w:tc>
        <w:tc>
          <w:tcPr>
            <w:tcW w:w="212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77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right="779"/>
              <w:jc w:val="right"/>
              <w:rPr>
                <w:rFonts w:ascii="宋体" w:hAnsi="宋体" w:cs="宋体" w:eastAsia="宋体" w:hint="default"/>
                <w:sz w:val="18"/>
                <w:szCs w:val="18"/>
              </w:rPr>
            </w:pPr>
            <w:r>
              <w:rPr>
                <w:rFonts w:ascii="宋体"/>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5"/>
        <w:ind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情况" w:id="79"/>
      <w:bookmarkEnd w:id="79"/>
      <w:r>
        <w:rPr>
          <w:b w:val="0"/>
          <w:bCs w:val="0"/>
        </w:rPr>
      </w:r>
      <w:r>
        <w:rPr>
          <w:rFonts w:ascii="宋体" w:hAnsi="宋体" w:cs="宋体" w:eastAsia="宋体" w:hint="default"/>
        </w:rPr>
        <w:t>1</w:t>
      </w:r>
      <w:r>
        <w:rPr/>
        <w:t>、报告期内证券发行情况</w:t>
      </w:r>
      <w:r>
        <w:rPr>
          <w:b w:val="0"/>
          <w:bCs w:val="0"/>
        </w:rPr>
      </w:r>
    </w:p>
    <w:p>
      <w:pPr>
        <w:spacing w:line="240" w:lineRule="auto" w:before="1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366"/>
        <w:gridCol w:w="1368"/>
        <w:gridCol w:w="1367"/>
        <w:gridCol w:w="1368"/>
        <w:gridCol w:w="1367"/>
        <w:gridCol w:w="1367"/>
      </w:tblGrid>
      <w:tr>
        <w:trPr>
          <w:trHeight w:val="727" w:hRule="exact"/>
        </w:trPr>
        <w:tc>
          <w:tcPr>
            <w:tcW w:w="13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398" w:right="46"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496" w:right="45"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86" w:right="45"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31" w:hRule="exact"/>
        </w:trPr>
        <w:tc>
          <w:tcPr>
            <w:tcW w:w="1369"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2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年重大资产 重组向交易对方 发行股份</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15.53</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22,820,347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22,820,347</w:t>
            </w:r>
          </w:p>
        </w:tc>
        <w:tc>
          <w:tcPr>
            <w:tcW w:w="1367"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369"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71"/>
              <w:ind w:left="13" w:right="2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年重大资产 重组募集配套资</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29.52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5,691,056</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5,691,056</w:t>
            </w:r>
          </w:p>
        </w:tc>
        <w:tc>
          <w:tcPr>
            <w:tcW w:w="136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369"/>
        <w:gridCol w:w="1366"/>
        <w:gridCol w:w="1368"/>
        <w:gridCol w:w="1367"/>
        <w:gridCol w:w="1368"/>
        <w:gridCol w:w="1367"/>
        <w:gridCol w:w="1361"/>
      </w:tblGrid>
      <w:tr>
        <w:trPr>
          <w:trHeight w:val="374" w:hRule="exact"/>
        </w:trPr>
        <w:tc>
          <w:tcPr>
            <w:tcW w:w="13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金发行股份</w:t>
            </w:r>
          </w:p>
        </w:tc>
        <w:tc>
          <w:tcPr>
            <w:tcW w:w="1366"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1"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9566"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15" w:hRule="exact"/>
        </w:trPr>
        <w:tc>
          <w:tcPr>
            <w:tcW w:w="9566" w:type="dxa"/>
            <w:gridSpan w:val="7"/>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公司股份总数及股东结构的变动、公司资产和负债结构的变动情况说明" w:id="80"/>
      <w:bookmarkEnd w:id="80"/>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pStyle w:val="BodyText"/>
        <w:spacing w:line="408" w:lineRule="auto" w:before="0"/>
        <w:ind w:right="128" w:firstLine="420"/>
        <w:jc w:val="both"/>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日，汉威电子发行股份购买资产及募集配套资金的股份向中国证券登记结算有限责 </w:t>
      </w:r>
      <w:r>
        <w:rPr>
          <w:spacing w:val="-1"/>
        </w:rPr>
        <w:t>任公司深圳分公司进行登记，其中非公开发行股份购买资产股份发行数量为</w:t>
      </w:r>
      <w:r>
        <w:rPr>
          <w:rFonts w:ascii="宋体" w:hAnsi="宋体" w:cs="宋体" w:eastAsia="宋体" w:hint="default"/>
          <w:spacing w:val="-1"/>
        </w:rPr>
        <w:t>2,282.0347</w:t>
      </w:r>
      <w:r>
        <w:rPr>
          <w:spacing w:val="-1"/>
        </w:rPr>
        <w:t>万股，募集配套资</w:t>
      </w:r>
      <w:r>
        <w:rPr>
          <w:spacing w:val="-77"/>
        </w:rPr>
        <w:t> </w:t>
      </w:r>
      <w:r>
        <w:rPr>
          <w:spacing w:val="-77"/>
        </w:rPr>
      </w:r>
      <w:r>
        <w:rPr/>
        <w:t>金的股份发行数量为</w:t>
      </w:r>
      <w:r>
        <w:rPr>
          <w:rFonts w:ascii="宋体" w:hAnsi="宋体" w:cs="宋体" w:eastAsia="宋体" w:hint="default"/>
        </w:rPr>
        <w:t>569.1056</w:t>
      </w:r>
      <w:r>
        <w:rPr/>
        <w:t>万股，股份登记完成后公司总股本由</w:t>
      </w:r>
      <w:r>
        <w:rPr>
          <w:rFonts w:ascii="宋体" w:hAnsi="宋体" w:cs="宋体" w:eastAsia="宋体" w:hint="default"/>
        </w:rPr>
        <w:t>11,800</w:t>
      </w:r>
      <w:r>
        <w:rPr/>
        <w:t>万股变更为</w:t>
      </w:r>
      <w:r>
        <w:rPr>
          <w:rFonts w:ascii="宋体" w:hAnsi="宋体" w:cs="宋体" w:eastAsia="宋体" w:hint="default"/>
        </w:rPr>
        <w:t>14,651.1403</w:t>
      </w:r>
      <w:r>
        <w:rPr/>
        <w:t>万股，</w:t>
      </w:r>
      <w:r>
        <w:rPr>
          <w:spacing w:val="-33"/>
        </w:rPr>
        <w:t> </w:t>
      </w:r>
      <w:r>
        <w:rPr>
          <w:spacing w:val="-33"/>
        </w:rPr>
      </w:r>
      <w:r>
        <w:rPr/>
        <w:t>发行前限售流通股为</w:t>
      </w:r>
      <w:r>
        <w:rPr>
          <w:rFonts w:ascii="宋体" w:hAnsi="宋体" w:cs="宋体" w:eastAsia="宋体" w:hint="default"/>
        </w:rPr>
        <w:t>35,503,543</w:t>
      </w:r>
      <w:r>
        <w:rPr/>
        <w:t>股，无限售流通股为</w:t>
      </w:r>
      <w:r>
        <w:rPr>
          <w:rFonts w:ascii="宋体" w:hAnsi="宋体" w:cs="宋体" w:eastAsia="宋体" w:hint="default"/>
        </w:rPr>
        <w:t>82,496,457</w:t>
      </w:r>
      <w:r>
        <w:rPr/>
        <w:t>股，发行后限售流通股为</w:t>
      </w:r>
      <w:r>
        <w:rPr>
          <w:rFonts w:ascii="宋体" w:hAnsi="宋体" w:cs="宋体" w:eastAsia="宋体" w:hint="default"/>
        </w:rPr>
        <w:t>64,014,946</w:t>
      </w:r>
      <w:r>
        <w:rPr/>
        <w:t>股，</w:t>
      </w:r>
      <w:r>
        <w:rPr>
          <w:spacing w:val="1"/>
        </w:rPr>
        <w:t> </w:t>
      </w:r>
      <w:r>
        <w:rPr/>
        <w:t>无限售流通股为</w:t>
      </w:r>
      <w:r>
        <w:rPr>
          <w:rFonts w:ascii="宋体" w:hAnsi="宋体" w:cs="宋体" w:eastAsia="宋体" w:hint="default"/>
        </w:rPr>
        <w:t>82,496,457</w:t>
      </w:r>
      <w:r>
        <w:rPr/>
        <w:t>股。具体信息请查阅公司于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9</w:t>
      </w:r>
      <w:r>
        <w:rPr/>
        <w:t>日在巨潮资讯网刊登的公告。</w:t>
      </w:r>
    </w:p>
    <w:p>
      <w:pPr>
        <w:pStyle w:val="BodyText"/>
        <w:spacing w:line="408" w:lineRule="auto"/>
        <w:ind w:right="129" w:firstLine="420"/>
        <w:jc w:val="both"/>
      </w:pPr>
      <w:r>
        <w:rPr>
          <w:rFonts w:ascii="宋体" w:hAnsi="宋体" w:cs="宋体" w:eastAsia="宋体" w:hint="default"/>
        </w:rPr>
        <w:t>2</w:t>
      </w:r>
      <w:r>
        <w:rPr/>
        <w:t>、非公开发行前公司资产总额为</w:t>
      </w:r>
      <w:r>
        <w:rPr>
          <w:rFonts w:ascii="宋体" w:hAnsi="宋体" w:cs="宋体" w:eastAsia="宋体" w:hint="default"/>
        </w:rPr>
        <w:t>89,700.83</w:t>
      </w:r>
      <w:r>
        <w:rPr/>
        <w:t>万元，负债总额为</w:t>
      </w:r>
      <w:r>
        <w:rPr>
          <w:rFonts w:ascii="宋体" w:hAnsi="宋体" w:cs="宋体" w:eastAsia="宋体" w:hint="default"/>
        </w:rPr>
        <w:t>20,956.08</w:t>
      </w:r>
      <w:r>
        <w:rPr/>
        <w:t>万元，发行完成后的资产总</w:t>
      </w:r>
      <w:r>
        <w:rPr>
          <w:spacing w:val="2"/>
        </w:rPr>
        <w:t> </w:t>
      </w:r>
      <w:r>
        <w:rPr/>
        <w:t>额为</w:t>
      </w:r>
      <w:r>
        <w:rPr>
          <w:rFonts w:ascii="宋体" w:hAnsi="宋体" w:cs="宋体" w:eastAsia="宋体" w:hint="default"/>
        </w:rPr>
        <w:t>166,690.16</w:t>
      </w:r>
      <w:r>
        <w:rPr/>
        <w:t>万元，负债总额为</w:t>
      </w:r>
      <w:r>
        <w:rPr>
          <w:rFonts w:ascii="宋体" w:hAnsi="宋体" w:cs="宋体" w:eastAsia="宋体" w:hint="default"/>
        </w:rPr>
        <w:t>45,066.80</w:t>
      </w:r>
      <w:r>
        <w:rPr/>
        <w:t>万元，交易完成后公司资产总额、负债总额分别较交易完成</w:t>
      </w:r>
      <w:r>
        <w:rPr>
          <w:spacing w:val="-35"/>
        </w:rPr>
        <w:t> </w:t>
      </w:r>
      <w:r>
        <w:rPr>
          <w:spacing w:val="-35"/>
        </w:rPr>
      </w:r>
      <w:r>
        <w:rPr/>
        <w:t>前增长</w:t>
      </w:r>
      <w:r>
        <w:rPr>
          <w:rFonts w:ascii="宋体" w:hAnsi="宋体" w:cs="宋体" w:eastAsia="宋体" w:hint="default"/>
        </w:rPr>
        <w:t>85.83%</w:t>
      </w:r>
      <w:r>
        <w:rPr/>
        <w:t>、</w:t>
      </w:r>
      <w:r>
        <w:rPr>
          <w:rFonts w:ascii="宋体" w:hAnsi="宋体" w:cs="宋体" w:eastAsia="宋体" w:hint="default"/>
        </w:rPr>
        <w:t>115.00%</w:t>
      </w:r>
      <w:r>
        <w:rPr/>
        <w:t>。本次交易完成后，上市公司的总资产规模、归属于母公司股东权益规模及归属</w:t>
      </w:r>
      <w:r>
        <w:rPr>
          <w:spacing w:val="-35"/>
        </w:rPr>
        <w:t> </w:t>
      </w:r>
      <w:r>
        <w:rPr>
          <w:spacing w:val="-35"/>
        </w:rPr>
      </w:r>
      <w:r>
        <w:rPr/>
        <w:t>于母公司股东的净利润水平都将得到提升，有利于进一步提升上市公司的综合竞争能力、市场拓展能力、</w:t>
      </w:r>
      <w:r>
        <w:rPr/>
        <w:t> 资源控制能力和后续发展能力，提升公司的盈利水平，增强上市公司的抗风险能力和可持续发展的能力， 增加对股东的回报。具体信息请查阅公司于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9</w:t>
      </w:r>
      <w:r>
        <w:rPr/>
        <w:t>日在巨潮资讯网刊登的公告。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82"/>
      <w:bookmarkEnd w:id="82"/>
      <w:r>
        <w:rPr>
          <w:b w:val="0"/>
          <w:bCs w:val="0"/>
        </w:rPr>
      </w:r>
      <w:r>
        <w:rPr>
          <w:rFonts w:ascii="宋体" w:hAnsi="宋体" w:cs="宋体" w:eastAsia="宋体" w:hint="default"/>
        </w:rPr>
        <w:t>1</w:t>
      </w:r>
      <w:r>
        <w:rPr/>
        <w:t>、公司股东数量及持股情况</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61"/>
        <w:gridCol w:w="850"/>
        <w:gridCol w:w="213"/>
        <w:gridCol w:w="639"/>
        <w:gridCol w:w="1029"/>
        <w:gridCol w:w="955"/>
        <w:gridCol w:w="1418"/>
        <w:gridCol w:w="1134"/>
        <w:gridCol w:w="148"/>
        <w:gridCol w:w="701"/>
        <w:gridCol w:w="920"/>
      </w:tblGrid>
      <w:tr>
        <w:trPr>
          <w:trHeight w:val="423" w:hRule="exact"/>
        </w:trPr>
        <w:tc>
          <w:tcPr>
            <w:tcW w:w="2624" w:type="dxa"/>
            <w:gridSpan w:val="3"/>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68" w:type="dxa"/>
            <w:gridSpan w:val="2"/>
            <w:tcBorders>
              <w:top w:val="single" w:sz="12" w:space="0" w:color="000000"/>
              <w:left w:val="single" w:sz="14" w:space="0" w:color="D2D2D2"/>
              <w:bottom w:val="single" w:sz="6" w:space="0" w:color="000000"/>
              <w:right w:val="single" w:sz="9"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5,948</w:t>
            </w:r>
          </w:p>
        </w:tc>
        <w:tc>
          <w:tcPr>
            <w:tcW w:w="3656"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621" w:type="dxa"/>
            <w:gridSpan w:val="2"/>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5,715</w:t>
            </w:r>
          </w:p>
        </w:tc>
      </w:tr>
      <w:tr>
        <w:trPr>
          <w:trHeight w:val="398" w:hRule="exact"/>
        </w:trPr>
        <w:tc>
          <w:tcPr>
            <w:tcW w:w="9569"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164" w:hRule="exact"/>
        </w:trPr>
        <w:tc>
          <w:tcPr>
            <w:tcW w:w="1561" w:type="dxa"/>
            <w:vMerge w:val="restart"/>
            <w:tcBorders>
              <w:top w:val="single" w:sz="6" w:space="0" w:color="000000"/>
              <w:left w:val="single" w:sz="12" w:space="0" w:color="000000"/>
              <w:right w:val="single" w:sz="6" w:space="0" w:color="000000"/>
            </w:tcBorders>
            <w:shd w:val="clear" w:color="auto" w:fill="D2D2D2"/>
          </w:tcPr>
          <w:p>
            <w:pPr/>
          </w:p>
        </w:tc>
        <w:tc>
          <w:tcPr>
            <w:tcW w:w="850" w:type="dxa"/>
            <w:vMerge w:val="restart"/>
            <w:tcBorders>
              <w:top w:val="single" w:sz="6" w:space="0" w:color="000000"/>
              <w:left w:val="single" w:sz="6" w:space="0" w:color="000000"/>
              <w:right w:val="single" w:sz="6" w:space="0" w:color="000000"/>
            </w:tcBorders>
            <w:shd w:val="clear" w:color="auto" w:fill="D2D2D2"/>
          </w:tcPr>
          <w:p>
            <w:pPr/>
          </w:p>
        </w:tc>
        <w:tc>
          <w:tcPr>
            <w:tcW w:w="852" w:type="dxa"/>
            <w:gridSpan w:val="2"/>
            <w:vMerge w:val="restart"/>
            <w:tcBorders>
              <w:top w:val="single" w:sz="6" w:space="0" w:color="000000"/>
              <w:left w:val="single" w:sz="6" w:space="0" w:color="000000"/>
              <w:right w:val="single" w:sz="6" w:space="0" w:color="000000"/>
            </w:tcBorders>
            <w:shd w:val="clear" w:color="auto" w:fill="D2D2D2"/>
          </w:tcPr>
          <w:p>
            <w:pPr/>
          </w:p>
        </w:tc>
        <w:tc>
          <w:tcPr>
            <w:tcW w:w="1029" w:type="dxa"/>
            <w:tcBorders>
              <w:top w:val="single" w:sz="6" w:space="0" w:color="000000"/>
              <w:left w:val="single" w:sz="6" w:space="0" w:color="000000"/>
              <w:bottom w:val="nil" w:sz="6" w:space="0" w:color="auto"/>
              <w:right w:val="single" w:sz="6" w:space="0" w:color="000000"/>
            </w:tcBorders>
            <w:shd w:val="clear" w:color="auto" w:fill="D2D2D2"/>
          </w:tcPr>
          <w:p>
            <w:pPr/>
          </w:p>
        </w:tc>
        <w:tc>
          <w:tcPr>
            <w:tcW w:w="9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8"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109" w:right="10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69" w:type="dxa"/>
            <w:gridSpan w:val="3"/>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1" w:type="dxa"/>
            <w:vMerge/>
            <w:tcBorders>
              <w:left w:val="single" w:sz="12" w:space="0" w:color="000000"/>
              <w:bottom w:val="nil" w:sz="6" w:space="0" w:color="auto"/>
              <w:right w:val="single" w:sz="6" w:space="0" w:color="000000"/>
            </w:tcBorders>
            <w:shd w:val="clear" w:color="auto" w:fill="D2D2D2"/>
          </w:tcPr>
          <w:p>
            <w:pPr/>
          </w:p>
        </w:tc>
        <w:tc>
          <w:tcPr>
            <w:tcW w:w="850" w:type="dxa"/>
            <w:vMerge/>
            <w:tcBorders>
              <w:left w:val="single" w:sz="6" w:space="0" w:color="000000"/>
              <w:bottom w:val="nil" w:sz="6" w:space="0" w:color="auto"/>
              <w:right w:val="single" w:sz="6" w:space="0" w:color="000000"/>
            </w:tcBorders>
            <w:shd w:val="clear" w:color="auto" w:fill="D2D2D2"/>
          </w:tcPr>
          <w:p>
            <w:pPr/>
          </w:p>
        </w:tc>
        <w:tc>
          <w:tcPr>
            <w:tcW w:w="852" w:type="dxa"/>
            <w:gridSpan w:val="2"/>
            <w:vMerge/>
            <w:tcBorders>
              <w:left w:val="single" w:sz="6" w:space="0" w:color="000000"/>
              <w:bottom w:val="nil" w:sz="6" w:space="0" w:color="auto"/>
              <w:right w:val="single" w:sz="6" w:space="0" w:color="000000"/>
            </w:tcBorders>
            <w:shd w:val="clear" w:color="auto" w:fill="D2D2D2"/>
          </w:tcPr>
          <w:p>
            <w:pPr/>
          </w:p>
        </w:tc>
        <w:tc>
          <w:tcPr>
            <w:tcW w:w="1029"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218" w:right="7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5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2" w:right="3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51"/>
              <w:ind w:left="250" w:right="71"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1134" w:type="dxa"/>
            <w:vMerge/>
            <w:tcBorders>
              <w:left w:val="single" w:sz="6" w:space="0" w:color="000000"/>
              <w:right w:val="single" w:sz="6" w:space="0" w:color="000000"/>
            </w:tcBorders>
            <w:shd w:val="clear" w:color="auto" w:fill="D2D2D2"/>
          </w:tcPr>
          <w:p>
            <w:pPr/>
          </w:p>
        </w:tc>
        <w:tc>
          <w:tcPr>
            <w:tcW w:w="1769" w:type="dxa"/>
            <w:gridSpan w:val="3"/>
            <w:vMerge/>
            <w:tcBorders>
              <w:left w:val="single" w:sz="6" w:space="0" w:color="000000"/>
              <w:right w:val="single" w:sz="12" w:space="0" w:color="000000"/>
            </w:tcBorders>
            <w:shd w:val="clear" w:color="auto" w:fill="D2D2D2"/>
          </w:tcPr>
          <w:p>
            <w:pPr/>
          </w:p>
        </w:tc>
      </w:tr>
      <w:tr>
        <w:trPr>
          <w:trHeight w:val="141" w:hRule="exact"/>
        </w:trPr>
        <w:tc>
          <w:tcPr>
            <w:tcW w:w="156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29" w:type="dxa"/>
            <w:vMerge/>
            <w:tcBorders>
              <w:left w:val="single" w:sz="6" w:space="0" w:color="000000"/>
              <w:right w:val="single" w:sz="6" w:space="0" w:color="000000"/>
            </w:tcBorders>
            <w:shd w:val="clear" w:color="auto" w:fill="D2D2D2"/>
          </w:tcPr>
          <w:p>
            <w:pPr/>
          </w:p>
        </w:tc>
        <w:tc>
          <w:tcPr>
            <w:tcW w:w="955"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769" w:type="dxa"/>
            <w:gridSpan w:val="3"/>
            <w:vMerge/>
            <w:tcBorders>
              <w:left w:val="single" w:sz="6" w:space="0" w:color="000000"/>
              <w:bottom w:val="single" w:sz="6" w:space="0" w:color="000000"/>
              <w:right w:val="single" w:sz="12" w:space="0" w:color="000000"/>
            </w:tcBorders>
            <w:shd w:val="clear" w:color="auto" w:fill="D2D2D2"/>
          </w:tcPr>
          <w:p>
            <w:pPr/>
          </w:p>
        </w:tc>
      </w:tr>
      <w:tr>
        <w:trPr>
          <w:trHeight w:val="250" w:hRule="exact"/>
        </w:trPr>
        <w:tc>
          <w:tcPr>
            <w:tcW w:w="1561" w:type="dxa"/>
            <w:vMerge/>
            <w:tcBorders>
              <w:left w:val="single" w:sz="12" w:space="0" w:color="000000"/>
              <w:bottom w:val="nil" w:sz="6" w:space="0" w:color="auto"/>
              <w:right w:val="single" w:sz="6" w:space="0" w:color="000000"/>
            </w:tcBorders>
            <w:shd w:val="clear" w:color="auto" w:fill="D2D2D2"/>
          </w:tcPr>
          <w:p>
            <w:pPr/>
          </w:p>
        </w:tc>
        <w:tc>
          <w:tcPr>
            <w:tcW w:w="850" w:type="dxa"/>
            <w:vMerge/>
            <w:tcBorders>
              <w:left w:val="single" w:sz="6" w:space="0" w:color="000000"/>
              <w:bottom w:val="nil" w:sz="6" w:space="0" w:color="auto"/>
              <w:right w:val="single" w:sz="6" w:space="0" w:color="000000"/>
            </w:tcBorders>
            <w:shd w:val="clear" w:color="auto" w:fill="D2D2D2"/>
          </w:tcPr>
          <w:p>
            <w:pPr/>
          </w:p>
        </w:tc>
        <w:tc>
          <w:tcPr>
            <w:tcW w:w="852" w:type="dxa"/>
            <w:gridSpan w:val="2"/>
            <w:vMerge/>
            <w:tcBorders>
              <w:left w:val="single" w:sz="6" w:space="0" w:color="000000"/>
              <w:bottom w:val="nil" w:sz="6" w:space="0" w:color="auto"/>
              <w:right w:val="single" w:sz="6" w:space="0" w:color="000000"/>
            </w:tcBorders>
            <w:shd w:val="clear" w:color="auto" w:fill="D2D2D2"/>
          </w:tcPr>
          <w:p>
            <w:pPr/>
          </w:p>
        </w:tc>
        <w:tc>
          <w:tcPr>
            <w:tcW w:w="1029" w:type="dxa"/>
            <w:vMerge/>
            <w:tcBorders>
              <w:left w:val="single" w:sz="6" w:space="0" w:color="000000"/>
              <w:right w:val="single" w:sz="6" w:space="0" w:color="000000"/>
            </w:tcBorders>
            <w:shd w:val="clear" w:color="auto" w:fill="D2D2D2"/>
          </w:tcPr>
          <w:p>
            <w:pPr/>
          </w:p>
        </w:tc>
        <w:tc>
          <w:tcPr>
            <w:tcW w:w="955"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85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6"/>
              <w:ind w:left="5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6"/>
              <w:ind w:left="27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1" w:type="dxa"/>
            <w:vMerge w:val="restart"/>
            <w:tcBorders>
              <w:top w:val="nil" w:sz="6" w:space="0" w:color="auto"/>
              <w:left w:val="single" w:sz="12" w:space="0" w:color="000000"/>
              <w:right w:val="single" w:sz="6" w:space="0" w:color="000000"/>
            </w:tcBorders>
            <w:shd w:val="clear" w:color="auto" w:fill="D2D2D2"/>
          </w:tcPr>
          <w:p>
            <w:pPr/>
          </w:p>
        </w:tc>
        <w:tc>
          <w:tcPr>
            <w:tcW w:w="850" w:type="dxa"/>
            <w:vMerge w:val="restart"/>
            <w:tcBorders>
              <w:top w:val="nil" w:sz="6" w:space="0" w:color="auto"/>
              <w:left w:val="single" w:sz="6" w:space="0" w:color="000000"/>
              <w:right w:val="single" w:sz="6" w:space="0" w:color="000000"/>
            </w:tcBorders>
            <w:shd w:val="clear" w:color="auto" w:fill="D2D2D2"/>
          </w:tcPr>
          <w:p>
            <w:pPr/>
          </w:p>
        </w:tc>
        <w:tc>
          <w:tcPr>
            <w:tcW w:w="852" w:type="dxa"/>
            <w:gridSpan w:val="2"/>
            <w:vMerge w:val="restart"/>
            <w:tcBorders>
              <w:top w:val="nil" w:sz="6" w:space="0" w:color="auto"/>
              <w:left w:val="single" w:sz="6" w:space="0" w:color="000000"/>
              <w:right w:val="single" w:sz="6" w:space="0" w:color="000000"/>
            </w:tcBorders>
            <w:shd w:val="clear" w:color="auto" w:fill="D2D2D2"/>
          </w:tcPr>
          <w:p>
            <w:pPr/>
          </w:p>
        </w:tc>
        <w:tc>
          <w:tcPr>
            <w:tcW w:w="1029" w:type="dxa"/>
            <w:vMerge/>
            <w:tcBorders>
              <w:left w:val="single" w:sz="6" w:space="0" w:color="000000"/>
              <w:bottom w:val="nil" w:sz="6" w:space="0" w:color="auto"/>
              <w:right w:val="single" w:sz="6" w:space="0" w:color="000000"/>
            </w:tcBorders>
            <w:shd w:val="clear" w:color="auto" w:fill="D2D2D2"/>
          </w:tcPr>
          <w:p>
            <w:pPr/>
          </w:p>
        </w:tc>
        <w:tc>
          <w:tcPr>
            <w:tcW w:w="955"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850" w:type="dxa"/>
            <w:gridSpan w:val="2"/>
            <w:vMerge/>
            <w:tcBorders>
              <w:left w:val="single" w:sz="6" w:space="0" w:color="000000"/>
              <w:right w:val="single" w:sz="6" w:space="0" w:color="000000"/>
            </w:tcBorders>
            <w:shd w:val="clear" w:color="auto" w:fill="D2D2D2"/>
          </w:tcPr>
          <w:p>
            <w:pPr/>
          </w:p>
        </w:tc>
        <w:tc>
          <w:tcPr>
            <w:tcW w:w="920" w:type="dxa"/>
            <w:vMerge/>
            <w:tcBorders>
              <w:left w:val="single" w:sz="6" w:space="0" w:color="000000"/>
              <w:right w:val="single" w:sz="12" w:space="0" w:color="000000"/>
            </w:tcBorders>
            <w:shd w:val="clear" w:color="auto" w:fill="D2D2D2"/>
          </w:tcPr>
          <w:p>
            <w:pPr/>
          </w:p>
        </w:tc>
      </w:tr>
      <w:tr>
        <w:trPr>
          <w:trHeight w:val="163" w:hRule="exact"/>
        </w:trPr>
        <w:tc>
          <w:tcPr>
            <w:tcW w:w="1561" w:type="dxa"/>
            <w:vMerge/>
            <w:tcBorders>
              <w:left w:val="single" w:sz="12" w:space="0" w:color="000000"/>
              <w:bottom w:val="single" w:sz="6" w:space="0" w:color="000000"/>
              <w:right w:val="single" w:sz="6" w:space="0" w:color="000000"/>
            </w:tcBorders>
            <w:shd w:val="clear" w:color="auto" w:fill="D2D2D2"/>
          </w:tcPr>
          <w:p>
            <w:pPr/>
          </w:p>
        </w:tc>
        <w:tc>
          <w:tcPr>
            <w:tcW w:w="850" w:type="dxa"/>
            <w:vMerge/>
            <w:tcBorders>
              <w:left w:val="single" w:sz="6" w:space="0" w:color="000000"/>
              <w:bottom w:val="single" w:sz="6" w:space="0" w:color="000000"/>
              <w:right w:val="single" w:sz="6" w:space="0" w:color="000000"/>
            </w:tcBorders>
            <w:shd w:val="clear" w:color="auto" w:fill="D2D2D2"/>
          </w:tcPr>
          <w:p>
            <w:pPr/>
          </w:p>
        </w:tc>
        <w:tc>
          <w:tcPr>
            <w:tcW w:w="852" w:type="dxa"/>
            <w:gridSpan w:val="2"/>
            <w:vMerge/>
            <w:tcBorders>
              <w:left w:val="single" w:sz="6" w:space="0" w:color="000000"/>
              <w:bottom w:val="single" w:sz="6" w:space="0" w:color="000000"/>
              <w:right w:val="single" w:sz="6" w:space="0" w:color="000000"/>
            </w:tcBorders>
            <w:shd w:val="clear" w:color="auto" w:fill="D2D2D2"/>
          </w:tcPr>
          <w:p>
            <w:pPr/>
          </w:p>
        </w:tc>
        <w:tc>
          <w:tcPr>
            <w:tcW w:w="1029" w:type="dxa"/>
            <w:tcBorders>
              <w:top w:val="nil" w:sz="6" w:space="0" w:color="auto"/>
              <w:left w:val="single" w:sz="6" w:space="0" w:color="000000"/>
              <w:bottom w:val="single" w:sz="6" w:space="0" w:color="000000"/>
              <w:right w:val="single" w:sz="6" w:space="0" w:color="000000"/>
            </w:tcBorders>
            <w:shd w:val="clear" w:color="auto" w:fill="D2D2D2"/>
          </w:tcPr>
          <w:p>
            <w:pPr/>
          </w:p>
        </w:tc>
        <w:tc>
          <w:tcPr>
            <w:tcW w:w="9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8"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850" w:type="dxa"/>
            <w:gridSpan w:val="2"/>
            <w:vMerge/>
            <w:tcBorders>
              <w:left w:val="single" w:sz="6" w:space="0" w:color="000000"/>
              <w:bottom w:val="single" w:sz="6" w:space="0" w:color="000000"/>
              <w:right w:val="single" w:sz="6" w:space="0" w:color="000000"/>
            </w:tcBorders>
            <w:shd w:val="clear" w:color="auto" w:fill="D2D2D2"/>
          </w:tcPr>
          <w:p>
            <w:pPr/>
          </w:p>
        </w:tc>
        <w:tc>
          <w:tcPr>
            <w:tcW w:w="920" w:type="dxa"/>
            <w:vMerge/>
            <w:tcBorders>
              <w:left w:val="single" w:sz="6" w:space="0" w:color="000000"/>
              <w:bottom w:val="single" w:sz="6" w:space="0" w:color="000000"/>
              <w:right w:val="single" w:sz="12" w:space="0" w:color="000000"/>
            </w:tcBorders>
            <w:shd w:val="clear" w:color="auto" w:fill="D2D2D2"/>
          </w:tcPr>
          <w:p>
            <w:pPr/>
          </w:p>
        </w:tc>
      </w:tr>
      <w:tr>
        <w:trPr>
          <w:trHeight w:val="720"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sz w:val="18"/>
              </w:rPr>
              <w:t>21.64%</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31,708,580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31,700,000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8,580</w:t>
            </w:r>
          </w:p>
        </w:tc>
        <w:tc>
          <w:tcPr>
            <w:tcW w:w="850" w:type="dxa"/>
            <w:gridSpan w:val="2"/>
            <w:tcBorders>
              <w:top w:val="single" w:sz="43" w:space="0" w:color="D2D2D2"/>
              <w:left w:val="single" w:sz="6" w:space="0" w:color="000000"/>
              <w:bottom w:val="single" w:sz="6" w:space="0" w:color="000000"/>
              <w:right w:val="single" w:sz="6" w:space="0" w:color="000000"/>
            </w:tcBorders>
          </w:tcPr>
          <w:p>
            <w:pPr>
              <w:pStyle w:val="TableParagraph"/>
              <w:spacing w:line="240" w:lineRule="auto" w:before="161"/>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3" w:space="0" w:color="D2D2D2"/>
              <w:left w:val="single" w:sz="6" w:space="0" w:color="000000"/>
              <w:bottom w:val="single" w:sz="6" w:space="0" w:color="000000"/>
              <w:right w:val="single" w:sz="12" w:space="0" w:color="000000"/>
            </w:tcBorders>
          </w:tcPr>
          <w:p>
            <w:pPr>
              <w:pStyle w:val="TableParagraph"/>
              <w:spacing w:line="240" w:lineRule="auto" w:before="5"/>
              <w:ind w:right="11"/>
              <w:jc w:val="right"/>
              <w:rPr>
                <w:rFonts w:ascii="宋体" w:hAnsi="宋体" w:cs="宋体" w:eastAsia="宋体" w:hint="default"/>
                <w:sz w:val="18"/>
                <w:szCs w:val="18"/>
              </w:rPr>
            </w:pPr>
            <w:r>
              <w:rPr>
                <w:rFonts w:ascii="宋体"/>
                <w:sz w:val="18"/>
              </w:rPr>
              <w:t>31,700,00</w:t>
            </w:r>
          </w:p>
          <w:p>
            <w:pPr>
              <w:pStyle w:val="TableParagraph"/>
              <w:spacing w:line="240" w:lineRule="auto" w:before="76"/>
              <w:ind w:right="11"/>
              <w:jc w:val="right"/>
              <w:rPr>
                <w:rFonts w:ascii="宋体" w:hAnsi="宋体" w:cs="宋体" w:eastAsia="宋体" w:hint="default"/>
                <w:sz w:val="18"/>
                <w:szCs w:val="18"/>
              </w:rPr>
            </w:pPr>
            <w:r>
              <w:rPr>
                <w:rFonts w:ascii="宋体"/>
                <w:sz w:val="18"/>
              </w:rPr>
              <w:t>0</w:t>
            </w: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9.95%</w:t>
            </w:r>
          </w:p>
        </w:tc>
        <w:tc>
          <w:tcPr>
            <w:tcW w:w="1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14,577,140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14,577,140</w:t>
            </w: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15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1"/>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sz w:val="18"/>
              </w:rPr>
              <w:t>5.82%</w:t>
            </w:r>
          </w:p>
        </w:tc>
        <w:tc>
          <w:tcPr>
            <w:tcW w:w="10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8,521,511</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8,521,511</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8,521,511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gridSpan w:val="2"/>
            <w:tcBorders>
              <w:top w:val="single" w:sz="6" w:space="0" w:color="000000"/>
              <w:left w:val="single" w:sz="6" w:space="0" w:color="000000"/>
              <w:bottom w:val="single" w:sz="12" w:space="0" w:color="000000"/>
              <w:right w:val="single" w:sz="6" w:space="0" w:color="000000"/>
            </w:tcBorders>
          </w:tcPr>
          <w:p>
            <w:pPr/>
          </w:p>
        </w:tc>
        <w:tc>
          <w:tcPr>
            <w:tcW w:w="92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561"/>
        <w:gridCol w:w="850"/>
        <w:gridCol w:w="852"/>
        <w:gridCol w:w="992"/>
        <w:gridCol w:w="992"/>
        <w:gridCol w:w="1418"/>
        <w:gridCol w:w="132"/>
        <w:gridCol w:w="1002"/>
        <w:gridCol w:w="385"/>
        <w:gridCol w:w="464"/>
        <w:gridCol w:w="920"/>
      </w:tblGrid>
      <w:tr>
        <w:trPr>
          <w:trHeight w:val="727" w:hRule="exact"/>
        </w:trPr>
        <w:tc>
          <w:tcPr>
            <w:tcW w:w="156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2.69%</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3,940,333</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3,940,333</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3,940,333</w:t>
            </w:r>
          </w:p>
        </w:tc>
        <w:tc>
          <w:tcPr>
            <w:tcW w:w="113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gridSpan w:val="2"/>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1655"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83"/>
              <w:jc w:val="left"/>
              <w:rPr>
                <w:rFonts w:ascii="宋体" w:hAnsi="宋体" w:cs="宋体" w:eastAsia="宋体" w:hint="default"/>
                <w:sz w:val="18"/>
                <w:szCs w:val="18"/>
              </w:rPr>
            </w:pPr>
            <w:r>
              <w:rPr>
                <w:rFonts w:ascii="宋体" w:hAnsi="宋体" w:cs="宋体" w:eastAsia="宋体" w:hint="default"/>
                <w:sz w:val="18"/>
                <w:szCs w:val="18"/>
              </w:rPr>
              <w:t>北信瑞丰基金管理 有限公司</w:t>
            </w:r>
            <w:r>
              <w:rPr>
                <w:rFonts w:ascii="宋体" w:hAnsi="宋体" w:cs="宋体" w:eastAsia="宋体" w:hint="default"/>
                <w:sz w:val="18"/>
                <w:szCs w:val="18"/>
              </w:rPr>
              <w:t>-</w:t>
            </w:r>
            <w:r>
              <w:rPr>
                <w:rFonts w:ascii="宋体" w:hAnsi="宋体" w:cs="宋体" w:eastAsia="宋体" w:hint="default"/>
                <w:sz w:val="18"/>
                <w:szCs w:val="18"/>
              </w:rPr>
              <w:t>宁波银 行</w:t>
            </w:r>
            <w:r>
              <w:rPr>
                <w:rFonts w:ascii="宋体" w:hAnsi="宋体" w:cs="宋体" w:eastAsia="宋体" w:hint="default"/>
                <w:sz w:val="18"/>
                <w:szCs w:val="18"/>
              </w:rPr>
              <w:t>-</w:t>
            </w:r>
            <w:r>
              <w:rPr>
                <w:rFonts w:ascii="宋体" w:hAnsi="宋体" w:cs="宋体" w:eastAsia="宋体" w:hint="default"/>
                <w:sz w:val="18"/>
                <w:szCs w:val="18"/>
              </w:rPr>
              <w:t>北信瑞丰基金 丰庆</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号资产管理 计划</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2.05%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3,000,000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3,000,000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3,000,000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9"/>
              <w:jc w:val="left"/>
              <w:rPr>
                <w:rFonts w:ascii="宋体" w:hAnsi="宋体" w:cs="宋体" w:eastAsia="宋体" w:hint="default"/>
                <w:sz w:val="18"/>
                <w:szCs w:val="18"/>
              </w:rPr>
            </w:pPr>
            <w:r>
              <w:rPr>
                <w:rFonts w:ascii="宋体" w:hAnsi="宋体" w:cs="宋体" w:eastAsia="宋体" w:hint="default"/>
                <w:sz w:val="18"/>
                <w:szCs w:val="18"/>
              </w:rPr>
              <w:t>华融国际信托有限 责任公司</w:t>
            </w:r>
            <w:r>
              <w:rPr>
                <w:rFonts w:ascii="宋体" w:hAnsi="宋体" w:cs="宋体" w:eastAsia="宋体" w:hint="default"/>
                <w:sz w:val="18"/>
                <w:szCs w:val="18"/>
              </w:rPr>
              <w:t>-</w:t>
            </w:r>
            <w:r>
              <w:rPr>
                <w:rFonts w:ascii="宋体" w:hAnsi="宋体" w:cs="宋体" w:eastAsia="宋体" w:hint="default"/>
                <w:sz w:val="18"/>
                <w:szCs w:val="18"/>
              </w:rPr>
              <w:t>华 融·汇盈</w:t>
            </w:r>
            <w:r>
              <w:rPr>
                <w:rFonts w:ascii="宋体" w:hAnsi="宋体" w:cs="宋体" w:eastAsia="宋体" w:hint="default"/>
                <w:spacing w:val="-59"/>
                <w:sz w:val="18"/>
                <w:szCs w:val="18"/>
              </w:rPr>
              <w:t> </w:t>
            </w:r>
            <w:r>
              <w:rPr>
                <w:rFonts w:ascii="宋体" w:hAnsi="宋体" w:cs="宋体" w:eastAsia="宋体" w:hint="default"/>
                <w:sz w:val="18"/>
                <w:szCs w:val="18"/>
              </w:rPr>
              <w:t>32</w:t>
            </w:r>
            <w:r>
              <w:rPr>
                <w:rFonts w:ascii="宋体" w:hAnsi="宋体" w:cs="宋体" w:eastAsia="宋体" w:hint="default"/>
                <w:spacing w:val="-59"/>
                <w:sz w:val="18"/>
                <w:szCs w:val="18"/>
              </w:rPr>
              <w:t> </w:t>
            </w:r>
            <w:r>
              <w:rPr>
                <w:rFonts w:ascii="宋体" w:hAnsi="宋体" w:cs="宋体" w:eastAsia="宋体" w:hint="default"/>
                <w:sz w:val="18"/>
                <w:szCs w:val="18"/>
              </w:rPr>
              <w:t>号证券 投资单一资金信托</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1.87%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2,741,834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2,741,834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7" w:right="0"/>
              <w:jc w:val="left"/>
              <w:rPr>
                <w:rFonts w:ascii="宋体" w:hAnsi="宋体" w:cs="宋体" w:eastAsia="宋体" w:hint="default"/>
                <w:sz w:val="18"/>
                <w:szCs w:val="18"/>
              </w:rPr>
            </w:pPr>
            <w:r>
              <w:rPr>
                <w:rFonts w:ascii="宋体"/>
                <w:sz w:val="18"/>
              </w:rPr>
              <w:t>2,741,834</w:t>
            </w: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2,461,315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2,461,315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2,461,315</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1.53%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2,248,660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-800000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sz w:val="18"/>
              </w:rPr>
              <w:t>2,248,660</w:t>
            </w: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9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2,215,067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2,215,067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2,215,067</w:t>
            </w:r>
          </w:p>
        </w:tc>
        <w:tc>
          <w:tcPr>
            <w:tcW w:w="1134" w:type="dxa"/>
            <w:gridSpan w:val="2"/>
            <w:tcBorders>
              <w:top w:val="single" w:sz="6" w:space="0" w:color="000000"/>
              <w:left w:val="single" w:sz="6" w:space="0" w:color="000000"/>
              <w:bottom w:val="single" w:sz="6" w:space="0" w:color="000000"/>
              <w:right w:val="single" w:sz="6" w:space="0" w:color="000000"/>
            </w:tcBorders>
          </w:tcPr>
          <w:p>
            <w:pP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83"/>
              <w:jc w:val="left"/>
              <w:rPr>
                <w:rFonts w:ascii="宋体" w:hAnsi="宋体" w:cs="宋体" w:eastAsia="宋体" w:hint="default"/>
                <w:sz w:val="18"/>
                <w:szCs w:val="18"/>
              </w:rPr>
            </w:pPr>
            <w:r>
              <w:rPr>
                <w:rFonts w:ascii="宋体" w:hAnsi="宋体" w:cs="宋体" w:eastAsia="宋体" w:hint="default"/>
                <w:sz w:val="18"/>
                <w:szCs w:val="18"/>
              </w:rPr>
              <w:t>长江证券股份有限 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92"/>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2,020,000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2,020,000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sz w:val="18"/>
              </w:rPr>
              <w:t>2,020,000</w:t>
            </w:r>
          </w:p>
        </w:tc>
        <w:tc>
          <w:tcPr>
            <w:tcW w:w="850" w:type="dxa"/>
            <w:gridSpan w:val="2"/>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241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3"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名股东的情况</w:t>
            </w:r>
          </w:p>
          <w:p>
            <w:pPr>
              <w:pStyle w:val="TableParagraph"/>
              <w:spacing w:line="240" w:lineRule="auto" w:before="20"/>
              <w:ind w:left="1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158" w:type="dxa"/>
            <w:gridSpan w:val="9"/>
            <w:tcBorders>
              <w:top w:val="single" w:sz="6" w:space="0" w:color="000000"/>
              <w:left w:val="single" w:sz="14" w:space="0" w:color="D2D2D2"/>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9" w:hRule="exact"/>
        </w:trPr>
        <w:tc>
          <w:tcPr>
            <w:tcW w:w="2411"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33"/>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58" w:type="dxa"/>
            <w:gridSpan w:val="9"/>
            <w:tcBorders>
              <w:top w:val="single" w:sz="6" w:space="0" w:color="000000"/>
              <w:left w:val="single" w:sz="14" w:space="0" w:color="D2D2D2"/>
              <w:bottom w:val="single" w:sz="6" w:space="0" w:color="000000"/>
              <w:right w:val="single" w:sz="12" w:space="0" w:color="000000"/>
            </w:tcBorders>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任红军与钟超系夫妻关系，钟超与钟克创系姐弟关系。其他有限售条件股东之间不存在关 联关系，也不属于《上市公司收购管理办法》规定的一致行动人。</w:t>
            </w:r>
          </w:p>
        </w:tc>
      </w:tr>
      <w:tr>
        <w:trPr>
          <w:trHeight w:val="407" w:hRule="exact"/>
        </w:trPr>
        <w:tc>
          <w:tcPr>
            <w:tcW w:w="9569"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11" w:hRule="exact"/>
        </w:trPr>
        <w:tc>
          <w:tcPr>
            <w:tcW w:w="3263" w:type="dxa"/>
            <w:gridSpan w:val="3"/>
            <w:tcBorders>
              <w:top w:val="single" w:sz="6" w:space="0" w:color="000000"/>
              <w:left w:val="single" w:sz="12" w:space="0" w:color="000000"/>
              <w:bottom w:val="nil" w:sz="6" w:space="0" w:color="auto"/>
              <w:right w:val="single" w:sz="6" w:space="0" w:color="000000"/>
            </w:tcBorders>
            <w:shd w:val="clear" w:color="auto" w:fill="D2D2D2"/>
          </w:tcPr>
          <w:p>
            <w:pPr/>
          </w:p>
        </w:tc>
        <w:tc>
          <w:tcPr>
            <w:tcW w:w="3534"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2772" w:type="dxa"/>
            <w:gridSpan w:val="4"/>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8" w:hRule="exact"/>
        </w:trPr>
        <w:tc>
          <w:tcPr>
            <w:tcW w:w="3263" w:type="dxa"/>
            <w:gridSpan w:val="3"/>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34" w:type="dxa"/>
            <w:gridSpan w:val="4"/>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4"/>
            <w:vMerge/>
            <w:tcBorders>
              <w:left w:val="single" w:sz="6" w:space="0" w:color="000000"/>
              <w:bottom w:val="single" w:sz="6" w:space="0" w:color="000000"/>
              <w:right w:val="single" w:sz="12" w:space="0" w:color="000000"/>
            </w:tcBorders>
            <w:shd w:val="clear" w:color="auto" w:fill="D2D2D2"/>
          </w:tcPr>
          <w:p>
            <w:pPr/>
          </w:p>
        </w:tc>
      </w:tr>
      <w:tr>
        <w:trPr>
          <w:trHeight w:val="204" w:hRule="exact"/>
        </w:trPr>
        <w:tc>
          <w:tcPr>
            <w:tcW w:w="3263" w:type="dxa"/>
            <w:gridSpan w:val="3"/>
            <w:vMerge/>
            <w:tcBorders>
              <w:left w:val="single" w:sz="12" w:space="0" w:color="000000"/>
              <w:bottom w:val="nil" w:sz="6" w:space="0" w:color="auto"/>
              <w:right w:val="single" w:sz="6" w:space="0" w:color="000000"/>
            </w:tcBorders>
            <w:shd w:val="clear" w:color="auto" w:fill="D2D2D2"/>
          </w:tcPr>
          <w:p>
            <w:pPr/>
          </w:p>
        </w:tc>
        <w:tc>
          <w:tcPr>
            <w:tcW w:w="3534" w:type="dxa"/>
            <w:gridSpan w:val="4"/>
            <w:vMerge/>
            <w:tcBorders>
              <w:left w:val="single" w:sz="6" w:space="0" w:color="000000"/>
              <w:bottom w:val="nil" w:sz="6" w:space="0" w:color="auto"/>
              <w:right w:val="single" w:sz="6" w:space="0" w:color="000000"/>
            </w:tcBorders>
            <w:shd w:val="clear" w:color="auto" w:fill="D2D2D2"/>
          </w:tcPr>
          <w:p>
            <w:pPr/>
          </w:p>
        </w:tc>
        <w:tc>
          <w:tcPr>
            <w:tcW w:w="138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32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4"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9"/>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0" w:hRule="exact"/>
        </w:trPr>
        <w:tc>
          <w:tcPr>
            <w:tcW w:w="3263" w:type="dxa"/>
            <w:gridSpan w:val="3"/>
            <w:tcBorders>
              <w:top w:val="nil" w:sz="6" w:space="0" w:color="auto"/>
              <w:left w:val="single" w:sz="12" w:space="0" w:color="000000"/>
              <w:bottom w:val="single" w:sz="6" w:space="0" w:color="000000"/>
              <w:right w:val="single" w:sz="6" w:space="0" w:color="000000"/>
            </w:tcBorders>
            <w:shd w:val="clear" w:color="auto" w:fill="D2D2D2"/>
          </w:tcPr>
          <w:p>
            <w:pPr/>
          </w:p>
        </w:tc>
        <w:tc>
          <w:tcPr>
            <w:tcW w:w="3534"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1388" w:type="dxa"/>
            <w:gridSpan w:val="2"/>
            <w:vMerge/>
            <w:tcBorders>
              <w:left w:val="single" w:sz="6" w:space="0" w:color="000000"/>
              <w:bottom w:val="single" w:sz="6" w:space="0" w:color="000000"/>
              <w:right w:val="single" w:sz="6" w:space="0" w:color="000000"/>
            </w:tcBorders>
            <w:shd w:val="clear" w:color="auto" w:fill="D2D2D2"/>
          </w:tcPr>
          <w:p>
            <w:pPr/>
          </w:p>
        </w:tc>
        <w:tc>
          <w:tcPr>
            <w:tcW w:w="1384" w:type="dxa"/>
            <w:gridSpan w:val="2"/>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14,577,140</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449" w:right="0"/>
              <w:jc w:val="left"/>
              <w:rPr>
                <w:rFonts w:ascii="宋体" w:hAnsi="宋体" w:cs="宋体" w:eastAsia="宋体" w:hint="default"/>
                <w:sz w:val="18"/>
                <w:szCs w:val="18"/>
              </w:rPr>
            </w:pPr>
            <w:r>
              <w:rPr>
                <w:rFonts w:ascii="宋体"/>
                <w:sz w:val="18"/>
              </w:rPr>
              <w:t>14,577,140</w:t>
            </w:r>
          </w:p>
        </w:tc>
      </w:tr>
      <w:tr>
        <w:trPr>
          <w:trHeight w:val="719"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74"/>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宋体" w:hAnsi="宋体" w:cs="宋体" w:eastAsia="宋体" w:hint="default"/>
                <w:sz w:val="18"/>
                <w:szCs w:val="18"/>
              </w:rPr>
              <w:t>-</w:t>
            </w:r>
            <w:r>
              <w:rPr>
                <w:rFonts w:ascii="宋体" w:hAnsi="宋体" w:cs="宋体" w:eastAsia="宋体" w:hint="default"/>
                <w:sz w:val="18"/>
                <w:szCs w:val="18"/>
              </w:rPr>
              <w:t>华融·汇盈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号证券投资单一资金信托</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2,741,834</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39" w:right="0"/>
              <w:jc w:val="left"/>
              <w:rPr>
                <w:rFonts w:ascii="宋体" w:hAnsi="宋体" w:cs="宋体" w:eastAsia="宋体" w:hint="default"/>
                <w:sz w:val="18"/>
                <w:szCs w:val="18"/>
              </w:rPr>
            </w:pPr>
            <w:r>
              <w:rPr>
                <w:rFonts w:ascii="宋体"/>
                <w:sz w:val="18"/>
              </w:rPr>
              <w:t>2,741,834</w:t>
            </w:r>
          </w:p>
        </w:tc>
      </w:tr>
      <w:tr>
        <w:trPr>
          <w:trHeight w:val="407"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2,248,660</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39" w:right="0"/>
              <w:jc w:val="left"/>
              <w:rPr>
                <w:rFonts w:ascii="宋体" w:hAnsi="宋体" w:cs="宋体" w:eastAsia="宋体" w:hint="default"/>
                <w:sz w:val="18"/>
                <w:szCs w:val="18"/>
              </w:rPr>
            </w:pPr>
            <w:r>
              <w:rPr>
                <w:rFonts w:ascii="宋体"/>
                <w:sz w:val="18"/>
              </w:rPr>
              <w:t>2,248,660</w:t>
            </w:r>
          </w:p>
        </w:tc>
      </w:tr>
      <w:tr>
        <w:trPr>
          <w:trHeight w:val="407"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2,020,000</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39" w:right="0"/>
              <w:jc w:val="left"/>
              <w:rPr>
                <w:rFonts w:ascii="宋体" w:hAnsi="宋体" w:cs="宋体" w:eastAsia="宋体" w:hint="default"/>
                <w:sz w:val="18"/>
                <w:szCs w:val="18"/>
              </w:rPr>
            </w:pPr>
            <w:r>
              <w:rPr>
                <w:rFonts w:ascii="宋体"/>
                <w:sz w:val="18"/>
              </w:rPr>
              <w:t>2,020,000</w:t>
            </w:r>
          </w:p>
        </w:tc>
      </w:tr>
      <w:tr>
        <w:trPr>
          <w:trHeight w:val="719"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65"/>
              <w:jc w:val="left"/>
              <w:rPr>
                <w:rFonts w:ascii="宋体" w:hAnsi="宋体" w:cs="宋体" w:eastAsia="宋体" w:hint="default"/>
                <w:sz w:val="18"/>
                <w:szCs w:val="18"/>
              </w:rPr>
            </w:pPr>
            <w:r>
              <w:rPr>
                <w:rFonts w:ascii="宋体" w:hAnsi="宋体" w:cs="宋体" w:eastAsia="宋体" w:hint="default"/>
                <w:sz w:val="18"/>
                <w:szCs w:val="18"/>
              </w:rPr>
              <w:t>中国工商银行股份有限公司－申万菱信 新经济混合型证券投资基金</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1,999,795</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39" w:right="0"/>
              <w:jc w:val="left"/>
              <w:rPr>
                <w:rFonts w:ascii="宋体" w:hAnsi="宋体" w:cs="宋体" w:eastAsia="宋体" w:hint="default"/>
                <w:sz w:val="18"/>
                <w:szCs w:val="18"/>
              </w:rPr>
            </w:pPr>
            <w:r>
              <w:rPr>
                <w:rFonts w:ascii="宋体"/>
                <w:sz w:val="18"/>
              </w:rPr>
              <w:t>1,999,795</w:t>
            </w:r>
          </w:p>
        </w:tc>
      </w:tr>
      <w:tr>
        <w:trPr>
          <w:trHeight w:val="719"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165"/>
              <w:jc w:val="left"/>
              <w:rPr>
                <w:rFonts w:ascii="宋体" w:hAnsi="宋体" w:cs="宋体" w:eastAsia="宋体" w:hint="default"/>
                <w:sz w:val="18"/>
                <w:szCs w:val="18"/>
              </w:rPr>
            </w:pPr>
            <w:r>
              <w:rPr>
                <w:rFonts w:ascii="宋体" w:hAnsi="宋体" w:cs="宋体" w:eastAsia="宋体" w:hint="default"/>
                <w:sz w:val="18"/>
                <w:szCs w:val="18"/>
              </w:rPr>
              <w:t>中国农业银行－大成精选增值混合型证 券投资基金</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1,786,785</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39" w:right="0"/>
              <w:jc w:val="left"/>
              <w:rPr>
                <w:rFonts w:ascii="宋体" w:hAnsi="宋体" w:cs="宋体" w:eastAsia="宋体" w:hint="default"/>
                <w:sz w:val="18"/>
                <w:szCs w:val="18"/>
              </w:rPr>
            </w:pPr>
            <w:r>
              <w:rPr>
                <w:rFonts w:ascii="宋体"/>
                <w:sz w:val="18"/>
              </w:rPr>
              <w:t>1,786,785</w:t>
            </w:r>
          </w:p>
        </w:tc>
      </w:tr>
      <w:tr>
        <w:trPr>
          <w:trHeight w:val="408" w:hRule="exact"/>
        </w:trPr>
        <w:tc>
          <w:tcPr>
            <w:tcW w:w="326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肖延岭</w:t>
            </w:r>
          </w:p>
        </w:tc>
        <w:tc>
          <w:tcPr>
            <w:tcW w:w="3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1,544,468</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39" w:right="0"/>
              <w:jc w:val="left"/>
              <w:rPr>
                <w:rFonts w:ascii="宋体" w:hAnsi="宋体" w:cs="宋体" w:eastAsia="宋体" w:hint="default"/>
                <w:sz w:val="18"/>
                <w:szCs w:val="18"/>
              </w:rPr>
            </w:pPr>
            <w:r>
              <w:rPr>
                <w:rFonts w:ascii="宋体"/>
                <w:sz w:val="18"/>
              </w:rPr>
              <w:t>1,544,468</w:t>
            </w:r>
          </w:p>
        </w:tc>
      </w:tr>
      <w:tr>
        <w:trPr>
          <w:trHeight w:val="415" w:hRule="exact"/>
        </w:trPr>
        <w:tc>
          <w:tcPr>
            <w:tcW w:w="3263"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李雪梅</w:t>
            </w:r>
          </w:p>
        </w:tc>
        <w:tc>
          <w:tcPr>
            <w:tcW w:w="3534" w:type="dxa"/>
            <w:gridSpan w:val="4"/>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1,230,000</w:t>
            </w:r>
          </w:p>
        </w:tc>
        <w:tc>
          <w:tcPr>
            <w:tcW w:w="138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539" w:right="0"/>
              <w:jc w:val="left"/>
              <w:rPr>
                <w:rFonts w:ascii="宋体" w:hAnsi="宋体" w:cs="宋体" w:eastAsia="宋体" w:hint="default"/>
                <w:sz w:val="18"/>
                <w:szCs w:val="18"/>
              </w:rPr>
            </w:pPr>
            <w:r>
              <w:rPr>
                <w:rFonts w:ascii="宋体"/>
                <w:sz w:val="18"/>
              </w:rPr>
              <w:t>1,230,000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263"/>
        <w:gridCol w:w="3534"/>
        <w:gridCol w:w="1388"/>
        <w:gridCol w:w="1384"/>
      </w:tblGrid>
      <w:tr>
        <w:trPr>
          <w:trHeight w:val="415" w:hRule="exact"/>
        </w:trPr>
        <w:tc>
          <w:tcPr>
            <w:tcW w:w="32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赵金领</w:t>
            </w:r>
          </w:p>
        </w:tc>
        <w:tc>
          <w:tcPr>
            <w:tcW w:w="3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1,100,000</w:t>
            </w:r>
          </w:p>
        </w:tc>
        <w:tc>
          <w:tcPr>
            <w:tcW w:w="13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1,100,000</w:t>
            </w:r>
          </w:p>
        </w:tc>
      </w:tr>
      <w:tr>
        <w:trPr>
          <w:trHeight w:val="719"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65"/>
              <w:jc w:val="left"/>
              <w:rPr>
                <w:rFonts w:ascii="宋体" w:hAnsi="宋体" w:cs="宋体" w:eastAsia="宋体" w:hint="default"/>
                <w:sz w:val="18"/>
                <w:szCs w:val="18"/>
              </w:rPr>
            </w:pPr>
            <w:r>
              <w:rPr>
                <w:rFonts w:ascii="宋体" w:hAnsi="宋体" w:cs="宋体" w:eastAsia="宋体" w:hint="default"/>
                <w:sz w:val="18"/>
                <w:szCs w:val="18"/>
              </w:rPr>
              <w:t>招商银行股份有限公司－华富成长趋势 股票型证券投资基金</w:t>
            </w:r>
          </w:p>
        </w:tc>
        <w:tc>
          <w:tcPr>
            <w:tcW w:w="3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1,060,275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1,060,275</w:t>
            </w:r>
          </w:p>
        </w:tc>
      </w:tr>
      <w:tr>
        <w:trPr>
          <w:trHeight w:val="1031" w:hRule="exact"/>
        </w:trPr>
        <w:tc>
          <w:tcPr>
            <w:tcW w:w="32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名无限售流通股股东之间，以及前</w:t>
            </w:r>
          </w:p>
          <w:p>
            <w:pPr>
              <w:pStyle w:val="TableParagraph"/>
              <w:spacing w:line="319" w:lineRule="auto" w:before="76"/>
              <w:ind w:left="13" w:right="3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 间关联关系或一致行动的说明</w:t>
            </w:r>
          </w:p>
        </w:tc>
        <w:tc>
          <w:tcPr>
            <w:tcW w:w="630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0" w:right="10"/>
              <w:jc w:val="left"/>
              <w:rPr>
                <w:rFonts w:ascii="宋体" w:hAnsi="宋体" w:cs="宋体" w:eastAsia="宋体" w:hint="default"/>
                <w:sz w:val="18"/>
                <w:szCs w:val="18"/>
              </w:rPr>
            </w:pPr>
            <w:r>
              <w:rPr>
                <w:rFonts w:ascii="宋体" w:hAnsi="宋体" w:cs="宋体" w:eastAsia="宋体" w:hint="default"/>
                <w:spacing w:val="-2"/>
                <w:sz w:val="18"/>
                <w:szCs w:val="18"/>
              </w:rPr>
              <w:t>钟超与钟克创系姐弟关系，公司未知前十名无限售条件股东之间是否存在关联关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系，也未知是否属于《上市公司收购管理办法》规定的一致行动人。</w:t>
            </w:r>
          </w:p>
        </w:tc>
      </w:tr>
      <w:tr>
        <w:trPr>
          <w:trHeight w:val="415" w:hRule="exact"/>
        </w:trPr>
        <w:tc>
          <w:tcPr>
            <w:tcW w:w="32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1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306"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57" w:lineRule="auto" w:before="116"/>
        <w:ind w:left="153" w:right="6353" w:firstLine="0"/>
        <w:jc w:val="left"/>
        <w:rPr>
          <w:rFonts w:ascii="宋体" w:hAnsi="宋体" w:cs="宋体" w:eastAsia="宋体" w:hint="default"/>
          <w:sz w:val="18"/>
          <w:szCs w:val="18"/>
        </w:rPr>
      </w:pPr>
      <w:r>
        <w:rPr>
          <w:rFonts w:ascii="宋体" w:hAnsi="宋体" w:cs="宋体" w:eastAsia="宋体" w:hint="default"/>
          <w:sz w:val="18"/>
          <w:szCs w:val="18"/>
        </w:rPr>
        <w:t>□ 是 √ 否 公司股东在报告期内未进行约定购回交易。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公司控股股东情况" w:id="83"/>
      <w:bookmarkEnd w:id="83"/>
      <w:r>
        <w:rPr>
          <w:b w:val="0"/>
          <w:bCs w:val="0"/>
        </w:rPr>
      </w: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336"/>
        <w:gridCol w:w="2057"/>
        <w:gridCol w:w="4176"/>
      </w:tblGrid>
      <w:tr>
        <w:trPr>
          <w:trHeight w:val="415" w:hRule="exact"/>
        </w:trPr>
        <w:tc>
          <w:tcPr>
            <w:tcW w:w="33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3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任红军</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33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233" w:type="dxa"/>
            <w:gridSpan w:val="2"/>
            <w:tcBorders>
              <w:top w:val="single" w:sz="6" w:space="0" w:color="000000"/>
              <w:left w:val="single" w:sz="8" w:space="0" w:color="D2D2D2"/>
              <w:bottom w:val="single" w:sz="6"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15" w:hRule="exact"/>
        </w:trPr>
        <w:tc>
          <w:tcPr>
            <w:tcW w:w="333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6" w:space="0" w:color="000000"/>
              <w:left w:val="single" w:sz="8" w:space="0" w:color="D2D2D2"/>
              <w:bottom w:val="single" w:sz="12" w:space="0" w:color="000000"/>
              <w:right w:val="single" w:sz="12"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54" w:right="70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3、公司实际控制人情况" w:id="84"/>
      <w:bookmarkEnd w:id="84"/>
      <w:r>
        <w:rPr>
          <w:b w:val="0"/>
          <w:bCs w:val="0"/>
        </w:rPr>
      </w: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419"/>
        <w:gridCol w:w="2030"/>
        <w:gridCol w:w="4121"/>
      </w:tblGrid>
      <w:tr>
        <w:trPr>
          <w:trHeight w:val="415" w:hRule="exact"/>
        </w:trPr>
        <w:tc>
          <w:tcPr>
            <w:tcW w:w="34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6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9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3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15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任红军先生和钟超女士系夫妻关系。任红军先生最近</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pacing w:val="-59"/>
                <w:sz w:val="18"/>
                <w:szCs w:val="18"/>
              </w:rPr>
              <w:t> </w:t>
            </w:r>
            <w:r>
              <w:rPr>
                <w:rFonts w:ascii="宋体" w:hAnsi="宋体" w:cs="宋体" w:eastAsia="宋体" w:hint="default"/>
                <w:sz w:val="18"/>
                <w:szCs w:val="18"/>
              </w:rPr>
              <w:t>年任职公司董事长；钟</w:t>
            </w:r>
          </w:p>
          <w:p>
            <w:pPr>
              <w:pStyle w:val="TableParagraph"/>
              <w:spacing w:line="319" w:lineRule="auto" w:before="75"/>
              <w:ind w:left="20" w:right="31"/>
              <w:jc w:val="left"/>
              <w:rPr>
                <w:rFonts w:ascii="宋体" w:hAnsi="宋体" w:cs="宋体" w:eastAsia="宋体" w:hint="default"/>
                <w:sz w:val="18"/>
                <w:szCs w:val="18"/>
              </w:rPr>
            </w:pPr>
            <w:r>
              <w:rPr>
                <w:rFonts w:ascii="宋体" w:hAnsi="宋体" w:cs="宋体" w:eastAsia="宋体" w:hint="default"/>
                <w:sz w:val="18"/>
                <w:szCs w:val="18"/>
              </w:rPr>
              <w:t>超女士最近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年任职公司董事和郑州大学一附院主管护师，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 辞去公司董事职务，不再担任公司任何职务。</w:t>
            </w:r>
          </w:p>
        </w:tc>
      </w:tr>
      <w:tr>
        <w:trPr>
          <w:trHeight w:val="415" w:hRule="exact"/>
        </w:trPr>
        <w:tc>
          <w:tcPr>
            <w:tcW w:w="34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6"/>
        <w:ind w:left="154" w:right="58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after="0" w:line="36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3146" w:lineRule="exact"/>
        <w:ind w:left="2705"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2887846" cy="1998249"/>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9" cstate="print"/>
                    <a:stretch>
                      <a:fillRect/>
                    </a:stretch>
                  </pic:blipFill>
                  <pic:spPr>
                    <a:xfrm>
                      <a:off x="0" y="0"/>
                      <a:ext cx="2887846" cy="1998249"/>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7"/>
        <w:rPr>
          <w:rFonts w:ascii="宋体" w:hAnsi="宋体" w:cs="宋体" w:eastAsia="宋体" w:hint="default"/>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其他持股在10%以上的法人股东" w:id="85"/>
      <w:bookmarkEnd w:id="85"/>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前10吊限售条件股东持股数量及限售条件" w:id="86"/>
      <w:bookmarkEnd w:id="86"/>
      <w:r>
        <w:rPr>
          <w:b w:val="0"/>
          <w:bCs w:val="0"/>
        </w:rPr>
      </w:r>
      <w:r>
        <w:rPr>
          <w:rFonts w:ascii="宋体" w:hAnsi="宋体" w:cs="宋体" w:eastAsia="宋体" w:hint="default"/>
        </w:rPr>
        <w:t>5</w:t>
      </w:r>
      <w:r>
        <w:rPr/>
        <w:t>、前</w:t>
      </w:r>
      <w:r>
        <w:rPr>
          <w:spacing w:val="-56"/>
        </w:rPr>
        <w:t> </w:t>
      </w:r>
      <w:r>
        <w:rPr>
          <w:rFonts w:ascii="宋体" w:hAnsi="宋体" w:cs="宋体" w:eastAsia="宋体" w:hint="default"/>
        </w:rPr>
        <w:t>10</w:t>
      </w:r>
      <w:r>
        <w:rPr>
          <w:rFonts w:ascii="宋体" w:hAnsi="宋体" w:cs="宋体" w:eastAsia="宋体" w:hint="default"/>
          <w:spacing w:val="-57"/>
        </w:rPr>
        <w:t> </w:t>
      </w:r>
      <w:r>
        <w:rPr/>
        <w:t>名限售条件股东持股数量及限售条件</w:t>
      </w:r>
      <w:r>
        <w:rPr>
          <w:b w:val="0"/>
          <w:bCs w:val="0"/>
        </w:rPr>
      </w:r>
    </w:p>
    <w:p>
      <w:pPr>
        <w:spacing w:line="240" w:lineRule="auto" w:before="13"/>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986"/>
        <w:gridCol w:w="1417"/>
        <w:gridCol w:w="1702"/>
        <w:gridCol w:w="1417"/>
        <w:gridCol w:w="3049"/>
      </w:tblGrid>
      <w:tr>
        <w:trPr>
          <w:trHeight w:val="647" w:hRule="exact"/>
        </w:trPr>
        <w:tc>
          <w:tcPr>
            <w:tcW w:w="19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0"/>
              <w:ind w:left="26" w:right="114"/>
              <w:jc w:val="left"/>
              <w:rPr>
                <w:rFonts w:ascii="宋体" w:hAnsi="宋体" w:cs="宋体" w:eastAsia="宋体" w:hint="default"/>
                <w:sz w:val="18"/>
                <w:szCs w:val="18"/>
              </w:rPr>
            </w:pPr>
            <w:r>
              <w:rPr>
                <w:rFonts w:ascii="宋体" w:hAnsi="宋体" w:cs="宋体" w:eastAsia="宋体" w:hint="default"/>
                <w:sz w:val="18"/>
                <w:szCs w:val="18"/>
              </w:rPr>
              <w:t>持有的限售条件 股份数量（股）</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0"/>
              <w:ind w:left="26" w:right="114"/>
              <w:jc w:val="left"/>
              <w:rPr>
                <w:rFonts w:ascii="宋体" w:hAnsi="宋体" w:cs="宋体" w:eastAsia="宋体" w:hint="default"/>
                <w:sz w:val="18"/>
                <w:szCs w:val="18"/>
              </w:rPr>
            </w:pPr>
            <w:r>
              <w:rPr>
                <w:rFonts w:ascii="宋体" w:hAnsi="宋体" w:cs="宋体" w:eastAsia="宋体" w:hint="default"/>
                <w:sz w:val="18"/>
                <w:szCs w:val="18"/>
              </w:rPr>
              <w:t>新增可上市交易 股份数量（股）</w:t>
            </w:r>
          </w:p>
        </w:tc>
        <w:tc>
          <w:tcPr>
            <w:tcW w:w="30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640"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31,700,000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0</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21" w:right="168"/>
              <w:jc w:val="left"/>
              <w:rPr>
                <w:rFonts w:ascii="宋体" w:hAnsi="宋体" w:cs="宋体" w:eastAsia="宋体" w:hint="default"/>
                <w:sz w:val="18"/>
                <w:szCs w:val="18"/>
              </w:rPr>
            </w:pPr>
            <w:r>
              <w:rPr>
                <w:rFonts w:ascii="宋体" w:hAnsi="宋体" w:cs="宋体" w:eastAsia="宋体" w:hint="default"/>
                <w:sz w:val="18"/>
                <w:szCs w:val="18"/>
              </w:rPr>
              <w:t>高管锁定股，每年解锁</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；质押锁 定</w:t>
            </w:r>
          </w:p>
        </w:tc>
      </w:tr>
      <w:tr>
        <w:trPr>
          <w:trHeight w:val="638"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8,521,511</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21" w:right="123"/>
              <w:jc w:val="left"/>
              <w:rPr>
                <w:rFonts w:ascii="宋体" w:hAnsi="宋体" w:cs="宋体" w:eastAsia="宋体" w:hint="default"/>
                <w:sz w:val="18"/>
                <w:szCs w:val="18"/>
              </w:rPr>
            </w:pPr>
            <w:r>
              <w:rPr>
                <w:rFonts w:ascii="宋体" w:hAnsi="宋体" w:cs="宋体" w:eastAsia="宋体" w:hint="default"/>
                <w:sz w:val="18"/>
                <w:szCs w:val="18"/>
              </w:rPr>
              <w:t>根据重大资产重组非公开发行股票解 锁条件分三次进行解锁。</w:t>
            </w:r>
          </w:p>
        </w:tc>
      </w:tr>
      <w:tr>
        <w:trPr>
          <w:trHeight w:val="640"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3,940,333</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21" w:right="123"/>
              <w:jc w:val="left"/>
              <w:rPr>
                <w:rFonts w:ascii="宋体" w:hAnsi="宋体" w:cs="宋体" w:eastAsia="宋体" w:hint="default"/>
                <w:sz w:val="18"/>
                <w:szCs w:val="18"/>
              </w:rPr>
            </w:pPr>
            <w:r>
              <w:rPr>
                <w:rFonts w:ascii="宋体" w:hAnsi="宋体" w:cs="宋体" w:eastAsia="宋体" w:hint="default"/>
                <w:sz w:val="18"/>
                <w:szCs w:val="18"/>
              </w:rPr>
              <w:t>根据重大资产重组非公开发行股票解 锁条件分三次进行解锁。</w:t>
            </w:r>
          </w:p>
        </w:tc>
      </w:tr>
      <w:tr>
        <w:trPr>
          <w:trHeight w:val="950"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48"/>
              <w:jc w:val="both"/>
              <w:rPr>
                <w:rFonts w:ascii="宋体" w:hAnsi="宋体" w:cs="宋体" w:eastAsia="宋体" w:hint="default"/>
                <w:sz w:val="18"/>
                <w:szCs w:val="18"/>
              </w:rPr>
            </w:pPr>
            <w:r>
              <w:rPr>
                <w:rFonts w:ascii="宋体" w:hAnsi="宋体" w:cs="宋体" w:eastAsia="宋体" w:hint="default"/>
                <w:sz w:val="18"/>
                <w:szCs w:val="18"/>
              </w:rPr>
              <w:t>北信瑞丰基金－宁波银 行－北信瑞丰基金丰庆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号资产管理计划</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8"/>
              <w:jc w:val="right"/>
              <w:rPr>
                <w:rFonts w:ascii="宋体" w:hAnsi="宋体" w:cs="宋体" w:eastAsia="宋体" w:hint="default"/>
                <w:sz w:val="18"/>
                <w:szCs w:val="18"/>
              </w:rPr>
            </w:pPr>
            <w:r>
              <w:rPr>
                <w:rFonts w:ascii="宋体"/>
                <w:sz w:val="18"/>
              </w:rPr>
              <w:t>3,000,000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6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配套募集资金非公开发行股份锁定。</w:t>
            </w:r>
          </w:p>
        </w:tc>
      </w:tr>
      <w:tr>
        <w:trPr>
          <w:trHeight w:val="640"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2,461,315</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21" w:right="123"/>
              <w:jc w:val="left"/>
              <w:rPr>
                <w:rFonts w:ascii="宋体" w:hAnsi="宋体" w:cs="宋体" w:eastAsia="宋体" w:hint="default"/>
                <w:sz w:val="18"/>
                <w:szCs w:val="18"/>
              </w:rPr>
            </w:pPr>
            <w:r>
              <w:rPr>
                <w:rFonts w:ascii="宋体" w:hAnsi="宋体" w:cs="宋体" w:eastAsia="宋体" w:hint="default"/>
                <w:sz w:val="18"/>
                <w:szCs w:val="18"/>
              </w:rPr>
              <w:t>根据重大资产重组非公开发行股票解 锁条件分三次进行解锁。</w:t>
            </w:r>
          </w:p>
        </w:tc>
      </w:tr>
      <w:tr>
        <w:trPr>
          <w:trHeight w:val="638"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8"/>
              <w:jc w:val="right"/>
              <w:rPr>
                <w:rFonts w:ascii="宋体" w:hAnsi="宋体" w:cs="宋体" w:eastAsia="宋体" w:hint="default"/>
                <w:sz w:val="18"/>
                <w:szCs w:val="18"/>
              </w:rPr>
            </w:pPr>
            <w:r>
              <w:rPr>
                <w:rFonts w:ascii="宋体"/>
                <w:sz w:val="18"/>
              </w:rPr>
              <w:t>2,215,067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21" w:right="100"/>
              <w:jc w:val="left"/>
              <w:rPr>
                <w:rFonts w:ascii="宋体" w:hAnsi="宋体" w:cs="宋体" w:eastAsia="宋体" w:hint="default"/>
                <w:sz w:val="18"/>
                <w:szCs w:val="18"/>
              </w:rPr>
            </w:pPr>
            <w:r>
              <w:rPr>
                <w:rFonts w:ascii="宋体" w:hAnsi="宋体" w:cs="宋体" w:eastAsia="宋体" w:hint="default"/>
                <w:sz w:val="18"/>
                <w:szCs w:val="18"/>
              </w:rPr>
              <w:t>非公开发行锁定</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9"/>
                <w:sz w:val="18"/>
                <w:szCs w:val="18"/>
              </w:rPr>
              <w:t>个月；限售期满后</w:t>
            </w:r>
            <w:r>
              <w:rPr>
                <w:rFonts w:ascii="宋体" w:hAnsi="宋体" w:cs="宋体" w:eastAsia="宋体" w:hint="default"/>
                <w:sz w:val="18"/>
                <w:szCs w:val="18"/>
              </w:rPr>
              <w:t> 为高管锁定股，每年解锁</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tc>
      </w:tr>
      <w:tr>
        <w:trPr>
          <w:trHeight w:val="328"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8"/>
              <w:jc w:val="right"/>
              <w:rPr>
                <w:rFonts w:ascii="宋体" w:hAnsi="宋体" w:cs="宋体" w:eastAsia="宋体" w:hint="default"/>
                <w:sz w:val="18"/>
                <w:szCs w:val="18"/>
              </w:rPr>
            </w:pPr>
            <w:r>
              <w:rPr>
                <w:rFonts w:ascii="宋体"/>
                <w:sz w:val="18"/>
              </w:rPr>
              <w:t>1,555,335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8"/>
              <w:jc w:val="right"/>
              <w:rPr>
                <w:rFonts w:ascii="宋体" w:hAnsi="宋体" w:cs="宋体" w:eastAsia="宋体" w:hint="default"/>
                <w:sz w:val="18"/>
                <w:szCs w:val="18"/>
              </w:rPr>
            </w:pPr>
            <w:r>
              <w:rPr>
                <w:rFonts w:ascii="宋体"/>
                <w:sz w:val="18"/>
              </w:rPr>
              <w:t>375,000</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；质押</w:t>
            </w:r>
          </w:p>
        </w:tc>
      </w:tr>
      <w:tr>
        <w:trPr>
          <w:trHeight w:val="326"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1,143,439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26,214</w:t>
            </w: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；质押</w:t>
            </w:r>
          </w:p>
        </w:tc>
      </w:tr>
      <w:tr>
        <w:trPr>
          <w:trHeight w:val="95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11"/>
              <w:ind w:left="13" w:right="148"/>
              <w:jc w:val="both"/>
              <w:rPr>
                <w:rFonts w:ascii="宋体" w:hAnsi="宋体" w:cs="宋体" w:eastAsia="宋体" w:hint="default"/>
                <w:sz w:val="18"/>
                <w:szCs w:val="18"/>
              </w:rPr>
            </w:pPr>
            <w:r>
              <w:rPr>
                <w:rFonts w:ascii="宋体" w:hAnsi="宋体" w:cs="宋体" w:eastAsia="宋体" w:hint="default"/>
                <w:sz w:val="18"/>
                <w:szCs w:val="18"/>
              </w:rPr>
              <w:t>第一创业证券－兴业银 行－一创启程定增</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 集合资产管理计划</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8"/>
              <w:jc w:val="right"/>
              <w:rPr>
                <w:rFonts w:ascii="宋体" w:hAnsi="宋体" w:cs="宋体" w:eastAsia="宋体" w:hint="default"/>
                <w:sz w:val="18"/>
                <w:szCs w:val="18"/>
              </w:rPr>
            </w:pPr>
            <w:r>
              <w:rPr>
                <w:rFonts w:ascii="宋体"/>
                <w:sz w:val="18"/>
              </w:rPr>
              <w:t>1,050,000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
        </w:tc>
        <w:tc>
          <w:tcPr>
            <w:tcW w:w="3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配套募集资金非公开发行股份锁定。</w:t>
            </w:r>
          </w:p>
        </w:tc>
      </w:tr>
      <w:tr>
        <w:trPr>
          <w:trHeight w:val="334" w:hRule="exact"/>
        </w:trPr>
        <w:tc>
          <w:tcPr>
            <w:tcW w:w="19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缪品章</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1,034,006</w:t>
            </w:r>
          </w:p>
        </w:tc>
        <w:tc>
          <w:tcPr>
            <w:tcW w:w="1702"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30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非公开发行锁定</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2053"/>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053"/>
        <w:jc w:val="left"/>
        <w:rPr>
          <w:b w:val="0"/>
          <w:bCs w:val="0"/>
        </w:rPr>
      </w:pPr>
      <w:bookmarkStart w:name="1、持股情况" w:id="90"/>
      <w:bookmarkEnd w:id="90"/>
      <w:r>
        <w:rPr>
          <w:b w:val="0"/>
          <w:bCs w:val="0"/>
        </w:rPr>
      </w:r>
      <w:r>
        <w:rPr>
          <w:rFonts w:ascii="宋体" w:hAnsi="宋体" w:cs="宋体" w:eastAsia="宋体" w:hint="default"/>
        </w:rPr>
        <w:t>1</w:t>
      </w:r>
      <w:r>
        <w:rPr/>
        <w:t>、持股情况</w:t>
      </w:r>
      <w:r>
        <w:rPr>
          <w:b w:val="0"/>
          <w:bCs w:val="0"/>
        </w:rPr>
      </w:r>
    </w:p>
    <w:p>
      <w:pPr>
        <w:spacing w:line="240" w:lineRule="auto" w:before="5"/>
        <w:rPr>
          <w:rFonts w:ascii="宋体" w:hAnsi="宋体" w:cs="宋体" w:eastAsia="宋体" w:hint="default"/>
          <w:b/>
          <w:bCs/>
          <w:sz w:val="24"/>
          <w:szCs w:val="24"/>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751"/>
        <w:gridCol w:w="499"/>
        <w:gridCol w:w="629"/>
        <w:gridCol w:w="629"/>
        <w:gridCol w:w="629"/>
        <w:gridCol w:w="957"/>
        <w:gridCol w:w="865"/>
        <w:gridCol w:w="686"/>
        <w:gridCol w:w="956"/>
        <w:gridCol w:w="574"/>
        <w:gridCol w:w="631"/>
        <w:gridCol w:w="631"/>
        <w:gridCol w:w="631"/>
        <w:gridCol w:w="626"/>
      </w:tblGrid>
      <w:tr>
        <w:trPr>
          <w:trHeight w:val="3221" w:hRule="exact"/>
        </w:trPr>
        <w:tc>
          <w:tcPr>
            <w:tcW w:w="7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9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15" w:right="36"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9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86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64" w:right="65"/>
              <w:jc w:val="left"/>
              <w:rPr>
                <w:rFonts w:ascii="宋体" w:hAnsi="宋体" w:cs="宋体" w:eastAsia="宋体" w:hint="default"/>
                <w:sz w:val="18"/>
                <w:szCs w:val="18"/>
              </w:rPr>
            </w:pPr>
            <w:r>
              <w:rPr>
                <w:rFonts w:ascii="宋体" w:hAnsi="宋体" w:cs="宋体" w:eastAsia="宋体" w:hint="default"/>
                <w:sz w:val="18"/>
                <w:szCs w:val="18"/>
              </w:rPr>
              <w:t>本期增持 股份数量</w:t>
            </w:r>
          </w:p>
        </w:tc>
        <w:tc>
          <w:tcPr>
            <w:tcW w:w="6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9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5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9" w:right="99"/>
              <w:jc w:val="both"/>
              <w:rPr>
                <w:rFonts w:ascii="宋体" w:hAnsi="宋体" w:cs="宋体" w:eastAsia="宋体" w:hint="default"/>
                <w:sz w:val="18"/>
                <w:szCs w:val="18"/>
              </w:rPr>
            </w:pPr>
            <w:r>
              <w:rPr>
                <w:rFonts w:ascii="宋体" w:hAnsi="宋体" w:cs="宋体" w:eastAsia="宋体" w:hint="default"/>
                <w:sz w:val="18"/>
                <w:szCs w:val="18"/>
              </w:rPr>
              <w:t>期初 持有 的股 权激 励获 授予 限制 性股 票数 量</w:t>
            </w:r>
          </w:p>
        </w:tc>
        <w:tc>
          <w:tcPr>
            <w:tcW w:w="6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7" w:right="3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7" w:right="37"/>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7" w:right="37"/>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2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35" w:right="2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9"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02"/>
              <w:jc w:val="left"/>
              <w:rPr>
                <w:rFonts w:ascii="宋体" w:hAnsi="宋体" w:cs="宋体" w:eastAsia="宋体" w:hint="default"/>
                <w:sz w:val="18"/>
                <w:szCs w:val="18"/>
              </w:rPr>
            </w:pPr>
            <w:r>
              <w:rPr>
                <w:rFonts w:ascii="宋体" w:hAnsi="宋体" w:cs="宋体" w:eastAsia="宋体" w:hint="default"/>
                <w:sz w:val="18"/>
                <w:szCs w:val="18"/>
              </w:rPr>
              <w:t>董事 长</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48</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31,708,580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31,708,580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1344"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徐克</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20" w:right="102"/>
              <w:jc w:val="left"/>
              <w:rPr>
                <w:rFonts w:ascii="宋体" w:hAnsi="宋体" w:cs="宋体" w:eastAsia="宋体" w:hint="default"/>
                <w:sz w:val="18"/>
                <w:szCs w:val="18"/>
              </w:rPr>
            </w:pPr>
            <w:r>
              <w:rPr>
                <w:rFonts w:ascii="宋体" w:hAnsi="宋体" w:cs="宋体" w:eastAsia="宋体" w:hint="default"/>
                <w:sz w:val="18"/>
                <w:szCs w:val="18"/>
              </w:rPr>
              <w:t>董 事、 总经 理</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3527"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02"/>
              <w:jc w:val="left"/>
              <w:rPr>
                <w:rFonts w:ascii="宋体" w:hAnsi="宋体" w:cs="宋体" w:eastAsia="宋体" w:hint="default"/>
                <w:sz w:val="18"/>
                <w:szCs w:val="18"/>
              </w:rPr>
            </w:pPr>
            <w:r>
              <w:rPr>
                <w:rFonts w:ascii="宋体" w:hAnsi="宋体" w:cs="宋体" w:eastAsia="宋体" w:hint="default"/>
                <w:sz w:val="18"/>
                <w:szCs w:val="18"/>
              </w:rPr>
              <w:t>董 事、 董事 会秘 书、 副总 经 理、 财务 负责 人</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2,073,780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500,000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1,573,780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0" w:right="41"/>
              <w:jc w:val="both"/>
              <w:rPr>
                <w:rFonts w:ascii="宋体" w:hAnsi="宋体" w:cs="宋体" w:eastAsia="宋体" w:hint="default"/>
                <w:sz w:val="18"/>
                <w:szCs w:val="18"/>
              </w:rPr>
            </w:pPr>
            <w:r>
              <w:rPr>
                <w:rFonts w:ascii="宋体" w:hAnsi="宋体" w:cs="宋体" w:eastAsia="宋体" w:hint="default"/>
                <w:sz w:val="18"/>
                <w:szCs w:val="18"/>
              </w:rPr>
              <w:t>二级市 场竞价 交易</w:t>
            </w:r>
          </w:p>
        </w:tc>
      </w:tr>
      <w:tr>
        <w:trPr>
          <w:trHeight w:val="1343"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102"/>
              <w:jc w:val="left"/>
              <w:rPr>
                <w:rFonts w:ascii="宋体" w:hAnsi="宋体" w:cs="宋体" w:eastAsia="宋体" w:hint="default"/>
                <w:sz w:val="18"/>
                <w:szCs w:val="18"/>
              </w:rPr>
            </w:pPr>
            <w:r>
              <w:rPr>
                <w:rFonts w:ascii="宋体" w:hAnsi="宋体" w:cs="宋体" w:eastAsia="宋体" w:hint="default"/>
                <w:sz w:val="18"/>
                <w:szCs w:val="18"/>
              </w:rPr>
              <w:t>董 事、 总工 程师</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51</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174,045</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43,511</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130,534</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 w:right="41"/>
              <w:jc w:val="both"/>
              <w:rPr>
                <w:rFonts w:ascii="宋体" w:hAnsi="宋体" w:cs="宋体" w:eastAsia="宋体" w:hint="default"/>
                <w:sz w:val="18"/>
                <w:szCs w:val="18"/>
              </w:rPr>
            </w:pPr>
            <w:r>
              <w:rPr>
                <w:rFonts w:ascii="宋体" w:hAnsi="宋体" w:cs="宋体" w:eastAsia="宋体" w:hint="default"/>
                <w:sz w:val="18"/>
                <w:szCs w:val="18"/>
              </w:rPr>
              <w:t>二级市 场竞价 交易</w:t>
            </w:r>
          </w:p>
        </w:tc>
      </w:tr>
      <w:tr>
        <w:trPr>
          <w:trHeight w:val="687" w:hRule="exact"/>
        </w:trPr>
        <w:tc>
          <w:tcPr>
            <w:tcW w:w="7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49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0" w:right="102"/>
              <w:jc w:val="left"/>
              <w:rPr>
                <w:rFonts w:ascii="宋体" w:hAnsi="宋体" w:cs="宋体" w:eastAsia="宋体" w:hint="default"/>
                <w:sz w:val="18"/>
                <w:szCs w:val="18"/>
              </w:rPr>
            </w:pPr>
            <w:r>
              <w:rPr>
                <w:rFonts w:ascii="宋体" w:hAnsi="宋体" w:cs="宋体" w:eastAsia="宋体" w:hint="default"/>
                <w:sz w:val="18"/>
                <w:szCs w:val="18"/>
              </w:rPr>
              <w:t>董 事、</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6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68,880</w:t>
            </w:r>
          </w:p>
        </w:tc>
        <w:tc>
          <w:tcPr>
            <w:tcW w:w="8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17,200</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51,660</w:t>
            </w:r>
          </w:p>
        </w:tc>
        <w:tc>
          <w:tcPr>
            <w:tcW w:w="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41"/>
              <w:jc w:val="left"/>
              <w:rPr>
                <w:rFonts w:ascii="宋体" w:hAnsi="宋体" w:cs="宋体" w:eastAsia="宋体" w:hint="default"/>
                <w:sz w:val="18"/>
                <w:szCs w:val="18"/>
              </w:rPr>
            </w:pPr>
            <w:r>
              <w:rPr>
                <w:rFonts w:ascii="宋体" w:hAnsi="宋体" w:cs="宋体" w:eastAsia="宋体" w:hint="default"/>
                <w:sz w:val="18"/>
                <w:szCs w:val="18"/>
              </w:rPr>
              <w:t>二级市 场竞价</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751"/>
        <w:gridCol w:w="499"/>
        <w:gridCol w:w="629"/>
        <w:gridCol w:w="629"/>
        <w:gridCol w:w="629"/>
        <w:gridCol w:w="957"/>
        <w:gridCol w:w="865"/>
        <w:gridCol w:w="686"/>
        <w:gridCol w:w="956"/>
        <w:gridCol w:w="574"/>
        <w:gridCol w:w="631"/>
        <w:gridCol w:w="631"/>
        <w:gridCol w:w="631"/>
        <w:gridCol w:w="626"/>
      </w:tblGrid>
      <w:tr>
        <w:trPr>
          <w:trHeight w:val="686" w:hRule="exact"/>
        </w:trPr>
        <w:tc>
          <w:tcPr>
            <w:tcW w:w="751" w:type="dxa"/>
            <w:tcBorders>
              <w:top w:val="single" w:sz="12" w:space="0" w:color="000000"/>
              <w:left w:val="single" w:sz="12" w:space="0" w:color="000000"/>
              <w:bottom w:val="single" w:sz="6" w:space="0" w:color="000000"/>
              <w:right w:val="single" w:sz="6" w:space="0" w:color="000000"/>
            </w:tcBorders>
          </w:tcPr>
          <w:p>
            <w:pPr/>
          </w:p>
        </w:tc>
        <w:tc>
          <w:tcPr>
            <w:tcW w:w="499"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0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29" w:type="dxa"/>
            <w:tcBorders>
              <w:top w:val="single" w:sz="12" w:space="0" w:color="000000"/>
              <w:left w:val="single" w:sz="6" w:space="0" w:color="000000"/>
              <w:bottom w:val="single" w:sz="6" w:space="0" w:color="000000"/>
              <w:right w:val="single" w:sz="6" w:space="0" w:color="000000"/>
            </w:tcBorders>
          </w:tcPr>
          <w:p>
            <w:pPr/>
          </w:p>
        </w:tc>
        <w:tc>
          <w:tcPr>
            <w:tcW w:w="629" w:type="dxa"/>
            <w:tcBorders>
              <w:top w:val="single" w:sz="12" w:space="0" w:color="000000"/>
              <w:left w:val="single" w:sz="6" w:space="0" w:color="000000"/>
              <w:bottom w:val="single" w:sz="6" w:space="0" w:color="000000"/>
              <w:right w:val="single" w:sz="6" w:space="0" w:color="000000"/>
            </w:tcBorders>
          </w:tcPr>
          <w:p>
            <w:pPr/>
          </w:p>
        </w:tc>
        <w:tc>
          <w:tcPr>
            <w:tcW w:w="629" w:type="dxa"/>
            <w:tcBorders>
              <w:top w:val="single" w:sz="12" w:space="0" w:color="000000"/>
              <w:left w:val="single" w:sz="6" w:space="0" w:color="000000"/>
              <w:bottom w:val="single" w:sz="6" w:space="0" w:color="000000"/>
              <w:right w:val="single" w:sz="6" w:space="0" w:color="000000"/>
            </w:tcBorders>
          </w:tcPr>
          <w:p>
            <w:pPr/>
          </w:p>
        </w:tc>
        <w:tc>
          <w:tcPr>
            <w:tcW w:w="957" w:type="dxa"/>
            <w:tcBorders>
              <w:top w:val="single" w:sz="12" w:space="0" w:color="000000"/>
              <w:left w:val="single" w:sz="6" w:space="0" w:color="000000"/>
              <w:bottom w:val="single" w:sz="6" w:space="0" w:color="000000"/>
              <w:right w:val="single" w:sz="6" w:space="0" w:color="000000"/>
            </w:tcBorders>
          </w:tcPr>
          <w:p>
            <w:pPr/>
          </w:p>
        </w:tc>
        <w:tc>
          <w:tcPr>
            <w:tcW w:w="865" w:type="dxa"/>
            <w:tcBorders>
              <w:top w:val="single" w:sz="12" w:space="0" w:color="000000"/>
              <w:left w:val="single" w:sz="6" w:space="0" w:color="000000"/>
              <w:bottom w:val="single" w:sz="6" w:space="0" w:color="000000"/>
              <w:right w:val="single" w:sz="6" w:space="0" w:color="000000"/>
            </w:tcBorders>
          </w:tcPr>
          <w:p>
            <w:pPr/>
          </w:p>
        </w:tc>
        <w:tc>
          <w:tcPr>
            <w:tcW w:w="686" w:type="dxa"/>
            <w:tcBorders>
              <w:top w:val="single" w:sz="12" w:space="0" w:color="000000"/>
              <w:left w:val="single" w:sz="6" w:space="0" w:color="000000"/>
              <w:bottom w:val="single" w:sz="6" w:space="0" w:color="000000"/>
              <w:right w:val="single" w:sz="6" w:space="0" w:color="000000"/>
            </w:tcBorders>
          </w:tcPr>
          <w:p>
            <w:pPr/>
          </w:p>
        </w:tc>
        <w:tc>
          <w:tcPr>
            <w:tcW w:w="956" w:type="dxa"/>
            <w:tcBorders>
              <w:top w:val="single" w:sz="12" w:space="0" w:color="000000"/>
              <w:left w:val="single" w:sz="6" w:space="0" w:color="000000"/>
              <w:bottom w:val="single" w:sz="6" w:space="0" w:color="000000"/>
              <w:right w:val="single" w:sz="6" w:space="0" w:color="000000"/>
            </w:tcBorders>
          </w:tcPr>
          <w:p>
            <w:pPr/>
          </w:p>
        </w:tc>
        <w:tc>
          <w:tcPr>
            <w:tcW w:w="574" w:type="dxa"/>
            <w:tcBorders>
              <w:top w:val="single" w:sz="12" w:space="0" w:color="000000"/>
              <w:left w:val="single" w:sz="6" w:space="0" w:color="000000"/>
              <w:bottom w:val="single" w:sz="6" w:space="0" w:color="000000"/>
              <w:right w:val="single" w:sz="6" w:space="0" w:color="000000"/>
            </w:tcBorders>
          </w:tcPr>
          <w:p>
            <w:pPr/>
          </w:p>
        </w:tc>
        <w:tc>
          <w:tcPr>
            <w:tcW w:w="631" w:type="dxa"/>
            <w:tcBorders>
              <w:top w:val="single" w:sz="12" w:space="0" w:color="000000"/>
              <w:left w:val="single" w:sz="6" w:space="0" w:color="000000"/>
              <w:bottom w:val="single" w:sz="6" w:space="0" w:color="000000"/>
              <w:right w:val="single" w:sz="6" w:space="0" w:color="000000"/>
            </w:tcBorders>
          </w:tcPr>
          <w:p>
            <w:pPr/>
          </w:p>
        </w:tc>
        <w:tc>
          <w:tcPr>
            <w:tcW w:w="631" w:type="dxa"/>
            <w:tcBorders>
              <w:top w:val="single" w:sz="12" w:space="0" w:color="000000"/>
              <w:left w:val="single" w:sz="6" w:space="0" w:color="000000"/>
              <w:bottom w:val="single" w:sz="6" w:space="0" w:color="000000"/>
              <w:right w:val="single" w:sz="6" w:space="0" w:color="000000"/>
            </w:tcBorders>
          </w:tcPr>
          <w:p>
            <w:pPr/>
          </w:p>
        </w:tc>
        <w:tc>
          <w:tcPr>
            <w:tcW w:w="631" w:type="dxa"/>
            <w:tcBorders>
              <w:top w:val="single" w:sz="12" w:space="0" w:color="000000"/>
              <w:left w:val="single" w:sz="6" w:space="0" w:color="000000"/>
              <w:bottom w:val="single" w:sz="6" w:space="0" w:color="000000"/>
              <w:right w:val="single" w:sz="6" w:space="0" w:color="000000"/>
            </w:tcBorders>
          </w:tcPr>
          <w:p>
            <w:pPr/>
          </w:p>
        </w:tc>
        <w:tc>
          <w:tcPr>
            <w:tcW w:w="6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221"/>
              <w:jc w:val="right"/>
              <w:rPr>
                <w:rFonts w:ascii="宋体" w:hAnsi="宋体" w:cs="宋体" w:eastAsia="宋体" w:hint="default"/>
                <w:sz w:val="18"/>
                <w:szCs w:val="18"/>
              </w:rPr>
            </w:pPr>
            <w:r>
              <w:rPr>
                <w:rFonts w:ascii="宋体" w:hAnsi="宋体" w:cs="宋体" w:eastAsia="宋体" w:hint="default"/>
                <w:sz w:val="18"/>
                <w:szCs w:val="18"/>
              </w:rPr>
              <w:t>交易</w:t>
            </w:r>
          </w:p>
        </w:tc>
      </w:tr>
      <w:tr>
        <w:trPr>
          <w:trHeight w:val="407"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高天增</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83"/>
              <w:jc w:val="center"/>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20" w:right="102"/>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43</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1,230,000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300,000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930,000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3"/>
              <w:ind w:left="20" w:right="41"/>
              <w:jc w:val="both"/>
              <w:rPr>
                <w:rFonts w:ascii="宋体" w:hAnsi="宋体" w:cs="宋体" w:eastAsia="宋体" w:hint="default"/>
                <w:sz w:val="18"/>
                <w:szCs w:val="18"/>
              </w:rPr>
            </w:pPr>
            <w:r>
              <w:rPr>
                <w:rFonts w:ascii="宋体" w:hAnsi="宋体" w:cs="宋体" w:eastAsia="宋体" w:hint="default"/>
                <w:sz w:val="18"/>
                <w:szCs w:val="18"/>
              </w:rPr>
              <w:t>二级市 场竞价 交易</w:t>
            </w:r>
          </w:p>
        </w:tc>
      </w:tr>
      <w:tr>
        <w:trPr>
          <w:trHeight w:val="1031"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3"/>
              <w:jc w:val="center"/>
              <w:rPr>
                <w:rFonts w:ascii="宋体" w:hAnsi="宋体" w:cs="宋体" w:eastAsia="宋体" w:hint="default"/>
                <w:sz w:val="18"/>
                <w:szCs w:val="18"/>
              </w:rPr>
            </w:pPr>
            <w:r>
              <w:rPr>
                <w:rFonts w:ascii="宋体" w:hAnsi="宋体" w:cs="宋体" w:eastAsia="宋体" w:hint="default"/>
                <w:sz w:val="18"/>
                <w:szCs w:val="18"/>
              </w:rPr>
              <w:t>监事</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43</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1,524,585</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34,951</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1,489,634</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0" w:right="41"/>
              <w:jc w:val="both"/>
              <w:rPr>
                <w:rFonts w:ascii="宋体" w:hAnsi="宋体" w:cs="宋体" w:eastAsia="宋体" w:hint="default"/>
                <w:sz w:val="18"/>
                <w:szCs w:val="18"/>
              </w:rPr>
            </w:pPr>
            <w:r>
              <w:rPr>
                <w:rFonts w:ascii="宋体" w:hAnsi="宋体" w:cs="宋体" w:eastAsia="宋体" w:hint="default"/>
                <w:sz w:val="18"/>
                <w:szCs w:val="18"/>
              </w:rPr>
              <w:t>二级市 场竞价 交易</w:t>
            </w:r>
          </w:p>
        </w:tc>
      </w:tr>
      <w:tr>
        <w:trPr>
          <w:trHeight w:val="407"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监事</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李颖江</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10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56</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0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67</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王思鹏</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0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离任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 w:right="10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47</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3"/>
              <w:jc w:val="right"/>
              <w:rPr>
                <w:rFonts w:ascii="宋体" w:hAnsi="宋体" w:cs="宋体" w:eastAsia="宋体" w:hint="default"/>
                <w:sz w:val="18"/>
                <w:szCs w:val="18"/>
              </w:rPr>
            </w:pPr>
            <w:r>
              <w:rPr>
                <w:rFonts w:ascii="宋体" w:hAnsi="宋体" w:cs="宋体" w:eastAsia="宋体" w:hint="default"/>
                <w:sz w:val="18"/>
                <w:szCs w:val="18"/>
              </w:rPr>
              <w:t>现任</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2,215,067</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41"/>
              <w:jc w:val="both"/>
              <w:rPr>
                <w:rFonts w:ascii="宋体" w:hAnsi="宋体" w:cs="宋体" w:eastAsia="宋体" w:hint="default"/>
                <w:sz w:val="18"/>
                <w:szCs w:val="18"/>
              </w:rPr>
            </w:pPr>
            <w:r>
              <w:rPr>
                <w:rFonts w:ascii="宋体" w:hAnsi="宋体" w:cs="宋体" w:eastAsia="宋体" w:hint="default"/>
                <w:sz w:val="18"/>
                <w:szCs w:val="18"/>
              </w:rPr>
              <w:t>购买资 产非公 开发行</w:t>
            </w:r>
          </w:p>
        </w:tc>
      </w:tr>
      <w:tr>
        <w:trPr>
          <w:trHeight w:val="415" w:hRule="exact"/>
        </w:trPr>
        <w:tc>
          <w:tcPr>
            <w:tcW w:w="7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2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2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2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216"/>
              <w:jc w:val="right"/>
              <w:rPr>
                <w:rFonts w:ascii="宋体" w:hAnsi="宋体" w:cs="宋体" w:eastAsia="宋体" w:hint="default"/>
                <w:sz w:val="18"/>
                <w:szCs w:val="18"/>
              </w:rPr>
            </w:pPr>
            <w:r>
              <w:rPr>
                <w:rFonts w:ascii="宋体"/>
                <w:sz w:val="18"/>
              </w:rPr>
              <w:t>--</w:t>
            </w:r>
          </w:p>
        </w:tc>
        <w:tc>
          <w:tcPr>
            <w:tcW w:w="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36,779,970</w:t>
            </w:r>
          </w:p>
        </w:tc>
        <w:tc>
          <w:tcPr>
            <w:tcW w:w="8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2,215,067</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895,662</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38,099,355</w:t>
            </w:r>
          </w:p>
        </w:tc>
        <w:tc>
          <w:tcPr>
            <w:tcW w:w="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62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right="205"/>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2053"/>
        <w:jc w:val="left"/>
        <w:rPr>
          <w:b w:val="0"/>
          <w:bCs w:val="0"/>
        </w:rPr>
      </w:pPr>
      <w:bookmarkStart w:name="2、持有股票期权情况" w:id="91"/>
      <w:bookmarkEnd w:id="91"/>
      <w:r>
        <w:rPr>
          <w:b w:val="0"/>
          <w:bCs w:val="0"/>
        </w:rPr>
      </w:r>
      <w:r>
        <w:rPr>
          <w:rFonts w:ascii="宋体" w:hAnsi="宋体" w:cs="宋体" w:eastAsia="宋体" w:hint="default"/>
        </w:rPr>
        <w:t>2</w:t>
      </w:r>
      <w:r>
        <w:rPr/>
        <w:t>、持有股票期权情况</w:t>
      </w:r>
      <w:r>
        <w:rPr>
          <w:b w:val="0"/>
          <w:bCs w:val="0"/>
        </w:rPr>
      </w:r>
    </w:p>
    <w:p>
      <w:pPr>
        <w:spacing w:line="240" w:lineRule="auto" w:before="11"/>
        <w:rPr>
          <w:rFonts w:ascii="宋体" w:hAnsi="宋体" w:cs="宋体" w:eastAsia="宋体" w:hint="default"/>
          <w:b/>
          <w:bCs/>
          <w:sz w:val="27"/>
          <w:szCs w:val="27"/>
        </w:rPr>
      </w:pPr>
    </w:p>
    <w:p>
      <w:pPr>
        <w:spacing w:before="0"/>
        <w:ind w:left="154" w:right="205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2053"/>
        <w:jc w:val="left"/>
        <w:rPr>
          <w:b w:val="0"/>
          <w:bCs w:val="0"/>
        </w:rPr>
      </w:pPr>
      <w:bookmarkStart w:name="二、任职情况" w:id="92"/>
      <w:bookmarkEnd w:id="92"/>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spacing w:before="0"/>
        <w:ind w:left="153" w:right="205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年的主要工作经历</w:t>
      </w:r>
    </w:p>
    <w:p>
      <w:pPr>
        <w:pStyle w:val="Heading3"/>
        <w:spacing w:line="273" w:lineRule="auto" w:before="89"/>
        <w:ind w:right="0" w:firstLine="422"/>
        <w:jc w:val="left"/>
        <w:rPr>
          <w:b w:val="0"/>
          <w:bCs w:val="0"/>
        </w:rPr>
      </w:pPr>
      <w:r>
        <w:rPr>
          <w:spacing w:val="-1"/>
          <w:w w:val="95"/>
        </w:rPr>
        <w:t>特别说明：截至本报告公告日，公司董事、监事及高级管理人员（含前任）从未受到过证券监管机构</w:t>
      </w:r>
      <w:r>
        <w:rPr>
          <w:spacing w:val="-82"/>
          <w:w w:val="95"/>
        </w:rPr>
        <w:t> </w:t>
      </w:r>
      <w:r>
        <w:rPr>
          <w:spacing w:val="-82"/>
          <w:w w:val="95"/>
        </w:rPr>
      </w:r>
      <w:r>
        <w:rPr/>
        <w:t>的处罚。</w:t>
      </w:r>
      <w:r>
        <w:rPr>
          <w:b w:val="0"/>
          <w:bCs w:val="0"/>
        </w:rPr>
      </w:r>
    </w:p>
    <w:p>
      <w:pPr>
        <w:pStyle w:val="BodyText"/>
        <w:spacing w:line="408" w:lineRule="auto" w:before="85"/>
        <w:ind w:left="573" w:right="0"/>
        <w:jc w:val="left"/>
      </w:pPr>
      <w:r>
        <w:rPr>
          <w:rFonts w:ascii="宋体" w:hAnsi="宋体" w:cs="宋体" w:eastAsia="宋体" w:hint="default"/>
        </w:rPr>
        <w:t>1</w:t>
      </w:r>
      <w:r>
        <w:rPr/>
        <w:t>、第三届董事会成员 </w:t>
      </w:r>
      <w:r>
        <w:rPr>
          <w:spacing w:val="-1"/>
        </w:rPr>
        <w:t>任红军，男，</w:t>
      </w:r>
      <w:r>
        <w:rPr>
          <w:rFonts w:ascii="宋体" w:hAnsi="宋体" w:cs="宋体" w:eastAsia="宋体" w:hint="default"/>
          <w:spacing w:val="-1"/>
        </w:rPr>
        <w:t>1967</w:t>
      </w:r>
      <w:r>
        <w:rPr>
          <w:spacing w:val="-1"/>
        </w:rPr>
        <w:t>年出生，</w:t>
      </w:r>
      <w:r>
        <w:rPr>
          <w:rFonts w:ascii="宋体" w:hAnsi="宋体" w:cs="宋体" w:eastAsia="宋体" w:hint="default"/>
          <w:spacing w:val="-1"/>
        </w:rPr>
        <w:t>EMBA</w:t>
      </w:r>
      <w:r>
        <w:rPr>
          <w:spacing w:val="-1"/>
        </w:rPr>
        <w:t>，高级工程师，历任郑州晶体管厂技术员、工程师，郑州汽车客运总</w:t>
      </w:r>
    </w:p>
    <w:p>
      <w:pPr>
        <w:pStyle w:val="BodyText"/>
        <w:spacing w:line="408" w:lineRule="auto"/>
        <w:ind w:left="154" w:right="0"/>
        <w:jc w:val="left"/>
      </w:pPr>
      <w:r>
        <w:rPr>
          <w:spacing w:val="-1"/>
        </w:rPr>
        <w:t>公司下属科达电子厂高级工程师、副厂长，自</w:t>
      </w:r>
      <w:r>
        <w:rPr>
          <w:rFonts w:ascii="宋体" w:hAnsi="宋体" w:cs="宋体" w:eastAsia="宋体" w:hint="default"/>
          <w:spacing w:val="-1"/>
        </w:rPr>
        <w:t>1998</w:t>
      </w:r>
      <w:r>
        <w:rPr>
          <w:spacing w:val="-1"/>
        </w:rPr>
        <w:t>年创立公司前身河南汉威电子有限公司以来一直在汉威</w:t>
      </w:r>
      <w:r>
        <w:rPr>
          <w:spacing w:val="-81"/>
        </w:rPr>
        <w:t> </w:t>
      </w:r>
      <w:r>
        <w:rPr>
          <w:spacing w:val="-81"/>
        </w:rPr>
      </w:r>
      <w:r>
        <w:rPr/>
        <w:t>电子任职。现为公司第三届董事会董事长。</w:t>
      </w:r>
    </w:p>
    <w:p>
      <w:pPr>
        <w:pStyle w:val="BodyText"/>
        <w:spacing w:line="408" w:lineRule="auto"/>
        <w:ind w:right="0" w:firstLine="420"/>
        <w:jc w:val="left"/>
      </w:pPr>
      <w:r>
        <w:rPr/>
        <w:t>徐克，男，</w:t>
      </w:r>
      <w:r>
        <w:rPr>
          <w:rFonts w:ascii="宋体" w:hAnsi="宋体" w:cs="宋体" w:eastAsia="宋体" w:hint="default"/>
        </w:rPr>
        <w:t>1965</w:t>
      </w:r>
      <w:r>
        <w:rPr/>
        <w:t>年出生，</w:t>
      </w:r>
      <w:r>
        <w:rPr>
          <w:rFonts w:ascii="宋体" w:hAnsi="宋体" w:cs="宋体" w:eastAsia="宋体" w:hint="default"/>
        </w:rPr>
        <w:t>MBA</w:t>
      </w:r>
      <w:r>
        <w:rPr/>
        <w:t>，曾就职于河南恒星科技股份有限公司，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6</w:t>
      </w:r>
      <w:r>
        <w:rPr/>
        <w:t>日起就职于汉威电 子。现任公司第三届董事会董事、公司总经理。</w:t>
      </w:r>
    </w:p>
    <w:p>
      <w:pPr>
        <w:pStyle w:val="BodyText"/>
        <w:spacing w:line="408" w:lineRule="auto"/>
        <w:ind w:right="0" w:firstLine="420"/>
        <w:jc w:val="left"/>
      </w:pPr>
      <w:r>
        <w:rPr>
          <w:spacing w:val="-1"/>
        </w:rPr>
        <w:t>刘瑞玲，女，</w:t>
      </w:r>
      <w:r>
        <w:rPr>
          <w:rFonts w:ascii="宋体" w:hAnsi="宋体" w:cs="宋体" w:eastAsia="宋体" w:hint="default"/>
          <w:spacing w:val="-1"/>
        </w:rPr>
        <w:t>1972</w:t>
      </w:r>
      <w:r>
        <w:rPr>
          <w:spacing w:val="-1"/>
        </w:rPr>
        <w:t>年出生，</w:t>
      </w:r>
      <w:r>
        <w:rPr>
          <w:rFonts w:ascii="宋体" w:hAnsi="宋体" w:cs="宋体" w:eastAsia="宋体" w:hint="default"/>
          <w:spacing w:val="-1"/>
        </w:rPr>
        <w:t>EMBA</w:t>
      </w:r>
      <w:r>
        <w:rPr>
          <w:spacing w:val="-1"/>
        </w:rPr>
        <w:t>，曾任职于郑州晶体管厂核算处、郑州汽车客运总公司下属科达电子</w:t>
      </w:r>
      <w:r>
        <w:rPr/>
        <w:t> 厂会计科，</w:t>
      </w:r>
      <w:r>
        <w:rPr>
          <w:rFonts w:ascii="宋体" w:hAnsi="宋体" w:cs="宋体" w:eastAsia="宋体" w:hint="default"/>
        </w:rPr>
        <w:t>1998</w:t>
      </w:r>
      <w:r>
        <w:rPr/>
        <w:t>年</w:t>
      </w:r>
      <w:r>
        <w:rPr>
          <w:rFonts w:ascii="宋体" w:hAnsi="宋体" w:cs="宋体" w:eastAsia="宋体" w:hint="default"/>
        </w:rPr>
        <w:t>9</w:t>
      </w:r>
      <w:r>
        <w:rPr/>
        <w:t>月起就职于汉威电子。现任公司第三届董事会董事、副总经理、财务负责人。</w:t>
      </w:r>
    </w:p>
    <w:p>
      <w:pPr>
        <w:spacing w:after="0" w:line="408" w:lineRule="auto"/>
        <w:jc w:val="left"/>
        <w:sectPr>
          <w:pgSz w:w="11910" w:h="16840"/>
          <w:pgMar w:header="747" w:footer="979" w:top="1060" w:bottom="1160" w:left="980" w:right="960"/>
        </w:sectPr>
      </w:pPr>
    </w:p>
    <w:p>
      <w:pPr>
        <w:spacing w:line="240" w:lineRule="auto" w:before="0"/>
        <w:rPr>
          <w:rFonts w:ascii="宋体" w:hAnsi="宋体" w:cs="宋体" w:eastAsia="宋体" w:hint="default"/>
          <w:sz w:val="20"/>
          <w:szCs w:val="20"/>
        </w:rPr>
      </w:pPr>
    </w:p>
    <w:p>
      <w:pPr>
        <w:pStyle w:val="BodyText"/>
        <w:spacing w:line="408" w:lineRule="auto" w:before="174"/>
        <w:ind w:right="153" w:firstLine="420"/>
        <w:jc w:val="both"/>
      </w:pPr>
      <w:r>
        <w:rPr>
          <w:spacing w:val="-1"/>
        </w:rPr>
        <w:t>焦桂东，男，</w:t>
      </w:r>
      <w:r>
        <w:rPr>
          <w:rFonts w:ascii="宋体" w:hAnsi="宋体" w:cs="宋体" w:eastAsia="宋体" w:hint="default"/>
          <w:spacing w:val="-1"/>
        </w:rPr>
        <w:t>1972</w:t>
      </w:r>
      <w:r>
        <w:rPr>
          <w:spacing w:val="-1"/>
        </w:rPr>
        <w:t>年出生，大学专科学历。曾任职于广东东莞励扬集团横江电子厂、浙江庄吉集团郑</w:t>
      </w:r>
      <w:r>
        <w:rPr/>
        <w:t> 州分公司、郑州三华科技实业有限公司。现任公司第三届董事会董事、公司副总经理。</w:t>
      </w:r>
    </w:p>
    <w:p>
      <w:pPr>
        <w:pStyle w:val="BodyText"/>
        <w:spacing w:line="408" w:lineRule="auto"/>
        <w:ind w:right="150" w:firstLine="420"/>
        <w:jc w:val="both"/>
      </w:pPr>
      <w:r>
        <w:rPr>
          <w:spacing w:val="-1"/>
        </w:rPr>
        <w:t>张小水，男，</w:t>
      </w:r>
      <w:r>
        <w:rPr>
          <w:rFonts w:ascii="宋体" w:hAnsi="宋体" w:cs="宋体" w:eastAsia="宋体" w:hint="default"/>
          <w:spacing w:val="-1"/>
        </w:rPr>
        <w:t>1963</w:t>
      </w:r>
      <w:r>
        <w:rPr>
          <w:spacing w:val="-1"/>
        </w:rPr>
        <w:t>年出生，大学本科学历，高级工程师，曾任职于郑州晶体管厂、郑州汽车客运总公</w:t>
      </w:r>
      <w:r>
        <w:rPr/>
        <w:t> 司下属科达电子厂，</w:t>
      </w:r>
      <w:r>
        <w:rPr>
          <w:rFonts w:ascii="宋体" w:hAnsi="宋体" w:cs="宋体" w:eastAsia="宋体" w:hint="default"/>
        </w:rPr>
        <w:t>2008</w:t>
      </w:r>
      <w:r>
        <w:rPr/>
        <w:t>年</w:t>
      </w:r>
      <w:r>
        <w:rPr>
          <w:rFonts w:ascii="宋体" w:hAnsi="宋体" w:cs="宋体" w:eastAsia="宋体" w:hint="default"/>
        </w:rPr>
        <w:t>8</w:t>
      </w:r>
      <w:r>
        <w:rPr/>
        <w:t>月起担任公司总工程师。现任公司第三届董事会董事、总工程师。</w:t>
      </w:r>
    </w:p>
    <w:p>
      <w:pPr>
        <w:pStyle w:val="BodyText"/>
        <w:spacing w:line="408" w:lineRule="auto"/>
        <w:ind w:left="154" w:right="130" w:firstLine="420"/>
        <w:jc w:val="both"/>
      </w:pPr>
      <w:r>
        <w:rPr/>
        <w:t>高天增，男，</w:t>
      </w:r>
      <w:r>
        <w:rPr>
          <w:rFonts w:ascii="宋体" w:hAnsi="宋体" w:cs="宋体" w:eastAsia="宋体" w:hint="default"/>
        </w:rPr>
        <w:t>1960</w:t>
      </w:r>
      <w:r>
        <w:rPr/>
        <w:t>年出生，中国农业大学博士，现任河南广安生物科技股份有限公司董事长兼总裁。 现任公司第三届董事会董事。</w:t>
      </w:r>
    </w:p>
    <w:p>
      <w:pPr>
        <w:pStyle w:val="BodyText"/>
        <w:spacing w:line="408" w:lineRule="auto"/>
        <w:ind w:left="154" w:right="151" w:firstLine="420"/>
        <w:jc w:val="both"/>
      </w:pPr>
      <w:r>
        <w:rPr>
          <w:spacing w:val="-1"/>
        </w:rPr>
        <w:t>庄行方，男，</w:t>
      </w:r>
      <w:r>
        <w:rPr>
          <w:rFonts w:ascii="宋体" w:hAnsi="宋体" w:cs="宋体" w:eastAsia="宋体" w:hint="default"/>
          <w:spacing w:val="-1"/>
        </w:rPr>
        <w:t>1948</w:t>
      </w:r>
      <w:r>
        <w:rPr>
          <w:spacing w:val="-1"/>
        </w:rPr>
        <w:t>年出生，硕士研究生，高级经济师，高级会计师，历任中国电子信息产业发展研究</w:t>
      </w:r>
      <w:r>
        <w:rPr/>
        <w:t> 院副主任、副院长，香港上市公司（</w:t>
      </w:r>
      <w:r>
        <w:rPr>
          <w:rFonts w:ascii="宋体" w:hAnsi="宋体" w:cs="宋体" w:eastAsia="宋体" w:hint="default"/>
        </w:rPr>
        <w:t>HK8235</w:t>
      </w:r>
      <w:r>
        <w:rPr/>
        <w:t>）赛迪顾问股份有限公司董事长，自</w:t>
      </w:r>
      <w:r>
        <w:rPr>
          <w:rFonts w:ascii="宋体" w:hAnsi="宋体" w:cs="宋体" w:eastAsia="宋体" w:hint="default"/>
        </w:rPr>
        <w:t>1999</w:t>
      </w:r>
      <w:r>
        <w:rPr>
          <w:rFonts w:ascii="宋体" w:hAnsi="宋体" w:cs="宋体" w:eastAsia="宋体" w:hint="default"/>
          <w:spacing w:val="68"/>
        </w:rPr>
        <w:t> </w:t>
      </w:r>
      <w:r>
        <w:rPr/>
        <w:t>年起至今先后任中</w:t>
      </w:r>
      <w:r>
        <w:rPr>
          <w:spacing w:val="-97"/>
        </w:rPr>
        <w:t> </w:t>
      </w:r>
      <w:r>
        <w:rPr>
          <w:spacing w:val="-97"/>
        </w:rPr>
      </w:r>
      <w:r>
        <w:rPr>
          <w:spacing w:val="-1"/>
        </w:rPr>
        <w:t>国电子会计学会副会长，中国电子总会计师协会副会长，中国电子装备技术协会副会长，中国电子资深专</w:t>
      </w:r>
      <w:r>
        <w:rPr>
          <w:spacing w:val="-83"/>
        </w:rPr>
        <w:t> </w:t>
      </w:r>
      <w:r>
        <w:rPr>
          <w:spacing w:val="-83"/>
        </w:rPr>
      </w:r>
      <w:r>
        <w:rPr>
          <w:spacing w:val="-1"/>
        </w:rPr>
        <w:t>家委员会委员、资深经济专家，杭州电子科技大学和北京信息大学教授、研究生导师等职，同时兼任华东</w:t>
      </w:r>
      <w:r>
        <w:rPr>
          <w:spacing w:val="-86"/>
        </w:rPr>
        <w:t> </w:t>
      </w:r>
      <w:r>
        <w:rPr>
          <w:spacing w:val="-86"/>
        </w:rPr>
      </w:r>
      <w:r>
        <w:rPr/>
        <w:t>科技股份有限公司等公司独立董事。现任公司第三届董事会独立董事。</w:t>
      </w:r>
    </w:p>
    <w:p>
      <w:pPr>
        <w:pStyle w:val="BodyText"/>
        <w:spacing w:line="408" w:lineRule="auto"/>
        <w:ind w:left="154" w:right="153" w:firstLine="420"/>
        <w:jc w:val="both"/>
      </w:pPr>
      <w:r>
        <w:rPr/>
        <w:t>李颖江，男，</w:t>
      </w:r>
      <w:r>
        <w:rPr>
          <w:rFonts w:ascii="宋体" w:hAnsi="宋体" w:cs="宋体" w:eastAsia="宋体" w:hint="default"/>
        </w:rPr>
        <w:t>1959</w:t>
      </w:r>
      <w:r>
        <w:rPr/>
        <w:t>年</w:t>
      </w:r>
      <w:r>
        <w:rPr>
          <w:rFonts w:ascii="宋体" w:hAnsi="宋体" w:cs="宋体" w:eastAsia="宋体" w:hint="default"/>
        </w:rPr>
        <w:t>5</w:t>
      </w:r>
      <w:r>
        <w:rPr/>
        <w:t>月出生，中国国籍，大学学历。曾任化学工业部设计公司职员、化学工业部管 </w:t>
      </w:r>
      <w:r>
        <w:rPr>
          <w:spacing w:val="-1"/>
        </w:rPr>
        <w:t>理干部学院主任科员、《中国石油和化工》杂志社首席摄影记者、广告发行部主任。现任中国石油和化学</w:t>
      </w:r>
      <w:r>
        <w:rPr>
          <w:spacing w:val="-83"/>
        </w:rPr>
        <w:t> </w:t>
      </w:r>
      <w:r>
        <w:rPr>
          <w:spacing w:val="-83"/>
        </w:rPr>
      </w:r>
      <w:r>
        <w:rPr>
          <w:spacing w:val="-1"/>
        </w:rPr>
        <w:t>工业联合会中国化工经济技术发展中心首席摄影师、《中国石油和化工经济分析》杂志市场总监、多氟多</w:t>
      </w:r>
      <w:r>
        <w:rPr>
          <w:spacing w:val="-84"/>
        </w:rPr>
        <w:t> </w:t>
      </w:r>
      <w:r>
        <w:rPr>
          <w:spacing w:val="-84"/>
        </w:rPr>
      </w:r>
      <w:r>
        <w:rPr/>
        <w:t>化工股份有限公司独立董事。现任公司第三届董事会独立董事。</w:t>
      </w:r>
    </w:p>
    <w:p>
      <w:pPr>
        <w:pStyle w:val="BodyText"/>
        <w:spacing w:line="408" w:lineRule="auto"/>
        <w:ind w:right="152" w:firstLine="420"/>
        <w:jc w:val="both"/>
      </w:pPr>
      <w:r>
        <w:rPr>
          <w:spacing w:val="-1"/>
        </w:rPr>
        <w:t>王思鹏，</w:t>
      </w:r>
      <w:r>
        <w:rPr>
          <w:rFonts w:ascii="宋体" w:hAnsi="宋体" w:cs="宋体" w:eastAsia="宋体" w:hint="default"/>
          <w:spacing w:val="-1"/>
        </w:rPr>
        <w:t>1963</w:t>
      </w:r>
      <w:r>
        <w:rPr>
          <w:spacing w:val="-1"/>
        </w:rPr>
        <w:t>年出生，河南理工大学采矿工程专业博士，曾任鹤煤（集团）公司六矿矿长、生产部部</w:t>
      </w:r>
      <w:r>
        <w:rPr/>
        <w:t> </w:t>
      </w:r>
      <w:r>
        <w:rPr>
          <w:spacing w:val="-1"/>
        </w:rPr>
        <w:t>长、项目建设部部长、副总工程师、总工程师，河南省煤层气开发利用有限公司总经理，现任郑煤集团安</w:t>
      </w:r>
      <w:r>
        <w:rPr>
          <w:spacing w:val="-82"/>
        </w:rPr>
        <w:t> </w:t>
      </w:r>
      <w:r>
        <w:rPr>
          <w:spacing w:val="-82"/>
        </w:rPr>
      </w:r>
      <w:r>
        <w:rPr/>
        <w:t>监负责人。因个人工作原因，于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12</w:t>
      </w:r>
      <w:r>
        <w:rPr/>
        <w:t>日向公司董事会提出辞职。</w:t>
      </w:r>
    </w:p>
    <w:p>
      <w:pPr>
        <w:pStyle w:val="BodyText"/>
        <w:spacing w:line="408" w:lineRule="auto"/>
        <w:ind w:left="574" w:right="0"/>
        <w:jc w:val="left"/>
      </w:pPr>
      <w:r>
        <w:rPr>
          <w:rFonts w:ascii="宋体" w:hAnsi="宋体" w:cs="宋体" w:eastAsia="宋体" w:hint="default"/>
        </w:rPr>
        <w:t>2</w:t>
      </w:r>
      <w:r>
        <w:rPr/>
        <w:t>、第三届监事会成员 </w:t>
      </w:r>
      <w:r>
        <w:rPr>
          <w:spacing w:val="-1"/>
        </w:rPr>
        <w:t>张艳丽，女，</w:t>
      </w:r>
      <w:r>
        <w:rPr>
          <w:rFonts w:ascii="宋体" w:hAnsi="宋体" w:cs="宋体" w:eastAsia="宋体" w:hint="default"/>
          <w:spacing w:val="-1"/>
        </w:rPr>
        <w:t>1972</w:t>
      </w:r>
      <w:r>
        <w:rPr>
          <w:spacing w:val="-1"/>
        </w:rPr>
        <w:t>年出生，大学专科学历。曾任职于郑州晶体管厂、郑州汽车客运总公司下属科达电</w:t>
      </w:r>
    </w:p>
    <w:p>
      <w:pPr>
        <w:pStyle w:val="BodyText"/>
        <w:spacing w:line="408" w:lineRule="auto"/>
        <w:ind w:left="574" w:right="0" w:hanging="420"/>
        <w:jc w:val="left"/>
      </w:pPr>
      <w:r>
        <w:rPr/>
        <w:t>子厂，</w:t>
      </w:r>
      <w:r>
        <w:rPr>
          <w:rFonts w:ascii="宋体" w:hAnsi="宋体" w:cs="宋体" w:eastAsia="宋体" w:hint="default"/>
        </w:rPr>
        <w:t>1998</w:t>
      </w:r>
      <w:r>
        <w:rPr/>
        <w:t>年</w:t>
      </w:r>
      <w:r>
        <w:rPr>
          <w:rFonts w:ascii="宋体" w:hAnsi="宋体" w:cs="宋体" w:eastAsia="宋体" w:hint="default"/>
        </w:rPr>
        <w:t>9</w:t>
      </w:r>
      <w:r>
        <w:rPr/>
        <w:t>月起就职于公司前身河南汉威电子有限公司。现任公司第三届监事会监事会主席。 </w:t>
      </w:r>
      <w:r>
        <w:rPr>
          <w:spacing w:val="-1"/>
        </w:rPr>
        <w:t>尚中锋，男，</w:t>
      </w:r>
      <w:r>
        <w:rPr>
          <w:rFonts w:ascii="宋体" w:hAnsi="宋体" w:cs="宋体" w:eastAsia="宋体" w:hint="default"/>
          <w:spacing w:val="-1"/>
        </w:rPr>
        <w:t>1972</w:t>
      </w:r>
      <w:r>
        <w:rPr>
          <w:spacing w:val="-1"/>
        </w:rPr>
        <w:t>年出生，毕业于郑州大学化学系，曾任职于郑州市油泵油嘴厂，</w:t>
      </w:r>
      <w:r>
        <w:rPr>
          <w:rFonts w:ascii="宋体" w:hAnsi="宋体" w:cs="宋体" w:eastAsia="宋体" w:hint="default"/>
          <w:spacing w:val="-1"/>
        </w:rPr>
        <w:t>2000</w:t>
      </w:r>
      <w:r>
        <w:rPr>
          <w:spacing w:val="-1"/>
        </w:rPr>
        <w:t>年起就职于公</w:t>
      </w:r>
    </w:p>
    <w:p>
      <w:pPr>
        <w:pStyle w:val="BodyText"/>
        <w:spacing w:line="408" w:lineRule="auto"/>
        <w:ind w:left="573" w:right="0" w:hanging="420"/>
        <w:jc w:val="left"/>
      </w:pPr>
      <w:r>
        <w:rPr/>
        <w:t>司前身河南汉威电子有限公司。现任公司第三届监事会监事。 李志刚，男，</w:t>
      </w:r>
      <w:r>
        <w:rPr>
          <w:rFonts w:ascii="宋体" w:hAnsi="宋体" w:cs="宋体" w:eastAsia="宋体" w:hint="default"/>
        </w:rPr>
        <w:t>1978</w:t>
      </w:r>
      <w:r>
        <w:rPr/>
        <w:t>年出生，大学专科学历，</w:t>
      </w:r>
      <w:r>
        <w:rPr>
          <w:rFonts w:ascii="宋体" w:hAnsi="宋体" w:cs="宋体" w:eastAsia="宋体" w:hint="default"/>
        </w:rPr>
        <w:t>EMBA</w:t>
      </w:r>
      <w:r>
        <w:rPr/>
        <w:t>，</w:t>
      </w:r>
      <w:r>
        <w:rPr>
          <w:rFonts w:ascii="宋体" w:hAnsi="宋体" w:cs="宋体" w:eastAsia="宋体" w:hint="default"/>
        </w:rPr>
        <w:t>2005</w:t>
      </w:r>
      <w:r>
        <w:rPr/>
        <w:t>年</w:t>
      </w:r>
      <w:r>
        <w:rPr>
          <w:rFonts w:ascii="宋体" w:hAnsi="宋体" w:cs="宋体" w:eastAsia="宋体" w:hint="default"/>
        </w:rPr>
        <w:t>3</w:t>
      </w:r>
      <w:r>
        <w:rPr/>
        <w:t>月起任职于汉威电子。</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30</w:t>
      </w:r>
      <w:r>
        <w:rPr/>
        <w:t>日当</w:t>
      </w:r>
    </w:p>
    <w:p>
      <w:pPr>
        <w:pStyle w:val="BodyText"/>
        <w:spacing w:line="408" w:lineRule="auto"/>
        <w:ind w:left="574" w:right="3052" w:hanging="420"/>
        <w:jc w:val="left"/>
      </w:pPr>
      <w:r>
        <w:rPr/>
        <w:t>选公司第三届监事会职工监事。现任公司技术总监（非高级管理人员）。 </w:t>
      </w:r>
      <w:r>
        <w:rPr>
          <w:rFonts w:ascii="宋体" w:hAnsi="宋体" w:cs="宋体" w:eastAsia="宋体" w:hint="default"/>
        </w:rPr>
        <w:t>3</w:t>
      </w:r>
      <w:r>
        <w:rPr/>
        <w:t>、高级管理人员 徐克，现任公司总经理，简历详见本节之“董事会成员”介绍。</w:t>
      </w:r>
    </w:p>
    <w:p>
      <w:pPr>
        <w:pStyle w:val="BodyText"/>
        <w:spacing w:line="408" w:lineRule="auto"/>
        <w:ind w:right="147" w:firstLine="420"/>
        <w:jc w:val="both"/>
      </w:pPr>
      <w:r>
        <w:rPr/>
        <w:t>尚剑红，男，</w:t>
      </w:r>
      <w:r>
        <w:rPr>
          <w:rFonts w:ascii="宋体" w:hAnsi="宋体" w:cs="宋体" w:eastAsia="宋体" w:hint="default"/>
        </w:rPr>
        <w:t>1968</w:t>
      </w:r>
      <w:r>
        <w:rPr>
          <w:rFonts w:ascii="宋体" w:hAnsi="宋体" w:cs="宋体" w:eastAsia="宋体" w:hint="default"/>
          <w:spacing w:val="59"/>
        </w:rPr>
        <w:t> </w:t>
      </w:r>
      <w:r>
        <w:rPr/>
        <w:t>年出生，博士研究生学历，地理信息系统行业知名专家，沈阳市青年科技工作者 协会会员，中国地理信息系统协会委员，历任沈阳市环境监测中心信息部主任等职务。</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日第</w:t>
      </w:r>
      <w:r>
        <w:rPr>
          <w:spacing w:val="-25"/>
        </w:rPr>
        <w:t> </w:t>
      </w:r>
      <w:r>
        <w:rPr/>
        <w:t>三届董事会第一次会议上被聘为公司副总经理，同时任职沈阳金建公司总经理和董事。</w:t>
      </w:r>
    </w:p>
    <w:p>
      <w:pPr>
        <w:spacing w:after="0" w:line="408" w:lineRule="auto"/>
        <w:jc w:val="both"/>
        <w:sectPr>
          <w:footerReference w:type="default" r:id="rId20"/>
          <w:pgSz w:w="11910" w:h="16840"/>
          <w:pgMar w:footer="979" w:header="747" w:top="1060" w:bottom="1160" w:left="980" w:right="980"/>
          <w:pgNumType w:start="58"/>
        </w:sectPr>
      </w:pPr>
    </w:p>
    <w:p>
      <w:pPr>
        <w:spacing w:line="240" w:lineRule="auto" w:before="0"/>
        <w:rPr>
          <w:rFonts w:ascii="宋体" w:hAnsi="宋体" w:cs="宋体" w:eastAsia="宋体" w:hint="default"/>
          <w:sz w:val="20"/>
          <w:szCs w:val="20"/>
        </w:rPr>
      </w:pPr>
    </w:p>
    <w:p>
      <w:pPr>
        <w:pStyle w:val="BodyText"/>
        <w:spacing w:line="408" w:lineRule="auto" w:before="174"/>
        <w:ind w:left="573" w:right="1793"/>
        <w:jc w:val="left"/>
      </w:pPr>
      <w:r>
        <w:rPr/>
        <w:t>刘瑞玲，现任公司副总经理、财务负责人，简历详见本节之“董事会成员”介绍。 张小水，现任公司总工程师，简历详见本节之“董事会成员”介绍。 焦桂东，现任公司副总经理，简历详见本节之“董事会成员”介绍。</w:t>
      </w:r>
    </w:p>
    <w:p>
      <w:pPr>
        <w:spacing w:before="35"/>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57" w:lineRule="auto" w:before="117"/>
        <w:ind w:left="154" w:right="8152"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02"/>
        <w:gridCol w:w="2627"/>
        <w:gridCol w:w="1702"/>
        <w:gridCol w:w="1195"/>
        <w:gridCol w:w="1325"/>
        <w:gridCol w:w="1593"/>
      </w:tblGrid>
      <w:tr>
        <w:trPr>
          <w:trHeight w:val="725"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52" w:right="32"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339" w:right="59"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全国气湿敏传感技术专业委员会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传感器分会副理事长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1"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郑州大学物理工程学院</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44"/>
              <w:jc w:val="left"/>
              <w:rPr>
                <w:rFonts w:ascii="宋体" w:hAnsi="宋体" w:cs="宋体" w:eastAsia="宋体" w:hint="default"/>
                <w:sz w:val="18"/>
                <w:szCs w:val="18"/>
              </w:rPr>
            </w:pPr>
            <w:r>
              <w:rPr>
                <w:rFonts w:ascii="宋体" w:hAnsi="宋体" w:cs="宋体" w:eastAsia="宋体" w:hint="default"/>
                <w:sz w:val="18"/>
                <w:szCs w:val="18"/>
              </w:rPr>
              <w:t>兼职硕士研究生导 师、化学工程学院硕 士指导教师</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徐克</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传感器分会副秘书长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高天增</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河南广安生物科技股份有限公司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中国电子会计学会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中国电子总会计师协会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中国电子装备技术协会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南京华东科技股份有限公司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7"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李颖江</w:t>
            </w:r>
          </w:p>
        </w:tc>
        <w:tc>
          <w:tcPr>
            <w:tcW w:w="2627"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1"/>
              <w:ind w:left="20" w:right="70"/>
              <w:jc w:val="left"/>
              <w:rPr>
                <w:rFonts w:ascii="宋体" w:hAnsi="宋体" w:cs="宋体" w:eastAsia="宋体" w:hint="default"/>
                <w:sz w:val="18"/>
                <w:szCs w:val="18"/>
              </w:rPr>
            </w:pPr>
            <w:r>
              <w:rPr>
                <w:rFonts w:ascii="宋体" w:hAnsi="宋体" w:cs="宋体" w:eastAsia="宋体" w:hint="default"/>
                <w:sz w:val="18"/>
                <w:szCs w:val="18"/>
              </w:rPr>
              <w:t>中国石油和化学工业联合会《中 国石油和化工经济分析》杂志</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市场总监</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202"/>
        <w:gridCol w:w="2627"/>
        <w:gridCol w:w="1702"/>
        <w:gridCol w:w="1195"/>
        <w:gridCol w:w="1325"/>
        <w:gridCol w:w="1593"/>
      </w:tblGrid>
      <w:tr>
        <w:trPr>
          <w:trHeight w:val="415" w:hRule="exact"/>
        </w:trPr>
        <w:tc>
          <w:tcPr>
            <w:tcW w:w="12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李颖江</w:t>
            </w:r>
          </w:p>
        </w:tc>
        <w:tc>
          <w:tcPr>
            <w:tcW w:w="26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多氟多化工股份有限公司</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12" w:space="0" w:color="000000"/>
              <w:left w:val="single" w:sz="6" w:space="0" w:color="000000"/>
              <w:bottom w:val="single" w:sz="6" w:space="0" w:color="000000"/>
              <w:right w:val="single" w:sz="6" w:space="0" w:color="000000"/>
            </w:tcBorders>
          </w:tcPr>
          <w:p>
            <w:pPr/>
          </w:p>
        </w:tc>
        <w:tc>
          <w:tcPr>
            <w:tcW w:w="1325" w:type="dxa"/>
            <w:tcBorders>
              <w:top w:val="single" w:sz="12" w:space="0" w:color="000000"/>
              <w:left w:val="single" w:sz="6" w:space="0" w:color="000000"/>
              <w:bottom w:val="single" w:sz="6" w:space="0" w:color="000000"/>
              <w:right w:val="single" w:sz="6" w:space="0" w:color="000000"/>
            </w:tcBorders>
          </w:tcPr>
          <w:p>
            <w:pPr/>
          </w:p>
        </w:tc>
        <w:tc>
          <w:tcPr>
            <w:tcW w:w="15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王思鹏</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郑煤集团</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安监负责人</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26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2053"/>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6"/>
        <w:rPr>
          <w:rFonts w:ascii="宋体" w:hAnsi="宋体" w:cs="宋体" w:eastAsia="宋体" w:hint="default"/>
          <w:b/>
          <w:bCs/>
          <w:sz w:val="28"/>
          <w:szCs w:val="28"/>
        </w:rPr>
      </w:pPr>
    </w:p>
    <w:p>
      <w:pPr>
        <w:spacing w:before="44"/>
        <w:ind w:left="0" w:right="107" w:firstLine="0"/>
        <w:jc w:val="right"/>
        <w:rPr>
          <w:rFonts w:ascii="宋体" w:hAnsi="宋体" w:cs="宋体" w:eastAsia="宋体" w:hint="default"/>
          <w:sz w:val="18"/>
          <w:szCs w:val="18"/>
        </w:rPr>
      </w:pPr>
      <w:r>
        <w:rPr/>
        <w:pict>
          <v:shape style="position:absolute;margin-left:55.919998pt;margin-top:-1.868295pt;width:484.3pt;height:141.3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9"/>
                    <w:gridCol w:w="7512"/>
                  </w:tblGrid>
                  <w:tr>
                    <w:trPr>
                      <w:trHeight w:val="1039" w:hRule="exact"/>
                    </w:trPr>
                    <w:tc>
                      <w:tcPr>
                        <w:tcW w:w="21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 w:right="20"/>
                          <w:jc w:val="left"/>
                          <w:rPr>
                            <w:rFonts w:ascii="宋体" w:hAnsi="宋体" w:cs="宋体" w:eastAsia="宋体" w:hint="default"/>
                            <w:sz w:val="18"/>
                            <w:szCs w:val="18"/>
                          </w:rPr>
                        </w:pPr>
                        <w:r>
                          <w:rPr>
                            <w:rFonts w:ascii="宋体" w:hAnsi="宋体" w:cs="宋体" w:eastAsia="宋体" w:hint="default"/>
                            <w:spacing w:val="-8"/>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报酬的决策程序</w:t>
                        </w:r>
                      </w:p>
                    </w:tc>
                    <w:tc>
                      <w:tcPr>
                        <w:tcW w:w="7512"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51"/>
                          <w:ind w:left="20" w:right="43"/>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、第三届董事会第三次会议审议通过了关于</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pacing w:val="-3"/>
                            <w:sz w:val="18"/>
                            <w:szCs w:val="18"/>
                          </w:rPr>
                          <w:t>年度公司董事和高级管理人员薪酬的议案。</w:t>
                        </w:r>
                        <w:r>
                          <w:rPr>
                            <w:rFonts w:ascii="宋体" w:hAnsi="宋体" w:cs="宋体" w:eastAsia="宋体" w:hint="default"/>
                            <w:spacing w:val="-3"/>
                            <w:sz w:val="18"/>
                            <w:szCs w:val="18"/>
                          </w:rPr>
                          <w:t>2</w:t>
                        </w:r>
                        <w:r>
                          <w:rPr>
                            <w:rFonts w:ascii="宋体" w:hAnsi="宋体" w:cs="宋体" w:eastAsia="宋体" w:hint="default"/>
                            <w:spacing w:val="-82"/>
                            <w:sz w:val="18"/>
                            <w:szCs w:val="18"/>
                          </w:rPr>
                          <w:t> </w:t>
                        </w:r>
                        <w:r>
                          <w:rPr>
                            <w:rFonts w:ascii="宋体" w:hAnsi="宋体" w:cs="宋体" w:eastAsia="宋体" w:hint="default"/>
                            <w:sz w:val="18"/>
                            <w:szCs w:val="18"/>
                          </w:rPr>
                          <w:t>第三届监事会第二次会议审议通过关于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年度监事薪酬的议案。</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年年度股东大会审 议通过关于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年公司董事、监事薪酬的议案。</w:t>
                        </w:r>
                      </w:p>
                    </w:tc>
                  </w:tr>
                  <w:tr>
                    <w:trPr>
                      <w:trHeight w:val="1031"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3" w:right="20"/>
                          <w:jc w:val="left"/>
                          <w:rPr>
                            <w:rFonts w:ascii="宋体" w:hAnsi="宋体" w:cs="宋体" w:eastAsia="宋体" w:hint="default"/>
                            <w:sz w:val="18"/>
                            <w:szCs w:val="18"/>
                          </w:rPr>
                        </w:pPr>
                        <w:r>
                          <w:rPr>
                            <w:rFonts w:ascii="宋体" w:hAnsi="宋体" w:cs="宋体" w:eastAsia="宋体" w:hint="default"/>
                            <w:spacing w:val="-8"/>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报酬确定依据</w:t>
                        </w:r>
                      </w:p>
                    </w:tc>
                    <w:tc>
                      <w:tcPr>
                        <w:tcW w:w="7512"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2"/>
                          <w:ind w:left="20" w:right="11"/>
                          <w:jc w:val="left"/>
                          <w:rPr>
                            <w:rFonts w:ascii="宋体" w:hAnsi="宋体" w:cs="宋体" w:eastAsia="宋体" w:hint="default"/>
                            <w:sz w:val="18"/>
                            <w:szCs w:val="18"/>
                          </w:rPr>
                        </w:pPr>
                        <w:r>
                          <w:rPr>
                            <w:rFonts w:ascii="宋体" w:hAnsi="宋体" w:cs="宋体" w:eastAsia="宋体" w:hint="default"/>
                            <w:sz w:val="18"/>
                            <w:szCs w:val="18"/>
                          </w:rPr>
                          <w:t>除董事长、独立董事外，公司不向董事、监事支付薪酬；兼任公司高级管理人员或公司其他岗 位职务的公司董事、监事，按其所任岗位职务的薪酬制度领取报酬。依据</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年年度规划，高 级管理人员的薪酬从经营指标和管理指标两个方面进行考核，按期发放。</w:t>
                        </w:r>
                      </w:p>
                    </w:tc>
                  </w:tr>
                  <w:tr>
                    <w:trPr>
                      <w:trHeight w:val="727" w:hRule="exact"/>
                    </w:trPr>
                    <w:tc>
                      <w:tcPr>
                        <w:tcW w:w="21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19"/>
                          <w:jc w:val="left"/>
                          <w:rPr>
                            <w:rFonts w:ascii="宋体" w:hAnsi="宋体" w:cs="宋体" w:eastAsia="宋体" w:hint="default"/>
                            <w:sz w:val="18"/>
                            <w:szCs w:val="18"/>
                          </w:rPr>
                        </w:pPr>
                        <w:r>
                          <w:rPr>
                            <w:rFonts w:ascii="宋体" w:hAnsi="宋体" w:cs="宋体" w:eastAsia="宋体" w:hint="default"/>
                            <w:spacing w:val="-8"/>
                            <w:sz w:val="18"/>
                            <w:szCs w:val="18"/>
                          </w:rPr>
                          <w:t>董事、监事和高级管理人员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报酬的实际支付情况</w:t>
                        </w:r>
                      </w:p>
                    </w:tc>
                    <w:tc>
                      <w:tcPr>
                        <w:tcW w:w="75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公司向董事、监事、高级管理人员实际支付薪酬的情况见下表。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154" w:right="205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99"/>
        <w:gridCol w:w="2064"/>
        <w:gridCol w:w="708"/>
        <w:gridCol w:w="851"/>
        <w:gridCol w:w="1195"/>
        <w:gridCol w:w="1197"/>
        <w:gridCol w:w="1196"/>
        <w:gridCol w:w="1195"/>
      </w:tblGrid>
      <w:tr>
        <w:trPr>
          <w:trHeight w:val="727" w:hRule="exact"/>
        </w:trPr>
        <w:tc>
          <w:tcPr>
            <w:tcW w:w="119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2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231" w:right="48"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230" w:right="4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28.82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28.82</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徐克</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39.41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39.41</w:t>
            </w:r>
          </w:p>
        </w:tc>
      </w:tr>
      <w:tr>
        <w:trPr>
          <w:trHeight w:val="720"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47"/>
              <w:jc w:val="left"/>
              <w:rPr>
                <w:rFonts w:ascii="宋体" w:hAnsi="宋体" w:cs="宋体" w:eastAsia="宋体" w:hint="default"/>
                <w:sz w:val="18"/>
                <w:szCs w:val="18"/>
              </w:rPr>
            </w:pPr>
            <w:r>
              <w:rPr>
                <w:rFonts w:ascii="宋体" w:hAnsi="宋体" w:cs="宋体" w:eastAsia="宋体" w:hint="default"/>
                <w:sz w:val="18"/>
                <w:szCs w:val="18"/>
              </w:rPr>
              <w:t>董事、董事会秘书、副总 经理、财务负责人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23.2</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23.2</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董事、总工程师</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21.95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21.95</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32.8</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32.8</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高天增</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17.13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17.13</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36.87</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36.87</w:t>
            </w:r>
          </w:p>
        </w:tc>
      </w:tr>
      <w:tr>
        <w:trPr>
          <w:trHeight w:val="415" w:hRule="exact"/>
        </w:trPr>
        <w:tc>
          <w:tcPr>
            <w:tcW w:w="11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21.51</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21.51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199"/>
        <w:gridCol w:w="2064"/>
        <w:gridCol w:w="708"/>
        <w:gridCol w:w="851"/>
        <w:gridCol w:w="1195"/>
        <w:gridCol w:w="1197"/>
        <w:gridCol w:w="1196"/>
        <w:gridCol w:w="1195"/>
      </w:tblGrid>
      <w:tr>
        <w:trPr>
          <w:trHeight w:val="415" w:hRule="exact"/>
        </w:trPr>
        <w:tc>
          <w:tcPr>
            <w:tcW w:w="119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李颖江</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w:t>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w:t>
            </w:r>
          </w:p>
        </w:tc>
      </w:tr>
      <w:tr>
        <w:trPr>
          <w:trHeight w:val="407"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王思鹏</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w:t>
            </w:r>
          </w:p>
        </w:tc>
      </w:tr>
      <w:tr>
        <w:trPr>
          <w:trHeight w:val="416"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35.5</w:t>
            </w:r>
          </w:p>
        </w:tc>
      </w:tr>
      <w:tr>
        <w:trPr>
          <w:trHeight w:val="406" w:hRule="exact"/>
        </w:trPr>
        <w:tc>
          <w:tcPr>
            <w:tcW w:w="11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4"/>
              <w:ind w:left="1" w:right="0"/>
              <w:jc w:val="center"/>
              <w:rPr>
                <w:rFonts w:ascii="宋体" w:hAnsi="宋体" w:cs="宋体" w:eastAsia="宋体" w:hint="default"/>
                <w:sz w:val="18"/>
                <w:szCs w:val="18"/>
              </w:rPr>
            </w:pPr>
            <w:r>
              <w:rPr>
                <w:rFonts w:ascii="宋体"/>
                <w:sz w:val="18"/>
              </w:rPr>
              <w:t>--</w:t>
            </w:r>
          </w:p>
        </w:tc>
        <w:tc>
          <w:tcPr>
            <w:tcW w:w="11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sz w:val="18"/>
              </w:rPr>
              <w:t>--</w:t>
            </w:r>
          </w:p>
        </w:tc>
        <w:tc>
          <w:tcPr>
            <w:tcW w:w="11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272.19</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272.19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公司董事、监事、高级管理人员变动情况" w:id="94"/>
      <w:bookmarkEnd w:id="9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331"/>
        <w:gridCol w:w="1336"/>
        <w:gridCol w:w="1326"/>
        <w:gridCol w:w="1330"/>
        <w:gridCol w:w="4247"/>
      </w:tblGrid>
      <w:tr>
        <w:trPr>
          <w:trHeight w:val="415" w:hRule="exact"/>
        </w:trPr>
        <w:tc>
          <w:tcPr>
            <w:tcW w:w="13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15" w:hRule="exact"/>
        </w:trPr>
        <w:tc>
          <w:tcPr>
            <w:tcW w:w="13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王思鹏</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2014-11-12</w:t>
            </w:r>
          </w:p>
        </w:tc>
        <w:tc>
          <w:tcPr>
            <w:tcW w:w="42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个人工作原因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left"/>
      </w:pPr>
      <w:r>
        <w:rPr/>
        <w:t>报告期内，公司无核心技术团队或关键技术人员变动情况。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154" w:right="2527"/>
        <w:jc w:val="left"/>
      </w:pPr>
      <w:r>
        <w:rPr/>
        <w:t>（一）公司员工情况 </w:t>
      </w:r>
      <w:r>
        <w:rPr>
          <w:rFonts w:ascii="宋体" w:hAnsi="宋体" w:cs="宋体" w:eastAsia="宋体" w:hint="default"/>
        </w:rPr>
        <w:t>1</w:t>
      </w:r>
      <w:r>
        <w:rPr/>
        <w:t>、截至公司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日，公司员工（含子公司）的人数、结构情况如下：</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75"/>
        <w:gridCol w:w="1560"/>
        <w:gridCol w:w="1275"/>
      </w:tblGrid>
      <w:tr>
        <w:trPr>
          <w:trHeight w:val="353" w:hRule="exact"/>
        </w:trPr>
        <w:tc>
          <w:tcPr>
            <w:tcW w:w="1575" w:type="dxa"/>
            <w:tcBorders>
              <w:top w:val="single" w:sz="12" w:space="0" w:color="000000"/>
              <w:left w:val="single" w:sz="12"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专业结构</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275" w:type="dxa"/>
            <w:tcBorders>
              <w:top w:val="single" w:sz="12" w:space="0" w:color="000000"/>
              <w:left w:val="single" w:sz="6" w:space="0" w:color="000000"/>
              <w:bottom w:val="single" w:sz="6" w:space="0" w:color="000000"/>
              <w:right w:val="single" w:sz="12" w:space="0" w:color="000000"/>
            </w:tcBorders>
          </w:tcPr>
          <w:p>
            <w:pPr>
              <w:pStyle w:val="TableParagraph"/>
              <w:spacing w:line="270" w:lineRule="exact"/>
              <w:ind w:left="41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48" w:hRule="exact"/>
        </w:trPr>
        <w:tc>
          <w:tcPr>
            <w:tcW w:w="1575"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111</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10.47%</w:t>
            </w:r>
          </w:p>
        </w:tc>
      </w:tr>
      <w:tr>
        <w:trPr>
          <w:trHeight w:val="347" w:hRule="exact"/>
        </w:trPr>
        <w:tc>
          <w:tcPr>
            <w:tcW w:w="1575"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59</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5.57%</w:t>
            </w:r>
          </w:p>
        </w:tc>
      </w:tr>
      <w:tr>
        <w:trPr>
          <w:trHeight w:val="347" w:hRule="exact"/>
        </w:trPr>
        <w:tc>
          <w:tcPr>
            <w:tcW w:w="1575"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288</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27.17%</w:t>
            </w:r>
          </w:p>
        </w:tc>
      </w:tr>
      <w:tr>
        <w:trPr>
          <w:trHeight w:val="347" w:hRule="exact"/>
        </w:trPr>
        <w:tc>
          <w:tcPr>
            <w:tcW w:w="1575"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市场销售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373</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35.19%</w:t>
            </w:r>
          </w:p>
        </w:tc>
      </w:tr>
      <w:tr>
        <w:trPr>
          <w:trHeight w:val="347" w:hRule="exact"/>
        </w:trPr>
        <w:tc>
          <w:tcPr>
            <w:tcW w:w="1575"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229</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21.60%</w:t>
            </w:r>
          </w:p>
        </w:tc>
      </w:tr>
      <w:tr>
        <w:trPr>
          <w:trHeight w:val="355" w:hRule="exact"/>
        </w:trPr>
        <w:tc>
          <w:tcPr>
            <w:tcW w:w="1575"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1060</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100.00%</w:t>
            </w:r>
          </w:p>
        </w:tc>
      </w:tr>
    </w:tbl>
    <w:p>
      <w:pPr>
        <w:pStyle w:val="BodyText"/>
        <w:spacing w:line="240" w:lineRule="auto" w:before="26"/>
        <w:ind w:left="154" w:right="0"/>
        <w:jc w:val="left"/>
      </w:pPr>
      <w:r>
        <w:rPr>
          <w:rFonts w:ascii="宋体" w:hAnsi="宋体" w:cs="宋体" w:eastAsia="宋体" w:hint="default"/>
        </w:rPr>
        <w:t>2</w:t>
      </w:r>
      <w:r>
        <w:rPr/>
        <w:t>、员工受教育情况</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717"/>
        <w:gridCol w:w="1418"/>
        <w:gridCol w:w="1275"/>
      </w:tblGrid>
      <w:tr>
        <w:trPr>
          <w:trHeight w:val="355" w:hRule="exact"/>
        </w:trPr>
        <w:tc>
          <w:tcPr>
            <w:tcW w:w="1717" w:type="dxa"/>
            <w:tcBorders>
              <w:top w:val="single" w:sz="12" w:space="0" w:color="000000"/>
              <w:left w:val="single" w:sz="12" w:space="0" w:color="000000"/>
              <w:bottom w:val="single" w:sz="6" w:space="0" w:color="000000"/>
              <w:right w:val="single" w:sz="6"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275" w:type="dxa"/>
            <w:tcBorders>
              <w:top w:val="single" w:sz="12" w:space="0" w:color="000000"/>
              <w:left w:val="single" w:sz="6" w:space="0" w:color="000000"/>
              <w:bottom w:val="single" w:sz="6" w:space="0" w:color="000000"/>
              <w:right w:val="single" w:sz="12" w:space="0" w:color="000000"/>
            </w:tcBorders>
          </w:tcPr>
          <w:p>
            <w:pPr>
              <w:pStyle w:val="TableParagraph"/>
              <w:spacing w:line="270" w:lineRule="exact"/>
              <w:ind w:left="41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47" w:hRule="exact"/>
        </w:trPr>
        <w:tc>
          <w:tcPr>
            <w:tcW w:w="1717"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硕士以上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宋体" w:hAnsi="宋体" w:cs="宋体" w:eastAsia="宋体" w:hint="default"/>
                <w:sz w:val="21"/>
                <w:szCs w:val="21"/>
              </w:rPr>
            </w:pPr>
            <w:r>
              <w:rPr>
                <w:rFonts w:ascii="宋体"/>
                <w:sz w:val="21"/>
              </w:rPr>
              <w:t>53</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5"/>
              <w:jc w:val="right"/>
              <w:rPr>
                <w:rFonts w:ascii="宋体" w:hAnsi="宋体" w:cs="宋体" w:eastAsia="宋体" w:hint="default"/>
                <w:sz w:val="21"/>
                <w:szCs w:val="21"/>
              </w:rPr>
            </w:pPr>
            <w:r>
              <w:rPr>
                <w:rFonts w:ascii="宋体"/>
                <w:sz w:val="21"/>
              </w:rPr>
              <w:t>5.00%</w:t>
            </w:r>
          </w:p>
        </w:tc>
      </w:tr>
      <w:tr>
        <w:trPr>
          <w:trHeight w:val="347" w:hRule="exact"/>
        </w:trPr>
        <w:tc>
          <w:tcPr>
            <w:tcW w:w="1717"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本科学历</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420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39.62%</w:t>
            </w:r>
          </w:p>
        </w:tc>
      </w:tr>
      <w:tr>
        <w:trPr>
          <w:trHeight w:val="347" w:hRule="exact"/>
        </w:trPr>
        <w:tc>
          <w:tcPr>
            <w:tcW w:w="1717"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406</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38.30%</w:t>
            </w:r>
          </w:p>
        </w:tc>
      </w:tr>
      <w:tr>
        <w:trPr>
          <w:trHeight w:val="347" w:hRule="exact"/>
        </w:trPr>
        <w:tc>
          <w:tcPr>
            <w:tcW w:w="1717"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宋体" w:hAnsi="宋体" w:cs="宋体" w:eastAsia="宋体" w:hint="default"/>
                <w:sz w:val="21"/>
                <w:szCs w:val="21"/>
              </w:rPr>
            </w:pPr>
            <w:r>
              <w:rPr>
                <w:rFonts w:ascii="宋体"/>
                <w:sz w:val="21"/>
              </w:rPr>
              <w:t>181</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17.08%</w:t>
            </w:r>
          </w:p>
        </w:tc>
      </w:tr>
      <w:tr>
        <w:trPr>
          <w:trHeight w:val="356" w:hRule="exact"/>
        </w:trPr>
        <w:tc>
          <w:tcPr>
            <w:tcW w:w="1717"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z w:val="21"/>
              </w:rPr>
              <w:t>1060</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100.00%</w:t>
            </w:r>
          </w:p>
        </w:tc>
      </w:tr>
    </w:tbl>
    <w:p>
      <w:pPr>
        <w:spacing w:before="2"/>
        <w:ind w:left="154" w:right="0" w:firstLine="0"/>
        <w:jc w:val="left"/>
        <w:rPr>
          <w:rFonts w:ascii="宋体" w:hAnsi="宋体" w:cs="宋体" w:eastAsia="宋体" w:hint="default"/>
          <w:sz w:val="24"/>
          <w:szCs w:val="24"/>
        </w:rPr>
      </w:pPr>
      <w:r>
        <w:rPr>
          <w:rFonts w:ascii="宋体" w:hAnsi="宋体" w:cs="宋体" w:eastAsia="宋体" w:hint="default"/>
          <w:sz w:val="24"/>
          <w:szCs w:val="24"/>
        </w:rPr>
        <w:t>（二）公司无需要承担费用的离退休员工。</w:t>
      </w:r>
    </w:p>
    <w:p>
      <w:pPr>
        <w:spacing w:after="0"/>
        <w:jc w:val="left"/>
        <w:rPr>
          <w:rFonts w:ascii="宋体" w:hAnsi="宋体" w:cs="宋体" w:eastAsia="宋体" w:hint="default"/>
          <w:sz w:val="24"/>
          <w:szCs w:val="24"/>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784"/>
        <w:jc w:val="center"/>
        <w:rPr>
          <w:b w:val="0"/>
          <w:bCs w:val="0"/>
        </w:rPr>
      </w:pPr>
      <w:bookmarkStart w:name="第八节 公司治理" w:id="97"/>
      <w:bookmarkEnd w:id="97"/>
      <w:r>
        <w:rPr>
          <w:b w:val="0"/>
          <w:bCs w:val="0"/>
        </w:rPr>
      </w:r>
      <w:bookmarkStart w:name="_bookmark7" w:id="98"/>
      <w:bookmarkEnd w:id="98"/>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99"/>
      <w:bookmarkEnd w:id="99"/>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30" w:firstLine="420"/>
        <w:jc w:val="both"/>
      </w:pPr>
      <w:r>
        <w:rPr>
          <w:spacing w:val="-1"/>
        </w:rPr>
        <w:t>报告期内，公司严格按照《公司法》、《证券法》、《上市公司治理准则》、《深圳证券交易所创业</w:t>
      </w:r>
      <w:r>
        <w:rPr/>
        <w:t> </w:t>
      </w:r>
      <w:r>
        <w:rPr>
          <w:spacing w:val="-1"/>
        </w:rPr>
        <w:t>板股票上市规则》、《创业板上市公司规范运作指引》和其他有关法律法规的要求，不断完善公司法人治</w:t>
      </w:r>
      <w:r>
        <w:rPr>
          <w:spacing w:val="-83"/>
        </w:rPr>
        <w:t> </w:t>
      </w:r>
      <w:r>
        <w:rPr>
          <w:spacing w:val="-83"/>
        </w:rPr>
      </w:r>
      <w:r>
        <w:rPr/>
        <w:t>理结构，建立健全公司内部管理和控制制度，努力做好信息披露工作及投资者关系管理。截至报告期末， 公司治理结构的实际情况符合中国证监会发布的有关上市公司治理的规范性文件的要求。</w:t>
      </w:r>
    </w:p>
    <w:p>
      <w:pPr>
        <w:pStyle w:val="BodyText"/>
        <w:spacing w:line="408" w:lineRule="auto"/>
        <w:ind w:left="573" w:right="113"/>
        <w:jc w:val="left"/>
      </w:pPr>
      <w:r>
        <w:rPr/>
        <w:t>（一）独立性 公司严格按照《公司法》、《证券法》等有关法律、法规和《公司章程》的要求规范运作，在业务、</w:t>
      </w:r>
    </w:p>
    <w:p>
      <w:pPr>
        <w:pStyle w:val="BodyText"/>
        <w:spacing w:line="408" w:lineRule="auto"/>
        <w:ind w:right="152"/>
        <w:jc w:val="both"/>
      </w:pPr>
      <w:r>
        <w:rPr>
          <w:spacing w:val="-1"/>
        </w:rPr>
        <w:t>资产、人员、机构和财务等方面与公司股东相互独立，拥有独立完整的采购、生产、销售、研发系统，具</w:t>
      </w:r>
      <w:r>
        <w:rPr>
          <w:spacing w:val="-85"/>
        </w:rPr>
        <w:t> </w:t>
      </w:r>
      <w:r>
        <w:rPr>
          <w:spacing w:val="-85"/>
        </w:rPr>
      </w:r>
      <w:r>
        <w:rPr/>
        <w:t>备面向市场自主经营的能力。</w:t>
      </w:r>
    </w:p>
    <w:p>
      <w:pPr>
        <w:pStyle w:val="BodyText"/>
        <w:spacing w:line="408" w:lineRule="auto"/>
        <w:ind w:right="151" w:firstLine="420"/>
        <w:jc w:val="both"/>
      </w:pPr>
      <w:r>
        <w:rPr>
          <w:rFonts w:ascii="宋体" w:hAnsi="宋体" w:cs="宋体" w:eastAsia="宋体" w:hint="default"/>
        </w:rPr>
        <w:t>1</w:t>
      </w:r>
      <w:r>
        <w:rPr/>
        <w:t>、公司的人员独立。公司的董事、监事均严格按照《公司法》、《公司章程》的有关规定产生，履 </w:t>
      </w:r>
      <w:r>
        <w:rPr>
          <w:spacing w:val="-1"/>
        </w:rPr>
        <w:t>行了合法程序；公司高级管理人员核心技术人员等人员专职在公司工作，并在公司领取薪酬。公司已建立</w:t>
      </w:r>
      <w:r>
        <w:rPr>
          <w:spacing w:val="-83"/>
        </w:rPr>
        <w:t> </w:t>
      </w:r>
      <w:r>
        <w:rPr>
          <w:spacing w:val="-83"/>
        </w:rPr>
      </w:r>
      <w:r>
        <w:rPr/>
        <w:t>独立的劳动、人事、社会保障体系及工资管理体系，与员工签订了劳动合同。</w:t>
      </w:r>
    </w:p>
    <w:p>
      <w:pPr>
        <w:pStyle w:val="BodyText"/>
        <w:spacing w:line="408" w:lineRule="auto"/>
        <w:ind w:right="130" w:firstLine="420"/>
        <w:jc w:val="both"/>
      </w:pPr>
      <w:r>
        <w:rPr>
          <w:rFonts w:ascii="宋体" w:hAnsi="宋体" w:cs="宋体" w:eastAsia="宋体" w:hint="default"/>
        </w:rPr>
        <w:t>2</w:t>
      </w:r>
      <w:r>
        <w:rPr/>
        <w:t>、公司的资产独立完整、权属清晰。公司具备与生产经营有关的生产系统、辅助生产系统和配套设 施，合法拥有与生产经营有关的土地、厂房、机器设备以及商标、专利、非专利技术的所有权和使用权， 资产具有完整性。</w:t>
      </w:r>
    </w:p>
    <w:p>
      <w:pPr>
        <w:pStyle w:val="BodyText"/>
        <w:spacing w:line="408" w:lineRule="auto"/>
        <w:ind w:right="161" w:firstLine="420"/>
        <w:jc w:val="both"/>
      </w:pPr>
      <w:r>
        <w:rPr>
          <w:rFonts w:ascii="宋体" w:hAnsi="宋体" w:cs="宋体" w:eastAsia="宋体" w:hint="default"/>
        </w:rPr>
        <w:t>3</w:t>
      </w:r>
      <w:r>
        <w:rPr/>
        <w:t>、公司财务独立。公司有独立的财务部门，配备了专职的财务会计人员，独立进行会计核算和财务 决策。公司开设有独立的银行帐号，并依法独立进行纳税申报和履行纳税义务。</w:t>
      </w:r>
    </w:p>
    <w:p>
      <w:pPr>
        <w:pStyle w:val="BodyText"/>
        <w:spacing w:line="408" w:lineRule="auto"/>
        <w:ind w:right="161" w:firstLine="420"/>
        <w:jc w:val="both"/>
      </w:pPr>
      <w:r>
        <w:rPr>
          <w:rFonts w:ascii="宋体" w:hAnsi="宋体" w:cs="宋体" w:eastAsia="宋体" w:hint="default"/>
        </w:rPr>
        <w:t>4</w:t>
      </w:r>
      <w:r>
        <w:rPr/>
        <w:t>、公司建立健全了独立的股东大会、董事会、监事会、经理的法人治理结构、组织结构，制定了完 善的岗位职责和管理制度，各部门按照规定的职责独立运作。</w:t>
      </w:r>
    </w:p>
    <w:p>
      <w:pPr>
        <w:pStyle w:val="BodyText"/>
        <w:spacing w:line="408" w:lineRule="auto"/>
        <w:ind w:right="129" w:firstLine="420"/>
        <w:jc w:val="both"/>
      </w:pPr>
      <w:r>
        <w:rPr>
          <w:rFonts w:ascii="宋体" w:hAnsi="宋体" w:cs="宋体" w:eastAsia="宋体" w:hint="default"/>
        </w:rPr>
        <w:t>5</w:t>
      </w:r>
      <w:r>
        <w:rPr/>
        <w:t>、公司业务独立。公司具备独立、完整的产供销系统，拥有独立的决策和执行机构，并拥有独立的 业务，具有面向市场的自主经营能力；公司股东及其控制的其他企业没有从事与公司相同或相近的业务。</w:t>
      </w:r>
    </w:p>
    <w:p>
      <w:pPr>
        <w:pStyle w:val="BodyText"/>
        <w:spacing w:line="408" w:lineRule="auto"/>
        <w:ind w:left="573" w:right="0"/>
        <w:jc w:val="left"/>
      </w:pPr>
      <w:r>
        <w:rPr/>
        <w:t>（二）股东与股东大会 </w:t>
      </w:r>
      <w:r>
        <w:rPr>
          <w:spacing w:val="-1"/>
        </w:rPr>
        <w:t>公司严格按照《创业板上市公司规范运作指引》、《上市公司股东大会规则》等规定的要求召集、召</w:t>
      </w:r>
    </w:p>
    <w:p>
      <w:pPr>
        <w:pStyle w:val="BodyText"/>
        <w:spacing w:line="408" w:lineRule="auto"/>
        <w:ind w:right="151"/>
        <w:jc w:val="both"/>
      </w:pPr>
      <w:r>
        <w:rPr>
          <w:spacing w:val="-1"/>
        </w:rPr>
        <w:t>开股东大会，平等对待所有股东，特别是保证中小股东享有平等地位，并尽可能为股东参加股东大会提供</w:t>
      </w:r>
      <w:r>
        <w:rPr>
          <w:spacing w:val="-83"/>
        </w:rPr>
        <w:t> </w:t>
      </w:r>
      <w:r>
        <w:rPr>
          <w:spacing w:val="-83"/>
        </w:rPr>
      </w:r>
      <w:r>
        <w:rPr>
          <w:spacing w:val="-1"/>
        </w:rPr>
        <w:t>便利。在《公司章程》、《股东大会议事规则》中明确规定了股东大会的召集、召开及表决程序、股东的</w:t>
      </w:r>
      <w:r>
        <w:rPr>
          <w:spacing w:val="-86"/>
        </w:rPr>
        <w:t> </w:t>
      </w:r>
      <w:r>
        <w:rPr>
          <w:spacing w:val="-86"/>
        </w:rPr>
      </w:r>
      <w:r>
        <w:rPr/>
        <w:t>参会资格和对董事会的授权原则等，董事会在报告期内做到认真审议并安排股东大会的审议事项等。</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3" w:right="0"/>
        <w:jc w:val="left"/>
      </w:pPr>
      <w:r>
        <w:rPr/>
        <w:t>（三）公司与控股股东 </w:t>
      </w:r>
      <w:r>
        <w:rPr>
          <w:spacing w:val="-1"/>
        </w:rPr>
        <w:t>公司控股股东严格按照《上市公司治理准则》、《深圳证券交易所创业板股票上市规则》、《公司章</w:t>
      </w:r>
    </w:p>
    <w:p>
      <w:pPr>
        <w:pStyle w:val="BodyText"/>
        <w:spacing w:line="408" w:lineRule="auto"/>
        <w:ind w:right="130"/>
        <w:jc w:val="both"/>
      </w:pPr>
      <w:r>
        <w:rPr>
          <w:spacing w:val="-1"/>
        </w:rPr>
        <w:t>程》规范自己的行为，通过股东大会依法行使出资人的权利，没有采取任何其他方式直接或间接地干预公</w:t>
      </w:r>
      <w:r>
        <w:rPr>
          <w:spacing w:val="-83"/>
        </w:rPr>
        <w:t> </w:t>
      </w:r>
      <w:r>
        <w:rPr>
          <w:spacing w:val="-83"/>
        </w:rPr>
      </w:r>
      <w:r>
        <w:rPr/>
        <w:t>司的决策及依法开展的生产经营活动，没有损害公司及其他股东的利益；公司与控股股东在业务、人员、 </w:t>
      </w:r>
      <w:r>
        <w:rPr>
          <w:spacing w:val="-1"/>
        </w:rPr>
        <w:t>资产、机构和财务方面做到相互独立；公司的重大决策能按照规范的程序由股东大会和董事会作出。控股</w:t>
      </w:r>
      <w:r>
        <w:rPr>
          <w:spacing w:val="-83"/>
        </w:rPr>
        <w:t> </w:t>
      </w:r>
      <w:r>
        <w:rPr>
          <w:spacing w:val="-83"/>
        </w:rPr>
      </w:r>
      <w:r>
        <w:rPr/>
        <w:t>股东与公司之间无非经营性关联交易，公司没有为控股股东及其下属企业提供担保。</w:t>
      </w:r>
    </w:p>
    <w:p>
      <w:pPr>
        <w:pStyle w:val="BodyText"/>
        <w:spacing w:line="408" w:lineRule="auto"/>
        <w:ind w:left="573" w:right="0"/>
        <w:jc w:val="left"/>
      </w:pPr>
      <w:r>
        <w:rPr/>
        <w:t>（四）董事与董事会 </w:t>
      </w:r>
      <w:r>
        <w:rPr>
          <w:spacing w:val="-1"/>
        </w:rPr>
        <w:t>公司在《公司章程》、《董事会议事规则》中规定规范、透明的董事选聘程序，并严格执行。公司董</w:t>
      </w:r>
    </w:p>
    <w:p>
      <w:pPr>
        <w:pStyle w:val="BodyText"/>
        <w:spacing w:line="408" w:lineRule="auto"/>
        <w:ind w:right="131"/>
        <w:jc w:val="both"/>
      </w:pPr>
      <w:r>
        <w:rPr/>
        <w:t>事会设董事</w:t>
      </w:r>
      <w:r>
        <w:rPr>
          <w:rFonts w:ascii="宋体" w:hAnsi="宋体" w:cs="宋体" w:eastAsia="宋体" w:hint="default"/>
        </w:rPr>
        <w:t>9 </w:t>
      </w:r>
      <w:r>
        <w:rPr/>
        <w:t>名，其中独立董事</w:t>
      </w:r>
      <w:r>
        <w:rPr>
          <w:rFonts w:ascii="宋体" w:hAnsi="宋体" w:cs="宋体" w:eastAsia="宋体" w:hint="default"/>
        </w:rPr>
        <w:t>3</w:t>
      </w:r>
      <w:r>
        <w:rPr>
          <w:rFonts w:ascii="宋体" w:hAnsi="宋体" w:cs="宋体" w:eastAsia="宋体" w:hint="default"/>
          <w:spacing w:val="-3"/>
        </w:rPr>
        <w:t> </w:t>
      </w:r>
      <w:r>
        <w:rPr/>
        <w:t>名，董事会的人数及人员构成符合法律、法规和《公司章程》的要求。 </w:t>
      </w:r>
      <w:r>
        <w:rPr>
          <w:spacing w:val="-1"/>
        </w:rPr>
        <w:t>各位董事能够依据规定开展工作，勤勉尽责地履行职责和义务，同时积极参加相关培训。独立董事能够不</w:t>
      </w:r>
      <w:r>
        <w:rPr>
          <w:spacing w:val="-83"/>
        </w:rPr>
        <w:t> </w:t>
      </w:r>
      <w:r>
        <w:rPr>
          <w:spacing w:val="-83"/>
        </w:rPr>
      </w:r>
      <w:r>
        <w:rPr>
          <w:spacing w:val="-1"/>
        </w:rPr>
        <w:t>受公司主要股东、实际控制人以及其他与公司存在利害关系的单位或个人的影响，独立履行职责，对公司</w:t>
      </w:r>
      <w:r>
        <w:rPr>
          <w:spacing w:val="-83"/>
        </w:rPr>
        <w:t> </w:t>
      </w:r>
      <w:r>
        <w:rPr>
          <w:spacing w:val="-83"/>
        </w:rPr>
      </w:r>
      <w:r>
        <w:rPr/>
        <w:t>的重大事项均能发表独立意见。</w:t>
      </w:r>
    </w:p>
    <w:p>
      <w:pPr>
        <w:pStyle w:val="BodyText"/>
        <w:spacing w:line="408" w:lineRule="auto"/>
        <w:ind w:left="574" w:right="112"/>
        <w:jc w:val="left"/>
      </w:pPr>
      <w:r>
        <w:rPr/>
        <w:t>（五）监事与监事会 公司监事会严格按照《公司法》、《公司章程》和《监事会议事规则》的有关规定，认真履行职责，</w:t>
      </w:r>
    </w:p>
    <w:p>
      <w:pPr>
        <w:pStyle w:val="BodyText"/>
        <w:spacing w:line="408" w:lineRule="auto"/>
        <w:ind w:right="131"/>
        <w:jc w:val="both"/>
      </w:pPr>
      <w:r>
        <w:rPr>
          <w:spacing w:val="-1"/>
        </w:rPr>
        <w:t>对公司财务状况、重大事项以及公司董事、经理和其他高级管理人员履行职责的合法合规性进行监督。公</w:t>
      </w:r>
      <w:r>
        <w:rPr>
          <w:spacing w:val="-82"/>
        </w:rPr>
        <w:t> </w:t>
      </w:r>
      <w:r>
        <w:rPr>
          <w:spacing w:val="-82"/>
        </w:rPr>
      </w:r>
      <w:r>
        <w:rPr/>
        <w:t>司监事会设监事</w:t>
      </w:r>
      <w:r>
        <w:rPr>
          <w:rFonts w:ascii="宋体" w:hAnsi="宋体" w:cs="宋体" w:eastAsia="宋体" w:hint="default"/>
        </w:rPr>
        <w:t>3</w:t>
      </w:r>
      <w:r>
        <w:rPr/>
        <w:t>名，其中职工监事</w:t>
      </w:r>
      <w:r>
        <w:rPr>
          <w:rFonts w:ascii="宋体" w:hAnsi="宋体" w:cs="宋体" w:eastAsia="宋体" w:hint="default"/>
        </w:rPr>
        <w:t>1</w:t>
      </w:r>
      <w:r>
        <w:rPr/>
        <w:t>名，公司监事会的人数、成员构成及监事的任职资格符合相关法律、 </w:t>
      </w:r>
      <w:r>
        <w:rPr>
          <w:spacing w:val="-1"/>
        </w:rPr>
        <w:t>法规的要求。监事会能够严格按照《监事会议事规则》的要求召集、召开监事会，表决程序符合法律、法</w:t>
      </w:r>
      <w:r>
        <w:rPr>
          <w:spacing w:val="-83"/>
        </w:rPr>
        <w:t> </w:t>
      </w:r>
      <w:r>
        <w:rPr>
          <w:spacing w:val="-83"/>
        </w:rPr>
      </w:r>
      <w:r>
        <w:rPr/>
        <w:t>规的要求。</w:t>
      </w:r>
    </w:p>
    <w:p>
      <w:pPr>
        <w:pStyle w:val="BodyText"/>
        <w:spacing w:line="408" w:lineRule="auto"/>
        <w:ind w:left="574" w:right="112"/>
        <w:jc w:val="left"/>
      </w:pPr>
      <w:r>
        <w:rPr/>
        <w:t>（六）绩效评价与激励约束机制 公司已建立工作绩效评价体系，使员工的收入与工作绩效挂钩；高级管理人员的聘任能够做到公开、</w:t>
      </w:r>
    </w:p>
    <w:p>
      <w:pPr>
        <w:pStyle w:val="BodyText"/>
        <w:spacing w:line="240" w:lineRule="auto"/>
        <w:ind w:left="154" w:right="0"/>
        <w:jc w:val="both"/>
      </w:pPr>
      <w:r>
        <w:rPr/>
        <w:t>透明，符合法律、法规的规定；公司建立了经理人员的薪酬与公司业绩和个人业绩相挂钩的激励机制。</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（七）相关利益者 </w:t>
      </w:r>
      <w:r>
        <w:rPr>
          <w:spacing w:val="-1"/>
        </w:rPr>
        <w:t>公司能够充分尊重银行及其他债权人、员工、消费者、供应商、经销商等利益相关者的合法权利，与</w:t>
      </w:r>
    </w:p>
    <w:p>
      <w:pPr>
        <w:pStyle w:val="BodyText"/>
        <w:spacing w:line="240" w:lineRule="auto"/>
        <w:ind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4" w:right="112"/>
        <w:jc w:val="left"/>
      </w:pPr>
      <w:r>
        <w:rPr/>
        <w:t>（八）关于信息披露与透明度 公司根据《深圳证券交易所创业板股票上市规则》、《上市公司信息披露管理办法》、《公司章程》</w:t>
      </w:r>
    </w:p>
    <w:p>
      <w:pPr>
        <w:pStyle w:val="BodyText"/>
        <w:spacing w:line="408" w:lineRule="auto"/>
        <w:ind w:left="154" w:right="153"/>
        <w:jc w:val="both"/>
      </w:pPr>
      <w:r>
        <w:rPr>
          <w:spacing w:val="-1"/>
        </w:rPr>
        <w:t>以及公司《信息披露基本制度》等相关法规制度的规定，认真履行信息披露义务。公司指定董事会秘书负</w:t>
      </w:r>
      <w:r>
        <w:rPr>
          <w:spacing w:val="-86"/>
        </w:rPr>
        <w:t> </w:t>
      </w:r>
      <w:r>
        <w:rPr>
          <w:spacing w:val="-86"/>
        </w:rPr>
      </w:r>
      <w:r>
        <w:rPr/>
        <w:t>责信息披露工作，并负责投资者关系管理，确保公司所有股东能够以平等的机会获得信息。</w:t>
      </w:r>
    </w:p>
    <w:p>
      <w:pPr>
        <w:pStyle w:val="BodyText"/>
        <w:spacing w:line="408" w:lineRule="auto"/>
        <w:ind w:right="0" w:firstLine="420"/>
        <w:jc w:val="left"/>
      </w:pPr>
      <w:r>
        <w:rPr>
          <w:spacing w:val="-1"/>
        </w:rPr>
        <w:t>公司指定《证券时报》和巨潮资讯网（</w:t>
      </w:r>
      <w:hyperlink r:id="rId11">
        <w:r>
          <w:rPr>
            <w:rFonts w:ascii="宋体" w:hAnsi="宋体" w:cs="宋体" w:eastAsia="宋体" w:hint="default"/>
            <w:spacing w:val="-1"/>
          </w:rPr>
          <w:t>http://www.cninfo.com.cn</w:t>
        </w:r>
      </w:hyperlink>
      <w:r>
        <w:rPr>
          <w:spacing w:val="-1"/>
        </w:rPr>
        <w:t>）为公司信息披露的指定报纸和网</w:t>
      </w:r>
      <w:r>
        <w:rPr/>
        <w:t> 站。</w:t>
      </w:r>
    </w:p>
    <w:p>
      <w:pPr>
        <w:spacing w:after="0" w:line="40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3" w:right="1643"/>
        <w:jc w:val="left"/>
      </w:pPr>
      <w:r>
        <w:rPr/>
        <w:t>（九）投资者关系管理情况 报告期内，公司严格执行《投资者关系管理制度》，认真做好投资者关系管理工作： </w:t>
      </w:r>
      <w:r>
        <w:rPr>
          <w:rFonts w:ascii="宋体" w:hAnsi="宋体" w:cs="宋体" w:eastAsia="宋体" w:hint="default"/>
        </w:rPr>
        <w:t>1</w:t>
      </w:r>
      <w:r>
        <w:rPr/>
        <w:t>、日常工作</w:t>
      </w:r>
    </w:p>
    <w:p>
      <w:pPr>
        <w:pStyle w:val="BodyText"/>
        <w:spacing w:line="408" w:lineRule="auto"/>
        <w:ind w:right="104" w:firstLine="420"/>
        <w:jc w:val="left"/>
      </w:pPr>
      <w:r>
        <w:rPr>
          <w:spacing w:val="-1"/>
        </w:rPr>
        <w:t>（</w:t>
      </w:r>
      <w:r>
        <w:rPr>
          <w:rFonts w:ascii="宋体" w:hAnsi="宋体" w:cs="宋体" w:eastAsia="宋体" w:hint="default"/>
          <w:spacing w:val="-1"/>
        </w:rPr>
        <w:t>1</w:t>
      </w:r>
      <w:r>
        <w:rPr>
          <w:spacing w:val="-1"/>
        </w:rPr>
        <w:t>）积极做好投资者关系管理工作档案的建立和保管，合理、妥善地安排个人投资者、机构投资者、</w:t>
      </w:r>
      <w:r>
        <w:rPr/>
        <w:t> 行业分析师等相关人员到公司进行调研，并切实做好相关信息的保密工作。</w:t>
      </w:r>
    </w:p>
    <w:p>
      <w:pPr>
        <w:pStyle w:val="BodyText"/>
        <w:spacing w:line="408" w:lineRule="auto"/>
        <w:ind w:right="104" w:firstLine="420"/>
        <w:jc w:val="left"/>
      </w:pPr>
      <w:r>
        <w:rPr/>
        <w:t>（</w:t>
      </w:r>
      <w:r>
        <w:rPr>
          <w:rFonts w:ascii="宋体" w:hAnsi="宋体" w:cs="宋体" w:eastAsia="宋体" w:hint="default"/>
        </w:rPr>
        <w:t>2</w:t>
      </w:r>
      <w:r>
        <w:rPr/>
        <w:t>）通过公司网站、投资者关系管理电话、电子信箱、互动平台等多种渠道与投资者加强沟通，解 答投资者的疑问。</w:t>
      </w:r>
    </w:p>
    <w:p>
      <w:pPr>
        <w:pStyle w:val="BodyText"/>
        <w:spacing w:line="240" w:lineRule="auto"/>
        <w:ind w:left="573" w:right="104"/>
        <w:jc w:val="left"/>
      </w:pPr>
      <w:r>
        <w:rPr>
          <w:rFonts w:ascii="宋体" w:hAnsi="宋体" w:cs="宋体" w:eastAsia="宋体" w:hint="default"/>
        </w:rPr>
        <w:t>2</w:t>
      </w:r>
      <w:r>
        <w:rPr/>
        <w:t>、互动交流</w:t>
      </w:r>
    </w:p>
    <w:p>
      <w:pPr>
        <w:spacing w:line="240" w:lineRule="auto" w:before="10"/>
        <w:rPr>
          <w:rFonts w:ascii="宋体" w:hAnsi="宋体" w:cs="宋体" w:eastAsia="宋体" w:hint="default"/>
          <w:sz w:val="14"/>
          <w:szCs w:val="14"/>
        </w:rPr>
      </w:pPr>
    </w:p>
    <w:p>
      <w:pPr>
        <w:pStyle w:val="BodyText"/>
        <w:spacing w:line="408" w:lineRule="auto" w:before="0"/>
        <w:ind w:right="104" w:firstLine="420"/>
        <w:jc w:val="left"/>
      </w:pPr>
      <w:r>
        <w:rPr/>
        <w:t>（</w:t>
      </w:r>
      <w:r>
        <w:rPr>
          <w:rFonts w:ascii="宋体" w:hAnsi="宋体" w:cs="宋体" w:eastAsia="宋体" w:hint="default"/>
        </w:rPr>
        <w:t>1</w:t>
      </w:r>
      <w:r>
        <w:rPr/>
        <w:t>）报告期内，公司于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9</w:t>
      </w:r>
      <w:r>
        <w:rPr/>
        <w:t>日通过投资者互动平台（</w:t>
      </w:r>
      <w:hyperlink r:id="rId21">
        <w:r>
          <w:rPr>
            <w:rFonts w:ascii="宋体" w:hAnsi="宋体" w:cs="宋体" w:eastAsia="宋体" w:hint="default"/>
          </w:rPr>
          <w:t>http://irm.p5w.net</w:t>
        </w:r>
      </w:hyperlink>
      <w:r>
        <w:rPr/>
        <w:t>）举行了</w:t>
      </w:r>
      <w:r>
        <w:rPr>
          <w:rFonts w:ascii="宋体" w:hAnsi="宋体" w:cs="宋体" w:eastAsia="宋体" w:hint="default"/>
        </w:rPr>
        <w:t>2013</w:t>
      </w:r>
      <w:r>
        <w:rPr/>
        <w:t>年年</w:t>
      </w:r>
      <w:r>
        <w:rPr>
          <w:spacing w:val="1"/>
        </w:rPr>
        <w:t> </w:t>
      </w:r>
      <w:r>
        <w:rPr>
          <w:spacing w:val="-3"/>
        </w:rPr>
        <w:t>度报告网上业绩说明会，公司董事长任红军先生，总经理徐克先生，董事会秘书、财务负责人刘瑞玲女士，</w:t>
      </w:r>
      <w:r>
        <w:rPr>
          <w:spacing w:val="-94"/>
        </w:rPr>
        <w:t> </w:t>
      </w:r>
      <w:r>
        <w:rPr>
          <w:spacing w:val="-94"/>
        </w:rPr>
      </w:r>
      <w:r>
        <w:rPr/>
        <w:t>独立董事李颖江先生参加了网上说明会，与广大投资者进行坦诚的沟通和交流。</w:t>
      </w:r>
    </w:p>
    <w:p>
      <w:pPr>
        <w:pStyle w:val="BodyText"/>
        <w:spacing w:line="408" w:lineRule="auto"/>
        <w:ind w:left="154" w:right="106" w:firstLine="420"/>
        <w:jc w:val="both"/>
      </w:pPr>
      <w:r>
        <w:rPr>
          <w:spacing w:val="-1"/>
        </w:rPr>
        <w:t>（</w:t>
      </w:r>
      <w:r>
        <w:rPr>
          <w:rFonts w:ascii="宋体" w:hAnsi="宋体" w:cs="宋体" w:eastAsia="宋体" w:hint="default"/>
          <w:spacing w:val="-1"/>
        </w:rPr>
        <w:t>2</w:t>
      </w:r>
      <w:r>
        <w:rPr>
          <w:spacing w:val="-1"/>
        </w:rPr>
        <w:t>）报告期内，公司通过“投资者关系互动平台”（</w:t>
      </w:r>
      <w:hyperlink r:id="rId22">
        <w:r>
          <w:rPr>
            <w:rFonts w:ascii="宋体" w:hAnsi="宋体" w:cs="宋体" w:eastAsia="宋体" w:hint="default"/>
            <w:spacing w:val="-1"/>
          </w:rPr>
          <w:t>http://ircs.p5w.net/ircs/ssgs/index.do</w:t>
        </w:r>
      </w:hyperlink>
      <w:r>
        <w:rPr>
          <w:spacing w:val="-1"/>
        </w:rPr>
        <w:t>），</w:t>
      </w:r>
      <w:r>
        <w:rPr>
          <w:spacing w:val="-5"/>
        </w:rPr>
        <w:t> </w:t>
      </w:r>
      <w:r>
        <w:rPr>
          <w:spacing w:val="-3"/>
        </w:rPr>
        <w:t>就投资者关心的问题进行了充分、深入、详细的分析、说明和答复，建立了投资者与公司之间规范、直接、</w:t>
      </w:r>
      <w:r>
        <w:rPr>
          <w:spacing w:val="-94"/>
        </w:rPr>
        <w:t> </w:t>
      </w:r>
      <w:r>
        <w:rPr>
          <w:spacing w:val="-94"/>
        </w:rPr>
      </w:r>
      <w:r>
        <w:rPr/>
        <w:t>快速的交流与沟通渠道，提高了公司规范运作水平，更好的保护了投资者特别是中小投资者的合法权益。</w:t>
      </w:r>
    </w:p>
    <w:p>
      <w:pPr>
        <w:pStyle w:val="BodyText"/>
        <w:spacing w:line="408" w:lineRule="auto"/>
        <w:ind w:left="574" w:right="104"/>
        <w:jc w:val="left"/>
      </w:pPr>
      <w:r>
        <w:rPr>
          <w:rFonts w:ascii="宋体" w:hAnsi="宋体" w:cs="宋体" w:eastAsia="宋体" w:hint="default"/>
        </w:rPr>
        <w:t>(</w:t>
      </w:r>
      <w:r>
        <w:rPr/>
        <w:t>十</w:t>
      </w:r>
      <w:r>
        <w:rPr>
          <w:rFonts w:ascii="宋体" w:hAnsi="宋体" w:cs="宋体" w:eastAsia="宋体" w:hint="default"/>
        </w:rPr>
        <w:t>)</w:t>
      </w:r>
      <w:r>
        <w:rPr/>
        <w:t>公司董事长、独立董事及其他董事履行职责情况 </w:t>
      </w:r>
      <w:r>
        <w:rPr>
          <w:rFonts w:ascii="宋体" w:hAnsi="宋体" w:cs="宋体" w:eastAsia="宋体" w:hint="default"/>
        </w:rPr>
        <w:t>1</w:t>
      </w:r>
      <w:r>
        <w:rPr/>
        <w:t>、报告期内，公司全体董事严格按照《公司法》、《证券法》、《深圳证券交易所创业板上市公司</w:t>
      </w:r>
    </w:p>
    <w:p>
      <w:pPr>
        <w:pStyle w:val="BodyText"/>
        <w:spacing w:line="408" w:lineRule="auto"/>
        <w:ind w:left="154" w:right="211"/>
        <w:jc w:val="both"/>
      </w:pPr>
      <w:r>
        <w:rPr>
          <w:spacing w:val="-1"/>
        </w:rPr>
        <w:t>规范运作指引》等法律、法规及规章制度的规定和要求，履行董事职责，积极参加相关培训，提高规范运</w:t>
      </w:r>
      <w:r>
        <w:rPr>
          <w:spacing w:val="-83"/>
        </w:rPr>
        <w:t> </w:t>
      </w:r>
      <w:r>
        <w:rPr>
          <w:spacing w:val="-83"/>
        </w:rPr>
      </w:r>
      <w:r>
        <w:rPr>
          <w:spacing w:val="-1"/>
        </w:rPr>
        <w:t>作水平。董事在董事会会议投票表决重大事项或其他对公司有重大影响的事项时，严格遵循公司董事会议</w:t>
      </w:r>
      <w:r>
        <w:rPr>
          <w:spacing w:val="-81"/>
        </w:rPr>
        <w:t> </w:t>
      </w:r>
      <w:r>
        <w:rPr>
          <w:spacing w:val="-81"/>
        </w:rPr>
      </w:r>
      <w:r>
        <w:rPr/>
        <w:t>事规则的有关审议规定，审慎决策，切实保护公司和股东特别是社会公众股股东的利益。</w:t>
      </w:r>
    </w:p>
    <w:p>
      <w:pPr>
        <w:pStyle w:val="BodyText"/>
        <w:spacing w:line="408" w:lineRule="auto"/>
        <w:ind w:right="190" w:firstLine="420"/>
        <w:jc w:val="right"/>
      </w:pPr>
      <w:r>
        <w:rPr>
          <w:rFonts w:ascii="宋体" w:hAnsi="宋体" w:cs="宋体" w:eastAsia="宋体" w:hint="default"/>
        </w:rPr>
        <w:t>2</w:t>
      </w:r>
      <w:r>
        <w:rPr/>
        <w:t>、公司董事长在履行职责时，严格按照《公司法》、《证券法》、《深圳证券交易所创业板上市公 </w:t>
      </w:r>
      <w:r>
        <w:rPr>
          <w:spacing w:val="-1"/>
        </w:rPr>
        <w:t>司规范运作指引》和《公司章程》规定，行使董事长职权，履行职责。在召集、主持董事会会议时，积极</w:t>
      </w:r>
      <w:r>
        <w:rPr/>
        <w:t> 推动公司治理工作和内部控制建设、督促执行股东大会和董事会的各项决议，确保董事会依法正常运作。 </w:t>
      </w:r>
      <w:r>
        <w:rPr>
          <w:rFonts w:ascii="宋体" w:hAnsi="宋体" w:cs="宋体" w:eastAsia="宋体" w:hint="default"/>
        </w:rPr>
        <w:t>3</w:t>
      </w:r>
      <w:r>
        <w:rPr/>
        <w:t>、公司独立董事认真履行职责，积极准时出席相关会议，认真审议各项议案，客观的发表自己的看 </w:t>
      </w:r>
      <w:r>
        <w:rPr>
          <w:spacing w:val="-1"/>
        </w:rPr>
        <w:t>法及观点，努力维护公司整体利益及中小股东的合法权益。同时积极深入公司现场调查，了解公司生产经</w:t>
      </w:r>
    </w:p>
    <w:p>
      <w:pPr>
        <w:pStyle w:val="BodyText"/>
        <w:spacing w:line="408" w:lineRule="auto"/>
        <w:ind w:left="573" w:right="383" w:hanging="420"/>
        <w:jc w:val="left"/>
      </w:pPr>
      <w:r>
        <w:rPr/>
        <w:t>营状况和内部控制的建设及董事会及股东会决议的执行情况，为公司经营和发展提出合理意见和建议。 独立董事对</w:t>
      </w:r>
      <w:r>
        <w:rPr>
          <w:rFonts w:ascii="宋体" w:hAnsi="宋体" w:cs="宋体" w:eastAsia="宋体" w:hint="default"/>
        </w:rPr>
        <w:t>2014</w:t>
      </w:r>
      <w:r>
        <w:rPr/>
        <w:t>年度公司审议的各项事项没有提出异议。</w:t>
      </w:r>
    </w:p>
    <w:p>
      <w:pPr>
        <w:spacing w:before="34"/>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after="0"/>
        <w:jc w:val="both"/>
        <w:rPr>
          <w:rFonts w:ascii="宋体" w:hAnsi="宋体" w:cs="宋体" w:eastAsia="宋体" w:hint="default"/>
          <w:sz w:val="18"/>
          <w:szCs w:val="18"/>
        </w:rPr>
        <w:sectPr>
          <w:pgSz w:w="11910" w:h="16840"/>
          <w:pgMar w:header="747"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报告期内召开的年度股东大会和临时股东大会的有关情况" w:id="100"/>
      <w:bookmarkEnd w:id="100"/>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01"/>
      <w:bookmarkEnd w:id="101"/>
      <w:r>
        <w:rPr>
          <w:b w:val="0"/>
          <w:bCs w:val="0"/>
        </w:rPr>
      </w:r>
      <w:r>
        <w:rPr>
          <w:rFonts w:ascii="宋体" w:hAnsi="宋体" w:cs="宋体" w:eastAsia="宋体" w:hint="default"/>
        </w:rPr>
        <w:t>1</w:t>
      </w:r>
      <w:r>
        <w:rPr/>
        <w:t>、本报告期年度股东大会情况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986"/>
        <w:gridCol w:w="1702"/>
        <w:gridCol w:w="3490"/>
        <w:gridCol w:w="2391"/>
      </w:tblGrid>
      <w:tr>
        <w:trPr>
          <w:trHeight w:val="727" w:hRule="exact"/>
        </w:trPr>
        <w:tc>
          <w:tcPr>
            <w:tcW w:w="19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4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097" w:right="98"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15" w:hRule="exact"/>
        </w:trPr>
        <w:tc>
          <w:tcPr>
            <w:tcW w:w="19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年年度股东大会</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102"/>
      <w:bookmarkEnd w:id="102"/>
      <w:r>
        <w:rPr>
          <w:b w:val="0"/>
          <w:bCs w:val="0"/>
        </w:rPr>
      </w:r>
      <w:r>
        <w:rPr>
          <w:rFonts w:ascii="宋体" w:hAnsi="宋体" w:cs="宋体" w:eastAsia="宋体" w:hint="default"/>
        </w:rPr>
        <w:t>2</w:t>
      </w:r>
      <w:r>
        <w:rPr/>
        <w:t>、本报告期临时股东大会情况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393"/>
        <w:gridCol w:w="1720"/>
        <w:gridCol w:w="3065"/>
        <w:gridCol w:w="2391"/>
      </w:tblGrid>
      <w:tr>
        <w:trPr>
          <w:trHeight w:val="727"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06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097" w:right="98"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1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393"/>
        <w:gridCol w:w="1578"/>
        <w:gridCol w:w="3207"/>
        <w:gridCol w:w="2391"/>
      </w:tblGrid>
      <w:tr>
        <w:trPr>
          <w:trHeight w:val="646"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0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1097" w:right="98"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32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34"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1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51" w:firstLine="420"/>
        <w:jc w:val="both"/>
      </w:pPr>
      <w:r>
        <w:rPr>
          <w:spacing w:val="-1"/>
        </w:rPr>
        <w:t>公司第一届董事会第十二次会议审议制定了《年报信息披露重大差错责任追究制度》，对年报编制和</w:t>
      </w:r>
      <w:r>
        <w:rPr/>
        <w:t> </w:t>
      </w:r>
      <w:r>
        <w:rPr>
          <w:spacing w:val="-1"/>
        </w:rPr>
        <w:t>披露的每一环节都进行规定，明确了参与编制和披露工作人员各自的责任。</w:t>
      </w:r>
      <w:r>
        <w:rPr>
          <w:rFonts w:ascii="宋体" w:hAnsi="宋体" w:cs="宋体" w:eastAsia="宋体" w:hint="default"/>
          <w:spacing w:val="-1"/>
        </w:rPr>
        <w:t>2014</w:t>
      </w:r>
      <w:r>
        <w:rPr>
          <w:spacing w:val="-1"/>
        </w:rPr>
        <w:t>年度，《年报信息披露重</w:t>
      </w:r>
      <w:r>
        <w:rPr>
          <w:spacing w:val="-81"/>
        </w:rPr>
        <w:t> </w:t>
      </w:r>
      <w:r>
        <w:rPr>
          <w:spacing w:val="-81"/>
        </w:rPr>
      </w:r>
      <w:r>
        <w:rPr>
          <w:spacing w:val="-1"/>
        </w:rPr>
        <w:t>大差错责任追究制度》得到有效执行，提高了公司年报信息披露的质量和透明度。报告期内，公司未发生</w:t>
      </w:r>
      <w:r>
        <w:rPr>
          <w:spacing w:val="-85"/>
        </w:rPr>
        <w:t> </w:t>
      </w:r>
      <w:r>
        <w:rPr>
          <w:spacing w:val="-85"/>
        </w:rPr>
      </w:r>
      <w:r>
        <w:rPr/>
        <w:t>重大会计差错更正、重大遗漏信息补充以及业绩预告修正等情况。</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57" w:lineRule="auto" w:before="117"/>
        <w:ind w:left="153" w:right="6353" w:firstLine="0"/>
        <w:jc w:val="left"/>
        <w:rPr>
          <w:rFonts w:ascii="宋体" w:hAnsi="宋体" w:cs="宋体" w:eastAsia="宋体" w:hint="default"/>
          <w:sz w:val="18"/>
          <w:szCs w:val="18"/>
        </w:rPr>
      </w:pPr>
      <w:r>
        <w:rPr>
          <w:rFonts w:ascii="宋体" w:hAnsi="宋体" w:cs="宋体" w:eastAsia="宋体" w:hint="default"/>
          <w:sz w:val="18"/>
          <w:szCs w:val="18"/>
        </w:rPr>
        <w:t>□ 是 √ 否 公司监事会对报告期内的监督事项无异议。</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4"/>
        <w:jc w:val="center"/>
        <w:rPr>
          <w:b w:val="0"/>
          <w:bCs w:val="0"/>
        </w:rPr>
      </w:pPr>
      <w:bookmarkStart w:name="第九节 财务报告" w:id="106"/>
      <w:bookmarkEnd w:id="106"/>
      <w:r>
        <w:rPr>
          <w:b w:val="0"/>
          <w:bCs w:val="0"/>
        </w:rPr>
      </w:r>
      <w:bookmarkStart w:name="_bookmark8" w:id="107"/>
      <w:bookmarkEnd w:id="107"/>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8"/>
      <w:bookmarkEnd w:id="10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28-00021</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孔庆华 王晓玲</w:t>
            </w:r>
          </w:p>
        </w:tc>
      </w:tr>
    </w:tbl>
    <w:p>
      <w:pPr>
        <w:spacing w:before="51"/>
        <w:ind w:left="2784" w:right="278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
        <w:rPr>
          <w:rFonts w:ascii="宋体" w:hAnsi="宋体" w:cs="宋体" w:eastAsia="宋体" w:hint="default"/>
          <w:sz w:val="10"/>
          <w:szCs w:val="10"/>
        </w:rPr>
      </w:pPr>
    </w:p>
    <w:p>
      <w:pPr>
        <w:spacing w:line="408" w:lineRule="auto" w:before="35"/>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河南汉威电子股份有限公司全体股东：</w:t>
      </w:r>
      <w:r>
        <w:rPr>
          <w:rFonts w:ascii="宋体" w:hAnsi="宋体" w:cs="宋体" w:eastAsia="宋体" w:hint="default"/>
          <w:b/>
          <w:bCs/>
          <w:w w:val="99"/>
          <w:sz w:val="21"/>
          <w:szCs w:val="21"/>
        </w:rPr>
        <w:t> </w:t>
      </w:r>
      <w:r>
        <w:rPr>
          <w:rFonts w:ascii="宋体" w:hAnsi="宋体" w:cs="宋体" w:eastAsia="宋体" w:hint="default"/>
          <w:spacing w:val="-1"/>
          <w:sz w:val="21"/>
          <w:szCs w:val="21"/>
        </w:rPr>
        <w:t>我们审计了后附的河南汉威电子股份有限公司（以下简称“贵公司”）财务报表，包括</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p>
    <w:p>
      <w:pPr>
        <w:pStyle w:val="BodyText"/>
        <w:spacing w:line="408" w:lineRule="auto"/>
        <w:ind w:left="154" w:right="0"/>
        <w:jc w:val="left"/>
      </w:pPr>
      <w:r>
        <w:rPr>
          <w:spacing w:val="-1"/>
        </w:rPr>
        <w:t>日的合并及母公司资产负债表，</w:t>
      </w:r>
      <w:r>
        <w:rPr>
          <w:rFonts w:ascii="宋体" w:hAnsi="宋体" w:cs="宋体" w:eastAsia="宋体" w:hint="default"/>
          <w:spacing w:val="-1"/>
        </w:rPr>
        <w:t>2014</w:t>
      </w:r>
      <w:r>
        <w:rPr>
          <w:spacing w:val="-1"/>
        </w:rPr>
        <w:t>年度的合并及母公司利润表、合并及母公司现金流量表、合并及母公</w:t>
      </w:r>
      <w:r>
        <w:rPr>
          <w:spacing w:val="-82"/>
        </w:rPr>
        <w:t> </w:t>
      </w:r>
      <w:r>
        <w:rPr>
          <w:spacing w:val="-82"/>
        </w:rPr>
      </w:r>
      <w:r>
        <w:rPr/>
        <w:t>司股东权益变动表，以及财务报表附注。</w:t>
      </w:r>
    </w:p>
    <w:p>
      <w:pPr>
        <w:pStyle w:val="BodyText"/>
        <w:spacing w:line="408" w:lineRule="auto"/>
        <w:ind w:left="574" w:right="217" w:firstLine="60"/>
        <w:jc w:val="left"/>
      </w:pPr>
      <w:r>
        <w:rPr/>
        <w:t>一、管理层对财务报表的责任 编制和公允列报财务报表是贵公司管理层的责任，这种责任包括：（</w:t>
      </w:r>
      <w:r>
        <w:rPr>
          <w:rFonts w:ascii="宋体" w:hAnsi="宋体" w:cs="宋体" w:eastAsia="宋体" w:hint="default"/>
        </w:rPr>
        <w:t>1</w:t>
      </w:r>
      <w:r>
        <w:rPr/>
        <w:t>）按照企业会计准则的规定编</w:t>
      </w:r>
    </w:p>
    <w:p>
      <w:pPr>
        <w:pStyle w:val="BodyText"/>
        <w:spacing w:line="408" w:lineRule="auto"/>
        <w:ind w:left="154" w:right="217"/>
        <w:jc w:val="left"/>
      </w:pPr>
      <w:r>
        <w:rPr/>
        <w:t>制财务报表，并使其实现公允反映；（</w:t>
      </w:r>
      <w:r>
        <w:rPr>
          <w:rFonts w:ascii="宋体" w:hAnsi="宋体" w:cs="宋体" w:eastAsia="宋体" w:hint="default"/>
        </w:rPr>
        <w:t>2</w:t>
      </w:r>
      <w:r>
        <w:rPr/>
        <w:t>）设计、执行和维护必要的内部控制，以使财务报表不存在由于 舞弊或错误导致的重大错报。</w:t>
      </w:r>
    </w:p>
    <w:p>
      <w:pPr>
        <w:pStyle w:val="BodyText"/>
        <w:spacing w:line="408" w:lineRule="auto"/>
        <w:ind w:left="574" w:right="0" w:firstLine="60"/>
        <w:jc w:val="left"/>
      </w:pPr>
      <w:r>
        <w:rPr/>
        <w:t>二、注册会计师的责任 </w:t>
      </w:r>
      <w:r>
        <w:rPr>
          <w:spacing w:val="-1"/>
        </w:rPr>
        <w:t>我们的责任是在执行审计工作的基础上对财务报表发表审计意见。我们按照中国注册会计师审计准则</w:t>
      </w:r>
    </w:p>
    <w:p>
      <w:pPr>
        <w:pStyle w:val="BodyText"/>
        <w:spacing w:line="408" w:lineRule="auto"/>
        <w:ind w:left="154"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left="154"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ind w:left="634" w:right="2002" w:hanging="60"/>
        <w:jc w:val="left"/>
      </w:pPr>
      <w:r>
        <w:rPr/>
        <w:t>我们相信，我们获取的审计证据是充分、适当的，为发表审计意见提供了基础。 三、审计意见</w:t>
      </w:r>
    </w:p>
    <w:p>
      <w:pPr>
        <w:pStyle w:val="BodyText"/>
        <w:spacing w:line="240" w:lineRule="auto"/>
        <w:ind w:left="634" w:right="0"/>
        <w:jc w:val="left"/>
        <w:rPr>
          <w:rFonts w:ascii="宋体" w:hAnsi="宋体" w:cs="宋体" w:eastAsia="宋体" w:hint="default"/>
        </w:rPr>
      </w:pPr>
      <w:r>
        <w:rPr/>
        <w:t>我们认为，贵公司财务报表在所有重大方面按照企业会计准则的规定编制，公允反映了贵公司</w:t>
      </w:r>
      <w:r>
        <w:rPr>
          <w:rFonts w:ascii="宋体" w:hAnsi="宋体" w:cs="宋体" w:eastAsia="宋体" w:hint="default"/>
        </w:rPr>
        <w:t>2014</w:t>
      </w:r>
    </w:p>
    <w:p>
      <w:pPr>
        <w:spacing w:after="0" w:line="240" w:lineRule="auto"/>
        <w:jc w:val="left"/>
        <w:rPr>
          <w:rFonts w:ascii="宋体" w:hAnsi="宋体" w:cs="宋体" w:eastAsia="宋体" w:hint="default"/>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2014</w:t>
      </w:r>
      <w:r>
        <w:rPr/>
        <w:t>年度的经营成果和现金流量。</w:t>
      </w:r>
    </w:p>
    <w:p>
      <w:pPr>
        <w:spacing w:line="240" w:lineRule="auto" w:before="10"/>
        <w:rPr>
          <w:rFonts w:ascii="宋体" w:hAnsi="宋体" w:cs="宋体" w:eastAsia="宋体" w:hint="default"/>
          <w:sz w:val="14"/>
          <w:szCs w:val="14"/>
        </w:rPr>
      </w:pPr>
    </w:p>
    <w:p>
      <w:pPr>
        <w:pStyle w:val="BodyText"/>
        <w:tabs>
          <w:tab w:pos="5089" w:val="left" w:leader="none"/>
          <w:tab w:pos="5509" w:val="left" w:leader="none"/>
          <w:tab w:pos="7297" w:val="left" w:leader="none"/>
          <w:tab w:pos="7818" w:val="left" w:leader="none"/>
        </w:tabs>
        <w:spacing w:line="408" w:lineRule="auto" w:before="0"/>
        <w:ind w:left="4354" w:right="237" w:hanging="837"/>
        <w:jc w:val="left"/>
      </w:pPr>
      <w:r>
        <w:rPr>
          <w:spacing w:val="-1"/>
        </w:rPr>
        <w:t>大信会计师事务所（特殊普通合伙）</w:t>
        <w:tab/>
        <w:t>中国注册会计师：孔庆华</w:t>
      </w:r>
      <w:r>
        <w:rPr>
          <w:spacing w:val="-96"/>
        </w:rPr>
        <w:t> </w:t>
      </w:r>
      <w:r>
        <w:rPr>
          <w:spacing w:val="-96"/>
        </w:rPr>
      </w:r>
      <w:r>
        <w:rPr/>
        <w:t>中</w:t>
      </w:r>
      <w:r>
        <w:rPr>
          <w:spacing w:val="-1"/>
        </w:rPr>
        <w:t> </w:t>
      </w:r>
      <w:r>
        <w:rPr/>
        <w:t>国</w:t>
        <w:tab/>
        <w:t>·</w:t>
        <w:tab/>
        <w:t>北</w:t>
      </w:r>
      <w:r>
        <w:rPr>
          <w:spacing w:val="-1"/>
        </w:rPr>
        <w:t> </w:t>
      </w:r>
      <w:r>
        <w:rPr/>
        <w:t>京</w:t>
        <w:tab/>
        <w:tab/>
        <w:t>中国注册会计师：王</w:t>
      </w:r>
    </w:p>
    <w:p>
      <w:pPr>
        <w:pStyle w:val="BodyText"/>
        <w:spacing w:line="240" w:lineRule="auto"/>
        <w:ind w:right="0"/>
        <w:jc w:val="left"/>
      </w:pPr>
      <w:r>
        <w:rPr/>
        <w:t>晓玲</w:t>
      </w:r>
    </w:p>
    <w:p>
      <w:pPr>
        <w:spacing w:line="240" w:lineRule="auto" w:before="10"/>
        <w:rPr>
          <w:rFonts w:ascii="宋体" w:hAnsi="宋体" w:cs="宋体" w:eastAsia="宋体" w:hint="default"/>
          <w:sz w:val="14"/>
          <w:szCs w:val="14"/>
        </w:rPr>
      </w:pPr>
    </w:p>
    <w:p>
      <w:pPr>
        <w:pStyle w:val="BodyText"/>
        <w:spacing w:line="240" w:lineRule="auto" w:before="0"/>
        <w:ind w:left="6654" w:right="0"/>
        <w:jc w:val="left"/>
      </w:pPr>
      <w:r>
        <w:rPr/>
        <w:t>二〇一五年三月二十六日</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二、财务报表" w:id="109"/>
      <w:bookmarkEnd w:id="10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10"/>
      <w:bookmarkEnd w:id="110"/>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5" w:space="86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242,428,256.41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260,212,710.79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21,223,146.02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5,369,168.50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213,927,884.00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123,562,969.57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14,590,266.50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14,159,184.91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13,617,350.05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9,554,151.64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179,276,609.63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69,010,233.12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784,781.32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685,848,293.93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481,868,418.53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10,992,958.00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1,677,247.41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62,099,340.22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9,766,096.63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424,625,831.67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292,189,941.65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5,135,899.21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48,673,444.15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342,012,674.74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70,316,984.64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1,576,624.47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271,218,259.12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26,018,710.86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484,279.98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476,648.15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9,001,296.83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4,922,371.45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5,507,078.40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1,134,531,490.05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452,364,197.53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1,820,379,783.98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934,232,616.06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23,571,593.63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159,665,245.73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87,865,105.58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16,437,473.57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15,462,869.78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10,128,759.86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5,955,942.05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23,666,454.08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7,659,616.73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421,077.04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150,574.99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31,893,296.62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5,003,476.27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25,312,907.92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15,999,550.90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459,596,808.45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248,097,136.30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48,863,867.43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7,052,534.99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1,832,178.59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15,741,194.89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335,320.61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114,537,597.31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2,167,499.20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574,134,405.76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250,264,635.50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146,511,403.00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745,597,861.95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317,376,942.17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23,933,007.99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19,039,488.60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235,195,448.72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188,647,177.77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1,151,237,721.66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643,063,608.54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95,007,656.56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40,904,372.02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1,246,245,378.22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683,967,980.56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1,820,379,783.98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934,232,616.06</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法定代表人：任红军</w:t>
        <w:tab/>
        <w:t>主管会计工作负责人：刘瑞玲</w:t>
        <w:tab/>
        <w:t>会计机构负责人：肖桂华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11"/>
      <w:bookmarkEnd w:id="111"/>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86,639,111.27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127,234,138.79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10,362,146.02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3,153,517.50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92,994,655.61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82,302,431.93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6,651,507.57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10,717,779.55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2,608,381.76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10,691,445.13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45,654,994.69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51,361,550.83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244,910,796.92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285,460,863.73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10,992,958.00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692,475,062.52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149,683,626.20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55,132,345.44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11,892,786.52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325,765,332.97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246,623,118.33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5,118,959.04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48,673,444.15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61,464,693.65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61,362,396.47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3,862,978.38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3,906,133.37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1,154,812,330.00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522,141,505.04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1,399,723,126.92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807,602,368.77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114,778,105.67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74,911,378.66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11,643,237.46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11,966,288.03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5,004,191.22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4,495,424.87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3,717,544.74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4,433,690.81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198,722.23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150,574.99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23,529,368.23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16,031,872.24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12,888,908.04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15,999,550.90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281,760,077.59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237,988,780.50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607,070.55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732,178.59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607,070.55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732,178.59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282,367,148.14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238,720,959.09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146,511,403.00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794,294,495.85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317,366,523.70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23,933,007.99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19,039,488.60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152,617,071.94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114,475,397.38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1,117,355,978.78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568,881,409.68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1,399,723,126.92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807,602,368.77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12"/>
      <w:bookmarkEnd w:id="112"/>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399,306,830.10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302,472,419.55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399,306,830.10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302,472,419.55</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365,743,243.04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272,651,627.79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200,970,081.20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143,164,242.14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4,867,084.82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3,030,192.50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58,277,574.38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53,673,097.23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88,842,573.33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68,685,945.10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5,753,834.41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-354,757.01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7,032,094.90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4,452,907.83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-472,752.59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-636,915.72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-472,752.59</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33,090,834.47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29,183,876.04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33,843,270.11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26,189,687.21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478,787.15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632,896.53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157,404.03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430,823.56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四、利润总额（亏损总额以“－”号填</w:t>
            </w:r>
            <w:r>
              <w:rPr>
                <w:rFonts w:ascii="宋体" w:hAnsi="宋体" w:cs="宋体" w:eastAsia="宋体" w:hint="default"/>
                <w:sz w:val="18"/>
                <w:szCs w:val="18"/>
              </w:rPr>
              <w:t> 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66,455,317.43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54,740,666.72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8,081,809.44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6,786,213.43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58,373,507.99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47,954,453.29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57,341,790.34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39,770,218.64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1,031,717.65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8,184,234.65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58,373,507.99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47,954,453.29</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57,341,790.34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39,770,218.64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1,031,717.65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8,184,234.65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0.34</w:t>
            </w:r>
          </w:p>
        </w:tc>
      </w:tr>
    </w:tbl>
    <w:p>
      <w:pPr>
        <w:tabs>
          <w:tab w:pos="3574" w:val="left" w:leader="none"/>
          <w:tab w:pos="7715" w:val="left" w:leader="none"/>
        </w:tabs>
        <w:spacing w:line="624" w:lineRule="auto" w:before="51"/>
        <w:ind w:left="154" w:right="16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法定代表人：任红军</w:t>
        <w:tab/>
        <w:t>主管会计工作负责人：刘瑞玲</w:t>
        <w:tab/>
        <w:t>会计机构负责人：肖桂华</w:t>
      </w:r>
    </w:p>
    <w:p>
      <w:pPr>
        <w:spacing w:after="0" w:line="624"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205.339996pt;margin-top:388.129974pt;width:163.35pt;height:20.7pt;mso-position-horizontal-relative:page;mso-position-vertical-relative:page;z-index:-910384" coordorigin="4107,7763" coordsize="3267,414">
            <v:group style="position:absolute;left:4118;top:7774;width:2;height:392" coordorigin="4118,7774" coordsize="2,392">
              <v:shape style="position:absolute;left:4118;top:7774;width:2;height:392" coordorigin="4118,7774" coordsize="0,392" path="m4118,7774l4118,8165e" filled="false" stroked="true" strokeweight="1.140pt" strokecolor="#ffffff">
                <v:path arrowok="t"/>
              </v:shape>
            </v:group>
            <v:group style="position:absolute;left:4130;top:7774;width:3244;height:392" coordorigin="4130,7774" coordsize="3244,392">
              <v:shape style="position:absolute;left:4130;top:7774;width:3244;height:392" coordorigin="4130,7774" coordsize="3244,392" path="m4130,8165l7374,8165,7374,7774,4130,7774,4130,8165xe" filled="true" fillcolor="#ffffff" stroked="false">
                <v:path arrowok="t"/>
                <v:fill type="solid"/>
              </v:shape>
            </v:group>
            <w10:wrap type="none"/>
          </v:group>
        </w:pict>
      </w:r>
      <w:r>
        <w:rPr/>
        <w:pict>
          <v:group style="position:absolute;margin-left:205.339996pt;margin-top:544.450012pt;width:163.35pt;height:20.7pt;mso-position-horizontal-relative:page;mso-position-vertical-relative:page;z-index:-910360" coordorigin="4107,10889" coordsize="3267,414">
            <v:group style="position:absolute;left:4118;top:10900;width:2;height:392" coordorigin="4118,10900" coordsize="2,392">
              <v:shape style="position:absolute;left:4118;top:10900;width:2;height:392" coordorigin="4118,10900" coordsize="0,392" path="m4118,10900l4118,11292e" filled="false" stroked="true" strokeweight="1.140pt" strokecolor="#ffffff">
                <v:path arrowok="t"/>
              </v:shape>
            </v:group>
            <v:group style="position:absolute;left:4130;top:10900;width:3244;height:392" coordorigin="4130,10900" coordsize="3244,392">
              <v:shape style="position:absolute;left:4130;top:10900;width:3244;height:392" coordorigin="4130,10900" coordsize="3244,392" path="m4130,11292l7374,11292,7374,10900,4130,10900,4130,11292xe" filled="true" fillcolor="#ffffff" stroked="false">
                <v:path arrowok="t"/>
                <v:fill type="solid"/>
              </v:shape>
            </v:group>
            <w10:wrap type="none"/>
          </v:group>
        </w:pict>
      </w:r>
    </w:p>
    <w:p>
      <w:pPr>
        <w:pStyle w:val="Heading3"/>
        <w:spacing w:line="240" w:lineRule="auto" w:before="35"/>
        <w:ind w:right="0"/>
        <w:jc w:val="left"/>
        <w:rPr>
          <w:b w:val="0"/>
          <w:bCs w:val="0"/>
        </w:rPr>
      </w:pPr>
      <w:bookmarkStart w:name="4、母公司利润表" w:id="113"/>
      <w:bookmarkEnd w:id="113"/>
      <w:r>
        <w:rPr>
          <w:b w:val="0"/>
          <w:bCs w:val="0"/>
        </w:rPr>
      </w:r>
      <w:r>
        <w:rPr>
          <w:rFonts w:ascii="宋体" w:hAnsi="宋体" w:cs="宋体" w:eastAsia="宋体" w:hint="default"/>
        </w:rPr>
        <w:t>4</w:t>
      </w:r>
      <w:r>
        <w:rPr/>
        <w:t>、母公司利润表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1093"/>
        <w:gridCol w:w="2219"/>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006" w:right="0"/>
              <w:jc w:val="left"/>
              <w:rPr>
                <w:rFonts w:ascii="宋体" w:hAnsi="宋体" w:cs="宋体" w:eastAsia="宋体" w:hint="default"/>
                <w:sz w:val="18"/>
                <w:szCs w:val="18"/>
              </w:rPr>
            </w:pPr>
            <w:r>
              <w:rPr>
                <w:rFonts w:ascii="宋体"/>
                <w:sz w:val="18"/>
              </w:rPr>
              <w:t>221,019,474.26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202,976,785.33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006" w:right="0"/>
              <w:jc w:val="left"/>
              <w:rPr>
                <w:rFonts w:ascii="宋体" w:hAnsi="宋体" w:cs="宋体" w:eastAsia="宋体" w:hint="default"/>
                <w:sz w:val="18"/>
                <w:szCs w:val="18"/>
              </w:rPr>
            </w:pPr>
            <w:r>
              <w:rPr>
                <w:rFonts w:ascii="宋体"/>
                <w:sz w:val="18"/>
              </w:rPr>
              <w:t>117,234,806.92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110,041,956.36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186" w:right="0"/>
              <w:jc w:val="left"/>
              <w:rPr>
                <w:rFonts w:ascii="宋体" w:hAnsi="宋体" w:cs="宋体" w:eastAsia="宋体" w:hint="default"/>
                <w:sz w:val="18"/>
                <w:szCs w:val="18"/>
              </w:rPr>
            </w:pPr>
            <w:r>
              <w:rPr>
                <w:rFonts w:ascii="宋体"/>
                <w:sz w:val="18"/>
              </w:rPr>
              <w:t>2,580,504.93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2,063,064.49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096" w:right="0"/>
              <w:jc w:val="left"/>
              <w:rPr>
                <w:rFonts w:ascii="宋体" w:hAnsi="宋体" w:cs="宋体" w:eastAsia="宋体" w:hint="default"/>
                <w:sz w:val="18"/>
                <w:szCs w:val="18"/>
              </w:rPr>
            </w:pPr>
            <w:r>
              <w:rPr>
                <w:rFonts w:ascii="宋体"/>
                <w:sz w:val="18"/>
              </w:rPr>
              <w:t>43,707,150.37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41,326,063.40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096" w:right="0"/>
              <w:jc w:val="left"/>
              <w:rPr>
                <w:rFonts w:ascii="宋体" w:hAnsi="宋体" w:cs="宋体" w:eastAsia="宋体" w:hint="default"/>
                <w:sz w:val="18"/>
                <w:szCs w:val="18"/>
              </w:rPr>
            </w:pPr>
            <w:r>
              <w:rPr>
                <w:rFonts w:ascii="宋体"/>
                <w:sz w:val="18"/>
              </w:rPr>
              <w:t>51,727,955.37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41,108,571.25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186" w:right="0"/>
              <w:jc w:val="left"/>
              <w:rPr>
                <w:rFonts w:ascii="宋体" w:hAnsi="宋体" w:cs="宋体" w:eastAsia="宋体" w:hint="default"/>
                <w:sz w:val="18"/>
                <w:szCs w:val="18"/>
              </w:rPr>
            </w:pPr>
            <w:r>
              <w:rPr>
                <w:rFonts w:ascii="宋体"/>
                <w:sz w:val="18"/>
              </w:rPr>
              <w:t>5,452,552.81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1,686,277.38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186" w:right="0"/>
              <w:jc w:val="left"/>
              <w:rPr>
                <w:rFonts w:ascii="宋体" w:hAnsi="宋体" w:cs="宋体" w:eastAsia="宋体" w:hint="default"/>
                <w:sz w:val="18"/>
                <w:szCs w:val="18"/>
              </w:rPr>
            </w:pPr>
            <w:r>
              <w:rPr>
                <w:rFonts w:ascii="宋体"/>
                <w:sz w:val="18"/>
              </w:rPr>
              <w:t>2,984,688.03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2,613,491.63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27,527,247.41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28,177,600.00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-472,752.59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24,859,063.24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32,314,960.82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096" w:right="0"/>
              <w:jc w:val="left"/>
              <w:rPr>
                <w:rFonts w:ascii="宋体" w:hAnsi="宋体" w:cs="宋体" w:eastAsia="宋体" w:hint="default"/>
                <w:sz w:val="18"/>
                <w:szCs w:val="18"/>
              </w:rPr>
            </w:pPr>
            <w:r>
              <w:rPr>
                <w:rFonts w:ascii="宋体"/>
                <w:sz w:val="18"/>
              </w:rPr>
              <w:t>27,610,253.07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15,042,609.76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175,885.78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582,610.26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157,404.03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430,823.56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96" w:right="0"/>
              <w:jc w:val="left"/>
              <w:rPr>
                <w:rFonts w:ascii="宋体" w:hAnsi="宋体" w:cs="宋体" w:eastAsia="宋体" w:hint="default"/>
                <w:sz w:val="18"/>
                <w:szCs w:val="18"/>
              </w:rPr>
            </w:pPr>
            <w:r>
              <w:rPr>
                <w:rFonts w:ascii="宋体"/>
                <w:sz w:val="18"/>
              </w:rPr>
              <w:t>52,293,430.53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46,774,960.32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186" w:right="0"/>
              <w:jc w:val="left"/>
              <w:rPr>
                <w:rFonts w:ascii="宋体" w:hAnsi="宋体" w:cs="宋体" w:eastAsia="宋体" w:hint="default"/>
                <w:sz w:val="18"/>
                <w:szCs w:val="18"/>
              </w:rPr>
            </w:pPr>
            <w:r>
              <w:rPr>
                <w:rFonts w:ascii="宋体"/>
                <w:sz w:val="18"/>
              </w:rPr>
              <w:t>3,358,236.58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2,983,949.87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9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48,935,193.95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43,791,010.45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6" w:right="0"/>
              <w:jc w:val="left"/>
              <w:rPr>
                <w:rFonts w:ascii="宋体" w:hAnsi="宋体" w:cs="宋体" w:eastAsia="宋体" w:hint="default"/>
                <w:sz w:val="18"/>
                <w:szCs w:val="18"/>
              </w:rPr>
            </w:pPr>
            <w:r>
              <w:rPr>
                <w:rFonts w:ascii="宋体"/>
                <w:sz w:val="18"/>
              </w:rPr>
              <w:t>48,935,193.95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43,791,010.45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14"/>
      <w:bookmarkEnd w:id="114"/>
      <w:r>
        <w:rPr>
          <w:b w:val="0"/>
          <w:bCs w:val="0"/>
        </w:rPr>
      </w: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328,535,744.88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292,496,534.26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12,445,701.45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6,968,653.61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38,887,247.08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37,541,295.74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379,868,693.41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337,006,483.61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137,135,992.91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116,787,562.73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81,692,194.46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64,542,863.84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42,592,784.42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29,674,135.49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67,517,679.45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48,125,506.36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328,938,651.24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259,130,068.42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50,930,042.17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77,876,415.19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832,637.00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11,876,231.66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12,708,868.66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68,566,598.74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110,454,608.61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150,619,612.52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28,354,326.16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219,186,211.26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138,808,934.77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-219,161,211.26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-126,100,066.11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154,999,973.12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284,999,973.12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132,980,000.00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12,989,173.99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9,440,772.68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3,240,325.81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8,183.09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149,209,499.80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14,448,955.77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135,790,473.32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95,551,044.23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75,672.90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-452,616.13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-32,365,022.87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46,874,777.18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260,212,710.79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213,337,933.61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227,847,687.92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260,212,710.79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15"/>
      <w:bookmarkEnd w:id="115"/>
      <w:r>
        <w:rPr>
          <w:b w:val="0"/>
          <w:bCs w:val="0"/>
        </w:rPr>
      </w:r>
      <w:r>
        <w:rPr>
          <w:rFonts w:ascii="宋体" w:hAnsi="宋体" w:cs="宋体" w:eastAsia="宋体" w:hint="default"/>
        </w:rPr>
        <w:t>6</w:t>
      </w:r>
      <w:r>
        <w:rPr/>
        <w:t>、母公司现金流量表</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186,829,712.15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190,321,856.81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10,475,399.96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4,377,719.50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21,260,444.09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26,271,387.33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218,565,556.20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220,970,963.64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80,778,539.27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86,754,918.91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45,179,140.33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39,459,687.21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24,453,512.71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18,903,939.59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44,195,098.48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40,038,073.02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194,606,290.79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185,156,618.73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23,959,265.41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35,814,344.91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12,777,600.00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25,000,000.00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832,637.00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38,610,237.00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61,480,870.46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77,870,678.18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171,482,760.00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36,118,527.52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232,963,630.46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113,989,205.70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-204,938,630.46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-75,378,968.70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154,999,973.12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274,999,973.12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11,412,045.47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9,177,522.70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3,240,325.81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8,183.09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134,652,371.28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14,185,705.79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140,347,601.84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95,814,294.21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36,735.69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-344,156.41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-40,595,027.52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55,905,514.01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127,234,138.79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71,328,624.78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86,639,111.27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127,234,138.79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16"/>
      <w:bookmarkEnd w:id="116"/>
      <w:r>
        <w:rPr>
          <w:b w:val="0"/>
          <w:bCs w:val="0"/>
        </w:rPr>
      </w:r>
      <w:r>
        <w:rPr>
          <w:rFonts w:ascii="宋体" w:hAnsi="宋体" w:cs="宋体" w:eastAsia="宋体" w:hint="default"/>
        </w:rPr>
        <w:t>7</w:t>
      </w:r>
      <w:r>
        <w:rPr/>
        <w:t>、合并所有者权益变动表</w:t>
      </w:r>
      <w:r>
        <w:rPr>
          <w:b w:val="0"/>
          <w:bCs w:val="0"/>
        </w:rPr>
      </w:r>
    </w:p>
    <w:p>
      <w:pPr>
        <w:spacing w:line="240" w:lineRule="auto" w:before="6"/>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118,0</w:t>
            </w:r>
          </w:p>
          <w:p>
            <w:pPr>
              <w:pStyle w:val="TableParagraph"/>
              <w:spacing w:line="240" w:lineRule="auto" w:before="76"/>
              <w:ind w:left="85"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317,37</w:t>
            </w:r>
          </w:p>
          <w:p>
            <w:pPr>
              <w:pStyle w:val="TableParagraph"/>
              <w:spacing w:line="240" w:lineRule="auto" w:before="76"/>
              <w:ind w:right="22"/>
              <w:jc w:val="right"/>
              <w:rPr>
                <w:rFonts w:ascii="宋体" w:hAnsi="宋体" w:cs="宋体" w:eastAsia="宋体" w:hint="default"/>
                <w:sz w:val="18"/>
                <w:szCs w:val="18"/>
              </w:rPr>
            </w:pPr>
            <w:r>
              <w:rPr>
                <w:rFonts w:ascii="宋体"/>
                <w:sz w:val="18"/>
              </w:rPr>
              <w:t>6,942.</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19,039</w:t>
            </w:r>
          </w:p>
          <w:p>
            <w:pPr>
              <w:pStyle w:val="TableParagraph"/>
              <w:spacing w:line="240" w:lineRule="auto" w:before="76"/>
              <w:ind w:right="20"/>
              <w:jc w:val="right"/>
              <w:rPr>
                <w:rFonts w:ascii="宋体" w:hAnsi="宋体" w:cs="宋体" w:eastAsia="宋体" w:hint="default"/>
                <w:sz w:val="18"/>
                <w:szCs w:val="18"/>
              </w:rPr>
            </w:pPr>
            <w:r>
              <w:rPr>
                <w:rFonts w:ascii="宋体"/>
                <w:sz w:val="18"/>
              </w:rPr>
              <w:t>,488.6</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188,64</w:t>
            </w:r>
          </w:p>
          <w:p>
            <w:pPr>
              <w:pStyle w:val="TableParagraph"/>
              <w:spacing w:line="240" w:lineRule="auto" w:before="76"/>
              <w:ind w:right="23"/>
              <w:jc w:val="right"/>
              <w:rPr>
                <w:rFonts w:ascii="宋体" w:hAnsi="宋体" w:cs="宋体" w:eastAsia="宋体" w:hint="default"/>
                <w:sz w:val="18"/>
                <w:szCs w:val="18"/>
              </w:rPr>
            </w:pPr>
            <w:r>
              <w:rPr>
                <w:rFonts w:ascii="宋体"/>
                <w:sz w:val="18"/>
              </w:rPr>
              <w:t>7,177.</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40,904</w:t>
            </w:r>
          </w:p>
          <w:p>
            <w:pPr>
              <w:pStyle w:val="TableParagraph"/>
              <w:spacing w:line="240" w:lineRule="auto" w:before="76"/>
              <w:ind w:right="23"/>
              <w:jc w:val="right"/>
              <w:rPr>
                <w:rFonts w:ascii="宋体" w:hAnsi="宋体" w:cs="宋体" w:eastAsia="宋体" w:hint="default"/>
                <w:sz w:val="18"/>
                <w:szCs w:val="18"/>
              </w:rPr>
            </w:pPr>
            <w:r>
              <w:rPr>
                <w:rFonts w:ascii="宋体"/>
                <w:sz w:val="18"/>
              </w:rPr>
              <w:t>,372.0</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683,96</w:t>
            </w:r>
          </w:p>
          <w:p>
            <w:pPr>
              <w:pStyle w:val="TableParagraph"/>
              <w:spacing w:line="240" w:lineRule="auto" w:before="76"/>
              <w:ind w:right="23"/>
              <w:jc w:val="right"/>
              <w:rPr>
                <w:rFonts w:ascii="宋体" w:hAnsi="宋体" w:cs="宋体" w:eastAsia="宋体" w:hint="default"/>
                <w:sz w:val="18"/>
                <w:szCs w:val="18"/>
              </w:rPr>
            </w:pPr>
            <w:r>
              <w:rPr>
                <w:rFonts w:ascii="宋体"/>
                <w:sz w:val="18"/>
              </w:rPr>
              <w:t>7,980.</w:t>
            </w:r>
          </w:p>
          <w:p>
            <w:pPr>
              <w:pStyle w:val="TableParagraph"/>
              <w:spacing w:line="240" w:lineRule="auto" w:before="77"/>
              <w:ind w:right="23"/>
              <w:jc w:val="right"/>
              <w:rPr>
                <w:rFonts w:ascii="宋体" w:hAnsi="宋体" w:cs="宋体" w:eastAsia="宋体" w:hint="default"/>
                <w:sz w:val="18"/>
                <w:szCs w:val="18"/>
              </w:rPr>
            </w:pPr>
            <w:r>
              <w:rPr>
                <w:rFonts w:ascii="宋体"/>
                <w:sz w:val="18"/>
              </w:rPr>
              <w:t>56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118,0</w:t>
            </w:r>
          </w:p>
          <w:p>
            <w:pPr>
              <w:pStyle w:val="TableParagraph"/>
              <w:spacing w:line="240" w:lineRule="auto" w:before="76"/>
              <w:ind w:left="85"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75"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317,37</w:t>
            </w:r>
          </w:p>
          <w:p>
            <w:pPr>
              <w:pStyle w:val="TableParagraph"/>
              <w:spacing w:line="240" w:lineRule="auto" w:before="76"/>
              <w:ind w:right="22"/>
              <w:jc w:val="right"/>
              <w:rPr>
                <w:rFonts w:ascii="宋体" w:hAnsi="宋体" w:cs="宋体" w:eastAsia="宋体" w:hint="default"/>
                <w:sz w:val="18"/>
                <w:szCs w:val="18"/>
              </w:rPr>
            </w:pPr>
            <w:r>
              <w:rPr>
                <w:rFonts w:ascii="宋体"/>
                <w:sz w:val="18"/>
              </w:rPr>
              <w:t>6,942.</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19,039</w:t>
            </w:r>
          </w:p>
          <w:p>
            <w:pPr>
              <w:pStyle w:val="TableParagraph"/>
              <w:spacing w:line="240" w:lineRule="auto" w:before="76"/>
              <w:ind w:right="20"/>
              <w:jc w:val="right"/>
              <w:rPr>
                <w:rFonts w:ascii="宋体" w:hAnsi="宋体" w:cs="宋体" w:eastAsia="宋体" w:hint="default"/>
                <w:sz w:val="18"/>
                <w:szCs w:val="18"/>
              </w:rPr>
            </w:pPr>
            <w:r>
              <w:rPr>
                <w:rFonts w:ascii="宋体"/>
                <w:sz w:val="18"/>
              </w:rPr>
              <w:t>,488.6</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188,64</w:t>
            </w:r>
          </w:p>
          <w:p>
            <w:pPr>
              <w:pStyle w:val="TableParagraph"/>
              <w:spacing w:line="240" w:lineRule="auto" w:before="76"/>
              <w:ind w:right="23"/>
              <w:jc w:val="right"/>
              <w:rPr>
                <w:rFonts w:ascii="宋体" w:hAnsi="宋体" w:cs="宋体" w:eastAsia="宋体" w:hint="default"/>
                <w:sz w:val="18"/>
                <w:szCs w:val="18"/>
              </w:rPr>
            </w:pPr>
            <w:r>
              <w:rPr>
                <w:rFonts w:ascii="宋体"/>
                <w:sz w:val="18"/>
              </w:rPr>
              <w:t>7,177.</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40,904</w:t>
            </w:r>
          </w:p>
          <w:p>
            <w:pPr>
              <w:pStyle w:val="TableParagraph"/>
              <w:spacing w:line="240" w:lineRule="auto" w:before="76"/>
              <w:ind w:right="23"/>
              <w:jc w:val="right"/>
              <w:rPr>
                <w:rFonts w:ascii="宋体" w:hAnsi="宋体" w:cs="宋体" w:eastAsia="宋体" w:hint="default"/>
                <w:sz w:val="18"/>
                <w:szCs w:val="18"/>
              </w:rPr>
            </w:pPr>
            <w:r>
              <w:rPr>
                <w:rFonts w:ascii="宋体"/>
                <w:sz w:val="18"/>
              </w:rPr>
              <w:t>,372.0</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683,96</w:t>
            </w:r>
          </w:p>
          <w:p>
            <w:pPr>
              <w:pStyle w:val="TableParagraph"/>
              <w:spacing w:line="240" w:lineRule="auto" w:before="76"/>
              <w:ind w:right="23"/>
              <w:jc w:val="right"/>
              <w:rPr>
                <w:rFonts w:ascii="宋体" w:hAnsi="宋体" w:cs="宋体" w:eastAsia="宋体" w:hint="default"/>
                <w:sz w:val="18"/>
                <w:szCs w:val="18"/>
              </w:rPr>
            </w:pPr>
            <w:r>
              <w:rPr>
                <w:rFonts w:ascii="宋体"/>
                <w:sz w:val="18"/>
              </w:rPr>
              <w:t>7,980.</w:t>
            </w:r>
          </w:p>
          <w:p>
            <w:pPr>
              <w:pStyle w:val="TableParagraph"/>
              <w:spacing w:line="240" w:lineRule="auto" w:before="77"/>
              <w:ind w:right="23"/>
              <w:jc w:val="right"/>
              <w:rPr>
                <w:rFonts w:ascii="宋体" w:hAnsi="宋体" w:cs="宋体" w:eastAsia="宋体" w:hint="default"/>
                <w:sz w:val="18"/>
                <w:szCs w:val="18"/>
              </w:rPr>
            </w:pPr>
            <w:r>
              <w:rPr>
                <w:rFonts w:ascii="宋体"/>
                <w:sz w:val="18"/>
              </w:rPr>
              <w:t>56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28,51</w:t>
            </w:r>
          </w:p>
          <w:p>
            <w:pPr>
              <w:pStyle w:val="TableParagraph"/>
              <w:spacing w:line="240" w:lineRule="auto" w:before="77"/>
              <w:ind w:left="57" w:right="0"/>
              <w:jc w:val="center"/>
              <w:rPr>
                <w:rFonts w:ascii="宋体" w:hAnsi="宋体" w:cs="宋体" w:eastAsia="宋体" w:hint="default"/>
                <w:sz w:val="18"/>
                <w:szCs w:val="18"/>
              </w:rPr>
            </w:pPr>
            <w:r>
              <w:rPr>
                <w:rFonts w:ascii="宋体"/>
                <w:sz w:val="18"/>
              </w:rPr>
              <w:t>1,403</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428,22</w:t>
            </w:r>
          </w:p>
          <w:p>
            <w:pPr>
              <w:pStyle w:val="TableParagraph"/>
              <w:spacing w:line="240" w:lineRule="auto" w:before="77"/>
              <w:ind w:right="22"/>
              <w:jc w:val="right"/>
              <w:rPr>
                <w:rFonts w:ascii="宋体" w:hAnsi="宋体" w:cs="宋体" w:eastAsia="宋体" w:hint="default"/>
                <w:sz w:val="18"/>
                <w:szCs w:val="18"/>
              </w:rPr>
            </w:pPr>
            <w:r>
              <w:rPr>
                <w:rFonts w:ascii="宋体"/>
                <w:sz w:val="18"/>
              </w:rPr>
              <w:t>0,919.</w:t>
            </w:r>
          </w:p>
          <w:p>
            <w:pPr>
              <w:pStyle w:val="TableParagraph"/>
              <w:spacing w:line="240" w:lineRule="auto" w:before="77"/>
              <w:ind w:right="23"/>
              <w:jc w:val="right"/>
              <w:rPr>
                <w:rFonts w:ascii="宋体" w:hAnsi="宋体" w:cs="宋体" w:eastAsia="宋体" w:hint="default"/>
                <w:sz w:val="18"/>
                <w:szCs w:val="18"/>
              </w:rPr>
            </w:pPr>
            <w:r>
              <w:rPr>
                <w:rFonts w:ascii="宋体"/>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4,893,</w:t>
            </w:r>
          </w:p>
          <w:p>
            <w:pPr>
              <w:pStyle w:val="TableParagraph"/>
              <w:spacing w:line="240" w:lineRule="auto" w:before="78"/>
              <w:ind w:left="91" w:right="0"/>
              <w:jc w:val="left"/>
              <w:rPr>
                <w:rFonts w:ascii="宋体" w:hAnsi="宋体" w:cs="宋体" w:eastAsia="宋体" w:hint="default"/>
                <w:sz w:val="18"/>
                <w:szCs w:val="18"/>
              </w:rPr>
            </w:pPr>
            <w:r>
              <w:rPr>
                <w:rFonts w:ascii="宋体"/>
                <w:sz w:val="18"/>
              </w:rPr>
              <w:t>519.39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46,548</w:t>
            </w:r>
          </w:p>
          <w:p>
            <w:pPr>
              <w:pStyle w:val="TableParagraph"/>
              <w:spacing w:line="240" w:lineRule="auto" w:before="77"/>
              <w:ind w:right="23"/>
              <w:jc w:val="right"/>
              <w:rPr>
                <w:rFonts w:ascii="宋体" w:hAnsi="宋体" w:cs="宋体" w:eastAsia="宋体" w:hint="default"/>
                <w:sz w:val="18"/>
                <w:szCs w:val="18"/>
              </w:rPr>
            </w:pPr>
            <w:r>
              <w:rPr>
                <w:rFonts w:ascii="宋体"/>
                <w:sz w:val="18"/>
              </w:rPr>
              <w:t>,270.9</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54,103</w:t>
            </w:r>
          </w:p>
          <w:p>
            <w:pPr>
              <w:pStyle w:val="TableParagraph"/>
              <w:spacing w:line="240" w:lineRule="auto" w:before="77"/>
              <w:ind w:right="23"/>
              <w:jc w:val="right"/>
              <w:rPr>
                <w:rFonts w:ascii="宋体" w:hAnsi="宋体" w:cs="宋体" w:eastAsia="宋体" w:hint="default"/>
                <w:sz w:val="18"/>
                <w:szCs w:val="18"/>
              </w:rPr>
            </w:pPr>
            <w:r>
              <w:rPr>
                <w:rFonts w:ascii="宋体"/>
                <w:sz w:val="18"/>
              </w:rPr>
              <w:t>,284.5</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562,27</w:t>
            </w:r>
          </w:p>
          <w:p>
            <w:pPr>
              <w:pStyle w:val="TableParagraph"/>
              <w:spacing w:line="240" w:lineRule="auto" w:before="77"/>
              <w:ind w:right="23"/>
              <w:jc w:val="right"/>
              <w:rPr>
                <w:rFonts w:ascii="宋体" w:hAnsi="宋体" w:cs="宋体" w:eastAsia="宋体" w:hint="default"/>
                <w:sz w:val="18"/>
                <w:szCs w:val="18"/>
              </w:rPr>
            </w:pPr>
            <w:r>
              <w:rPr>
                <w:rFonts w:ascii="宋体"/>
                <w:sz w:val="18"/>
              </w:rPr>
              <w:t>7,397.</w:t>
            </w:r>
          </w:p>
          <w:p>
            <w:pPr>
              <w:pStyle w:val="TableParagraph"/>
              <w:spacing w:line="240" w:lineRule="auto" w:before="77"/>
              <w:ind w:right="23"/>
              <w:jc w:val="right"/>
              <w:rPr>
                <w:rFonts w:ascii="宋体" w:hAnsi="宋体" w:cs="宋体" w:eastAsia="宋体" w:hint="default"/>
                <w:sz w:val="18"/>
                <w:szCs w:val="18"/>
              </w:rPr>
            </w:pPr>
            <w:r>
              <w:rPr>
                <w:rFonts w:ascii="宋体"/>
                <w:sz w:val="18"/>
              </w:rPr>
              <w:t>66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57,341</w:t>
            </w:r>
          </w:p>
          <w:p>
            <w:pPr>
              <w:pStyle w:val="TableParagraph"/>
              <w:spacing w:line="240" w:lineRule="auto" w:before="76"/>
              <w:ind w:right="23"/>
              <w:jc w:val="right"/>
              <w:rPr>
                <w:rFonts w:ascii="宋体" w:hAnsi="宋体" w:cs="宋体" w:eastAsia="宋体" w:hint="default"/>
                <w:sz w:val="18"/>
                <w:szCs w:val="18"/>
              </w:rPr>
            </w:pPr>
            <w:r>
              <w:rPr>
                <w:rFonts w:ascii="宋体"/>
                <w:sz w:val="18"/>
              </w:rPr>
              <w:t>,790.3</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1,031,</w:t>
            </w:r>
          </w:p>
          <w:p>
            <w:pPr>
              <w:pStyle w:val="TableParagraph"/>
              <w:spacing w:line="240" w:lineRule="auto" w:before="77"/>
              <w:ind w:left="91" w:right="0"/>
              <w:jc w:val="left"/>
              <w:rPr>
                <w:rFonts w:ascii="宋体" w:hAnsi="宋体" w:cs="宋体" w:eastAsia="宋体" w:hint="default"/>
                <w:sz w:val="18"/>
                <w:szCs w:val="18"/>
              </w:rPr>
            </w:pPr>
            <w:r>
              <w:rPr>
                <w:rFonts w:ascii="宋体"/>
                <w:sz w:val="18"/>
              </w:rPr>
              <w:t>717.65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58,373</w:t>
            </w:r>
          </w:p>
          <w:p>
            <w:pPr>
              <w:pStyle w:val="TableParagraph"/>
              <w:spacing w:line="240" w:lineRule="auto" w:before="76"/>
              <w:ind w:right="23"/>
              <w:jc w:val="right"/>
              <w:rPr>
                <w:rFonts w:ascii="宋体" w:hAnsi="宋体" w:cs="宋体" w:eastAsia="宋体" w:hint="default"/>
                <w:sz w:val="18"/>
                <w:szCs w:val="18"/>
              </w:rPr>
            </w:pPr>
            <w:r>
              <w:rPr>
                <w:rFonts w:ascii="宋体"/>
                <w:sz w:val="18"/>
              </w:rPr>
              <w:t>,507.9</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28,51</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1,403</w:t>
            </w:r>
          </w:p>
          <w:p>
            <w:pPr>
              <w:pStyle w:val="TableParagraph"/>
              <w:spacing w:line="240" w:lineRule="auto" w:before="77"/>
              <w:ind w:left="242"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428,22</w:t>
            </w:r>
          </w:p>
          <w:p>
            <w:pPr>
              <w:pStyle w:val="TableParagraph"/>
              <w:spacing w:line="240" w:lineRule="auto" w:before="76"/>
              <w:ind w:right="22"/>
              <w:jc w:val="right"/>
              <w:rPr>
                <w:rFonts w:ascii="宋体" w:hAnsi="宋体" w:cs="宋体" w:eastAsia="宋体" w:hint="default"/>
                <w:sz w:val="18"/>
                <w:szCs w:val="18"/>
              </w:rPr>
            </w:pPr>
            <w:r>
              <w:rPr>
                <w:rFonts w:ascii="宋体"/>
                <w:sz w:val="18"/>
              </w:rPr>
              <w:t>0,919.</w:t>
            </w:r>
          </w:p>
          <w:p>
            <w:pPr>
              <w:pStyle w:val="TableParagraph"/>
              <w:spacing w:line="240" w:lineRule="auto" w:before="77"/>
              <w:ind w:right="23"/>
              <w:jc w:val="right"/>
              <w:rPr>
                <w:rFonts w:ascii="宋体" w:hAnsi="宋体" w:cs="宋体" w:eastAsia="宋体" w:hint="default"/>
                <w:sz w:val="18"/>
                <w:szCs w:val="18"/>
              </w:rPr>
            </w:pPr>
            <w:r>
              <w:rPr>
                <w:rFonts w:ascii="宋体"/>
                <w:sz w:val="18"/>
              </w:rPr>
              <w:t>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53,071</w:t>
            </w:r>
          </w:p>
          <w:p>
            <w:pPr>
              <w:pStyle w:val="TableParagraph"/>
              <w:spacing w:line="240" w:lineRule="auto" w:before="76"/>
              <w:ind w:right="23"/>
              <w:jc w:val="right"/>
              <w:rPr>
                <w:rFonts w:ascii="宋体" w:hAnsi="宋体" w:cs="宋体" w:eastAsia="宋体" w:hint="default"/>
                <w:sz w:val="18"/>
                <w:szCs w:val="18"/>
              </w:rPr>
            </w:pPr>
            <w:r>
              <w:rPr>
                <w:rFonts w:ascii="宋体"/>
                <w:sz w:val="18"/>
              </w:rPr>
              <w:t>,566.8</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509,80</w:t>
            </w:r>
          </w:p>
          <w:p>
            <w:pPr>
              <w:pStyle w:val="TableParagraph"/>
              <w:spacing w:line="240" w:lineRule="auto" w:before="76"/>
              <w:ind w:right="23"/>
              <w:jc w:val="right"/>
              <w:rPr>
                <w:rFonts w:ascii="宋体" w:hAnsi="宋体" w:cs="宋体" w:eastAsia="宋体" w:hint="default"/>
                <w:sz w:val="18"/>
                <w:szCs w:val="18"/>
              </w:rPr>
            </w:pPr>
            <w:r>
              <w:rPr>
                <w:rFonts w:ascii="宋体"/>
                <w:sz w:val="18"/>
              </w:rPr>
              <w:t>3,889.</w:t>
            </w:r>
          </w:p>
          <w:p>
            <w:pPr>
              <w:pStyle w:val="TableParagraph"/>
              <w:spacing w:line="240" w:lineRule="auto" w:before="77"/>
              <w:ind w:right="23"/>
              <w:jc w:val="right"/>
              <w:rPr>
                <w:rFonts w:ascii="宋体" w:hAnsi="宋体" w:cs="宋体" w:eastAsia="宋体" w:hint="default"/>
                <w:sz w:val="18"/>
                <w:szCs w:val="18"/>
              </w:rPr>
            </w:pPr>
            <w:r>
              <w:rPr>
                <w:rFonts w:ascii="宋体"/>
                <w:sz w:val="18"/>
              </w:rPr>
              <w:t>67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28,51</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1,403</w:t>
            </w:r>
          </w:p>
          <w:p>
            <w:pPr>
              <w:pStyle w:val="TableParagraph"/>
              <w:spacing w:line="240" w:lineRule="auto" w:before="77"/>
              <w:ind w:left="242" w:right="0"/>
              <w:jc w:val="center"/>
              <w:rPr>
                <w:rFonts w:ascii="宋体" w:hAnsi="宋体" w:cs="宋体" w:eastAsia="宋体" w:hint="default"/>
                <w:sz w:val="18"/>
                <w:szCs w:val="18"/>
              </w:rPr>
            </w:pPr>
            <w:r>
              <w:rPr>
                <w:rFonts w:ascii="宋体"/>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476,92</w:t>
            </w:r>
          </w:p>
          <w:p>
            <w:pPr>
              <w:pStyle w:val="TableParagraph"/>
              <w:spacing w:line="240" w:lineRule="auto" w:before="76"/>
              <w:ind w:right="22"/>
              <w:jc w:val="right"/>
              <w:rPr>
                <w:rFonts w:ascii="宋体" w:hAnsi="宋体" w:cs="宋体" w:eastAsia="宋体" w:hint="default"/>
                <w:sz w:val="18"/>
                <w:szCs w:val="18"/>
              </w:rPr>
            </w:pPr>
            <w:r>
              <w:rPr>
                <w:rFonts w:ascii="宋体"/>
                <w:sz w:val="18"/>
              </w:rPr>
              <w:t>7,972.</w:t>
            </w:r>
          </w:p>
          <w:p>
            <w:pPr>
              <w:pStyle w:val="TableParagraph"/>
              <w:spacing w:line="240" w:lineRule="auto" w:before="77"/>
              <w:ind w:right="23"/>
              <w:jc w:val="right"/>
              <w:rPr>
                <w:rFonts w:ascii="宋体" w:hAnsi="宋体" w:cs="宋体" w:eastAsia="宋体" w:hint="default"/>
                <w:sz w:val="18"/>
                <w:szCs w:val="18"/>
              </w:rPr>
            </w:pPr>
            <w:r>
              <w:rPr>
                <w:rFonts w:ascii="宋体"/>
                <w:sz w:val="18"/>
              </w:rPr>
              <w:t>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505,43</w:t>
            </w:r>
          </w:p>
          <w:p>
            <w:pPr>
              <w:pStyle w:val="TableParagraph"/>
              <w:spacing w:line="240" w:lineRule="auto" w:before="76"/>
              <w:ind w:right="23"/>
              <w:jc w:val="right"/>
              <w:rPr>
                <w:rFonts w:ascii="宋体" w:hAnsi="宋体" w:cs="宋体" w:eastAsia="宋体" w:hint="default"/>
                <w:sz w:val="18"/>
                <w:szCs w:val="18"/>
              </w:rPr>
            </w:pPr>
            <w:r>
              <w:rPr>
                <w:rFonts w:ascii="宋体"/>
                <w:sz w:val="18"/>
              </w:rPr>
              <w:t>9,375.</w:t>
            </w:r>
          </w:p>
          <w:p>
            <w:pPr>
              <w:pStyle w:val="TableParagraph"/>
              <w:spacing w:line="240" w:lineRule="auto" w:before="77"/>
              <w:ind w:right="23"/>
              <w:jc w:val="right"/>
              <w:rPr>
                <w:rFonts w:ascii="宋体" w:hAnsi="宋体" w:cs="宋体" w:eastAsia="宋体" w:hint="default"/>
                <w:sz w:val="18"/>
                <w:szCs w:val="18"/>
              </w:rPr>
            </w:pPr>
            <w:r>
              <w:rPr>
                <w:rFonts w:ascii="宋体"/>
                <w:sz w:val="18"/>
              </w:rPr>
              <w:t>15</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-48,70</w:t>
            </w:r>
          </w:p>
          <w:p>
            <w:pPr>
              <w:pStyle w:val="TableParagraph"/>
              <w:spacing w:line="240" w:lineRule="auto" w:before="76"/>
              <w:ind w:right="22"/>
              <w:jc w:val="right"/>
              <w:rPr>
                <w:rFonts w:ascii="宋体" w:hAnsi="宋体" w:cs="宋体" w:eastAsia="宋体" w:hint="default"/>
                <w:sz w:val="18"/>
                <w:szCs w:val="18"/>
              </w:rPr>
            </w:pPr>
            <w:r>
              <w:rPr>
                <w:rFonts w:ascii="宋体"/>
                <w:sz w:val="18"/>
              </w:rPr>
              <w:t>7,052.</w:t>
            </w:r>
          </w:p>
          <w:p>
            <w:pPr>
              <w:pStyle w:val="TableParagraph"/>
              <w:spacing w:line="240" w:lineRule="auto" w:before="77"/>
              <w:ind w:right="23"/>
              <w:jc w:val="right"/>
              <w:rPr>
                <w:rFonts w:ascii="宋体" w:hAnsi="宋体" w:cs="宋体" w:eastAsia="宋体" w:hint="default"/>
                <w:sz w:val="18"/>
                <w:szCs w:val="18"/>
              </w:rPr>
            </w:pPr>
            <w:r>
              <w:rPr>
                <w:rFonts w:ascii="宋体"/>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53,071</w:t>
            </w:r>
          </w:p>
          <w:p>
            <w:pPr>
              <w:pStyle w:val="TableParagraph"/>
              <w:spacing w:line="240" w:lineRule="auto" w:before="76"/>
              <w:ind w:right="23"/>
              <w:jc w:val="right"/>
              <w:rPr>
                <w:rFonts w:ascii="宋体" w:hAnsi="宋体" w:cs="宋体" w:eastAsia="宋体" w:hint="default"/>
                <w:sz w:val="18"/>
                <w:szCs w:val="18"/>
              </w:rPr>
            </w:pPr>
            <w:r>
              <w:rPr>
                <w:rFonts w:ascii="宋体"/>
                <w:sz w:val="18"/>
              </w:rPr>
              <w:t>,566.8</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sz w:val="18"/>
              </w:rPr>
              <w:t>4,364,</w:t>
            </w:r>
          </w:p>
          <w:p>
            <w:pPr>
              <w:pStyle w:val="TableParagraph"/>
              <w:spacing w:line="240" w:lineRule="auto" w:before="77"/>
              <w:ind w:left="85" w:right="0"/>
              <w:jc w:val="left"/>
              <w:rPr>
                <w:rFonts w:ascii="宋体" w:hAnsi="宋体" w:cs="宋体" w:eastAsia="宋体" w:hint="default"/>
                <w:sz w:val="18"/>
                <w:szCs w:val="18"/>
              </w:rPr>
            </w:pPr>
            <w:r>
              <w:rPr>
                <w:rFonts w:ascii="宋体"/>
                <w:sz w:val="18"/>
              </w:rPr>
              <w:t>514.52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4,893,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-10,79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 w:right="0"/>
              <w:jc w:val="left"/>
              <w:rPr>
                <w:rFonts w:ascii="宋体" w:hAnsi="宋体" w:cs="宋体" w:eastAsia="宋体" w:hint="default"/>
                <w:sz w:val="18"/>
                <w:szCs w:val="18"/>
              </w:rPr>
            </w:pPr>
            <w:r>
              <w:rPr>
                <w:rFonts w:ascii="宋体"/>
                <w:sz w:val="18"/>
              </w:rPr>
              <w:t>-5,900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1" w:right="0"/>
              <w:jc w:val="left"/>
              <w:rPr>
                <w:rFonts w:ascii="宋体" w:hAnsi="宋体" w:cs="宋体" w:eastAsia="宋体" w:hint="default"/>
                <w:sz w:val="18"/>
                <w:szCs w:val="18"/>
              </w:rPr>
            </w:pPr>
            <w:r>
              <w:rPr>
                <w:rFonts w:ascii="宋体"/>
                <w:sz w:val="18"/>
              </w:rPr>
              <w:t>519.39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3,519.</w:t>
            </w:r>
          </w:p>
          <w:p>
            <w:pPr>
              <w:pStyle w:val="TableParagraph"/>
              <w:spacing w:line="240" w:lineRule="auto" w:before="77"/>
              <w:ind w:right="23"/>
              <w:jc w:val="right"/>
              <w:rPr>
                <w:rFonts w:ascii="宋体" w:hAnsi="宋体" w:cs="宋体" w:eastAsia="宋体" w:hint="default"/>
                <w:sz w:val="18"/>
                <w:szCs w:val="18"/>
              </w:rPr>
            </w:pPr>
            <w:r>
              <w:rPr>
                <w:rFonts w:ascii="宋体"/>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4,893,</w:t>
            </w:r>
          </w:p>
          <w:p>
            <w:pPr>
              <w:pStyle w:val="TableParagraph"/>
              <w:spacing w:line="240" w:lineRule="auto" w:before="77"/>
              <w:ind w:left="91" w:right="0"/>
              <w:jc w:val="left"/>
              <w:rPr>
                <w:rFonts w:ascii="宋体" w:hAnsi="宋体" w:cs="宋体" w:eastAsia="宋体" w:hint="default"/>
                <w:sz w:val="18"/>
                <w:szCs w:val="18"/>
              </w:rPr>
            </w:pPr>
            <w:r>
              <w:rPr>
                <w:rFonts w:ascii="宋体"/>
                <w:sz w:val="18"/>
              </w:rPr>
              <w:t>519.39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-4,893</w:t>
            </w:r>
          </w:p>
          <w:p>
            <w:pPr>
              <w:pStyle w:val="TableParagraph"/>
              <w:spacing w:line="240" w:lineRule="auto" w:before="75"/>
              <w:ind w:right="23"/>
              <w:jc w:val="right"/>
              <w:rPr>
                <w:rFonts w:ascii="宋体" w:hAnsi="宋体" w:cs="宋体" w:eastAsia="宋体" w:hint="default"/>
                <w:sz w:val="18"/>
                <w:szCs w:val="18"/>
              </w:rPr>
            </w:pPr>
            <w:r>
              <w:rPr>
                <w:rFonts w:ascii="宋体"/>
                <w:sz w:val="18"/>
              </w:rPr>
              <w:t>,519.3</w:t>
            </w:r>
          </w:p>
          <w:p>
            <w:pPr>
              <w:pStyle w:val="TableParagraph"/>
              <w:spacing w:line="240" w:lineRule="auto" w:before="78"/>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146,5</w:t>
            </w:r>
          </w:p>
          <w:p>
            <w:pPr>
              <w:pStyle w:val="TableParagraph"/>
              <w:spacing w:line="240" w:lineRule="auto" w:before="75"/>
              <w:ind w:left="80" w:right="0"/>
              <w:jc w:val="left"/>
              <w:rPr>
                <w:rFonts w:ascii="宋体" w:hAnsi="宋体" w:cs="宋体" w:eastAsia="宋体" w:hint="default"/>
                <w:sz w:val="18"/>
                <w:szCs w:val="18"/>
              </w:rPr>
            </w:pPr>
            <w:r>
              <w:rPr>
                <w:rFonts w:ascii="宋体"/>
                <w:sz w:val="18"/>
              </w:rPr>
              <w:t>11,40</w:t>
            </w:r>
          </w:p>
          <w:p>
            <w:pPr>
              <w:pStyle w:val="TableParagraph"/>
              <w:spacing w:line="240" w:lineRule="auto" w:before="77"/>
              <w:ind w:left="170" w:right="0"/>
              <w:jc w:val="left"/>
              <w:rPr>
                <w:rFonts w:ascii="宋体" w:hAnsi="宋体" w:cs="宋体" w:eastAsia="宋体" w:hint="default"/>
                <w:sz w:val="18"/>
                <w:szCs w:val="18"/>
              </w:rPr>
            </w:pPr>
            <w:r>
              <w:rPr>
                <w:rFonts w:ascii="宋体"/>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745,59</w:t>
            </w:r>
          </w:p>
          <w:p>
            <w:pPr>
              <w:pStyle w:val="TableParagraph"/>
              <w:spacing w:line="240" w:lineRule="auto" w:before="75"/>
              <w:ind w:right="22"/>
              <w:jc w:val="right"/>
              <w:rPr>
                <w:rFonts w:ascii="宋体" w:hAnsi="宋体" w:cs="宋体" w:eastAsia="宋体" w:hint="default"/>
                <w:sz w:val="18"/>
                <w:szCs w:val="18"/>
              </w:rPr>
            </w:pPr>
            <w:r>
              <w:rPr>
                <w:rFonts w:ascii="宋体"/>
                <w:sz w:val="18"/>
              </w:rPr>
              <w:t>7,861.</w:t>
            </w:r>
          </w:p>
          <w:p>
            <w:pPr>
              <w:pStyle w:val="TableParagraph"/>
              <w:spacing w:line="240" w:lineRule="auto" w:before="77"/>
              <w:ind w:right="23"/>
              <w:jc w:val="right"/>
              <w:rPr>
                <w:rFonts w:ascii="宋体" w:hAnsi="宋体" w:cs="宋体" w:eastAsia="宋体" w:hint="default"/>
                <w:sz w:val="18"/>
                <w:szCs w:val="18"/>
              </w:rPr>
            </w:pPr>
            <w:r>
              <w:rPr>
                <w:rFonts w:ascii="宋体"/>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23,933</w:t>
            </w:r>
          </w:p>
          <w:p>
            <w:pPr>
              <w:pStyle w:val="TableParagraph"/>
              <w:spacing w:line="240" w:lineRule="auto" w:before="75"/>
              <w:ind w:right="20"/>
              <w:jc w:val="right"/>
              <w:rPr>
                <w:rFonts w:ascii="宋体" w:hAnsi="宋体" w:cs="宋体" w:eastAsia="宋体" w:hint="default"/>
                <w:sz w:val="18"/>
                <w:szCs w:val="18"/>
              </w:rPr>
            </w:pPr>
            <w:r>
              <w:rPr>
                <w:rFonts w:ascii="宋体"/>
                <w:sz w:val="18"/>
              </w:rPr>
              <w:t>,007.9</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235,19</w:t>
            </w:r>
          </w:p>
          <w:p>
            <w:pPr>
              <w:pStyle w:val="TableParagraph"/>
              <w:spacing w:line="240" w:lineRule="auto" w:before="75"/>
              <w:ind w:right="23"/>
              <w:jc w:val="right"/>
              <w:rPr>
                <w:rFonts w:ascii="宋体" w:hAnsi="宋体" w:cs="宋体" w:eastAsia="宋体" w:hint="default"/>
                <w:sz w:val="18"/>
                <w:szCs w:val="18"/>
              </w:rPr>
            </w:pPr>
            <w:r>
              <w:rPr>
                <w:rFonts w:ascii="宋体"/>
                <w:sz w:val="18"/>
              </w:rPr>
              <w:t>5,448.</w:t>
            </w:r>
          </w:p>
          <w:p>
            <w:pPr>
              <w:pStyle w:val="TableParagraph"/>
              <w:spacing w:line="240" w:lineRule="auto" w:before="77"/>
              <w:ind w:right="23"/>
              <w:jc w:val="right"/>
              <w:rPr>
                <w:rFonts w:ascii="宋体" w:hAnsi="宋体" w:cs="宋体" w:eastAsia="宋体" w:hint="default"/>
                <w:sz w:val="18"/>
                <w:szCs w:val="18"/>
              </w:rPr>
            </w:pPr>
            <w:r>
              <w:rPr>
                <w:rFonts w:ascii="宋体"/>
                <w:sz w:val="18"/>
              </w:rPr>
              <w:t>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95,007</w:t>
            </w:r>
          </w:p>
          <w:p>
            <w:pPr>
              <w:pStyle w:val="TableParagraph"/>
              <w:spacing w:line="240" w:lineRule="auto" w:before="75"/>
              <w:ind w:right="23"/>
              <w:jc w:val="right"/>
              <w:rPr>
                <w:rFonts w:ascii="宋体" w:hAnsi="宋体" w:cs="宋体" w:eastAsia="宋体" w:hint="default"/>
                <w:sz w:val="18"/>
                <w:szCs w:val="18"/>
              </w:rPr>
            </w:pPr>
            <w:r>
              <w:rPr>
                <w:rFonts w:ascii="宋体"/>
                <w:sz w:val="18"/>
              </w:rPr>
              <w:t>,656.5</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1,246,</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245,37</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8.22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118,0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316,89</w:t>
            </w:r>
          </w:p>
          <w:p>
            <w:pPr>
              <w:pStyle w:val="TableParagraph"/>
              <w:spacing w:line="240" w:lineRule="auto" w:before="76"/>
              <w:ind w:right="21"/>
              <w:jc w:val="right"/>
              <w:rPr>
                <w:rFonts w:ascii="宋体" w:hAnsi="宋体" w:cs="宋体" w:eastAsia="宋体" w:hint="default"/>
                <w:sz w:val="18"/>
                <w:szCs w:val="18"/>
              </w:rPr>
            </w:pPr>
            <w:r>
              <w:rPr>
                <w:rFonts w:ascii="宋体"/>
                <w:sz w:val="18"/>
              </w:rPr>
              <w:t>1,142.</w:t>
            </w:r>
          </w:p>
          <w:p>
            <w:pPr>
              <w:pStyle w:val="TableParagraph"/>
              <w:spacing w:line="240" w:lineRule="auto" w:before="77"/>
              <w:ind w:right="20"/>
              <w:jc w:val="right"/>
              <w:rPr>
                <w:rFonts w:ascii="宋体" w:hAnsi="宋体" w:cs="宋体" w:eastAsia="宋体" w:hint="default"/>
                <w:sz w:val="18"/>
                <w:szCs w:val="18"/>
              </w:rPr>
            </w:pPr>
            <w:r>
              <w:rPr>
                <w:rFonts w:ascii="宋体"/>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14,660</w:t>
            </w:r>
          </w:p>
          <w:p>
            <w:pPr>
              <w:pStyle w:val="TableParagraph"/>
              <w:spacing w:line="240" w:lineRule="auto" w:before="76"/>
              <w:ind w:right="23"/>
              <w:jc w:val="right"/>
              <w:rPr>
                <w:rFonts w:ascii="宋体" w:hAnsi="宋体" w:cs="宋体" w:eastAsia="宋体" w:hint="default"/>
                <w:sz w:val="18"/>
                <w:szCs w:val="18"/>
              </w:rPr>
            </w:pPr>
            <w:r>
              <w:rPr>
                <w:rFonts w:ascii="宋体"/>
                <w:sz w:val="18"/>
              </w:rPr>
              <w:t>,387.5</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159,15</w:t>
            </w:r>
          </w:p>
          <w:p>
            <w:pPr>
              <w:pStyle w:val="TableParagraph"/>
              <w:spacing w:line="240" w:lineRule="auto" w:before="76"/>
              <w:ind w:right="23"/>
              <w:jc w:val="right"/>
              <w:rPr>
                <w:rFonts w:ascii="宋体" w:hAnsi="宋体" w:cs="宋体" w:eastAsia="宋体" w:hint="default"/>
                <w:sz w:val="18"/>
                <w:szCs w:val="18"/>
              </w:rPr>
            </w:pPr>
            <w:r>
              <w:rPr>
                <w:rFonts w:ascii="宋体"/>
                <w:sz w:val="18"/>
              </w:rPr>
              <w:t>6,060.</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33,592</w:t>
            </w:r>
          </w:p>
          <w:p>
            <w:pPr>
              <w:pStyle w:val="TableParagraph"/>
              <w:spacing w:line="240" w:lineRule="auto" w:before="76"/>
              <w:ind w:right="20"/>
              <w:jc w:val="right"/>
              <w:rPr>
                <w:rFonts w:ascii="宋体" w:hAnsi="宋体" w:cs="宋体" w:eastAsia="宋体" w:hint="default"/>
                <w:sz w:val="18"/>
                <w:szCs w:val="18"/>
              </w:rPr>
            </w:pPr>
            <w:r>
              <w:rPr>
                <w:rFonts w:ascii="宋体"/>
                <w:sz w:val="18"/>
              </w:rPr>
              <w:t>,502.7</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642,30</w:t>
            </w:r>
          </w:p>
          <w:p>
            <w:pPr>
              <w:pStyle w:val="TableParagraph"/>
              <w:spacing w:line="240" w:lineRule="auto" w:before="76"/>
              <w:ind w:right="23"/>
              <w:jc w:val="right"/>
              <w:rPr>
                <w:rFonts w:ascii="宋体" w:hAnsi="宋体" w:cs="宋体" w:eastAsia="宋体" w:hint="default"/>
                <w:sz w:val="18"/>
                <w:szCs w:val="18"/>
              </w:rPr>
            </w:pPr>
            <w:r>
              <w:rPr>
                <w:rFonts w:ascii="宋体"/>
                <w:sz w:val="18"/>
              </w:rPr>
              <w:t>0,092.</w:t>
            </w:r>
          </w:p>
          <w:p>
            <w:pPr>
              <w:pStyle w:val="TableParagraph"/>
              <w:spacing w:line="240" w:lineRule="auto" w:before="77"/>
              <w:ind w:right="23"/>
              <w:jc w:val="right"/>
              <w:rPr>
                <w:rFonts w:ascii="宋体" w:hAnsi="宋体" w:cs="宋体" w:eastAsia="宋体" w:hint="default"/>
                <w:sz w:val="18"/>
                <w:szCs w:val="18"/>
              </w:rPr>
            </w:pPr>
            <w:r>
              <w:rPr>
                <w:rFonts w:ascii="宋体"/>
                <w:sz w:val="18"/>
              </w:rPr>
              <w:t>63</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118,0</w:t>
            </w:r>
          </w:p>
          <w:p>
            <w:pPr>
              <w:pStyle w:val="TableParagraph"/>
              <w:spacing w:line="240" w:lineRule="auto" w:before="75"/>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316,89</w:t>
            </w:r>
          </w:p>
          <w:p>
            <w:pPr>
              <w:pStyle w:val="TableParagraph"/>
              <w:spacing w:line="240" w:lineRule="auto" w:before="75"/>
              <w:ind w:right="21"/>
              <w:jc w:val="right"/>
              <w:rPr>
                <w:rFonts w:ascii="宋体" w:hAnsi="宋体" w:cs="宋体" w:eastAsia="宋体" w:hint="default"/>
                <w:sz w:val="18"/>
                <w:szCs w:val="18"/>
              </w:rPr>
            </w:pPr>
            <w:r>
              <w:rPr>
                <w:rFonts w:ascii="宋体"/>
                <w:sz w:val="18"/>
              </w:rPr>
              <w:t>1,142.</w:t>
            </w:r>
          </w:p>
          <w:p>
            <w:pPr>
              <w:pStyle w:val="TableParagraph"/>
              <w:spacing w:line="240" w:lineRule="auto" w:before="77"/>
              <w:ind w:right="20"/>
              <w:jc w:val="right"/>
              <w:rPr>
                <w:rFonts w:ascii="宋体" w:hAnsi="宋体" w:cs="宋体" w:eastAsia="宋体" w:hint="default"/>
                <w:sz w:val="18"/>
                <w:szCs w:val="18"/>
              </w:rPr>
            </w:pPr>
            <w:r>
              <w:rPr>
                <w:rFonts w:ascii="宋体"/>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14,660</w:t>
            </w:r>
          </w:p>
          <w:p>
            <w:pPr>
              <w:pStyle w:val="TableParagraph"/>
              <w:spacing w:line="240" w:lineRule="auto" w:before="75"/>
              <w:ind w:right="23"/>
              <w:jc w:val="right"/>
              <w:rPr>
                <w:rFonts w:ascii="宋体" w:hAnsi="宋体" w:cs="宋体" w:eastAsia="宋体" w:hint="default"/>
                <w:sz w:val="18"/>
                <w:szCs w:val="18"/>
              </w:rPr>
            </w:pPr>
            <w:r>
              <w:rPr>
                <w:rFonts w:ascii="宋体"/>
                <w:sz w:val="18"/>
              </w:rPr>
              <w:t>,387.5</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159,15</w:t>
            </w:r>
          </w:p>
          <w:p>
            <w:pPr>
              <w:pStyle w:val="TableParagraph"/>
              <w:spacing w:line="240" w:lineRule="auto" w:before="75"/>
              <w:ind w:right="23"/>
              <w:jc w:val="right"/>
              <w:rPr>
                <w:rFonts w:ascii="宋体" w:hAnsi="宋体" w:cs="宋体" w:eastAsia="宋体" w:hint="default"/>
                <w:sz w:val="18"/>
                <w:szCs w:val="18"/>
              </w:rPr>
            </w:pPr>
            <w:r>
              <w:rPr>
                <w:rFonts w:ascii="宋体"/>
                <w:sz w:val="18"/>
              </w:rPr>
              <w:t>6,060.</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33,592</w:t>
            </w:r>
          </w:p>
          <w:p>
            <w:pPr>
              <w:pStyle w:val="TableParagraph"/>
              <w:spacing w:line="240" w:lineRule="auto" w:before="75"/>
              <w:ind w:right="20"/>
              <w:jc w:val="right"/>
              <w:rPr>
                <w:rFonts w:ascii="宋体" w:hAnsi="宋体" w:cs="宋体" w:eastAsia="宋体" w:hint="default"/>
                <w:sz w:val="18"/>
                <w:szCs w:val="18"/>
              </w:rPr>
            </w:pPr>
            <w:r>
              <w:rPr>
                <w:rFonts w:ascii="宋体"/>
                <w:sz w:val="18"/>
              </w:rPr>
              <w:t>,502.7</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642,30</w:t>
            </w:r>
          </w:p>
          <w:p>
            <w:pPr>
              <w:pStyle w:val="TableParagraph"/>
              <w:spacing w:line="240" w:lineRule="auto" w:before="75"/>
              <w:ind w:right="23"/>
              <w:jc w:val="right"/>
              <w:rPr>
                <w:rFonts w:ascii="宋体" w:hAnsi="宋体" w:cs="宋体" w:eastAsia="宋体" w:hint="default"/>
                <w:sz w:val="18"/>
                <w:szCs w:val="18"/>
              </w:rPr>
            </w:pPr>
            <w:r>
              <w:rPr>
                <w:rFonts w:ascii="宋体"/>
                <w:sz w:val="18"/>
              </w:rPr>
              <w:t>0,092.</w:t>
            </w:r>
          </w:p>
          <w:p>
            <w:pPr>
              <w:pStyle w:val="TableParagraph"/>
              <w:spacing w:line="240" w:lineRule="auto" w:before="77"/>
              <w:ind w:right="23"/>
              <w:jc w:val="right"/>
              <w:rPr>
                <w:rFonts w:ascii="宋体" w:hAnsi="宋体" w:cs="宋体" w:eastAsia="宋体" w:hint="default"/>
                <w:sz w:val="18"/>
                <w:szCs w:val="18"/>
              </w:rPr>
            </w:pPr>
            <w:r>
              <w:rPr>
                <w:rFonts w:ascii="宋体"/>
                <w:sz w:val="18"/>
              </w:rPr>
              <w:t>63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center"/>
              <w:rPr>
                <w:rFonts w:ascii="宋体" w:hAnsi="宋体" w:cs="宋体" w:eastAsia="宋体" w:hint="default"/>
                <w:sz w:val="18"/>
                <w:szCs w:val="18"/>
              </w:rPr>
            </w:pPr>
            <w:r>
              <w:rPr>
                <w:rFonts w:ascii="宋体"/>
                <w:sz w:val="18"/>
              </w:rPr>
              <w:t>485,80</w:t>
            </w:r>
          </w:p>
          <w:p>
            <w:pPr>
              <w:pStyle w:val="TableParagraph"/>
              <w:spacing w:line="240" w:lineRule="auto" w:before="76"/>
              <w:ind w:left="250" w:right="0"/>
              <w:jc w:val="center"/>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4,379,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101.04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29,491</w:t>
            </w:r>
          </w:p>
          <w:p>
            <w:pPr>
              <w:pStyle w:val="TableParagraph"/>
              <w:spacing w:line="240" w:lineRule="auto" w:before="75"/>
              <w:ind w:right="23"/>
              <w:jc w:val="right"/>
              <w:rPr>
                <w:rFonts w:ascii="宋体" w:hAnsi="宋体" w:cs="宋体" w:eastAsia="宋体" w:hint="default"/>
                <w:sz w:val="18"/>
                <w:szCs w:val="18"/>
              </w:rPr>
            </w:pPr>
            <w:r>
              <w:rPr>
                <w:rFonts w:ascii="宋体"/>
                <w:sz w:val="18"/>
              </w:rPr>
              <w:t>,117.6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7,311,</w:t>
            </w:r>
          </w:p>
          <w:p>
            <w:pPr>
              <w:pStyle w:val="TableParagraph"/>
              <w:spacing w:line="240" w:lineRule="auto" w:before="76"/>
              <w:ind w:left="79" w:right="0"/>
              <w:jc w:val="left"/>
              <w:rPr>
                <w:rFonts w:ascii="宋体" w:hAnsi="宋体" w:cs="宋体" w:eastAsia="宋体" w:hint="default"/>
                <w:sz w:val="18"/>
                <w:szCs w:val="18"/>
              </w:rPr>
            </w:pPr>
            <w:r>
              <w:rPr>
                <w:rFonts w:ascii="宋体"/>
                <w:sz w:val="18"/>
              </w:rPr>
              <w:t>869.29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41,667</w:t>
            </w:r>
          </w:p>
          <w:p>
            <w:pPr>
              <w:pStyle w:val="TableParagraph"/>
              <w:spacing w:line="240" w:lineRule="auto" w:before="75"/>
              <w:ind w:right="23"/>
              <w:jc w:val="right"/>
              <w:rPr>
                <w:rFonts w:ascii="宋体" w:hAnsi="宋体" w:cs="宋体" w:eastAsia="宋体" w:hint="default"/>
                <w:sz w:val="18"/>
                <w:szCs w:val="18"/>
              </w:rPr>
            </w:pPr>
            <w:r>
              <w:rPr>
                <w:rFonts w:ascii="宋体"/>
                <w:sz w:val="18"/>
              </w:rPr>
              <w:t>,887.9</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39,770</w:t>
            </w:r>
          </w:p>
          <w:p>
            <w:pPr>
              <w:pStyle w:val="TableParagraph"/>
              <w:spacing w:line="240" w:lineRule="auto" w:before="75"/>
              <w:ind w:right="23"/>
              <w:jc w:val="right"/>
              <w:rPr>
                <w:rFonts w:ascii="宋体" w:hAnsi="宋体" w:cs="宋体" w:eastAsia="宋体" w:hint="default"/>
                <w:sz w:val="18"/>
                <w:szCs w:val="18"/>
              </w:rPr>
            </w:pPr>
            <w:r>
              <w:rPr>
                <w:rFonts w:ascii="宋体"/>
                <w:sz w:val="18"/>
              </w:rPr>
              <w:t>,218.6</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8,184,</w:t>
            </w:r>
          </w:p>
          <w:p>
            <w:pPr>
              <w:pStyle w:val="TableParagraph"/>
              <w:spacing w:line="240" w:lineRule="auto" w:before="76"/>
              <w:ind w:left="79" w:right="0"/>
              <w:jc w:val="left"/>
              <w:rPr>
                <w:rFonts w:ascii="宋体" w:hAnsi="宋体" w:cs="宋体" w:eastAsia="宋体" w:hint="default"/>
                <w:sz w:val="18"/>
                <w:szCs w:val="18"/>
              </w:rPr>
            </w:pPr>
            <w:r>
              <w:rPr>
                <w:rFonts w:ascii="宋体"/>
                <w:sz w:val="18"/>
              </w:rPr>
              <w:t>234.65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47,954</w:t>
            </w:r>
          </w:p>
          <w:p>
            <w:pPr>
              <w:pStyle w:val="TableParagraph"/>
              <w:spacing w:line="240" w:lineRule="auto" w:before="75"/>
              <w:ind w:right="23"/>
              <w:jc w:val="right"/>
              <w:rPr>
                <w:rFonts w:ascii="宋体" w:hAnsi="宋体" w:cs="宋体" w:eastAsia="宋体" w:hint="default"/>
                <w:sz w:val="18"/>
                <w:szCs w:val="18"/>
              </w:rPr>
            </w:pPr>
            <w:r>
              <w:rPr>
                <w:rFonts w:ascii="宋体"/>
                <w:sz w:val="18"/>
              </w:rPr>
              <w:t>,453.2</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宋体"/>
                <w:sz w:val="18"/>
              </w:rPr>
              <w:t>485,80</w:t>
            </w:r>
          </w:p>
          <w:p>
            <w:pPr>
              <w:pStyle w:val="TableParagraph"/>
              <w:spacing w:line="240" w:lineRule="auto" w:before="76"/>
              <w:ind w:left="250" w:right="0"/>
              <w:jc w:val="center"/>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-872,3</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65.36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-386,5</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65.36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center"/>
              <w:rPr>
                <w:rFonts w:ascii="宋体" w:hAnsi="宋体" w:cs="宋体" w:eastAsia="宋体" w:hint="default"/>
                <w:sz w:val="18"/>
                <w:szCs w:val="18"/>
              </w:rPr>
            </w:pPr>
            <w:r>
              <w:rPr>
                <w:rFonts w:ascii="宋体"/>
                <w:sz w:val="18"/>
              </w:rPr>
              <w:t>485,80</w:t>
            </w:r>
          </w:p>
          <w:p>
            <w:pPr>
              <w:pStyle w:val="TableParagraph"/>
              <w:spacing w:line="240" w:lineRule="auto" w:before="76"/>
              <w:ind w:left="250" w:right="0"/>
              <w:jc w:val="center"/>
              <w:rPr>
                <w:rFonts w:ascii="宋体" w:hAnsi="宋体" w:cs="宋体" w:eastAsia="宋体" w:hint="default"/>
                <w:sz w:val="18"/>
                <w:szCs w:val="18"/>
              </w:rPr>
            </w:pPr>
            <w:r>
              <w:rPr>
                <w:rFonts w:ascii="宋体"/>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 w:right="0"/>
              <w:jc w:val="center"/>
              <w:rPr>
                <w:rFonts w:ascii="宋体" w:hAnsi="宋体" w:cs="宋体" w:eastAsia="宋体" w:hint="default"/>
                <w:sz w:val="18"/>
                <w:szCs w:val="18"/>
              </w:rPr>
            </w:pPr>
            <w:r>
              <w:rPr>
                <w:rFonts w:ascii="宋体"/>
                <w:sz w:val="18"/>
              </w:rPr>
              <w:t>485,80</w:t>
            </w:r>
          </w:p>
          <w:p>
            <w:pPr>
              <w:pStyle w:val="TableParagraph"/>
              <w:spacing w:line="240" w:lineRule="auto" w:before="76"/>
              <w:ind w:left="241" w:right="0"/>
              <w:jc w:val="center"/>
              <w:rPr>
                <w:rFonts w:ascii="宋体" w:hAnsi="宋体" w:cs="宋体" w:eastAsia="宋体" w:hint="default"/>
                <w:sz w:val="18"/>
                <w:szCs w:val="18"/>
              </w:rPr>
            </w:pPr>
            <w:r>
              <w:rPr>
                <w:rFonts w:ascii="宋体"/>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-872,3</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65.36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-872,3</w:t>
            </w:r>
          </w:p>
          <w:p>
            <w:pPr>
              <w:pStyle w:val="TableParagraph"/>
              <w:spacing w:line="240" w:lineRule="auto" w:before="76"/>
              <w:ind w:left="175" w:right="0"/>
              <w:jc w:val="left"/>
              <w:rPr>
                <w:rFonts w:ascii="宋体" w:hAnsi="宋体" w:cs="宋体" w:eastAsia="宋体" w:hint="default"/>
                <w:sz w:val="18"/>
                <w:szCs w:val="18"/>
              </w:rPr>
            </w:pPr>
            <w:r>
              <w:rPr>
                <w:rFonts w:ascii="宋体"/>
                <w:sz w:val="18"/>
              </w:rPr>
              <w:t>65.36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4,379,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101.04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-10,27</w:t>
            </w:r>
          </w:p>
          <w:p>
            <w:pPr>
              <w:pStyle w:val="TableParagraph"/>
              <w:spacing w:line="240" w:lineRule="auto" w:before="75"/>
              <w:ind w:right="23"/>
              <w:jc w:val="right"/>
              <w:rPr>
                <w:rFonts w:ascii="宋体" w:hAnsi="宋体" w:cs="宋体" w:eastAsia="宋体" w:hint="default"/>
                <w:sz w:val="18"/>
                <w:szCs w:val="18"/>
              </w:rPr>
            </w:pPr>
            <w:r>
              <w:rPr>
                <w:rFonts w:ascii="宋体"/>
                <w:sz w:val="18"/>
              </w:rPr>
              <w:t>9,101.</w:t>
            </w:r>
          </w:p>
          <w:p>
            <w:pPr>
              <w:pStyle w:val="TableParagraph"/>
              <w:spacing w:line="240" w:lineRule="auto" w:before="77"/>
              <w:ind w:right="23"/>
              <w:jc w:val="right"/>
              <w:rPr>
                <w:rFonts w:ascii="宋体" w:hAnsi="宋体" w:cs="宋体" w:eastAsia="宋体" w:hint="default"/>
                <w:sz w:val="18"/>
                <w:szCs w:val="18"/>
              </w:rPr>
            </w:pPr>
            <w:r>
              <w:rPr>
                <w:rFonts w:ascii="宋体"/>
                <w:sz w:val="18"/>
              </w:rPr>
              <w:t>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4,379,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101.04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-4,379</w:t>
            </w:r>
          </w:p>
          <w:p>
            <w:pPr>
              <w:pStyle w:val="TableParagraph"/>
              <w:spacing w:line="240" w:lineRule="auto" w:before="75"/>
              <w:ind w:right="23"/>
              <w:jc w:val="right"/>
              <w:rPr>
                <w:rFonts w:ascii="宋体" w:hAnsi="宋体" w:cs="宋体" w:eastAsia="宋体" w:hint="default"/>
                <w:sz w:val="18"/>
                <w:szCs w:val="18"/>
              </w:rPr>
            </w:pPr>
            <w:r>
              <w:rPr>
                <w:rFonts w:ascii="宋体"/>
                <w:sz w:val="18"/>
              </w:rPr>
              <w:t>,101.0</w:t>
            </w:r>
          </w:p>
          <w:p>
            <w:pPr>
              <w:pStyle w:val="TableParagraph"/>
              <w:spacing w:line="240" w:lineRule="auto" w:before="77"/>
              <w:ind w:right="23"/>
              <w:jc w:val="right"/>
              <w:rPr>
                <w:rFonts w:ascii="宋体" w:hAnsi="宋体" w:cs="宋体" w:eastAsia="宋体" w:hint="default"/>
                <w:sz w:val="18"/>
                <w:szCs w:val="18"/>
              </w:rPr>
            </w:pPr>
            <w:r>
              <w:rPr>
                <w:rFonts w:ascii="宋体"/>
                <w:sz w:val="18"/>
              </w:rPr>
              <w:t>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8"/>
              <w:ind w:right="23"/>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8"/>
              <w:ind w:right="23"/>
              <w:jc w:val="right"/>
              <w:rPr>
                <w:rFonts w:ascii="宋体" w:hAnsi="宋体" w:cs="宋体" w:eastAsia="宋体" w:hint="default"/>
                <w:sz w:val="18"/>
                <w:szCs w:val="18"/>
              </w:rPr>
            </w:pPr>
            <w:r>
              <w:rPr>
                <w:rFonts w:ascii="宋体"/>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118,0</w:t>
            </w:r>
          </w:p>
          <w:p>
            <w:pPr>
              <w:pStyle w:val="TableParagraph"/>
              <w:spacing w:line="240" w:lineRule="auto" w:before="75"/>
              <w:ind w:left="79" w:right="0"/>
              <w:jc w:val="left"/>
              <w:rPr>
                <w:rFonts w:ascii="宋体" w:hAnsi="宋体" w:cs="宋体" w:eastAsia="宋体" w:hint="default"/>
                <w:sz w:val="18"/>
                <w:szCs w:val="18"/>
              </w:rPr>
            </w:pPr>
            <w:r>
              <w:rPr>
                <w:rFonts w:ascii="宋体"/>
                <w:sz w:val="18"/>
              </w:rPr>
              <w:t>00,00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317,37</w:t>
            </w:r>
          </w:p>
          <w:p>
            <w:pPr>
              <w:pStyle w:val="TableParagraph"/>
              <w:spacing w:line="240" w:lineRule="auto" w:before="75"/>
              <w:ind w:right="21"/>
              <w:jc w:val="right"/>
              <w:rPr>
                <w:rFonts w:ascii="宋体" w:hAnsi="宋体" w:cs="宋体" w:eastAsia="宋体" w:hint="default"/>
                <w:sz w:val="18"/>
                <w:szCs w:val="18"/>
              </w:rPr>
            </w:pPr>
            <w:r>
              <w:rPr>
                <w:rFonts w:ascii="宋体"/>
                <w:sz w:val="18"/>
              </w:rPr>
              <w:t>6,942.</w:t>
            </w:r>
          </w:p>
          <w:p>
            <w:pPr>
              <w:pStyle w:val="TableParagraph"/>
              <w:spacing w:line="240" w:lineRule="auto" w:before="77"/>
              <w:ind w:right="20"/>
              <w:jc w:val="right"/>
              <w:rPr>
                <w:rFonts w:ascii="宋体" w:hAnsi="宋体" w:cs="宋体" w:eastAsia="宋体" w:hint="default"/>
                <w:sz w:val="18"/>
                <w:szCs w:val="18"/>
              </w:rPr>
            </w:pPr>
            <w:r>
              <w:rPr>
                <w:rFonts w:ascii="宋体"/>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19,039</w:t>
            </w:r>
          </w:p>
          <w:p>
            <w:pPr>
              <w:pStyle w:val="TableParagraph"/>
              <w:spacing w:line="240" w:lineRule="auto" w:before="75"/>
              <w:ind w:right="23"/>
              <w:jc w:val="right"/>
              <w:rPr>
                <w:rFonts w:ascii="宋体" w:hAnsi="宋体" w:cs="宋体" w:eastAsia="宋体" w:hint="default"/>
                <w:sz w:val="18"/>
                <w:szCs w:val="18"/>
              </w:rPr>
            </w:pPr>
            <w:r>
              <w:rPr>
                <w:rFonts w:ascii="宋体"/>
                <w:sz w:val="18"/>
              </w:rPr>
              <w:t>,488.6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188,64</w:t>
            </w:r>
          </w:p>
          <w:p>
            <w:pPr>
              <w:pStyle w:val="TableParagraph"/>
              <w:spacing w:line="240" w:lineRule="auto" w:before="75"/>
              <w:ind w:right="23"/>
              <w:jc w:val="right"/>
              <w:rPr>
                <w:rFonts w:ascii="宋体" w:hAnsi="宋体" w:cs="宋体" w:eastAsia="宋体" w:hint="default"/>
                <w:sz w:val="18"/>
                <w:szCs w:val="18"/>
              </w:rPr>
            </w:pPr>
            <w:r>
              <w:rPr>
                <w:rFonts w:ascii="宋体"/>
                <w:sz w:val="18"/>
              </w:rPr>
              <w:t>7,177.</w:t>
            </w:r>
          </w:p>
          <w:p>
            <w:pPr>
              <w:pStyle w:val="TableParagraph"/>
              <w:spacing w:line="240" w:lineRule="auto" w:before="77"/>
              <w:ind w:right="23"/>
              <w:jc w:val="right"/>
              <w:rPr>
                <w:rFonts w:ascii="宋体" w:hAnsi="宋体" w:cs="宋体" w:eastAsia="宋体" w:hint="default"/>
                <w:sz w:val="18"/>
                <w:szCs w:val="18"/>
              </w:rPr>
            </w:pPr>
            <w:r>
              <w:rPr>
                <w:rFonts w:ascii="宋体"/>
                <w:sz w:val="18"/>
              </w:rPr>
              <w:t>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40,904</w:t>
            </w:r>
          </w:p>
          <w:p>
            <w:pPr>
              <w:pStyle w:val="TableParagraph"/>
              <w:spacing w:line="240" w:lineRule="auto" w:before="75"/>
              <w:ind w:right="20"/>
              <w:jc w:val="right"/>
              <w:rPr>
                <w:rFonts w:ascii="宋体" w:hAnsi="宋体" w:cs="宋体" w:eastAsia="宋体" w:hint="default"/>
                <w:sz w:val="18"/>
                <w:szCs w:val="18"/>
              </w:rPr>
            </w:pPr>
            <w:r>
              <w:rPr>
                <w:rFonts w:ascii="宋体"/>
                <w:sz w:val="18"/>
              </w:rPr>
              <w:t>,372.0</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683,96</w:t>
            </w:r>
          </w:p>
          <w:p>
            <w:pPr>
              <w:pStyle w:val="TableParagraph"/>
              <w:spacing w:line="240" w:lineRule="auto" w:before="75"/>
              <w:ind w:right="23"/>
              <w:jc w:val="right"/>
              <w:rPr>
                <w:rFonts w:ascii="宋体" w:hAnsi="宋体" w:cs="宋体" w:eastAsia="宋体" w:hint="default"/>
                <w:sz w:val="18"/>
                <w:szCs w:val="18"/>
              </w:rPr>
            </w:pPr>
            <w:r>
              <w:rPr>
                <w:rFonts w:ascii="宋体"/>
                <w:sz w:val="18"/>
              </w:rPr>
              <w:t>7,980.</w:t>
            </w:r>
          </w:p>
          <w:p>
            <w:pPr>
              <w:pStyle w:val="TableParagraph"/>
              <w:spacing w:line="240" w:lineRule="auto" w:before="77"/>
              <w:ind w:right="23"/>
              <w:jc w:val="right"/>
              <w:rPr>
                <w:rFonts w:ascii="宋体" w:hAnsi="宋体" w:cs="宋体" w:eastAsia="宋体" w:hint="default"/>
                <w:sz w:val="18"/>
                <w:szCs w:val="18"/>
              </w:rPr>
            </w:pPr>
            <w:r>
              <w:rPr>
                <w:rFonts w:ascii="宋体"/>
                <w:sz w:val="18"/>
              </w:rPr>
              <w:t>56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17"/>
      <w:bookmarkEnd w:id="117"/>
      <w:r>
        <w:rPr>
          <w:b w:val="0"/>
          <w:bCs w:val="0"/>
        </w:rPr>
      </w: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118,000</w:t>
            </w:r>
          </w:p>
          <w:p>
            <w:pPr>
              <w:pStyle w:val="TableParagraph"/>
              <w:spacing w:line="240" w:lineRule="auto" w:before="76"/>
              <w:ind w:left="32"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317,366,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523.70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19,039,4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88.60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33"/>
              <w:ind w:right="20"/>
              <w:jc w:val="right"/>
              <w:rPr>
                <w:rFonts w:ascii="宋体" w:hAnsi="宋体" w:cs="宋体" w:eastAsia="宋体" w:hint="default"/>
                <w:sz w:val="18"/>
                <w:szCs w:val="18"/>
              </w:rPr>
            </w:pPr>
            <w:r>
              <w:rPr>
                <w:rFonts w:ascii="宋体"/>
                <w:sz w:val="18"/>
              </w:rPr>
              <w:t>114,47</w:t>
            </w:r>
          </w:p>
          <w:p>
            <w:pPr>
              <w:pStyle w:val="TableParagraph"/>
              <w:spacing w:line="240" w:lineRule="auto" w:before="75"/>
              <w:ind w:right="20"/>
              <w:jc w:val="right"/>
              <w:rPr>
                <w:rFonts w:ascii="宋体" w:hAnsi="宋体" w:cs="宋体" w:eastAsia="宋体" w:hint="default"/>
                <w:sz w:val="18"/>
                <w:szCs w:val="18"/>
              </w:rPr>
            </w:pPr>
            <w:r>
              <w:rPr>
                <w:rFonts w:ascii="宋体"/>
                <w:sz w:val="18"/>
              </w:rPr>
              <w:t>5,397.</w:t>
            </w:r>
          </w:p>
          <w:p>
            <w:pPr>
              <w:pStyle w:val="TableParagraph"/>
              <w:spacing w:line="240" w:lineRule="auto" w:before="77"/>
              <w:ind w:right="20"/>
              <w:jc w:val="right"/>
              <w:rPr>
                <w:rFonts w:ascii="宋体" w:hAnsi="宋体" w:cs="宋体" w:eastAsia="宋体" w:hint="default"/>
                <w:sz w:val="18"/>
                <w:szCs w:val="18"/>
              </w:rPr>
            </w:pPr>
            <w:r>
              <w:rPr>
                <w:rFonts w:ascii="宋体"/>
                <w:sz w:val="18"/>
              </w:rPr>
              <w:t>38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568,881,</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409.68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118,000</w:t>
            </w:r>
          </w:p>
          <w:p>
            <w:pPr>
              <w:pStyle w:val="TableParagraph"/>
              <w:spacing w:line="240" w:lineRule="auto" w:before="76"/>
              <w:ind w:left="32"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317,366,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523.70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19,039,4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88.60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114,47</w:t>
            </w:r>
          </w:p>
          <w:p>
            <w:pPr>
              <w:pStyle w:val="TableParagraph"/>
              <w:spacing w:line="240" w:lineRule="auto" w:before="75"/>
              <w:ind w:right="20"/>
              <w:jc w:val="right"/>
              <w:rPr>
                <w:rFonts w:ascii="宋体" w:hAnsi="宋体" w:cs="宋体" w:eastAsia="宋体" w:hint="default"/>
                <w:sz w:val="18"/>
                <w:szCs w:val="18"/>
              </w:rPr>
            </w:pPr>
            <w:r>
              <w:rPr>
                <w:rFonts w:ascii="宋体"/>
                <w:sz w:val="18"/>
              </w:rPr>
              <w:t>5,397.</w:t>
            </w:r>
          </w:p>
          <w:p>
            <w:pPr>
              <w:pStyle w:val="TableParagraph"/>
              <w:spacing w:line="240" w:lineRule="auto" w:before="77"/>
              <w:ind w:right="20"/>
              <w:jc w:val="right"/>
              <w:rPr>
                <w:rFonts w:ascii="宋体" w:hAnsi="宋体" w:cs="宋体" w:eastAsia="宋体" w:hint="default"/>
                <w:sz w:val="18"/>
                <w:szCs w:val="18"/>
              </w:rPr>
            </w:pPr>
            <w:r>
              <w:rPr>
                <w:rFonts w:ascii="宋体"/>
                <w:sz w:val="18"/>
              </w:rPr>
              <w:t>38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568,881,</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409.68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sz w:val="18"/>
              </w:rPr>
              <w:t>28,511,</w:t>
            </w:r>
          </w:p>
          <w:p>
            <w:pPr>
              <w:pStyle w:val="TableParagraph"/>
              <w:spacing w:line="240" w:lineRule="auto" w:before="76"/>
              <w:ind w:left="122"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476,927,</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972.15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38,141</w:t>
            </w:r>
          </w:p>
          <w:p>
            <w:pPr>
              <w:pStyle w:val="TableParagraph"/>
              <w:spacing w:line="240" w:lineRule="auto" w:before="75"/>
              <w:ind w:right="20"/>
              <w:jc w:val="right"/>
              <w:rPr>
                <w:rFonts w:ascii="宋体" w:hAnsi="宋体" w:cs="宋体" w:eastAsia="宋体" w:hint="default"/>
                <w:sz w:val="18"/>
                <w:szCs w:val="18"/>
              </w:rPr>
            </w:pPr>
            <w:r>
              <w:rPr>
                <w:rFonts w:ascii="宋体"/>
                <w:sz w:val="18"/>
              </w:rPr>
              <w:t>,674.5</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548,474,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569.10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48,935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sz w:val="18"/>
              </w:rPr>
              <w:t>48,935,1</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,193.9</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7" w:right="0"/>
              <w:jc w:val="left"/>
              <w:rPr>
                <w:rFonts w:ascii="宋体" w:hAnsi="宋体" w:cs="宋体" w:eastAsia="宋体" w:hint="default"/>
                <w:sz w:val="18"/>
                <w:szCs w:val="18"/>
              </w:rPr>
            </w:pPr>
            <w:r>
              <w:rPr>
                <w:rFonts w:ascii="宋体"/>
                <w:sz w:val="18"/>
              </w:rPr>
              <w:t>93.95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28,511,</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476,927,</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972.15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505,439,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375.15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28,511,</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476,927,</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972.15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505,439,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375.15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w:t>
            </w:r>
          </w:p>
          <w:p>
            <w:pPr>
              <w:pStyle w:val="TableParagraph"/>
              <w:spacing w:line="240" w:lineRule="auto" w:before="75"/>
              <w:ind w:right="20"/>
              <w:jc w:val="right"/>
              <w:rPr>
                <w:rFonts w:ascii="宋体" w:hAnsi="宋体" w:cs="宋体" w:eastAsia="宋体" w:hint="default"/>
                <w:sz w:val="18"/>
                <w:szCs w:val="18"/>
              </w:rPr>
            </w:pPr>
            <w:r>
              <w:rPr>
                <w:rFonts w:ascii="宋体"/>
                <w:sz w:val="18"/>
              </w:rPr>
              <w:t>3,519.</w:t>
            </w:r>
          </w:p>
          <w:p>
            <w:pPr>
              <w:pStyle w:val="TableParagraph"/>
              <w:spacing w:line="240" w:lineRule="auto" w:before="77"/>
              <w:ind w:right="20"/>
              <w:jc w:val="right"/>
              <w:rPr>
                <w:rFonts w:ascii="宋体" w:hAnsi="宋体" w:cs="宋体" w:eastAsia="宋体" w:hint="default"/>
                <w:sz w:val="18"/>
                <w:szCs w:val="18"/>
              </w:rPr>
            </w:pPr>
            <w:r>
              <w:rPr>
                <w:rFonts w:ascii="宋体"/>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-5,900,0</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4,893,51</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-4,893</w:t>
            </w:r>
          </w:p>
          <w:p>
            <w:pPr>
              <w:pStyle w:val="TableParagraph"/>
              <w:spacing w:line="240" w:lineRule="auto" w:before="75"/>
              <w:ind w:right="20"/>
              <w:jc w:val="right"/>
              <w:rPr>
                <w:rFonts w:ascii="宋体" w:hAnsi="宋体" w:cs="宋体" w:eastAsia="宋体" w:hint="default"/>
                <w:sz w:val="18"/>
                <w:szCs w:val="18"/>
              </w:rPr>
            </w:pPr>
            <w:r>
              <w:rPr>
                <w:rFonts w:ascii="宋体"/>
                <w:sz w:val="18"/>
              </w:rPr>
              <w:t>,519.3</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-5,900</w:t>
            </w:r>
          </w:p>
          <w:p>
            <w:pPr>
              <w:pStyle w:val="TableParagraph"/>
              <w:spacing w:line="240" w:lineRule="auto" w:before="75"/>
              <w:ind w:right="20"/>
              <w:jc w:val="right"/>
              <w:rPr>
                <w:rFonts w:ascii="宋体" w:hAnsi="宋体" w:cs="宋体" w:eastAsia="宋体" w:hint="default"/>
                <w:sz w:val="18"/>
                <w:szCs w:val="18"/>
              </w:rPr>
            </w:pPr>
            <w:r>
              <w:rPr>
                <w:rFonts w:ascii="宋体"/>
                <w:sz w:val="18"/>
              </w:rPr>
              <w:t>,000.0</w:t>
            </w:r>
          </w:p>
          <w:p>
            <w:pPr>
              <w:pStyle w:val="TableParagraph"/>
              <w:spacing w:line="240" w:lineRule="auto" w:before="78"/>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-5,900,0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146,511</w:t>
            </w:r>
          </w:p>
          <w:p>
            <w:pPr>
              <w:pStyle w:val="TableParagraph"/>
              <w:spacing w:line="240" w:lineRule="auto" w:before="76"/>
              <w:ind w:left="27" w:right="0"/>
              <w:jc w:val="left"/>
              <w:rPr>
                <w:rFonts w:ascii="宋体" w:hAnsi="宋体" w:cs="宋体" w:eastAsia="宋体" w:hint="default"/>
                <w:sz w:val="18"/>
                <w:szCs w:val="18"/>
              </w:rPr>
            </w:pPr>
            <w:r>
              <w:rPr>
                <w:rFonts w:ascii="宋体"/>
                <w:sz w:val="18"/>
              </w:rPr>
              <w:t>,403.00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794,294,</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495.85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23,933,0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07.99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152,61</w:t>
            </w:r>
          </w:p>
          <w:p>
            <w:pPr>
              <w:pStyle w:val="TableParagraph"/>
              <w:spacing w:line="240" w:lineRule="auto" w:before="75"/>
              <w:ind w:right="20"/>
              <w:jc w:val="right"/>
              <w:rPr>
                <w:rFonts w:ascii="宋体" w:hAnsi="宋体" w:cs="宋体" w:eastAsia="宋体" w:hint="default"/>
                <w:sz w:val="18"/>
                <w:szCs w:val="18"/>
              </w:rPr>
            </w:pPr>
            <w:r>
              <w:rPr>
                <w:rFonts w:ascii="宋体"/>
                <w:sz w:val="18"/>
              </w:rPr>
              <w:t>7,071.</w:t>
            </w:r>
          </w:p>
          <w:p>
            <w:pPr>
              <w:pStyle w:val="TableParagraph"/>
              <w:spacing w:line="240" w:lineRule="auto" w:before="77"/>
              <w:ind w:right="20"/>
              <w:jc w:val="right"/>
              <w:rPr>
                <w:rFonts w:ascii="宋体" w:hAnsi="宋体" w:cs="宋体" w:eastAsia="宋体" w:hint="default"/>
                <w:sz w:val="18"/>
                <w:szCs w:val="18"/>
              </w:rPr>
            </w:pPr>
            <w:r>
              <w:rPr>
                <w:rFonts w:ascii="宋体"/>
                <w:sz w:val="18"/>
              </w:rPr>
              <w:t>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1,117,35</w:t>
            </w:r>
          </w:p>
          <w:p>
            <w:pPr>
              <w:pStyle w:val="TableParagraph"/>
              <w:spacing w:line="240" w:lineRule="auto" w:before="76"/>
              <w:ind w:left="27" w:right="0"/>
              <w:jc w:val="left"/>
              <w:rPr>
                <w:rFonts w:ascii="宋体" w:hAnsi="宋体" w:cs="宋体" w:eastAsia="宋体" w:hint="default"/>
                <w:sz w:val="18"/>
                <w:szCs w:val="18"/>
              </w:rPr>
            </w:pPr>
            <w:r>
              <w:rPr>
                <w:rFonts w:ascii="宋体"/>
                <w:sz w:val="18"/>
              </w:rPr>
              <w:t>5,978.78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118,000</w:t>
            </w:r>
          </w:p>
          <w:p>
            <w:pPr>
              <w:pStyle w:val="TableParagraph"/>
              <w:spacing w:line="240" w:lineRule="auto" w:before="76"/>
              <w:ind w:left="20"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316,880,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723.70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14,660,3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87.56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18"/>
                <w:szCs w:val="18"/>
              </w:rPr>
            </w:pPr>
            <w:r>
              <w:rPr>
                <w:rFonts w:ascii="宋体"/>
                <w:sz w:val="18"/>
              </w:rPr>
              <w:t>80,963</w:t>
            </w:r>
          </w:p>
          <w:p>
            <w:pPr>
              <w:pStyle w:val="TableParagraph"/>
              <w:spacing w:line="240" w:lineRule="auto" w:before="75"/>
              <w:ind w:right="20"/>
              <w:jc w:val="right"/>
              <w:rPr>
                <w:rFonts w:ascii="宋体" w:hAnsi="宋体" w:cs="宋体" w:eastAsia="宋体" w:hint="default"/>
                <w:sz w:val="18"/>
                <w:szCs w:val="18"/>
              </w:rPr>
            </w:pPr>
            <w:r>
              <w:rPr>
                <w:rFonts w:ascii="宋体"/>
                <w:sz w:val="18"/>
              </w:rPr>
              <w:t>,487.9</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530,504,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599.23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sz w:val="18"/>
              </w:rPr>
              <w:t>118,000</w:t>
            </w:r>
          </w:p>
          <w:p>
            <w:pPr>
              <w:pStyle w:val="TableParagraph"/>
              <w:spacing w:line="240" w:lineRule="auto" w:before="76"/>
              <w:ind w:left="20" w:right="0"/>
              <w:jc w:val="left"/>
              <w:rPr>
                <w:rFonts w:ascii="宋体" w:hAnsi="宋体" w:cs="宋体" w:eastAsia="宋体" w:hint="default"/>
                <w:sz w:val="18"/>
                <w:szCs w:val="18"/>
              </w:rPr>
            </w:pPr>
            <w:r>
              <w:rPr>
                <w:rFonts w:ascii="宋体"/>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316,880,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723.70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14,660,3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87.56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80,963</w:t>
            </w:r>
          </w:p>
          <w:p>
            <w:pPr>
              <w:pStyle w:val="TableParagraph"/>
              <w:spacing w:line="240" w:lineRule="auto" w:before="75"/>
              <w:ind w:right="20"/>
              <w:jc w:val="right"/>
              <w:rPr>
                <w:rFonts w:ascii="宋体" w:hAnsi="宋体" w:cs="宋体" w:eastAsia="宋体" w:hint="default"/>
                <w:sz w:val="18"/>
                <w:szCs w:val="18"/>
              </w:rPr>
            </w:pPr>
            <w:r>
              <w:rPr>
                <w:rFonts w:ascii="宋体"/>
                <w:sz w:val="18"/>
              </w:rPr>
              <w:t>,487.9</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530,504,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599.23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485,800.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4,379,10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1.04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33,511</w:t>
            </w:r>
          </w:p>
          <w:p>
            <w:pPr>
              <w:pStyle w:val="TableParagraph"/>
              <w:spacing w:line="240" w:lineRule="auto" w:before="75"/>
              <w:ind w:right="20"/>
              <w:jc w:val="right"/>
              <w:rPr>
                <w:rFonts w:ascii="宋体" w:hAnsi="宋体" w:cs="宋体" w:eastAsia="宋体" w:hint="default"/>
                <w:sz w:val="18"/>
                <w:szCs w:val="18"/>
              </w:rPr>
            </w:pPr>
            <w:r>
              <w:rPr>
                <w:rFonts w:ascii="宋体"/>
                <w:sz w:val="18"/>
              </w:rPr>
              <w:t>,909.4</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38,376,8</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10.45</w:t>
            </w: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43,791</w:t>
            </w:r>
          </w:p>
          <w:p>
            <w:pPr>
              <w:pStyle w:val="TableParagraph"/>
              <w:spacing w:line="240" w:lineRule="auto" w:before="75"/>
              <w:ind w:right="20"/>
              <w:jc w:val="right"/>
              <w:rPr>
                <w:rFonts w:ascii="宋体" w:hAnsi="宋体" w:cs="宋体" w:eastAsia="宋体" w:hint="default"/>
                <w:sz w:val="18"/>
                <w:szCs w:val="18"/>
              </w:rPr>
            </w:pPr>
            <w:r>
              <w:rPr>
                <w:rFonts w:ascii="宋体"/>
                <w:sz w:val="18"/>
              </w:rPr>
              <w:t>,010.4</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43,791,0</w:t>
            </w:r>
          </w:p>
          <w:p>
            <w:pPr>
              <w:pStyle w:val="TableParagraph"/>
              <w:spacing w:line="240" w:lineRule="auto" w:before="77"/>
              <w:ind w:left="297" w:right="0"/>
              <w:jc w:val="left"/>
              <w:rPr>
                <w:rFonts w:ascii="宋体" w:hAnsi="宋体" w:cs="宋体" w:eastAsia="宋体" w:hint="default"/>
                <w:sz w:val="18"/>
                <w:szCs w:val="18"/>
              </w:rPr>
            </w:pPr>
            <w:r>
              <w:rPr>
                <w:rFonts w:ascii="宋体"/>
                <w:sz w:val="18"/>
              </w:rPr>
              <w:t>10.45</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485,800.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485,800.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485,800.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485,800.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4,379,10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1.04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-10,27</w:t>
            </w:r>
          </w:p>
          <w:p>
            <w:pPr>
              <w:pStyle w:val="TableParagraph"/>
              <w:spacing w:line="240" w:lineRule="auto" w:before="75"/>
              <w:ind w:right="20"/>
              <w:jc w:val="right"/>
              <w:rPr>
                <w:rFonts w:ascii="宋体" w:hAnsi="宋体" w:cs="宋体" w:eastAsia="宋体" w:hint="default"/>
                <w:sz w:val="18"/>
                <w:szCs w:val="18"/>
              </w:rPr>
            </w:pPr>
            <w:r>
              <w:rPr>
                <w:rFonts w:ascii="宋体"/>
                <w:sz w:val="18"/>
              </w:rPr>
              <w:t>9,101.</w:t>
            </w:r>
          </w:p>
          <w:p>
            <w:pPr>
              <w:pStyle w:val="TableParagraph"/>
              <w:spacing w:line="240" w:lineRule="auto" w:before="77"/>
              <w:ind w:right="20"/>
              <w:jc w:val="right"/>
              <w:rPr>
                <w:rFonts w:ascii="宋体" w:hAnsi="宋体" w:cs="宋体" w:eastAsia="宋体" w:hint="default"/>
                <w:sz w:val="18"/>
                <w:szCs w:val="18"/>
              </w:rPr>
            </w:pPr>
            <w:r>
              <w:rPr>
                <w:rFonts w:ascii="宋体"/>
                <w:sz w:val="18"/>
              </w:rPr>
              <w:t>04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-5,900,0</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00.00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4,379,10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1.04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-4,379</w:t>
            </w:r>
          </w:p>
          <w:p>
            <w:pPr>
              <w:pStyle w:val="TableParagraph"/>
              <w:spacing w:line="240" w:lineRule="auto" w:before="75"/>
              <w:ind w:right="20"/>
              <w:jc w:val="right"/>
              <w:rPr>
                <w:rFonts w:ascii="宋体" w:hAnsi="宋体" w:cs="宋体" w:eastAsia="宋体" w:hint="default"/>
                <w:sz w:val="18"/>
                <w:szCs w:val="18"/>
              </w:rPr>
            </w:pPr>
            <w:r>
              <w:rPr>
                <w:rFonts w:ascii="宋体"/>
                <w:sz w:val="18"/>
              </w:rPr>
              <w:t>,101.0</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-5,900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-5,900,0</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00.00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118,000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317,366,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523.70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19,039,4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88.60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114,47</w:t>
            </w:r>
          </w:p>
          <w:p>
            <w:pPr>
              <w:pStyle w:val="TableParagraph"/>
              <w:spacing w:line="240" w:lineRule="auto" w:before="75"/>
              <w:ind w:right="20"/>
              <w:jc w:val="right"/>
              <w:rPr>
                <w:rFonts w:ascii="宋体" w:hAnsi="宋体" w:cs="宋体" w:eastAsia="宋体" w:hint="default"/>
                <w:sz w:val="18"/>
                <w:szCs w:val="18"/>
              </w:rPr>
            </w:pPr>
            <w:r>
              <w:rPr>
                <w:rFonts w:ascii="宋体"/>
                <w:sz w:val="18"/>
              </w:rPr>
              <w:t>5,397.</w:t>
            </w:r>
          </w:p>
          <w:p>
            <w:pPr>
              <w:pStyle w:val="TableParagraph"/>
              <w:spacing w:line="240" w:lineRule="auto" w:before="77"/>
              <w:ind w:right="20"/>
              <w:jc w:val="right"/>
              <w:rPr>
                <w:rFonts w:ascii="宋体" w:hAnsi="宋体" w:cs="宋体" w:eastAsia="宋体" w:hint="default"/>
                <w:sz w:val="18"/>
                <w:szCs w:val="18"/>
              </w:rPr>
            </w:pPr>
            <w:r>
              <w:rPr>
                <w:rFonts w:ascii="宋体"/>
                <w:sz w:val="18"/>
              </w:rPr>
              <w:t>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568,881,</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409.68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18"/>
      <w:bookmarkEnd w:id="118"/>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4" w:right="152" w:firstLine="420"/>
        <w:jc w:val="both"/>
      </w:pPr>
      <w:r>
        <w:rPr/>
        <w:t>河南汉威电子股份有限公司（以下简称：</w:t>
      </w:r>
      <w:r>
        <w:rPr>
          <w:spacing w:val="67"/>
        </w:rPr>
        <w:t> </w:t>
      </w:r>
      <w:r>
        <w:rPr/>
        <w:t>“汉威电子”、“本公司”、“公司”）系由河南汉威电</w:t>
      </w:r>
      <w:r>
        <w:rPr/>
        <w:t> 子有限公司整体改制变更设立的股份有限公司，于</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28</w:t>
      </w:r>
      <w:r>
        <w:rPr/>
        <w:t>日取得了郑州市工商行政管理局颁发的企</w:t>
      </w:r>
      <w:r>
        <w:rPr>
          <w:spacing w:val="-30"/>
        </w:rPr>
        <w:t> </w:t>
      </w:r>
      <w:r>
        <w:rPr>
          <w:spacing w:val="-30"/>
        </w:rPr>
      </w:r>
      <w:r>
        <w:rPr/>
        <w:t>业法人营业执照，注册号：</w:t>
      </w:r>
      <w:r>
        <w:rPr>
          <w:rFonts w:ascii="宋体" w:hAnsi="宋体" w:cs="宋体" w:eastAsia="宋体" w:hint="default"/>
        </w:rPr>
        <w:t>410000100020749</w:t>
      </w:r>
      <w:r>
        <w:rPr/>
        <w:t>。</w:t>
      </w:r>
    </w:p>
    <w:p>
      <w:pPr>
        <w:pStyle w:val="BodyText"/>
        <w:spacing w:line="408" w:lineRule="auto"/>
        <w:ind w:right="130" w:firstLine="420"/>
        <w:jc w:val="both"/>
      </w:pPr>
      <w:r>
        <w:rPr>
          <w:spacing w:val="-1"/>
        </w:rPr>
        <w:t>经公司</w:t>
      </w:r>
      <w:r>
        <w:rPr>
          <w:rFonts w:ascii="宋体" w:hAnsi="宋体" w:cs="宋体" w:eastAsia="宋体" w:hint="default"/>
          <w:spacing w:val="-1"/>
        </w:rPr>
        <w:t>2009</w:t>
      </w:r>
      <w:r>
        <w:rPr>
          <w:spacing w:val="-1"/>
        </w:rPr>
        <w:t>年第一届董事会第八次会议和第二次临时股东大会审议通过，并经中国证券监督管理委员</w:t>
      </w:r>
      <w:r>
        <w:rPr/>
        <w:t> 会证监许可［</w:t>
      </w:r>
      <w:r>
        <w:rPr>
          <w:rFonts w:ascii="宋体" w:hAnsi="宋体" w:cs="宋体" w:eastAsia="宋体" w:hint="default"/>
        </w:rPr>
        <w:t>2009</w:t>
      </w:r>
      <w:r>
        <w:rPr/>
        <w:t>］</w:t>
      </w:r>
      <w:r>
        <w:rPr>
          <w:rFonts w:ascii="宋体" w:hAnsi="宋体" w:cs="宋体" w:eastAsia="宋体" w:hint="default"/>
        </w:rPr>
        <w:t>957</w:t>
      </w:r>
      <w:r>
        <w:rPr/>
        <w:t>号文《关于核准河南汉威电子股份有限公司首次公开发行股票并在创业板上市的</w:t>
      </w:r>
      <w:r>
        <w:rPr>
          <w:spacing w:val="-35"/>
        </w:rPr>
        <w:t> </w:t>
      </w:r>
      <w:r>
        <w:rPr>
          <w:spacing w:val="-35"/>
        </w:rPr>
      </w:r>
      <w:r>
        <w:rPr/>
        <w:t>批复》核准，公司股票于</w:t>
      </w: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30</w:t>
      </w:r>
      <w:r>
        <w:rPr/>
        <w:t>日在深圳证券交易所挂牌交易，股票简称：汉威电子，股票代码： </w:t>
      </w:r>
      <w:r>
        <w:rPr>
          <w:rFonts w:ascii="宋体" w:hAnsi="宋体" w:cs="宋体" w:eastAsia="宋体" w:hint="default"/>
        </w:rPr>
        <w:t>300007</w:t>
      </w:r>
      <w:r>
        <w:rPr/>
        <w:t>。</w:t>
      </w:r>
    </w:p>
    <w:p>
      <w:pPr>
        <w:pStyle w:val="BodyText"/>
        <w:spacing w:line="408" w:lineRule="auto"/>
        <w:ind w:right="151" w:firstLine="420"/>
        <w:jc w:val="both"/>
      </w:pPr>
      <w:r>
        <w:rPr>
          <w:spacing w:val="-1"/>
        </w:rPr>
        <w:t>本公司属专用仪器仪表制造业。主要产品为气体传感器、气体检测仪器仪表及监控系统等，主要应用</w:t>
      </w:r>
      <w:r>
        <w:rPr/>
        <w:t> </w:t>
      </w:r>
      <w:r>
        <w:rPr>
          <w:spacing w:val="-1"/>
        </w:rPr>
        <w:t>于石油、化工、冶金、采矿、电子、电力、医疗卫生、农业、燃气、市政工程、家庭安全与健康、公共场</w:t>
      </w:r>
      <w:r>
        <w:rPr>
          <w:spacing w:val="-89"/>
        </w:rPr>
        <w:t> </w:t>
      </w:r>
      <w:r>
        <w:rPr>
          <w:spacing w:val="-89"/>
        </w:rPr>
      </w:r>
      <w:r>
        <w:rPr/>
        <w:t>所、道路安全管理等领域，用于防火防爆、预防中毒、污染监测、环境治理、改善人居环境等。</w:t>
      </w:r>
    </w:p>
    <w:p>
      <w:pPr>
        <w:pStyle w:val="BodyText"/>
        <w:spacing w:line="408" w:lineRule="auto"/>
        <w:ind w:right="152" w:firstLine="420"/>
        <w:jc w:val="both"/>
      </w:pPr>
      <w:r>
        <w:rPr>
          <w:spacing w:val="-1"/>
        </w:rPr>
        <w:t>本公司主要经营范围包括：研究、开发、生产销售电子传感器；电子监控技术开发；研究、开发、生</w:t>
      </w:r>
      <w:r>
        <w:rPr/>
        <w:t> </w:t>
      </w:r>
      <w:r>
        <w:rPr>
          <w:spacing w:val="-1"/>
        </w:rPr>
        <w:t>产、销售检测仪器及控制系统、机械电器设备、防爆电气系列产品；个体防护装备系列产品；警用装备系</w:t>
      </w:r>
      <w:r>
        <w:rPr>
          <w:spacing w:val="-83"/>
        </w:rPr>
        <w:t> </w:t>
      </w:r>
      <w:r>
        <w:rPr>
          <w:spacing w:val="-83"/>
        </w:rPr>
      </w:r>
      <w:r>
        <w:rPr>
          <w:spacing w:val="-1"/>
        </w:rPr>
        <w:t>列产品；智能交通和安防监控系统的研发、设计、施工和销售；提供技术转让、技术服务、技术咨询；计</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51"/>
        <w:jc w:val="both"/>
      </w:pPr>
      <w:r>
        <w:rPr>
          <w:spacing w:val="-1"/>
        </w:rPr>
        <w:t>算机软件开发与销售；计算机网络工程施工；防爆设备安装工程施工（以上凭资质证经营）；经营本企业</w:t>
      </w:r>
      <w:r>
        <w:rPr>
          <w:spacing w:val="-83"/>
        </w:rPr>
        <w:t> </w:t>
      </w:r>
      <w:r>
        <w:rPr>
          <w:spacing w:val="-83"/>
        </w:rPr>
      </w:r>
      <w:r>
        <w:rPr>
          <w:spacing w:val="-1"/>
        </w:rPr>
        <w:t>自产产品的出口业务和本企业所需的机械设备、零配件、原辅材料的进口业务，但国家限定公司经营或禁</w:t>
      </w:r>
      <w:r>
        <w:rPr>
          <w:spacing w:val="-83"/>
        </w:rPr>
        <w:t> </w:t>
      </w:r>
      <w:r>
        <w:rPr>
          <w:spacing w:val="-83"/>
        </w:rPr>
      </w:r>
      <w:r>
        <w:rPr>
          <w:spacing w:val="-1"/>
        </w:rPr>
        <w:t>止进出口的商品除外；房屋租赁。（上述范围涉及法律法规规定应经审批方可经营的项目，凭有效许可证</w:t>
      </w:r>
      <w:r>
        <w:rPr>
          <w:spacing w:val="-84"/>
        </w:rPr>
        <w:t> </w:t>
      </w:r>
      <w:r>
        <w:rPr>
          <w:spacing w:val="-84"/>
        </w:rPr>
      </w:r>
      <w:r>
        <w:rPr/>
        <w:t>核定的范围经营，未获审批前不得经营）。公司总部注册地址：郑州高新开发区雪松路</w:t>
      </w:r>
      <w:r>
        <w:rPr>
          <w:rFonts w:ascii="宋体" w:hAnsi="宋体" w:cs="宋体" w:eastAsia="宋体" w:hint="default"/>
        </w:rPr>
        <w:t>169</w:t>
      </w:r>
      <w:r>
        <w:rPr/>
        <w:t>号。</w:t>
      </w:r>
    </w:p>
    <w:p>
      <w:pPr>
        <w:pStyle w:val="BodyText"/>
        <w:spacing w:line="408" w:lineRule="auto"/>
        <w:ind w:left="679" w:right="217" w:hanging="105"/>
        <w:jc w:val="left"/>
      </w:pPr>
      <w:r>
        <w:rPr/>
        <w:t>本财务报表经本公司董事会于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26</w:t>
      </w:r>
      <w:r>
        <w:rPr/>
        <w:t>日决议批准报出。 本年度合并财务报表范围包括：郑州炜盛电子科技有限公司、郑州创威煤安科技有限公司、沈阳汉</w:t>
      </w:r>
    </w:p>
    <w:p>
      <w:pPr>
        <w:pStyle w:val="BodyText"/>
        <w:spacing w:line="408" w:lineRule="auto"/>
        <w:ind w:right="151"/>
        <w:jc w:val="both"/>
      </w:pPr>
      <w:r>
        <w:rPr>
          <w:spacing w:val="-1"/>
        </w:rPr>
        <w:t>威科技有限公司、北京智威宇讯科技有限公司、上海中威天安公共安全科技有限公司、哈尔滨盈江科技有</w:t>
      </w:r>
      <w:r>
        <w:rPr>
          <w:spacing w:val="-83"/>
        </w:rPr>
        <w:t> </w:t>
      </w:r>
      <w:r>
        <w:rPr>
          <w:spacing w:val="-83"/>
        </w:rPr>
      </w:r>
      <w:r>
        <w:rPr>
          <w:spacing w:val="-1"/>
        </w:rPr>
        <w:t>限公司和沈阳金建数字城市软件有限公司、英森电气系统（上海）有限公司、鞍山易兴自动化工程有限公</w:t>
      </w:r>
      <w:r>
        <w:rPr>
          <w:spacing w:val="-86"/>
        </w:rPr>
        <w:t> </w:t>
      </w:r>
      <w:r>
        <w:rPr>
          <w:spacing w:val="-86"/>
        </w:rPr>
      </w:r>
      <w:r>
        <w:rPr/>
        <w:t>司、嘉园环保有限公司。</w:t>
      </w:r>
    </w:p>
    <w:p>
      <w:pPr>
        <w:spacing w:line="240" w:lineRule="auto" w:before="11"/>
        <w:rPr>
          <w:rFonts w:ascii="宋体" w:hAnsi="宋体" w:cs="宋体" w:eastAsia="宋体" w:hint="default"/>
          <w:sz w:val="18"/>
          <w:szCs w:val="18"/>
        </w:rPr>
      </w:pPr>
    </w:p>
    <w:p>
      <w:pPr>
        <w:pStyle w:val="Heading2"/>
        <w:spacing w:line="240" w:lineRule="auto"/>
        <w:ind w:left="154" w:right="0"/>
        <w:jc w:val="both"/>
        <w:rPr>
          <w:b w:val="0"/>
          <w:bCs w:val="0"/>
        </w:rPr>
      </w:pPr>
      <w:bookmarkStart w:name="四、财务报表的编制基础" w:id="119"/>
      <w:bookmarkEnd w:id="11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20"/>
      <w:bookmarkEnd w:id="120"/>
      <w:r>
        <w:rPr>
          <w:b w:val="0"/>
          <w:bCs w:val="0"/>
        </w:rPr>
      </w:r>
      <w:r>
        <w:rPr>
          <w:rFonts w:ascii="宋体" w:hAnsi="宋体" w:cs="宋体" w:eastAsia="宋体" w:hint="default"/>
        </w:rPr>
        <w:t>1</w:t>
      </w:r>
      <w:r>
        <w:rPr/>
        <w:t>、编制基础</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left="573" w:right="0"/>
        <w:jc w:val="left"/>
      </w:pPr>
      <w:r>
        <w:rPr/>
        <w:t>本公司财务报表以持续经营为基础，根据实际发生的交易和事项，按照财政部颁布的《企业会计准则</w:t>
      </w:r>
    </w:p>
    <w:p>
      <w:pPr>
        <w:spacing w:line="240" w:lineRule="auto" w:before="10"/>
        <w:rPr>
          <w:rFonts w:ascii="宋体" w:hAnsi="宋体" w:cs="宋体" w:eastAsia="宋体" w:hint="default"/>
          <w:sz w:val="14"/>
          <w:szCs w:val="14"/>
        </w:rPr>
      </w:pPr>
    </w:p>
    <w:p>
      <w:pPr>
        <w:pStyle w:val="BodyText"/>
        <w:spacing w:line="408" w:lineRule="auto" w:before="0"/>
        <w:ind w:right="159"/>
        <w:jc w:val="both"/>
      </w:pPr>
      <w:r>
        <w:rPr>
          <w:rFonts w:ascii="宋体" w:hAnsi="宋体" w:cs="宋体" w:eastAsia="宋体" w:hint="default"/>
        </w:rPr>
        <w:t>-</w:t>
      </w:r>
      <w:r>
        <w:rPr/>
        <w:t>基本准则》和具体会计准则等规定（以下合称“企业会计准则”），并基于以下所述重要会计政策、会</w:t>
      </w:r>
      <w:r>
        <w:rPr>
          <w:spacing w:val="-34"/>
        </w:rPr>
        <w:t> </w:t>
      </w:r>
      <w:r>
        <w:rPr>
          <w:spacing w:val="-34"/>
        </w:rPr>
      </w:r>
      <w:r>
        <w:rPr/>
        <w:t>计估计进行编制。</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持续经营" w:id="121"/>
      <w:bookmarkEnd w:id="121"/>
      <w:r>
        <w:rPr>
          <w:b w:val="0"/>
          <w:bCs w:val="0"/>
        </w:rPr>
      </w: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left="573" w:right="0"/>
        <w:jc w:val="left"/>
      </w:pPr>
      <w:r>
        <w:rPr/>
        <w:t>本公司至本报告期末至少</w:t>
      </w:r>
      <w:r>
        <w:rPr>
          <w:rFonts w:ascii="宋体" w:hAnsi="宋体" w:cs="宋体" w:eastAsia="宋体" w:hint="default"/>
        </w:rPr>
        <w:t>12</w:t>
      </w:r>
      <w:r>
        <w:rPr/>
        <w:t>个月内具备持续经营能力，无影响持续经营能力的重大事项。</w:t>
      </w:r>
    </w:p>
    <w:p>
      <w:pPr>
        <w:spacing w:line="240" w:lineRule="auto" w:before="0"/>
        <w:rPr>
          <w:rFonts w:ascii="宋体" w:hAnsi="宋体" w:cs="宋体" w:eastAsia="宋体" w:hint="default"/>
          <w:sz w:val="20"/>
          <w:szCs w:val="20"/>
        </w:rPr>
      </w:pPr>
    </w:p>
    <w:p>
      <w:pPr>
        <w:pStyle w:val="Heading2"/>
        <w:spacing w:line="240" w:lineRule="auto" w:before="131"/>
        <w:ind w:right="0"/>
        <w:jc w:val="both"/>
        <w:rPr>
          <w:b w:val="0"/>
          <w:bCs w:val="0"/>
        </w:rPr>
      </w:pPr>
      <w:bookmarkStart w:name="五、重要会计政策及会计估计" w:id="122"/>
      <w:bookmarkEnd w:id="12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711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left="154" w:right="0"/>
        <w:jc w:val="both"/>
        <w:rPr>
          <w:b w:val="0"/>
          <w:bCs w:val="0"/>
        </w:rPr>
      </w:pPr>
      <w:bookmarkStart w:name="1、遵循企业会计准则的声明" w:id="123"/>
      <w:bookmarkEnd w:id="123"/>
      <w:r>
        <w:rPr>
          <w:b w:val="0"/>
          <w:bCs w:val="0"/>
        </w:rPr>
      </w:r>
      <w:r>
        <w:rPr>
          <w:rFonts w:ascii="宋体" w:hAnsi="宋体" w:cs="宋体" w:eastAsia="宋体" w:hint="default"/>
        </w:rPr>
        <w:t>1</w:t>
      </w:r>
      <w:r>
        <w:rPr/>
        <w:t>、遵循企业会计准则的声明</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0" w:firstLine="420"/>
        <w:jc w:val="left"/>
      </w:pPr>
      <w:r>
        <w:rPr>
          <w:spacing w:val="-1"/>
        </w:rPr>
        <w:t>本公司编制的财务报表符合《企业会计准则》的要求，真实、完整地反映了本公司</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w:t>
      </w:r>
      <w:r>
        <w:rPr>
          <w:spacing w:val="1"/>
        </w:rPr>
        <w:t> </w:t>
      </w:r>
      <w:r>
        <w:rPr/>
        <w:t>财务状况、</w:t>
      </w:r>
      <w:r>
        <w:rPr>
          <w:rFonts w:ascii="宋体" w:hAnsi="宋体" w:cs="宋体" w:eastAsia="宋体" w:hint="default"/>
        </w:rPr>
        <w:t>2014</w:t>
      </w:r>
      <w:r>
        <w:rPr/>
        <w:t>年度的经营成果和现金流量等相关信息。</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会计期间" w:id="124"/>
      <w:bookmarkEnd w:id="124"/>
      <w:r>
        <w:rPr>
          <w:b w:val="0"/>
          <w:bCs w:val="0"/>
        </w:rPr>
      </w:r>
      <w:r>
        <w:rPr>
          <w:rFonts w:ascii="宋体" w:hAnsi="宋体" w:cs="宋体" w:eastAsia="宋体" w:hint="default"/>
        </w:rPr>
        <w:t>2</w:t>
      </w:r>
      <w:r>
        <w:rPr/>
        <w:t>、会计期间</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left="573" w:right="0"/>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营业周期" w:id="125"/>
      <w:bookmarkEnd w:id="125"/>
      <w:r>
        <w:rPr>
          <w:b w:val="0"/>
          <w:bCs w:val="0"/>
        </w:rPr>
      </w:r>
      <w:r>
        <w:rPr>
          <w:rFonts w:ascii="宋体" w:hAnsi="宋体" w:cs="宋体" w:eastAsia="宋体" w:hint="default"/>
        </w:rPr>
        <w:t>3</w:t>
      </w:r>
      <w:r>
        <w:rPr/>
        <w:t>、营业周期</w:t>
      </w:r>
      <w:r>
        <w:rPr>
          <w:b w:val="0"/>
          <w:bCs w:val="0"/>
        </w:rPr>
      </w:r>
    </w:p>
    <w:p>
      <w:pPr>
        <w:spacing w:line="240" w:lineRule="auto" w:before="0"/>
        <w:rPr>
          <w:rFonts w:ascii="宋体" w:hAnsi="宋体" w:cs="宋体" w:eastAsia="宋体" w:hint="default"/>
          <w:b/>
          <w:bCs/>
          <w:sz w:val="20"/>
          <w:szCs w:val="20"/>
        </w:rPr>
      </w:pPr>
    </w:p>
    <w:p>
      <w:pPr>
        <w:pStyle w:val="BodyText"/>
        <w:spacing w:line="604" w:lineRule="auto" w:before="153"/>
        <w:ind w:right="850" w:firstLine="420"/>
        <w:jc w:val="left"/>
        <w:rPr>
          <w:rFonts w:ascii="宋体" w:hAnsi="宋体" w:cs="宋体" w:eastAsia="宋体" w:hint="default"/>
        </w:rPr>
      </w:pPr>
      <w:r>
        <w:rPr/>
        <w:t>本公司以一年</w:t>
      </w:r>
      <w:r>
        <w:rPr>
          <w:spacing w:val="-2"/>
        </w:rPr>
        <w:t> </w:t>
      </w:r>
      <w:r>
        <w:rPr>
          <w:rFonts w:ascii="宋体" w:hAnsi="宋体" w:cs="宋体" w:eastAsia="宋体" w:hint="default"/>
        </w:rPr>
        <w:t>12</w:t>
      </w:r>
      <w:r>
        <w:rPr/>
        <w:t>个月作为正常营业周期，并以营业周期作为资产和负债的流动性划分标准。 </w:t>
      </w:r>
      <w:bookmarkStart w:name="4、记账本位币" w:id="126"/>
      <w:bookmarkEnd w:id="126"/>
      <w:r>
        <w:rPr/>
      </w:r>
      <w:r>
        <w:rPr>
          <w:rFonts w:ascii="宋体" w:hAnsi="宋体" w:cs="宋体" w:eastAsia="宋体" w:hint="default"/>
          <w:b/>
          <w:bCs/>
        </w:rPr>
        <w:t>4</w:t>
      </w:r>
      <w:r>
        <w:rPr>
          <w:rFonts w:ascii="宋体" w:hAnsi="宋体" w:cs="宋体" w:eastAsia="宋体" w:hint="default"/>
          <w:b/>
          <w:bCs/>
        </w:rPr>
        <w:t>、记账本位币</w:t>
      </w:r>
      <w:r>
        <w:rPr>
          <w:rFonts w:ascii="宋体" w:hAnsi="宋体" w:cs="宋体" w:eastAsia="宋体" w:hint="default"/>
        </w:rPr>
      </w:r>
    </w:p>
    <w:p>
      <w:pPr>
        <w:spacing w:line="604" w:lineRule="auto" w:before="96"/>
        <w:ind w:left="153" w:right="4607" w:firstLine="420"/>
        <w:jc w:val="left"/>
        <w:rPr>
          <w:rFonts w:ascii="宋体" w:hAnsi="宋体" w:cs="宋体" w:eastAsia="宋体" w:hint="default"/>
          <w:sz w:val="21"/>
          <w:szCs w:val="21"/>
        </w:rPr>
      </w:pPr>
      <w:r>
        <w:rPr>
          <w:rFonts w:ascii="宋体" w:hAnsi="宋体" w:cs="宋体" w:eastAsia="宋体" w:hint="default"/>
          <w:sz w:val="21"/>
          <w:szCs w:val="21"/>
        </w:rPr>
        <w:t>本公司以人民币为记账本位币。 </w:t>
      </w:r>
      <w:bookmarkStart w:name="5、同一控制下和非同一控制下企业合并的会计处理方法" w:id="127"/>
      <w:bookmarkEnd w:id="127"/>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408" w:lineRule="auto" w:before="96"/>
        <w:ind w:left="574" w:right="0"/>
        <w:jc w:val="left"/>
      </w:pPr>
      <w:r>
        <w:rPr>
          <w:rFonts w:ascii="宋体" w:hAnsi="宋体" w:cs="宋体" w:eastAsia="宋体" w:hint="default"/>
        </w:rPr>
        <w:t>1</w:t>
      </w:r>
      <w:r>
        <w:rPr/>
        <w:t>、同一控制下的企业合并 </w:t>
      </w:r>
      <w:r>
        <w:rPr>
          <w:spacing w:val="-1"/>
        </w:rPr>
        <w:t>同一控制下企业合并形成的长期股权投资合并方以支付现金、转让非现金资产或承担债务方式作为合</w:t>
      </w:r>
    </w:p>
    <w:p>
      <w:pPr>
        <w:pStyle w:val="BodyText"/>
        <w:spacing w:line="408" w:lineRule="auto"/>
        <w:ind w:left="154" w:right="151"/>
        <w:jc w:val="both"/>
      </w:pPr>
      <w:r>
        <w:rPr>
          <w:spacing w:val="-1"/>
        </w:rPr>
        <w:t>并对价的，本公司在合并日按照所取得的被合并方在最终控制方合并财务报表中的净资产的账面价值的份</w:t>
      </w:r>
      <w:r>
        <w:rPr>
          <w:spacing w:val="-81"/>
        </w:rPr>
        <w:t> </w:t>
      </w:r>
      <w:r>
        <w:rPr>
          <w:spacing w:val="-81"/>
        </w:rPr>
      </w:r>
      <w:r>
        <w:rPr>
          <w:spacing w:val="-1"/>
        </w:rPr>
        <w:t>额作为长期股权投资的初始投资成本。合并方以发行权益性工具作为合并对价的，按发行股份的面值总额</w:t>
      </w:r>
      <w:r>
        <w:rPr>
          <w:spacing w:val="-81"/>
        </w:rPr>
        <w:t> </w:t>
      </w:r>
      <w:r>
        <w:rPr>
          <w:spacing w:val="-81"/>
        </w:rPr>
      </w:r>
      <w:r>
        <w:rPr>
          <w:spacing w:val="-1"/>
        </w:rPr>
        <w:t>作为股本。长期股权投资的初始投资成本与合并对价账面价值（或发行股份面值总额）的差额，应当调整</w:t>
      </w:r>
      <w:r>
        <w:rPr>
          <w:spacing w:val="-86"/>
        </w:rPr>
        <w:t> </w:t>
      </w:r>
      <w:r>
        <w:rPr>
          <w:spacing w:val="-86"/>
        </w:rPr>
      </w:r>
      <w:r>
        <w:rPr/>
        <w:t>资本公积；资本公积不足冲减的，调整留存收益。</w:t>
      </w:r>
    </w:p>
    <w:p>
      <w:pPr>
        <w:pStyle w:val="BodyText"/>
        <w:spacing w:line="408" w:lineRule="auto"/>
        <w:ind w:left="574" w:right="0"/>
        <w:jc w:val="left"/>
      </w:pPr>
      <w:r>
        <w:rPr>
          <w:rFonts w:ascii="宋体" w:hAnsi="宋体" w:cs="宋体" w:eastAsia="宋体" w:hint="default"/>
        </w:rPr>
        <w:t>2</w:t>
      </w:r>
      <w:r>
        <w:rPr/>
        <w:t>、非同一控制下的企业合并 </w:t>
      </w:r>
      <w:r>
        <w:rPr>
          <w:spacing w:val="3"/>
        </w:rPr>
        <w:t>对于非同一控制下的企业合并，合并成本为购买方在购买日为取得对被购买方的控制权而付出的资</w:t>
      </w:r>
    </w:p>
    <w:p>
      <w:pPr>
        <w:pStyle w:val="BodyText"/>
        <w:spacing w:line="408" w:lineRule="auto"/>
        <w:ind w:left="154" w:right="151"/>
        <w:jc w:val="both"/>
      </w:pPr>
      <w:r>
        <w:rPr>
          <w:spacing w:val="-1"/>
        </w:rPr>
        <w:t>产、发生或承担的负债以及发行的权益性证券的公允价值之和。非同一控制下企业合并中所取得的被购买</w:t>
      </w:r>
      <w:r>
        <w:rPr>
          <w:spacing w:val="-81"/>
        </w:rPr>
        <w:t> </w:t>
      </w:r>
      <w:r>
        <w:rPr>
          <w:spacing w:val="-81"/>
        </w:rPr>
      </w:r>
      <w:r>
        <w:rPr>
          <w:spacing w:val="-1"/>
        </w:rPr>
        <w:t>方符合确认条件的可辨认资产、负债及或有负债，在购买日以公允价值计量。购买方对合并成本大于合并</w:t>
      </w:r>
      <w:r>
        <w:rPr>
          <w:spacing w:val="-83"/>
        </w:rPr>
        <w:t> </w:t>
      </w:r>
      <w:r>
        <w:rPr>
          <w:spacing w:val="-83"/>
        </w:rPr>
      </w:r>
      <w:r>
        <w:rPr>
          <w:spacing w:val="-1"/>
        </w:rPr>
        <w:t>中取得的被购买方可辨认净资产公允价值份额的差额，体现为商誉价值。购买方对合并成本小于合并中取</w:t>
      </w:r>
      <w:r>
        <w:rPr>
          <w:spacing w:val="-81"/>
        </w:rPr>
        <w:t> </w:t>
      </w:r>
      <w:r>
        <w:rPr>
          <w:spacing w:val="-81"/>
        </w:rPr>
      </w:r>
      <w:r>
        <w:rPr>
          <w:spacing w:val="-1"/>
        </w:rPr>
        <w:t>得的被购买方可辨认净资产公允价值份额的，经复核后合并成本仍小于合并中取得的被购买方可辨认净资</w:t>
      </w:r>
      <w:r>
        <w:rPr>
          <w:spacing w:val="-81"/>
        </w:rPr>
        <w:t> </w:t>
      </w:r>
      <w:r>
        <w:rPr>
          <w:spacing w:val="-81"/>
        </w:rPr>
      </w:r>
      <w:r>
        <w:rPr/>
        <w:t>产公允价值份额的差额，计入当期营业外收入。</w:t>
      </w:r>
    </w:p>
    <w:p>
      <w:pPr>
        <w:spacing w:line="240" w:lineRule="auto" w:before="8"/>
        <w:rPr>
          <w:rFonts w:ascii="宋体" w:hAnsi="宋体" w:cs="宋体" w:eastAsia="宋体" w:hint="default"/>
          <w:sz w:val="20"/>
          <w:szCs w:val="20"/>
        </w:rPr>
      </w:pPr>
    </w:p>
    <w:p>
      <w:pPr>
        <w:pStyle w:val="Heading3"/>
        <w:spacing w:line="240" w:lineRule="auto"/>
        <w:ind w:left="154" w:right="0"/>
        <w:jc w:val="both"/>
        <w:rPr>
          <w:b w:val="0"/>
          <w:bCs w:val="0"/>
        </w:rPr>
      </w:pPr>
      <w:bookmarkStart w:name="6、合并财务报表的编制方法" w:id="128"/>
      <w:bookmarkEnd w:id="128"/>
      <w:r>
        <w:rPr>
          <w:b w:val="0"/>
          <w:bCs w:val="0"/>
        </w:rPr>
      </w: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574" w:right="0"/>
        <w:jc w:val="left"/>
      </w:pPr>
      <w:r>
        <w:rPr>
          <w:rFonts w:ascii="宋体" w:hAnsi="宋体" w:cs="宋体" w:eastAsia="宋体" w:hint="default"/>
        </w:rPr>
        <w:t>1</w:t>
      </w:r>
      <w:r>
        <w:rPr/>
        <w:t>、合并财务报表范围 </w:t>
      </w:r>
      <w:r>
        <w:rPr>
          <w:spacing w:val="-1"/>
        </w:rPr>
        <w:t>本公司将全部子公司（包括本公司所控制的单独主体）纳入合并财务报表范围，包括被本公司控制的</w:t>
      </w:r>
    </w:p>
    <w:p>
      <w:pPr>
        <w:pStyle w:val="BodyText"/>
        <w:spacing w:line="408" w:lineRule="auto"/>
        <w:ind w:left="574" w:right="0" w:hanging="420"/>
        <w:jc w:val="left"/>
      </w:pPr>
      <w:r>
        <w:rPr/>
        <w:t>企业、被投资单位中可分割的部分以及结构化主体。 </w:t>
      </w:r>
      <w:r>
        <w:rPr>
          <w:rFonts w:ascii="宋体" w:hAnsi="宋体" w:cs="宋体" w:eastAsia="宋体" w:hint="default"/>
        </w:rPr>
        <w:t>2</w:t>
      </w:r>
      <w:r>
        <w:rPr/>
        <w:t>、统一母子公司的会计政策、统一母子公司的资产负债表日及会计期间 </w:t>
      </w:r>
      <w:r>
        <w:rPr>
          <w:spacing w:val="-1"/>
        </w:rPr>
        <w:t>子公司与本公司采用的会计政策或会计期间不一致的，在编制合并财务报表时，按照本公司的会计政</w:t>
      </w:r>
    </w:p>
    <w:p>
      <w:pPr>
        <w:pStyle w:val="BodyText"/>
        <w:spacing w:line="408" w:lineRule="auto"/>
        <w:ind w:left="574" w:right="5152" w:hanging="420"/>
        <w:jc w:val="left"/>
      </w:pPr>
      <w:r>
        <w:rPr/>
        <w:t>策或会计期间对子公司财务报表进行必要的调整。 </w:t>
      </w:r>
      <w:r>
        <w:rPr>
          <w:rFonts w:ascii="宋体" w:hAnsi="宋体" w:cs="宋体" w:eastAsia="宋体" w:hint="default"/>
        </w:rPr>
        <w:t>3</w:t>
      </w:r>
      <w:r>
        <w:rPr/>
        <w:t>、合并财务报表抵销事项</w:t>
      </w:r>
    </w:p>
    <w:p>
      <w:pPr>
        <w:spacing w:after="0" w:line="40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04" w:firstLine="420"/>
        <w:jc w:val="left"/>
      </w:pPr>
      <w:r>
        <w:rPr/>
        <w:t>合并财务报表以母公司和子公司的资产负债表为基础，已抵销了母公司与子公司、子公司相互之间发 生的内部交易。子公司所有者权益中不属于母公司的份额，作为少数股东权益，在合并资产负债表中所有 </w:t>
      </w:r>
      <w:r>
        <w:rPr>
          <w:spacing w:val="-3"/>
        </w:rPr>
        <w:t>者权益项目下以“少数股东权益”项目列示。子公司持有母公司的长期股权投资，视为企业集团的库存股，</w:t>
      </w:r>
      <w:r>
        <w:rPr>
          <w:spacing w:val="-96"/>
        </w:rPr>
        <w:t> </w:t>
      </w:r>
      <w:r>
        <w:rPr>
          <w:spacing w:val="-96"/>
        </w:rPr>
      </w:r>
      <w:r>
        <w:rPr/>
        <w:t>作为所有者权益的减项，在合并资产负债表中所有者权益项目下以“减：库存股”项目列示。</w:t>
      </w:r>
    </w:p>
    <w:p>
      <w:pPr>
        <w:pStyle w:val="BodyText"/>
        <w:spacing w:line="408" w:lineRule="auto"/>
        <w:ind w:left="573" w:right="173"/>
        <w:jc w:val="left"/>
      </w:pPr>
      <w:r>
        <w:rPr>
          <w:rFonts w:ascii="宋体" w:hAnsi="宋体" w:cs="宋体" w:eastAsia="宋体" w:hint="default"/>
        </w:rPr>
        <w:t>4</w:t>
      </w:r>
      <w:r>
        <w:rPr/>
        <w:t>、合并取得子公司会计处理 对于同一控制下企业合并取得的子公司，视同该企业合并于自最终控制方开始实时控制时已经发生，</w:t>
      </w:r>
    </w:p>
    <w:p>
      <w:pPr>
        <w:pStyle w:val="BodyText"/>
        <w:spacing w:line="408" w:lineRule="auto"/>
        <w:ind w:right="21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7、合营安排分类及共同经营会计处理方法" w:id="129"/>
      <w:bookmarkEnd w:id="129"/>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573" w:right="173"/>
        <w:jc w:val="left"/>
      </w:pPr>
      <w:r>
        <w:rPr>
          <w:rFonts w:ascii="宋体" w:hAnsi="宋体" w:cs="宋体" w:eastAsia="宋体" w:hint="default"/>
        </w:rPr>
        <w:t>1</w:t>
      </w:r>
      <w:r>
        <w:rPr/>
        <w:t>、合营安排的分类 合营安排分为共同经营和合营企业。未通过单独主体达成的合营安排，划分为共同经营。单独主体，</w:t>
      </w:r>
    </w:p>
    <w:p>
      <w:pPr>
        <w:pStyle w:val="BodyText"/>
        <w:spacing w:line="408" w:lineRule="auto"/>
        <w:ind w:right="189"/>
        <w:jc w:val="both"/>
      </w:pPr>
      <w:r>
        <w:rPr/>
        <w:t>是指具有单独可辨认的财务架构的主体，包括单独的法人主体和不具备法人主体资格但法律认可的主体。 </w:t>
      </w:r>
      <w:r>
        <w:rPr>
          <w:spacing w:val="-1"/>
        </w:rPr>
        <w:t>通过单独主体达成的合营安排，通常划分为合营企业。相关事实和情况变化导致合营方在合营安排中享有</w:t>
      </w:r>
      <w:r>
        <w:rPr>
          <w:spacing w:val="-81"/>
        </w:rPr>
        <w:t> </w:t>
      </w:r>
      <w:r>
        <w:rPr>
          <w:spacing w:val="-81"/>
        </w:rPr>
      </w:r>
      <w:r>
        <w:rPr/>
        <w:t>的权利和承担的义务发生变化的，合营方对合营安排的分类进行重新评估。</w:t>
      </w:r>
    </w:p>
    <w:p>
      <w:pPr>
        <w:pStyle w:val="BodyText"/>
        <w:spacing w:line="408" w:lineRule="auto"/>
        <w:ind w:left="573" w:right="104"/>
        <w:jc w:val="left"/>
      </w:pPr>
      <w:r>
        <w:rPr>
          <w:rFonts w:ascii="宋体" w:hAnsi="宋体" w:cs="宋体" w:eastAsia="宋体" w:hint="default"/>
        </w:rPr>
        <w:t>2</w:t>
      </w:r>
      <w:r>
        <w:rPr/>
        <w:t>、共同经营的会计处理 </w:t>
      </w:r>
      <w:r>
        <w:rPr>
          <w:spacing w:val="-1"/>
        </w:rPr>
        <w:t>共同经营参与方应当确认其与共同经营中利益份额相关的下列项目，并按照相关企业会计准则的规定</w:t>
      </w:r>
    </w:p>
    <w:p>
      <w:pPr>
        <w:pStyle w:val="BodyText"/>
        <w:spacing w:line="408" w:lineRule="auto"/>
        <w:ind w:right="210"/>
        <w:jc w:val="both"/>
      </w:pPr>
      <w:r>
        <w:rPr>
          <w:spacing w:val="-1"/>
        </w:rPr>
        <w:t>进行会计处理：确认单独所持有的资产或负债，以及按其份额确认共同持有的资产或负债；确认出售其享</w:t>
      </w:r>
      <w:r>
        <w:rPr>
          <w:spacing w:val="-83"/>
        </w:rPr>
        <w:t> </w:t>
      </w:r>
      <w:r>
        <w:rPr>
          <w:spacing w:val="-83"/>
        </w:rPr>
      </w:r>
      <w:r>
        <w:rPr>
          <w:spacing w:val="-1"/>
        </w:rPr>
        <w:t>有的共同经营产出份额所产生的收入；按其份额确认共同经营因出售产出所产生的收入；确认单独所发生</w:t>
      </w:r>
      <w:r>
        <w:rPr>
          <w:spacing w:val="-80"/>
        </w:rPr>
        <w:t> </w:t>
      </w:r>
      <w:r>
        <w:rPr>
          <w:spacing w:val="-80"/>
        </w:rPr>
      </w:r>
      <w:r>
        <w:rPr/>
        <w:t>的费用，以及按其份额确认共同经营发生的费用。</w:t>
      </w:r>
    </w:p>
    <w:p>
      <w:pPr>
        <w:pStyle w:val="BodyText"/>
        <w:spacing w:line="408" w:lineRule="auto"/>
        <w:ind w:right="173" w:firstLine="420"/>
        <w:jc w:val="left"/>
      </w:pPr>
      <w:r>
        <w:rPr/>
        <w:t>对共同经营不享有共同控制的参与方，如果享有该共同经营相关资产且承担该共同经营相关负债的， 参照共同经营参与方的规定进行会计处理；否则，应当按照相关企业会计准则的规定进行会计处理。</w:t>
      </w:r>
    </w:p>
    <w:p>
      <w:pPr>
        <w:pStyle w:val="BodyText"/>
        <w:spacing w:line="408" w:lineRule="auto"/>
        <w:ind w:left="573" w:right="104"/>
        <w:jc w:val="left"/>
      </w:pPr>
      <w:r>
        <w:rPr>
          <w:rFonts w:ascii="宋体" w:hAnsi="宋体" w:cs="宋体" w:eastAsia="宋体" w:hint="default"/>
        </w:rPr>
        <w:t>3</w:t>
      </w:r>
      <w:r>
        <w:rPr/>
        <w:t>、合营企业的会计处理 合营企业参与方应当按照《企业会计准则第</w:t>
      </w:r>
      <w:r>
        <w:rPr>
          <w:rFonts w:ascii="宋体" w:hAnsi="宋体" w:cs="宋体" w:eastAsia="宋体" w:hint="default"/>
        </w:rPr>
        <w:t>2</w:t>
      </w:r>
      <w:r>
        <w:rPr/>
        <w:t>号—长期股权投资》的规定对合营企业的投资进行会计</w:t>
      </w:r>
    </w:p>
    <w:p>
      <w:pPr>
        <w:spacing w:line="604" w:lineRule="auto" w:before="46"/>
        <w:ind w:left="153" w:right="2063" w:firstLine="0"/>
        <w:jc w:val="left"/>
        <w:rPr>
          <w:rFonts w:ascii="宋体" w:hAnsi="宋体" w:cs="宋体" w:eastAsia="宋体" w:hint="default"/>
          <w:sz w:val="21"/>
          <w:szCs w:val="21"/>
        </w:rPr>
      </w:pPr>
      <w:r>
        <w:rPr>
          <w:rFonts w:ascii="宋体" w:hAnsi="宋体" w:cs="宋体" w:eastAsia="宋体" w:hint="default"/>
          <w:sz w:val="21"/>
          <w:szCs w:val="21"/>
        </w:rPr>
        <w:t>处理，不享有共同控制的参与方应当根据其对该合营企业的影响程度进行会计处理。 </w:t>
      </w:r>
      <w:bookmarkStart w:name="8、现金及现金等价物的确定标准" w:id="130"/>
      <w:bookmarkEnd w:id="130"/>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408" w:lineRule="auto" w:before="96"/>
        <w:ind w:right="104" w:firstLine="420"/>
        <w:jc w:val="left"/>
      </w:pPr>
      <w:r>
        <w:rPr>
          <w:spacing w:val="-1"/>
        </w:rPr>
        <w:t>本公司在编制现金流量表时所确定的现金，是指本公司库存现金以及可以随时用于支付的存款。在编</w:t>
      </w:r>
      <w:r>
        <w:rPr/>
        <w:t> </w:t>
      </w:r>
      <w:r>
        <w:rPr>
          <w:spacing w:val="-1"/>
        </w:rPr>
        <w:t>制现金流量表时所确定的现金等价物，是指持有的期限短、流动性强、易于转换为已知金额现金、价值变</w:t>
      </w:r>
    </w:p>
    <w:p>
      <w:pPr>
        <w:spacing w:after="0" w:line="408"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604" w:lineRule="auto" w:before="174"/>
        <w:ind w:left="153" w:right="7197" w:firstLine="0"/>
        <w:jc w:val="left"/>
        <w:rPr>
          <w:rFonts w:ascii="宋体" w:hAnsi="宋体" w:cs="宋体" w:eastAsia="宋体" w:hint="default"/>
          <w:sz w:val="21"/>
          <w:szCs w:val="21"/>
        </w:rPr>
      </w:pPr>
      <w:r>
        <w:rPr>
          <w:rFonts w:ascii="宋体" w:hAnsi="宋体" w:cs="宋体" w:eastAsia="宋体" w:hint="default"/>
          <w:sz w:val="21"/>
          <w:szCs w:val="21"/>
        </w:rPr>
        <w:t>动风险很小的投资。 </w:t>
      </w:r>
      <w:bookmarkStart w:name="9、外币业务和外币报表折算" w:id="131"/>
      <w:bookmarkEnd w:id="131"/>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408" w:lineRule="auto" w:before="96"/>
        <w:ind w:left="573" w:right="104"/>
        <w:jc w:val="left"/>
      </w:pPr>
      <w:r>
        <w:rPr>
          <w:rFonts w:ascii="宋体" w:hAnsi="宋体" w:cs="宋体" w:eastAsia="宋体" w:hint="default"/>
        </w:rPr>
        <w:t>1</w:t>
      </w:r>
      <w:r>
        <w:rPr/>
        <w:t>、外币业务折算 </w:t>
      </w:r>
      <w:r>
        <w:rPr>
          <w:spacing w:val="-1"/>
        </w:rPr>
        <w:t>本公司对发生的外币交易，采用与交易发生日折合本位币入账。资产负债表日外币货币性项目按资产</w:t>
      </w:r>
    </w:p>
    <w:p>
      <w:pPr>
        <w:pStyle w:val="BodyText"/>
        <w:spacing w:line="408" w:lineRule="auto"/>
        <w:ind w:right="190"/>
        <w:jc w:val="both"/>
      </w:pPr>
      <w:r>
        <w:rPr>
          <w:spacing w:val="-1"/>
        </w:rPr>
        <w:t>负债表日即期汇率折算，因该日的即期汇率与初始确认时或者前一资产负债表日即期汇率不同而产生的汇</w:t>
      </w:r>
      <w:r>
        <w:rPr>
          <w:spacing w:val="-81"/>
        </w:rPr>
        <w:t> </w:t>
      </w:r>
      <w:r>
        <w:rPr>
          <w:spacing w:val="-81"/>
        </w:rPr>
      </w:r>
      <w:r>
        <w:rPr/>
        <w:t>兑差额，除符合资本化条件的外币专门借款的汇兑差额在资本化期间予以资本化计入相关资产的成本外， </w:t>
      </w:r>
      <w:r>
        <w:rPr>
          <w:spacing w:val="-1"/>
        </w:rPr>
        <w:t>均计入当期损益。以历史成本计量的外币非货币性项目，仍采用交易发生日的即期汇率折算，不改变其记</w:t>
      </w:r>
      <w:r>
        <w:rPr>
          <w:spacing w:val="-83"/>
        </w:rPr>
        <w:t> </w:t>
      </w:r>
      <w:r>
        <w:rPr>
          <w:spacing w:val="-83"/>
        </w:rPr>
      </w:r>
      <w:r>
        <w:rPr>
          <w:spacing w:val="-1"/>
        </w:rPr>
        <w:t>账本位币金额。以公允价值计量的外币非货币性项目，采用公允价值确定日的即期汇率折算，折算后的记</w:t>
      </w:r>
      <w:r>
        <w:rPr>
          <w:spacing w:val="-83"/>
        </w:rPr>
        <w:t> </w:t>
      </w:r>
      <w:r>
        <w:rPr>
          <w:spacing w:val="-83"/>
        </w:rPr>
      </w:r>
      <w:r>
        <w:rPr>
          <w:spacing w:val="-1"/>
        </w:rPr>
        <w:t>账本位币金额与原记账本位币金额的差额，作为公允价值变动</w:t>
      </w:r>
      <w:r>
        <w:rPr>
          <w:rFonts w:ascii="宋体" w:hAnsi="宋体" w:cs="宋体" w:eastAsia="宋体" w:hint="default"/>
          <w:spacing w:val="-1"/>
        </w:rPr>
        <w:t>(</w:t>
      </w:r>
      <w:r>
        <w:rPr>
          <w:spacing w:val="-1"/>
        </w:rPr>
        <w:t>含汇率变动</w:t>
      </w:r>
      <w:r>
        <w:rPr>
          <w:rFonts w:ascii="宋体" w:hAnsi="宋体" w:cs="宋体" w:eastAsia="宋体" w:hint="default"/>
          <w:spacing w:val="-1"/>
        </w:rPr>
        <w:t>)</w:t>
      </w:r>
      <w:r>
        <w:rPr>
          <w:spacing w:val="-1"/>
        </w:rPr>
        <w:t>处理，计入当期损益或确认为</w:t>
      </w:r>
      <w:r>
        <w:rPr>
          <w:spacing w:val="-83"/>
        </w:rPr>
        <w:t> </w:t>
      </w:r>
      <w:r>
        <w:rPr>
          <w:spacing w:val="-83"/>
        </w:rPr>
      </w:r>
      <w:r>
        <w:rPr/>
        <w:t>其他综合收益并计入资本公积。</w:t>
      </w:r>
    </w:p>
    <w:p>
      <w:pPr>
        <w:pStyle w:val="BodyText"/>
        <w:spacing w:line="408" w:lineRule="auto"/>
        <w:ind w:left="573" w:right="104"/>
        <w:jc w:val="left"/>
      </w:pPr>
      <w:r>
        <w:rPr>
          <w:rFonts w:ascii="宋体" w:hAnsi="宋体" w:cs="宋体" w:eastAsia="宋体" w:hint="default"/>
        </w:rPr>
        <w:t>2</w:t>
      </w:r>
      <w:r>
        <w:rPr/>
        <w:t>、外币财务报表折算 </w:t>
      </w:r>
      <w:r>
        <w:rPr>
          <w:spacing w:val="-1"/>
        </w:rPr>
        <w:t>本公司的控股子公司、合营企业、联营企业等，若采用与本公司不同的记账本位币，需对其外币财务</w:t>
      </w:r>
    </w:p>
    <w:p>
      <w:pPr>
        <w:pStyle w:val="BodyText"/>
        <w:spacing w:line="408" w:lineRule="auto"/>
        <w:ind w:right="211"/>
        <w:jc w:val="both"/>
      </w:pPr>
      <w:r>
        <w:rPr>
          <w:spacing w:val="-1"/>
        </w:rPr>
        <w:t>报表折算后，再进行会计核算及合并财务报表的编报。资产负债表中的资产和负债项目，采用资产负债表</w:t>
      </w:r>
      <w:r>
        <w:rPr>
          <w:spacing w:val="-83"/>
        </w:rPr>
        <w:t> </w:t>
      </w:r>
      <w:r>
        <w:rPr>
          <w:spacing w:val="-83"/>
        </w:rPr>
      </w:r>
      <w:r>
        <w:rPr>
          <w:spacing w:val="-1"/>
        </w:rPr>
        <w:t>日的即期汇率折算，所有者权益项目除“未分配利润”项目外，其他项目采用发生时的即期汇率折算。利</w:t>
      </w:r>
      <w:r>
        <w:rPr>
          <w:spacing w:val="-83"/>
        </w:rPr>
        <w:t> </w:t>
      </w:r>
      <w:r>
        <w:rPr>
          <w:spacing w:val="-83"/>
        </w:rPr>
      </w:r>
      <w:r>
        <w:rPr>
          <w:spacing w:val="-1"/>
        </w:rPr>
        <w:t>润表中的收入和费用项目，采用交易发生日的即期汇率折算。折算产生的外币财务报表折算差额，在资产</w:t>
      </w:r>
      <w:r>
        <w:rPr>
          <w:spacing w:val="-83"/>
        </w:rPr>
        <w:t> </w:t>
      </w:r>
      <w:r>
        <w:rPr>
          <w:spacing w:val="-83"/>
        </w:rPr>
      </w:r>
      <w:r>
        <w:rPr>
          <w:spacing w:val="-1"/>
        </w:rPr>
        <w:t>负债表中所有者权益项目其他综合收益下列示。外币现金流量按照系统合理方法确定的，采用交易发生日</w:t>
      </w:r>
      <w:r>
        <w:rPr>
          <w:spacing w:val="-81"/>
        </w:rPr>
        <w:t> </w:t>
      </w:r>
      <w:r>
        <w:rPr>
          <w:spacing w:val="-81"/>
        </w:rPr>
      </w:r>
      <w:r>
        <w:rPr>
          <w:spacing w:val="-1"/>
        </w:rPr>
        <w:t>的即期汇率折算。汇率变动对现金的影响额，在现金流量表中单独列示。处置境外经营时，与该境外经营</w:t>
      </w:r>
      <w:r>
        <w:rPr>
          <w:spacing w:val="-86"/>
        </w:rPr>
        <w:t> </w:t>
      </w:r>
      <w:r>
        <w:rPr>
          <w:spacing w:val="-86"/>
        </w:rPr>
      </w:r>
      <w:r>
        <w:rPr/>
        <w:t>有关的外币报表折算差额，全部或按处置该境外经营的比例转入处置当期损益。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0"/>
        <w:jc w:val="both"/>
        <w:rPr>
          <w:b w:val="0"/>
          <w:bCs w:val="0"/>
        </w:rPr>
      </w:pPr>
      <w:bookmarkStart w:name="10、金融工具" w:id="132"/>
      <w:bookmarkEnd w:id="132"/>
      <w:r>
        <w:rPr>
          <w:b w:val="0"/>
          <w:bCs w:val="0"/>
        </w:rPr>
      </w: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573" w:right="104"/>
        <w:jc w:val="left"/>
      </w:pPr>
      <w:r>
        <w:rPr>
          <w:rFonts w:ascii="宋体" w:hAnsi="宋体" w:cs="宋体" w:eastAsia="宋体" w:hint="default"/>
        </w:rPr>
        <w:t>1</w:t>
      </w:r>
      <w:r>
        <w:rPr/>
        <w:t>、金融工具的分类及确认 </w:t>
      </w:r>
      <w:r>
        <w:rPr>
          <w:spacing w:val="-1"/>
        </w:rPr>
        <w:t>金融工具划分为金融资产或金融负债。本公司成为金融工具合同的一方时，确认为一项金融资产或金</w:t>
      </w:r>
    </w:p>
    <w:p>
      <w:pPr>
        <w:pStyle w:val="BodyText"/>
        <w:spacing w:line="240" w:lineRule="auto"/>
        <w:ind w:right="0"/>
        <w:jc w:val="both"/>
      </w:pPr>
      <w:r>
        <w:rPr/>
        <w:t>融负债。</w:t>
      </w:r>
    </w:p>
    <w:p>
      <w:pPr>
        <w:spacing w:line="240" w:lineRule="auto" w:before="10"/>
        <w:rPr>
          <w:rFonts w:ascii="宋体" w:hAnsi="宋体" w:cs="宋体" w:eastAsia="宋体" w:hint="default"/>
          <w:sz w:val="14"/>
          <w:szCs w:val="14"/>
        </w:rPr>
      </w:pPr>
    </w:p>
    <w:p>
      <w:pPr>
        <w:pStyle w:val="BodyText"/>
        <w:spacing w:line="408" w:lineRule="auto" w:before="0"/>
        <w:ind w:right="98" w:firstLine="420"/>
        <w:jc w:val="left"/>
      </w:pPr>
      <w:r>
        <w:rPr>
          <w:spacing w:val="-3"/>
        </w:rPr>
        <w:t>金融资产于初始确认时分类为：以公允价值计量且其变动计入当期损益的金融资产、持有至到期投资、</w:t>
      </w:r>
      <w:r>
        <w:rPr/>
        <w:t>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BodyText"/>
        <w:spacing w:line="240" w:lineRule="auto"/>
        <w:ind w:left="573" w:right="104"/>
        <w:jc w:val="left"/>
      </w:pPr>
      <w:r>
        <w:rPr/>
        <w:t>以公允价值计量且其变动计入当期损益的金融资产包括持有目的为短期内出售的金融资产；应收款项</w:t>
      </w:r>
    </w:p>
    <w:p>
      <w:pPr>
        <w:spacing w:after="0" w:line="240" w:lineRule="auto"/>
        <w:jc w:val="left"/>
        <w:sectPr>
          <w:footerReference w:type="default" r:id="rId23"/>
          <w:pgSz w:w="11910" w:h="16840"/>
          <w:pgMar w:footer="979" w:header="747" w:top="1060" w:bottom="1160" w:left="980" w:right="920"/>
          <w:pgNumType w:start="90"/>
        </w:sectPr>
      </w:pPr>
    </w:p>
    <w:p>
      <w:pPr>
        <w:spacing w:line="240" w:lineRule="auto" w:before="0"/>
        <w:rPr>
          <w:rFonts w:ascii="宋体" w:hAnsi="宋体" w:cs="宋体" w:eastAsia="宋体" w:hint="default"/>
          <w:sz w:val="20"/>
          <w:szCs w:val="20"/>
        </w:rPr>
      </w:pPr>
    </w:p>
    <w:p>
      <w:pPr>
        <w:pStyle w:val="BodyText"/>
        <w:spacing w:line="408" w:lineRule="auto" w:before="174"/>
        <w:ind w:right="211"/>
        <w:jc w:val="both"/>
      </w:pPr>
      <w:r>
        <w:rPr>
          <w:spacing w:val="-1"/>
        </w:rPr>
        <w:t>是指在活跃市场中没有报价、回收金额固定或可确定的非衍生金融资产；可供出售金融资产包括初始确认</w:t>
      </w:r>
      <w:r>
        <w:rPr>
          <w:spacing w:val="-81"/>
        </w:rPr>
        <w:t> </w:t>
      </w:r>
      <w:r>
        <w:rPr>
          <w:spacing w:val="-81"/>
        </w:rPr>
      </w:r>
      <w:r>
        <w:rPr>
          <w:spacing w:val="-1"/>
        </w:rPr>
        <w:t>时即被指定为可供出售的非衍生金融资产及未被划分为其他类的金融资产；持有至到期投资是指到期日固</w:t>
      </w:r>
      <w:r>
        <w:rPr>
          <w:spacing w:val="-81"/>
        </w:rPr>
        <w:t> </w:t>
      </w:r>
      <w:r>
        <w:rPr>
          <w:spacing w:val="-81"/>
        </w:rPr>
      </w:r>
      <w:r>
        <w:rPr/>
        <w:t>定、回收金额固定或可确定，且管理层有明确意图和能力持有至到期的非衍生金融资产。</w:t>
      </w:r>
    </w:p>
    <w:p>
      <w:pPr>
        <w:pStyle w:val="BodyText"/>
        <w:spacing w:line="408" w:lineRule="auto"/>
        <w:ind w:left="573" w:right="104"/>
        <w:jc w:val="left"/>
      </w:pPr>
      <w:r>
        <w:rPr>
          <w:rFonts w:ascii="宋体" w:hAnsi="宋体" w:cs="宋体" w:eastAsia="宋体" w:hint="default"/>
        </w:rPr>
        <w:t>2</w:t>
      </w:r>
      <w:r>
        <w:rPr/>
        <w:t>、金融工具的计量 </w:t>
      </w:r>
      <w:r>
        <w:rPr>
          <w:spacing w:val="-1"/>
        </w:rPr>
        <w:t>本公司金融资产或金融负债初始确认按公允价值计量。后续计量分类为：以公允价值计量且其变动计</w:t>
      </w:r>
    </w:p>
    <w:p>
      <w:pPr>
        <w:pStyle w:val="BodyText"/>
        <w:spacing w:line="408" w:lineRule="auto"/>
        <w:ind w:right="211"/>
        <w:jc w:val="both"/>
      </w:pPr>
      <w:r>
        <w:rPr>
          <w:spacing w:val="-1"/>
        </w:rPr>
        <w:t>入当期损益的金融资产、可供出售金融资产及以公允价值计量且其变动计入当期损益的金融负债按公允价</w:t>
      </w:r>
      <w:r>
        <w:rPr>
          <w:spacing w:val="-81"/>
        </w:rPr>
        <w:t> </w:t>
      </w:r>
      <w:r>
        <w:rPr>
          <w:spacing w:val="-81"/>
        </w:rPr>
      </w:r>
      <w:r>
        <w:rPr>
          <w:spacing w:val="-1"/>
        </w:rPr>
        <w:t>值计量；持有到期投资、贷款和应收款项以及其他金融负债按摊余成本计量；在活跃市场中没有报价且其</w:t>
      </w:r>
      <w:r>
        <w:rPr>
          <w:spacing w:val="-83"/>
        </w:rPr>
        <w:t> </w:t>
      </w:r>
      <w:r>
        <w:rPr>
          <w:spacing w:val="-83"/>
        </w:rPr>
      </w:r>
      <w:r>
        <w:rPr>
          <w:spacing w:val="-1"/>
        </w:rPr>
        <w:t>公允价值不能可靠计量的权益工具投资，以及与该权益工具挂钩并须通过交付该权益工具结算的衍生金融</w:t>
      </w:r>
      <w:r>
        <w:rPr>
          <w:spacing w:val="-81"/>
        </w:rPr>
        <w:t> </w:t>
      </w:r>
      <w:r>
        <w:rPr>
          <w:spacing w:val="-81"/>
        </w:rPr>
      </w:r>
      <w:r>
        <w:rPr>
          <w:spacing w:val="-1"/>
        </w:rPr>
        <w:t>资产或者衍生金融负债，按照成本计量。本公司金融资产或金融负债后续计量中公允价值变动形成的利得</w:t>
      </w:r>
      <w:r>
        <w:rPr>
          <w:spacing w:val="-81"/>
        </w:rPr>
        <w:t> </w:t>
      </w:r>
      <w:r>
        <w:rPr>
          <w:spacing w:val="-81"/>
        </w:rPr>
      </w:r>
      <w:r>
        <w:rPr>
          <w:spacing w:val="-1"/>
        </w:rPr>
        <w:t>或损失，除与套期保值有关外，按照如下方法处理：①以公允价值计量且其变动计入当期损益的金融资产</w:t>
      </w:r>
      <w:r>
        <w:rPr>
          <w:spacing w:val="-83"/>
        </w:rPr>
        <w:t> </w:t>
      </w:r>
      <w:r>
        <w:rPr>
          <w:spacing w:val="-83"/>
        </w:rPr>
      </w:r>
      <w:r>
        <w:rPr>
          <w:spacing w:val="-1"/>
        </w:rPr>
        <w:t>或金融负债公允价值变动形成的利得或损失，计入公允价值变动损益。②可供出售金融资产的公允价值变</w:t>
      </w:r>
      <w:r>
        <w:rPr>
          <w:spacing w:val="-81"/>
        </w:rPr>
        <w:t> </w:t>
      </w:r>
      <w:r>
        <w:rPr>
          <w:spacing w:val="-81"/>
        </w:rPr>
      </w:r>
      <w:r>
        <w:rPr/>
        <w:t>动计入其他综合收益。</w:t>
      </w:r>
    </w:p>
    <w:p>
      <w:pPr>
        <w:pStyle w:val="BodyText"/>
        <w:spacing w:line="408" w:lineRule="auto"/>
        <w:ind w:left="573" w:right="173"/>
        <w:jc w:val="left"/>
      </w:pPr>
      <w:r>
        <w:rPr>
          <w:rFonts w:ascii="宋体" w:hAnsi="宋体" w:cs="宋体" w:eastAsia="宋体" w:hint="default"/>
        </w:rPr>
        <w:t>3</w:t>
      </w:r>
      <w:r>
        <w:rPr/>
        <w:t>、本公司对金融资产和金融负债的公允价值的确认方法 如存在活跃市场的金融工具，以活跃市场中的报价确定其公允价值；如不存在活跃市场的金融工具，</w:t>
      </w:r>
    </w:p>
    <w:p>
      <w:pPr>
        <w:pStyle w:val="BodyText"/>
        <w:spacing w:line="408" w:lineRule="auto"/>
        <w:ind w:left="573" w:right="104" w:hanging="420"/>
        <w:jc w:val="left"/>
      </w:pPr>
      <w:r>
        <w:rPr/>
        <w:t>采用估值技术确定其公允价值。估值技术主要包括市场法、收益法和成本法。 </w:t>
      </w:r>
      <w:r>
        <w:rPr>
          <w:rFonts w:ascii="宋体" w:hAnsi="宋体" w:cs="宋体" w:eastAsia="宋体" w:hint="default"/>
        </w:rPr>
        <w:t>4</w:t>
      </w:r>
      <w:r>
        <w:rPr/>
        <w:t>、金融资产负债转移的确认依据和计量方法 </w:t>
      </w:r>
      <w:r>
        <w:rPr>
          <w:spacing w:val="-1"/>
        </w:rPr>
        <w:t>金融资产所有权上几乎所有的风险和报酬转移时，或既没有转移也没有保留金融资产所有权上几乎所</w:t>
      </w:r>
    </w:p>
    <w:p>
      <w:pPr>
        <w:pStyle w:val="BodyText"/>
        <w:spacing w:line="408" w:lineRule="auto"/>
        <w:ind w:right="104"/>
        <w:jc w:val="left"/>
      </w:pPr>
      <w:r>
        <w:rPr/>
        <w:t>有的风险和报酬，但放弃了对该金融资产控制的，应当终止确认该项金融资产。金融资产满足终止确认条 件的，将所转移金融资产的账面价值与因转移而收到的对价和原直接计入其他综合收益的公允价值变动累 </w:t>
      </w:r>
      <w:r>
        <w:rPr>
          <w:spacing w:val="-3"/>
        </w:rPr>
        <w:t>计额之和的差额部分，计入当期损益。部分转移满足终止确认条件的，将所转移金融资产整体的账面价值，</w:t>
      </w:r>
      <w:r>
        <w:rPr>
          <w:spacing w:val="-90"/>
        </w:rPr>
        <w:t> </w:t>
      </w:r>
      <w:r>
        <w:rPr>
          <w:spacing w:val="-90"/>
        </w:rPr>
      </w:r>
      <w:r>
        <w:rPr/>
        <w:t>在终止确认部分和未终止确认部分之间，按照各自的相对公允价值进行分摊。</w:t>
      </w:r>
    </w:p>
    <w:p>
      <w:pPr>
        <w:pStyle w:val="BodyText"/>
        <w:spacing w:line="408" w:lineRule="auto"/>
        <w:ind w:left="573" w:right="173"/>
        <w:jc w:val="left"/>
      </w:pPr>
      <w:r>
        <w:rPr/>
        <w:t>金融负债的现时义务全部或部分已经解除的，则应终止确认该金融负债或其一部分。 </w:t>
      </w:r>
      <w:r>
        <w:rPr>
          <w:rFonts w:ascii="宋体" w:hAnsi="宋体" w:cs="宋体" w:eastAsia="宋体" w:hint="default"/>
        </w:rPr>
        <w:t>5</w:t>
      </w:r>
      <w:r>
        <w:rPr/>
        <w:t>、金融资产减值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p>
    <w:p>
      <w:pPr>
        <w:pStyle w:val="BodyText"/>
        <w:spacing w:line="408" w:lineRule="auto"/>
        <w:ind w:right="211"/>
        <w:jc w:val="both"/>
      </w:pP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408" w:lineRule="auto"/>
        <w:ind w:right="104" w:firstLine="420"/>
        <w:jc w:val="left"/>
      </w:pPr>
      <w:r>
        <w:rPr>
          <w:spacing w:val="-1"/>
        </w:rPr>
        <w:t>以成本计量的金融资产发生减值时，按账面价值与按照类似金融资产当时市场收益率对未来现金流量</w:t>
      </w:r>
      <w:r>
        <w:rPr/>
        <w:t> 折现确定的现值之间的差额，计提减值准备。发生的减值损失，一经确认，不再转回。</w:t>
      </w:r>
    </w:p>
    <w:p>
      <w:pPr>
        <w:pStyle w:val="BodyText"/>
        <w:spacing w:line="408" w:lineRule="auto"/>
        <w:ind w:right="104" w:firstLine="420"/>
        <w:jc w:val="left"/>
      </w:pPr>
      <w:r>
        <w:rPr>
          <w:spacing w:val="-1"/>
        </w:rPr>
        <w:t>当有客观证据表明可供出售金融资产发生减值时，原直接计入股东权益的因公允价值下降形成的累计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p>
    <w:p>
      <w:pPr>
        <w:spacing w:after="0" w:line="408"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pStyle w:val="BodyText"/>
        <w:spacing w:line="408" w:lineRule="auto"/>
        <w:ind w:right="0" w:firstLine="420"/>
        <w:jc w:val="left"/>
      </w:pPr>
      <w:r>
        <w:rPr>
          <w:spacing w:val="-1"/>
        </w:rPr>
        <w:t>对于权益工具投资，本公司判断其公允价值发生“严重”或“非暂时性”下跌的具体量化标准、成本</w:t>
      </w:r>
      <w:r>
        <w:rPr/>
        <w:t> 的计算方法、期末公允价值的确定方法，以及持续下跌期间的确定依据为：</w:t>
      </w:r>
    </w:p>
    <w:tbl>
      <w:tblPr>
        <w:tblW w:w="0" w:type="auto"/>
        <w:jc w:val="left"/>
        <w:tblInd w:w="146" w:type="dxa"/>
        <w:tblLayout w:type="fixed"/>
        <w:tblCellMar>
          <w:top w:w="0" w:type="dxa"/>
          <w:left w:w="0" w:type="dxa"/>
          <w:bottom w:w="0" w:type="dxa"/>
          <w:right w:w="0" w:type="dxa"/>
        </w:tblCellMar>
        <w:tblLook w:val="01E0"/>
      </w:tblPr>
      <w:tblGrid>
        <w:gridCol w:w="3687"/>
        <w:gridCol w:w="5035"/>
      </w:tblGrid>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z w:val="18"/>
                <w:szCs w:val="18"/>
              </w:rPr>
              <w:t>50%</w:t>
            </w:r>
            <w:r>
              <w:rPr>
                <w:rFonts w:ascii="宋体" w:hAnsi="宋体" w:cs="宋体" w:eastAsia="宋体" w:hint="default"/>
                <w:sz w:val="18"/>
                <w:szCs w:val="18"/>
              </w:rPr>
              <w:t>。</w:t>
            </w:r>
          </w:p>
        </w:tc>
      </w:tr>
      <w:tr>
        <w:trPr>
          <w:trHeight w:val="659"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67"/>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 准</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z w:val="18"/>
                <w:szCs w:val="18"/>
              </w:rPr>
              <w:t>12</w:t>
            </w:r>
            <w:r>
              <w:rPr>
                <w:rFonts w:ascii="宋体" w:hAnsi="宋体" w:cs="宋体" w:eastAsia="宋体" w:hint="default"/>
                <w:sz w:val="18"/>
                <w:szCs w:val="18"/>
              </w:rPr>
              <w:t>个月出现下跌。</w:t>
            </w:r>
          </w:p>
        </w:tc>
      </w:tr>
      <w:tr>
        <w:trPr>
          <w:trHeight w:val="971"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2"/>
              <w:jc w:val="left"/>
              <w:rPr>
                <w:rFonts w:ascii="宋体" w:hAnsi="宋体" w:cs="宋体" w:eastAsia="宋体" w:hint="default"/>
                <w:sz w:val="18"/>
                <w:szCs w:val="18"/>
              </w:rPr>
            </w:pPr>
            <w:r>
              <w:rPr>
                <w:rFonts w:ascii="宋体" w:hAnsi="宋体" w:cs="宋体" w:eastAsia="宋体" w:hint="default"/>
                <w:spacing w:val="-1"/>
                <w:sz w:val="18"/>
                <w:szCs w:val="18"/>
              </w:rPr>
              <w:t>取得时按支付对价（扣除已宣告但尚未发放的现金股利或已到付</w:t>
            </w:r>
            <w:r>
              <w:rPr>
                <w:rFonts w:ascii="宋体" w:hAnsi="宋体" w:cs="宋体" w:eastAsia="宋体" w:hint="default"/>
                <w:sz w:val="18"/>
                <w:szCs w:val="18"/>
              </w:rPr>
              <w:t> 息期但尚未领取的债券利息）和相关交易费用之和作为投资成 本。</w:t>
            </w:r>
          </w:p>
        </w:tc>
      </w:tr>
      <w:tr>
        <w:trPr>
          <w:trHeight w:val="972"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2"/>
              <w:jc w:val="left"/>
              <w:rPr>
                <w:rFonts w:ascii="宋体" w:hAnsi="宋体" w:cs="宋体" w:eastAsia="宋体" w:hint="default"/>
                <w:sz w:val="18"/>
                <w:szCs w:val="18"/>
              </w:rPr>
            </w:pPr>
            <w:r>
              <w:rPr>
                <w:rFonts w:ascii="宋体" w:hAnsi="宋体" w:cs="宋体" w:eastAsia="宋体" w:hint="default"/>
                <w:sz w:val="18"/>
                <w:szCs w:val="18"/>
              </w:rPr>
              <w:t>存在活跃市场的金融工具，以活跃市场中的报价确定其公允价 </w:t>
            </w:r>
            <w:r>
              <w:rPr>
                <w:rFonts w:ascii="宋体" w:hAnsi="宋体" w:cs="宋体" w:eastAsia="宋体" w:hint="default"/>
                <w:spacing w:val="-1"/>
                <w:sz w:val="18"/>
                <w:szCs w:val="18"/>
              </w:rPr>
              <w:t>值；如不存在活跃市场的金融工具，采用估值技术确定其公允价</w:t>
            </w:r>
            <w:r>
              <w:rPr>
                <w:rFonts w:ascii="宋体" w:hAnsi="宋体" w:cs="宋体" w:eastAsia="宋体" w:hint="default"/>
                <w:sz w:val="18"/>
                <w:szCs w:val="18"/>
              </w:rPr>
              <w:t> 值。</w:t>
            </w:r>
          </w:p>
        </w:tc>
      </w:tr>
      <w:tr>
        <w:trPr>
          <w:trHeight w:val="659"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0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
              <w:ind w:left="2" w:right="65"/>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z w:val="18"/>
                <w:szCs w:val="18"/>
              </w:rPr>
              <w:t>20%</w:t>
            </w:r>
            <w:r>
              <w:rPr>
                <w:rFonts w:ascii="宋体" w:hAnsi="宋体" w:cs="宋体" w:eastAsia="宋体" w:hint="default"/>
                <w:sz w:val="18"/>
                <w:szCs w:val="18"/>
              </w:rPr>
              <w:t>，反弹持 续时间未超过</w:t>
            </w:r>
            <w:r>
              <w:rPr>
                <w:rFonts w:ascii="宋体" w:hAnsi="宋体" w:cs="宋体" w:eastAsia="宋体" w:hint="default"/>
                <w:sz w:val="18"/>
                <w:szCs w:val="18"/>
              </w:rPr>
              <w:t>6</w:t>
            </w:r>
            <w:r>
              <w:rPr>
                <w:rFonts w:ascii="宋体" w:hAnsi="宋体" w:cs="宋体" w:eastAsia="宋体" w:hint="default"/>
                <w:sz w:val="18"/>
                <w:szCs w:val="18"/>
              </w:rPr>
              <w:t>个月的均作为持续下跌期间。</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40" w:lineRule="auto" w:before="35"/>
        <w:ind w:left="154" w:right="0"/>
        <w:jc w:val="left"/>
        <w:rPr>
          <w:b w:val="0"/>
          <w:bCs w:val="0"/>
        </w:rPr>
      </w:pPr>
      <w:bookmarkStart w:name="11、应收款项" w:id="133"/>
      <w:bookmarkEnd w:id="133"/>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4" w:right="0"/>
        <w:jc w:val="left"/>
        <w:rPr>
          <w:b w:val="0"/>
          <w:bCs w:val="0"/>
        </w:rPr>
      </w:pPr>
      <w:bookmarkStart w:name="（1）单项金额重大并单独计提坏账准备的应收款项" w:id="134"/>
      <w:bookmarkEnd w:id="134"/>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8"/>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万以上且占应收款项账面余额 </w:t>
            </w:r>
            <w:r>
              <w:rPr>
                <w:rFonts w:ascii="宋体" w:hAnsi="宋体" w:cs="宋体" w:eastAsia="宋体" w:hint="default"/>
                <w:sz w:val="18"/>
                <w:szCs w:val="18"/>
              </w:rPr>
              <w:t>5%</w:t>
            </w:r>
            <w:r>
              <w:rPr>
                <w:rFonts w:ascii="宋体" w:hAnsi="宋体" w:cs="宋体" w:eastAsia="宋体" w:hint="default"/>
                <w:sz w:val="18"/>
                <w:szCs w:val="18"/>
              </w:rPr>
              <w:t>以上的款项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35"/>
      <w:bookmarkEnd w:id="135"/>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60" w:lineRule="auto" w:before="116"/>
        <w:ind w:left="154" w:right="653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单项金额上重大但单独计提坏账准备的应收款项" w:id="136"/>
      <w:bookmarkEnd w:id="136"/>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年以上的应收款项且有客观证据表明其发生了减值</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37"/>
      <w:bookmarkEnd w:id="137"/>
      <w:r>
        <w:rPr>
          <w:b w:val="0"/>
          <w:bCs w:val="0"/>
        </w:rPr>
      </w:r>
      <w:r>
        <w:rPr>
          <w:rFonts w:ascii="宋体" w:hAnsi="宋体" w:cs="宋体" w:eastAsia="宋体" w:hint="default"/>
        </w:rPr>
        <w:t>12</w:t>
      </w:r>
      <w:r>
        <w:rPr/>
        <w:t>、存货</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574" w:right="0"/>
        <w:jc w:val="left"/>
      </w:pPr>
      <w:r>
        <w:rPr>
          <w:rFonts w:ascii="宋体" w:hAnsi="宋体" w:cs="宋体" w:eastAsia="宋体" w:hint="default"/>
        </w:rPr>
        <w:t>1</w:t>
      </w:r>
      <w:r>
        <w:rPr/>
        <w:t>、存货的分类 </w:t>
      </w:r>
      <w:r>
        <w:rPr>
          <w:spacing w:val="-1"/>
        </w:rPr>
        <w:t>存货是指本公司在日常活动中持有以备出售的产成品或商品、处在生产过程中的在产品、在生产过程</w:t>
      </w:r>
    </w:p>
    <w:p>
      <w:pPr>
        <w:pStyle w:val="BodyText"/>
        <w:spacing w:line="408" w:lineRule="auto"/>
        <w:ind w:left="154" w:right="0"/>
        <w:jc w:val="left"/>
      </w:pPr>
      <w:r>
        <w:rPr>
          <w:spacing w:val="-1"/>
        </w:rPr>
        <w:t>或提供劳务过程中耗用的材料和物料等。主要包括原材料、周转材料、委托加工材料、包装物、低值易耗</w:t>
      </w:r>
      <w:r>
        <w:rPr>
          <w:spacing w:val="-83"/>
        </w:rPr>
        <w:t> </w:t>
      </w:r>
      <w:r>
        <w:rPr>
          <w:spacing w:val="-83"/>
        </w:rPr>
      </w:r>
      <w:r>
        <w:rPr/>
        <w:t>品、在产品、自制半成品、产成品（库存商品）、工程施工等。</w:t>
      </w:r>
    </w:p>
    <w:p>
      <w:pPr>
        <w:pStyle w:val="BodyText"/>
        <w:spacing w:line="408" w:lineRule="auto"/>
        <w:ind w:left="573" w:right="3053"/>
        <w:jc w:val="left"/>
      </w:pPr>
      <w:r>
        <w:rPr>
          <w:rFonts w:ascii="宋体" w:hAnsi="宋体" w:cs="宋体" w:eastAsia="宋体" w:hint="default"/>
        </w:rPr>
        <w:t>2</w:t>
      </w:r>
      <w:r>
        <w:rPr/>
        <w:t>、发出存货的计价方法 存货发出时，采取加权平均法或个别计价法确定其发出的实际成本。 </w:t>
      </w:r>
      <w:r>
        <w:rPr>
          <w:rFonts w:ascii="宋体" w:hAnsi="宋体" w:cs="宋体" w:eastAsia="宋体" w:hint="default"/>
        </w:rPr>
        <w:t>3</w:t>
      </w:r>
      <w:r>
        <w:rPr/>
        <w:t>、存货跌价准备的计提方法</w:t>
      </w:r>
    </w:p>
    <w:p>
      <w:pPr>
        <w:pStyle w:val="BodyText"/>
        <w:spacing w:line="408" w:lineRule="auto"/>
        <w:ind w:right="150" w:firstLine="420"/>
        <w:jc w:val="both"/>
      </w:pPr>
      <w:r>
        <w:rPr>
          <w:spacing w:val="-1"/>
        </w:rPr>
        <w:t>资产负债表日，存货按照成本与可变现净值孰低计量。当其可变现净值低于成本时，提取存货跌价准</w:t>
      </w:r>
      <w:r>
        <w:rPr/>
        <w:t> </w:t>
      </w:r>
      <w:r>
        <w:rPr>
          <w:spacing w:val="-1"/>
        </w:rPr>
        <w:t>备。存货跌价准备通常按单个存货项目的成本高于其可变现净值的差额提取。对于数量繁多、单价较低的</w:t>
      </w:r>
      <w:r>
        <w:rPr>
          <w:spacing w:val="-83"/>
        </w:rPr>
        <w:t> </w:t>
      </w:r>
      <w:r>
        <w:rPr>
          <w:spacing w:val="-83"/>
        </w:rPr>
      </w:r>
      <w:r>
        <w:rPr/>
        <w:t>存货，按存货类别计提存货跌价准备。</w:t>
      </w:r>
    </w:p>
    <w:p>
      <w:pPr>
        <w:pStyle w:val="BodyText"/>
        <w:spacing w:line="408" w:lineRule="auto"/>
        <w:ind w:right="151" w:firstLine="420"/>
        <w:jc w:val="both"/>
      </w:pPr>
      <w:r>
        <w:rPr>
          <w:spacing w:val="-1"/>
        </w:rPr>
        <w:t>可变现净值是指在日常活动中，存货的估计售价减去至完工时估计将要发生的成本、估计的销售费用</w:t>
      </w:r>
      <w:r>
        <w:rPr/>
        <w:t> </w:t>
      </w: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408" w:lineRule="auto"/>
        <w:ind w:left="573" w:right="5363"/>
        <w:jc w:val="left"/>
      </w:pPr>
      <w:r>
        <w:rPr>
          <w:rFonts w:ascii="宋体" w:hAnsi="宋体" w:cs="宋体" w:eastAsia="宋体" w:hint="default"/>
        </w:rPr>
        <w:t>4</w:t>
      </w:r>
      <w:r>
        <w:rPr/>
        <w:t>、存货的盘存制度 本公司的存货盘存制度为永续盘存制。 </w:t>
      </w:r>
      <w:r>
        <w:rPr>
          <w:rFonts w:ascii="宋体" w:hAnsi="宋体" w:cs="宋体" w:eastAsia="宋体" w:hint="default"/>
        </w:rPr>
        <w:t>5</w:t>
      </w:r>
      <w:r>
        <w:rPr/>
        <w:t>、低值易耗品和包装物的摊销方法 低值易耗品和包装物采用一次转销法摊销。</w:t>
      </w:r>
    </w:p>
    <w:p>
      <w:pPr>
        <w:spacing w:line="240" w:lineRule="auto" w:before="8"/>
        <w:rPr>
          <w:rFonts w:ascii="宋体" w:hAnsi="宋体" w:cs="宋体" w:eastAsia="宋体" w:hint="default"/>
          <w:sz w:val="20"/>
          <w:szCs w:val="20"/>
        </w:rPr>
      </w:pPr>
    </w:p>
    <w:p>
      <w:pPr>
        <w:pStyle w:val="Heading3"/>
        <w:spacing w:line="240" w:lineRule="auto"/>
        <w:ind w:left="154" w:right="0"/>
        <w:jc w:val="left"/>
        <w:rPr>
          <w:b w:val="0"/>
          <w:bCs w:val="0"/>
        </w:rPr>
      </w:pPr>
      <w:bookmarkStart w:name="13、划分为持有待售资产" w:id="138"/>
      <w:bookmarkEnd w:id="138"/>
      <w:r>
        <w:rPr>
          <w:b w:val="0"/>
          <w:bCs w:val="0"/>
        </w:rPr>
      </w:r>
      <w:r>
        <w:rPr>
          <w:rFonts w:ascii="宋体" w:hAnsi="宋体" w:cs="宋体" w:eastAsia="宋体" w:hint="default"/>
        </w:rPr>
        <w:t>13</w:t>
      </w:r>
      <w:r>
        <w:rPr/>
        <w:t>、划分为持有待售资产</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154" w:right="151" w:firstLine="420"/>
        <w:jc w:val="both"/>
      </w:pPr>
      <w:r>
        <w:rPr>
          <w:spacing w:val="-1"/>
        </w:rPr>
        <w:t>本公司将同时满足下列条件的非流动资产应当划分为持有待售：一是企业已经就处置该非流动资产作</w:t>
      </w:r>
      <w:r>
        <w:rPr/>
        <w:t> 出决议；二是企业已经与受让方签订了不可撤销的转让协议；三是该项转让将在一年内完成。</w:t>
      </w:r>
    </w:p>
    <w:p>
      <w:pPr>
        <w:spacing w:after="0" w:line="408"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14、长期股权投资" w:id="139"/>
      <w:bookmarkEnd w:id="139"/>
      <w:r>
        <w:rPr>
          <w:b w:val="0"/>
          <w:bCs w:val="0"/>
        </w:rPr>
      </w:r>
      <w:r>
        <w:rPr>
          <w:rFonts w:ascii="宋体" w:hAnsi="宋体" w:cs="宋体" w:eastAsia="宋体" w:hint="default"/>
        </w:rPr>
        <w:t>14</w:t>
      </w:r>
      <w:r>
        <w:rPr/>
        <w:t>、长期股权投资</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573" w:right="104"/>
        <w:jc w:val="left"/>
      </w:pPr>
      <w:r>
        <w:rPr>
          <w:rFonts w:ascii="宋体" w:hAnsi="宋体" w:cs="宋体" w:eastAsia="宋体" w:hint="default"/>
        </w:rPr>
        <w:t>1</w:t>
      </w:r>
      <w:r>
        <w:rPr/>
        <w:t>、初始投资成本确定 </w:t>
      </w:r>
      <w:r>
        <w:rPr>
          <w:spacing w:val="-1"/>
        </w:rPr>
        <w:t>对于企业合并取得的长期股权投资，如为同一控制下的企业合并，应当按照取得被合并方所有者权益</w:t>
      </w:r>
    </w:p>
    <w:p>
      <w:pPr>
        <w:pStyle w:val="BodyText"/>
        <w:spacing w:line="408" w:lineRule="auto"/>
        <w:ind w:right="211"/>
        <w:jc w:val="both"/>
      </w:pPr>
      <w:r>
        <w:rPr>
          <w:spacing w:val="-1"/>
        </w:rPr>
        <w:t>账面价值的份额确认为初始成本；非同一控制下的企业合并，应当按购买日确定的合并成本确认为初始成</w:t>
      </w:r>
      <w:r>
        <w:rPr>
          <w:spacing w:val="-81"/>
        </w:rPr>
        <w:t> </w:t>
      </w:r>
      <w:r>
        <w:rPr>
          <w:spacing w:val="-81"/>
        </w:rPr>
      </w:r>
      <w:r>
        <w:rPr>
          <w:spacing w:val="-1"/>
        </w:rPr>
        <w:t>本；以支付现金取得的长期股权投资，初始投资成本为实际支付的购买价款；以发行权益性证券取得的长</w:t>
      </w:r>
      <w:r>
        <w:rPr>
          <w:spacing w:val="-83"/>
        </w:rPr>
        <w:t> </w:t>
      </w:r>
      <w:r>
        <w:rPr>
          <w:spacing w:val="-83"/>
        </w:rPr>
      </w:r>
      <w:r>
        <w:rPr>
          <w:spacing w:val="-1"/>
        </w:rPr>
        <w:t>期股权投资，初始投资成本为发行权益性证券的公允价值；通过债务重组取得的长期股权投资，其初始投</w:t>
      </w:r>
      <w:r>
        <w:rPr>
          <w:spacing w:val="-83"/>
        </w:rPr>
        <w:t> </w:t>
      </w:r>
      <w:r>
        <w:rPr>
          <w:spacing w:val="-83"/>
        </w:rPr>
      </w:r>
      <w:r>
        <w:rPr>
          <w:spacing w:val="-1"/>
        </w:rPr>
        <w:t>资成本应当按照《企业会计准则第</w:t>
      </w:r>
      <w:r>
        <w:rPr>
          <w:rFonts w:ascii="宋体" w:hAnsi="宋体" w:cs="宋体" w:eastAsia="宋体" w:hint="default"/>
          <w:spacing w:val="-1"/>
        </w:rPr>
        <w:t>12</w:t>
      </w:r>
      <w:r>
        <w:rPr>
          <w:spacing w:val="-1"/>
        </w:rPr>
        <w:t>号—债务重组》的有关规定确定；非货币性资产交换取得的长期股权</w:t>
      </w:r>
      <w:r>
        <w:rPr>
          <w:spacing w:val="-85"/>
        </w:rPr>
        <w:t> </w:t>
      </w:r>
      <w:r>
        <w:rPr>
          <w:spacing w:val="-85"/>
        </w:rPr>
      </w:r>
      <w:r>
        <w:rPr/>
        <w:t>投资，初始投资成本根据准则相关规定确定。</w:t>
      </w:r>
    </w:p>
    <w:p>
      <w:pPr>
        <w:pStyle w:val="BodyText"/>
        <w:spacing w:line="408" w:lineRule="auto"/>
        <w:ind w:left="574" w:right="104"/>
        <w:jc w:val="left"/>
      </w:pPr>
      <w:r>
        <w:rPr>
          <w:rFonts w:ascii="宋体" w:hAnsi="宋体" w:cs="宋体" w:eastAsia="宋体" w:hint="default"/>
        </w:rPr>
        <w:t>2</w:t>
      </w:r>
      <w:r>
        <w:rPr/>
        <w:t>、后续计量及损益确认方法 </w:t>
      </w:r>
      <w:r>
        <w:rPr>
          <w:spacing w:val="-1"/>
        </w:rPr>
        <w:t>投资方能够对被投资单位实施控制的长期股权投资应当采用成本法核算，对联营企业和合营企业的长</w:t>
      </w:r>
    </w:p>
    <w:p>
      <w:pPr>
        <w:pStyle w:val="BodyText"/>
        <w:spacing w:line="408" w:lineRule="auto"/>
        <w:ind w:right="104"/>
        <w:jc w:val="left"/>
      </w:pPr>
      <w:r>
        <w:rPr>
          <w:spacing w:val="-3"/>
        </w:rPr>
        <w:t>期股权投资采用权益法核算。投资方对联营企业的权益性投资，其中一部分通过风险投资机构、共同基金、</w:t>
      </w:r>
      <w:r>
        <w:rPr>
          <w:spacing w:val="-90"/>
        </w:rPr>
        <w:t> </w:t>
      </w:r>
      <w:r>
        <w:rPr>
          <w:spacing w:val="-90"/>
        </w:rPr>
      </w:r>
      <w:r>
        <w:rPr/>
        <w:t>信托公司或包括投连险基金在内的类似主体间接持有的，无论以上主体是否对这部分投资具有重大影响， 投资方都应当按照《企业会计准则第</w:t>
      </w:r>
      <w:r>
        <w:rPr>
          <w:rFonts w:ascii="宋体" w:hAnsi="宋体" w:cs="宋体" w:eastAsia="宋体" w:hint="default"/>
        </w:rPr>
        <w:t>22</w:t>
      </w:r>
      <w:r>
        <w:rPr/>
        <w:t>号——金融工具确认和计量》的有关规定，对间接持有的该部分投 资选择以公允价值计量且其变动计入损益，并对其余部分采用权益法核算。</w:t>
      </w:r>
    </w:p>
    <w:p>
      <w:pPr>
        <w:pStyle w:val="BodyText"/>
        <w:spacing w:line="408" w:lineRule="auto"/>
        <w:ind w:left="573" w:right="104"/>
        <w:jc w:val="left"/>
      </w:pPr>
      <w:r>
        <w:rPr>
          <w:rFonts w:ascii="宋体" w:hAnsi="宋体" w:cs="宋体" w:eastAsia="宋体" w:hint="default"/>
        </w:rPr>
        <w:t>3</w:t>
      </w:r>
      <w:r>
        <w:rPr/>
        <w:t>、确定对被投资单位具有共同控制、重大影响的依据 </w:t>
      </w:r>
      <w:r>
        <w:rPr>
          <w:spacing w:val="-1"/>
        </w:rPr>
        <w:t>对被投资单位具有共同控制，是指对某项安排的回报产生重大影响的活动必须经过分享控制权的参与</w:t>
      </w:r>
    </w:p>
    <w:p>
      <w:pPr>
        <w:pStyle w:val="BodyText"/>
        <w:spacing w:line="408" w:lineRule="auto"/>
        <w:ind w:right="211"/>
        <w:jc w:val="both"/>
      </w:pPr>
      <w:r>
        <w:rPr>
          <w:spacing w:val="-1"/>
        </w:rPr>
        <w:t>方一致同意后才能决策，包括商品或劳务的销售和购买、金融资产的管理、资产的购买和处置、研究与开</w:t>
      </w:r>
      <w:r>
        <w:rPr>
          <w:spacing w:val="-86"/>
        </w:rPr>
        <w:t> </w:t>
      </w:r>
      <w:r>
        <w:rPr>
          <w:spacing w:val="-86"/>
        </w:rPr>
      </w:r>
      <w:r>
        <w:rPr>
          <w:spacing w:val="-1"/>
        </w:rPr>
        <w:t>发活动以及融资活动等；对被投资单位具有重大影响，是指当持有被投资单位</w:t>
      </w:r>
      <w:r>
        <w:rPr>
          <w:rFonts w:ascii="宋体" w:hAnsi="宋体" w:cs="宋体" w:eastAsia="宋体" w:hint="default"/>
          <w:spacing w:val="-1"/>
        </w:rPr>
        <w:t>20%</w:t>
      </w:r>
      <w:r>
        <w:rPr>
          <w:spacing w:val="-1"/>
        </w:rPr>
        <w:t>以上至</w:t>
      </w:r>
      <w:r>
        <w:rPr>
          <w:rFonts w:ascii="宋体" w:hAnsi="宋体" w:cs="宋体" w:eastAsia="宋体" w:hint="default"/>
          <w:spacing w:val="-1"/>
        </w:rPr>
        <w:t>50%</w:t>
      </w:r>
      <w:r>
        <w:rPr>
          <w:spacing w:val="-1"/>
        </w:rPr>
        <w:t>的表决权资本</w:t>
      </w:r>
      <w:r>
        <w:rPr>
          <w:spacing w:val="-80"/>
        </w:rPr>
        <w:t> </w:t>
      </w:r>
      <w:r>
        <w:rPr>
          <w:spacing w:val="-80"/>
        </w:rPr>
      </w:r>
      <w:r>
        <w:rPr/>
        <w:t>时，具有重大影响。或虽不足</w:t>
      </w:r>
      <w:r>
        <w:rPr>
          <w:rFonts w:ascii="宋体" w:hAnsi="宋体" w:cs="宋体" w:eastAsia="宋体" w:hint="default"/>
        </w:rPr>
        <w:t>20%</w:t>
      </w:r>
      <w:r>
        <w:rPr/>
        <w:t>，但符合下列条件之一时，具有重大影响：在被投资单位的董事会或类</w:t>
      </w:r>
      <w:r>
        <w:rPr>
          <w:spacing w:val="-33"/>
        </w:rPr>
        <w:t> </w:t>
      </w:r>
      <w:r>
        <w:rPr>
          <w:spacing w:val="-33"/>
        </w:rPr>
      </w:r>
      <w:r>
        <w:rPr>
          <w:spacing w:val="-1"/>
        </w:rPr>
        <w:t>似的权力机构中派有代表；参与被投资单位的政策制定过程；向被投资单位派出管理人员；被投资单位依</w:t>
      </w:r>
      <w:r>
        <w:rPr>
          <w:spacing w:val="-83"/>
        </w:rPr>
        <w:t> </w:t>
      </w:r>
      <w:r>
        <w:rPr>
          <w:spacing w:val="-83"/>
        </w:rPr>
      </w:r>
      <w:r>
        <w:rPr/>
        <w:t>赖投资公司的技术或技术资料；与被投资单位之间发生重要交易。</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15、投资性房地产" w:id="140"/>
      <w:bookmarkEnd w:id="140"/>
      <w:r>
        <w:rPr>
          <w:b w:val="0"/>
          <w:bCs w:val="0"/>
        </w:rPr>
      </w:r>
      <w:r>
        <w:rPr>
          <w:rFonts w:ascii="宋体" w:hAnsi="宋体" w:cs="宋体" w:eastAsia="宋体" w:hint="default"/>
        </w:rPr>
        <w:t>15</w:t>
      </w:r>
      <w:r>
        <w:rPr/>
        <w:t>、投资性房地产</w:t>
      </w:r>
      <w:r>
        <w:rPr>
          <w:b w:val="0"/>
          <w:bCs w:val="0"/>
        </w:rPr>
      </w:r>
    </w:p>
    <w:p>
      <w:pPr>
        <w:spacing w:line="240" w:lineRule="auto" w:before="11"/>
        <w:rPr>
          <w:rFonts w:ascii="宋体" w:hAnsi="宋体" w:cs="宋体" w:eastAsia="宋体" w:hint="default"/>
          <w:b/>
          <w:bCs/>
          <w:sz w:val="27"/>
          <w:szCs w:val="27"/>
        </w:rPr>
      </w:pPr>
    </w:p>
    <w:p>
      <w:pPr>
        <w:spacing w:line="360" w:lineRule="auto" w:before="0"/>
        <w:ind w:left="153" w:right="803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right="190" w:firstLine="420"/>
        <w:jc w:val="both"/>
      </w:pPr>
      <w:r>
        <w:rPr/>
        <w:t>本公司投资性房地产中出租的建筑物采用年限平均法计提折旧，具体核算政策与固定资产部分相同。 </w:t>
      </w:r>
      <w:r>
        <w:rPr>
          <w:spacing w:val="-1"/>
        </w:rPr>
        <w:t>投资性房地产中出租的土地使用权、持有并准备增值后转让的土地使用权采用直线法摊销，具体核算政策</w:t>
      </w:r>
      <w:r>
        <w:rPr>
          <w:spacing w:val="-81"/>
        </w:rPr>
        <w:t> </w:t>
      </w:r>
      <w:r>
        <w:rPr>
          <w:spacing w:val="-81"/>
        </w:rPr>
      </w:r>
      <w:r>
        <w:rPr/>
        <w:t>与无形资产部分相同。</w:t>
      </w:r>
    </w:p>
    <w:p>
      <w:pPr>
        <w:spacing w:after="0" w:line="408"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16、固定资产" w:id="141"/>
      <w:bookmarkEnd w:id="141"/>
      <w:r>
        <w:rPr>
          <w:b w:val="0"/>
          <w:bCs w:val="0"/>
        </w:rPr>
      </w:r>
      <w:r>
        <w:rPr>
          <w:rFonts w:ascii="宋体" w:hAnsi="宋体" w:cs="宋体" w:eastAsia="宋体" w:hint="default"/>
        </w:rPr>
        <w:t>16</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04"/>
        <w:jc w:val="left"/>
        <w:rPr>
          <w:b w:val="0"/>
          <w:bCs w:val="0"/>
        </w:rPr>
      </w:pPr>
      <w:bookmarkStart w:name="（1）确认条件" w:id="142"/>
      <w:bookmarkEnd w:id="142"/>
      <w:r>
        <w:rPr>
          <w:b w:val="0"/>
          <w:bCs w:val="0"/>
        </w:rPr>
      </w:r>
      <w:r>
        <w:rPr/>
        <w:t>（</w:t>
      </w:r>
      <w:r>
        <w:rPr>
          <w:rFonts w:ascii="宋体" w:hAnsi="宋体" w:cs="宋体" w:eastAsia="宋体" w:hint="default"/>
        </w:rPr>
        <w:t>1</w:t>
      </w:r>
      <w:r>
        <w:rPr/>
        <w:t>）确认条件</w:t>
      </w:r>
      <w:r>
        <w:rPr>
          <w:b w:val="0"/>
          <w:bCs w:val="0"/>
        </w:rPr>
      </w:r>
    </w:p>
    <w:p>
      <w:pPr>
        <w:spacing w:line="240" w:lineRule="auto" w:before="10"/>
        <w:rPr>
          <w:rFonts w:ascii="宋体" w:hAnsi="宋体" w:cs="宋体" w:eastAsia="宋体" w:hint="default"/>
          <w:b/>
          <w:bCs/>
          <w:sz w:val="27"/>
          <w:szCs w:val="27"/>
        </w:rPr>
      </w:pPr>
    </w:p>
    <w:p>
      <w:pPr>
        <w:spacing w:line="319" w:lineRule="auto" w:before="0"/>
        <w:ind w:left="154" w:right="104" w:firstLine="36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固定资产指为生产商品、提供劳务、出租或经营管理而持有的，使用寿命超过一个会计年度的有形资产。同时满足以下</w:t>
      </w:r>
      <w:r>
        <w:rPr>
          <w:rFonts w:ascii="宋体" w:hAnsi="宋体" w:cs="宋体" w:eastAsia="宋体" w:hint="default"/>
          <w:sz w:val="18"/>
          <w:szCs w:val="18"/>
        </w:rPr>
        <w:t> 条件时予以确认：与该固定资产有关的经济利益很可能流入企业；该固定资产的成本能够可靠地计量。</w:t>
      </w:r>
    </w:p>
    <w:p>
      <w:pPr>
        <w:spacing w:line="240" w:lineRule="auto" w:before="3"/>
        <w:rPr>
          <w:rFonts w:ascii="宋体" w:hAnsi="宋体" w:cs="宋体" w:eastAsia="宋体" w:hint="default"/>
          <w:sz w:val="22"/>
          <w:szCs w:val="22"/>
        </w:rPr>
      </w:pPr>
    </w:p>
    <w:p>
      <w:pPr>
        <w:pStyle w:val="Heading3"/>
        <w:spacing w:line="240" w:lineRule="auto"/>
        <w:ind w:right="104"/>
        <w:jc w:val="left"/>
        <w:rPr>
          <w:b w:val="0"/>
          <w:bCs w:val="0"/>
        </w:rPr>
      </w:pPr>
      <w:bookmarkStart w:name="（2）折旧方法" w:id="143"/>
      <w:bookmarkEnd w:id="143"/>
      <w:r>
        <w:rPr>
          <w:b w:val="0"/>
          <w:bCs w:val="0"/>
        </w:rPr>
      </w:r>
      <w:r>
        <w:rPr/>
        <w:t>（</w:t>
      </w: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9.50-2.375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31.67-19.00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31.67-19.00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3）融资租入固定资产的认定依据、计价和折旧方法" w:id="144"/>
      <w:bookmarkEnd w:id="144"/>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54" w:right="212" w:firstLine="420"/>
        <w:jc w:val="both"/>
      </w:pPr>
      <w:r>
        <w:rPr>
          <w:spacing w:val="-1"/>
        </w:rPr>
        <w:t>融资租入固定资产为实质上转移了与资产所有权有关的全部风险和报酬的租赁。融资租入固定资产初</w:t>
      </w:r>
      <w:r>
        <w:rPr/>
        <w:t> </w:t>
      </w:r>
      <w:r>
        <w:rPr>
          <w:spacing w:val="-1"/>
        </w:rPr>
        <w:t>始计价为租赁期开始日租赁资产公允价值与最低租赁付款额现值较低者作为入账价值；融资租入固定资产</w:t>
      </w:r>
      <w:r>
        <w:rPr>
          <w:spacing w:val="-81"/>
        </w:rPr>
        <w:t> </w:t>
      </w:r>
      <w:r>
        <w:rPr>
          <w:spacing w:val="-81"/>
        </w:rPr>
      </w:r>
      <w:r>
        <w:rPr/>
        <w:t>后续计价采用与自有固定资产相一致的折旧政策计提折旧及减值准备。</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17、在建工程" w:id="145"/>
      <w:bookmarkEnd w:id="145"/>
      <w:r>
        <w:rPr>
          <w:b w:val="0"/>
          <w:bCs w:val="0"/>
        </w:rPr>
      </w:r>
      <w:r>
        <w:rPr>
          <w:rFonts w:ascii="宋体" w:hAnsi="宋体" w:cs="宋体" w:eastAsia="宋体" w:hint="default"/>
        </w:rPr>
        <w:t>17</w:t>
      </w:r>
      <w:r>
        <w:rPr/>
        <w:t>、在建工程</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04" w:firstLine="420"/>
        <w:jc w:val="left"/>
      </w:pPr>
      <w:r>
        <w:rPr>
          <w:spacing w:val="3"/>
        </w:rPr>
        <w:t>本公司在建工程分为自营方式建造和出包方式建造两种。在建工程在工程完工达到预定可使用状态</w:t>
      </w:r>
      <w:r>
        <w:rPr/>
        <w:t> </w:t>
      </w:r>
      <w:r>
        <w:rPr>
          <w:spacing w:val="-3"/>
        </w:rPr>
        <w:t>时，结转固定资产。预定可使用状态的判断标准，应符合下列情况之一：固定资产的实体建造（包括安装）</w:t>
      </w:r>
      <w:r>
        <w:rPr>
          <w:spacing w:val="-94"/>
        </w:rPr>
        <w:t> </w:t>
      </w:r>
      <w:r>
        <w:rPr>
          <w:spacing w:val="-94"/>
        </w:rPr>
      </w:r>
      <w:r>
        <w:rPr/>
        <w:t>工作已经全部完成或实质上已经全部完成；已经试生产或试运行，并且其结果表明资产能够正常运行或能</w:t>
      </w:r>
      <w:r>
        <w:rPr/>
        <w:t>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spacing w:line="240" w:lineRule="auto" w:before="8"/>
        <w:rPr>
          <w:rFonts w:ascii="宋体" w:hAnsi="宋体" w:cs="宋体" w:eastAsia="宋体" w:hint="default"/>
          <w:sz w:val="20"/>
          <w:szCs w:val="20"/>
        </w:rPr>
      </w:pPr>
    </w:p>
    <w:p>
      <w:pPr>
        <w:pStyle w:val="Heading3"/>
        <w:spacing w:line="240" w:lineRule="auto"/>
        <w:ind w:left="154" w:right="0"/>
        <w:jc w:val="both"/>
        <w:rPr>
          <w:b w:val="0"/>
          <w:bCs w:val="0"/>
        </w:rPr>
      </w:pPr>
      <w:bookmarkStart w:name="18、借款费用" w:id="146"/>
      <w:bookmarkEnd w:id="146"/>
      <w:r>
        <w:rPr>
          <w:b w:val="0"/>
          <w:bCs w:val="0"/>
        </w:rPr>
      </w:r>
      <w:r>
        <w:rPr>
          <w:rFonts w:ascii="宋体" w:hAnsi="宋体" w:cs="宋体" w:eastAsia="宋体" w:hint="default"/>
        </w:rPr>
        <w:t>18</w:t>
      </w:r>
      <w:r>
        <w:rPr/>
        <w:t>、借款费用</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574" w:right="104"/>
        <w:jc w:val="left"/>
      </w:pPr>
      <w:r>
        <w:rPr>
          <w:rFonts w:ascii="宋体" w:hAnsi="宋体" w:cs="宋体" w:eastAsia="宋体" w:hint="default"/>
        </w:rPr>
        <w:t>1</w:t>
      </w:r>
      <w:r>
        <w:rPr/>
        <w:t>、借款费用资本化的确认原则 </w:t>
      </w:r>
      <w:r>
        <w:rPr>
          <w:spacing w:val="-1"/>
        </w:rPr>
        <w:t>本公司发生的借款费用，可直接归属于符合资本化条件的资产的购建或者生产的，予以资本化，计入</w:t>
      </w:r>
    </w:p>
    <w:p>
      <w:pPr>
        <w:pStyle w:val="BodyText"/>
        <w:spacing w:line="408" w:lineRule="auto"/>
        <w:ind w:left="154" w:right="211"/>
        <w:jc w:val="both"/>
      </w:pPr>
      <w:r>
        <w:rPr>
          <w:spacing w:val="-1"/>
        </w:rPr>
        <w:t>相关资产成本；其他借款费用，在发生时根据其发生额确认为费用，计入当期损益。符合资本化条件的资</w:t>
      </w:r>
      <w:r>
        <w:rPr>
          <w:spacing w:val="-85"/>
        </w:rPr>
        <w:t> </w:t>
      </w:r>
      <w:r>
        <w:rPr>
          <w:spacing w:val="-85"/>
        </w:rPr>
      </w:r>
      <w:r>
        <w:rPr>
          <w:spacing w:val="-1"/>
        </w:rPr>
        <w:t>产，是指需要经过相当长时间的购建或者生产活动才能达到预定可使用或者可销售状态的固定资产、投资</w:t>
      </w:r>
      <w:r>
        <w:rPr>
          <w:spacing w:val="-81"/>
        </w:rPr>
        <w:t> </w:t>
      </w:r>
      <w:r>
        <w:rPr>
          <w:spacing w:val="-81"/>
        </w:rPr>
      </w:r>
      <w:r>
        <w:rPr/>
        <w:t>性房地产和存货等资产。</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3" w:right="0"/>
        <w:jc w:val="left"/>
      </w:pPr>
      <w:r>
        <w:rPr>
          <w:rFonts w:ascii="宋体" w:hAnsi="宋体" w:cs="宋体" w:eastAsia="宋体" w:hint="default"/>
        </w:rPr>
        <w:t>2</w:t>
      </w:r>
      <w:r>
        <w:rPr/>
        <w:t>、资本化金额计算方法 </w:t>
      </w:r>
      <w:r>
        <w:rPr>
          <w:spacing w:val="-1"/>
        </w:rPr>
        <w:t>资本化期间，是指从借款费用开始资本化时点到停止资本化时点的期间。借款费用暂停资本化的期间</w:t>
      </w:r>
    </w:p>
    <w:p>
      <w:pPr>
        <w:pStyle w:val="BodyText"/>
        <w:spacing w:line="408" w:lineRule="auto"/>
        <w:ind w:right="151"/>
        <w:jc w:val="both"/>
      </w:pPr>
      <w:r>
        <w:rPr/>
        <w:t>不包括在内。在购建或生产过程中发生非正常中断、且中断时间连续超过</w:t>
      </w:r>
      <w:r>
        <w:rPr>
          <w:rFonts w:ascii="宋体" w:hAnsi="宋体" w:cs="宋体" w:eastAsia="宋体" w:hint="default"/>
        </w:rPr>
        <w:t>3</w:t>
      </w:r>
      <w:r>
        <w:rPr/>
        <w:t>个月的，应当暂停借款费用的</w:t>
      </w:r>
      <w:r>
        <w:rPr>
          <w:spacing w:val="-26"/>
        </w:rPr>
        <w:t> </w:t>
      </w:r>
      <w:r>
        <w:rPr>
          <w:spacing w:val="-26"/>
        </w:rPr>
      </w:r>
      <w:r>
        <w:rPr/>
        <w:t>资本化。</w:t>
      </w:r>
    </w:p>
    <w:p>
      <w:pPr>
        <w:pStyle w:val="BodyText"/>
        <w:spacing w:line="408" w:lineRule="auto"/>
        <w:ind w:right="151" w:firstLine="420"/>
        <w:jc w:val="both"/>
      </w:pPr>
      <w:r>
        <w:rPr>
          <w:spacing w:val="-1"/>
        </w:rPr>
        <w:t>借入专门借款，按照专门借款当期实际发生的利息费用，减去将尚未动用的借款资金存入银行取得的</w:t>
      </w:r>
      <w:r>
        <w:rPr/>
        <w:t> </w:t>
      </w:r>
      <w:r>
        <w:rPr>
          <w:spacing w:val="-1"/>
        </w:rPr>
        <w:t>利息收入或进行暂时性投资取得的投资收益后的金额确定；占用一般借款按照累计资产支出超过专门借款</w:t>
      </w:r>
      <w:r>
        <w:rPr>
          <w:spacing w:val="-81"/>
        </w:rPr>
        <w:t> </w:t>
      </w:r>
      <w:r>
        <w:rPr>
          <w:spacing w:val="-81"/>
        </w:rPr>
      </w:r>
      <w:r>
        <w:rPr>
          <w:spacing w:val="-1"/>
        </w:rPr>
        <w:t>部分的资产支出加权平均数乘以所占用一般借款的资本化率计算确定，资本化率为一般借款的加权平均利</w:t>
      </w:r>
      <w:r>
        <w:rPr>
          <w:spacing w:val="-81"/>
        </w:rPr>
        <w:t> </w:t>
      </w:r>
      <w:r>
        <w:rPr>
          <w:spacing w:val="-81"/>
        </w:rPr>
      </w:r>
      <w:r>
        <w:rPr>
          <w:spacing w:val="-1"/>
        </w:rPr>
        <w:t>率；借款存在折价或溢价的，按照实际利率法确定每一会计期间应摊销的折价或溢价金额，调整每期利息</w:t>
      </w:r>
      <w:r>
        <w:rPr>
          <w:spacing w:val="-83"/>
        </w:rPr>
        <w:t> </w:t>
      </w:r>
      <w:r>
        <w:rPr>
          <w:spacing w:val="-83"/>
        </w:rPr>
      </w:r>
      <w:r>
        <w:rPr/>
        <w:t>金额。</w:t>
      </w:r>
    </w:p>
    <w:p>
      <w:pPr>
        <w:pStyle w:val="BodyText"/>
        <w:spacing w:line="408" w:lineRule="auto"/>
        <w:ind w:right="152" w:firstLine="420"/>
        <w:jc w:val="both"/>
      </w:pPr>
      <w:r>
        <w:rPr>
          <w:spacing w:val="-1"/>
        </w:rPr>
        <w:t>实际利率法是根据借款实际利率计算其摊余折价或溢价或利息费用的方法。其中实际利率是借款在预</w:t>
      </w:r>
      <w:r>
        <w:rPr/>
        <w:t> 期存续期间的未来现金流量，折现为该借款当前账面价值所使用的利率。</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19、无形资产" w:id="147"/>
      <w:bookmarkEnd w:id="147"/>
      <w:r>
        <w:rPr>
          <w:b w:val="0"/>
          <w:bCs w:val="0"/>
        </w:rPr>
      </w:r>
      <w:r>
        <w:rPr>
          <w:rFonts w:ascii="宋体" w:hAnsi="宋体" w:cs="宋体" w:eastAsia="宋体" w:hint="default"/>
        </w:rPr>
        <w:t>19</w:t>
      </w:r>
      <w:r>
        <w:rPr/>
        <w:t>、无形资产</w:t>
      </w:r>
      <w:r>
        <w:rPr>
          <w:b w:val="0"/>
          <w:bCs w:val="0"/>
        </w:rPr>
      </w:r>
    </w:p>
    <w:p>
      <w:pPr>
        <w:spacing w:line="690" w:lineRule="exact" w:before="31"/>
        <w:ind w:left="573" w:right="5874" w:hanging="420"/>
        <w:jc w:val="left"/>
        <w:rPr>
          <w:rFonts w:ascii="宋体" w:hAnsi="宋体" w:cs="宋体" w:eastAsia="宋体" w:hint="default"/>
          <w:sz w:val="21"/>
          <w:szCs w:val="21"/>
        </w:rPr>
      </w:pPr>
      <w:bookmarkStart w:name="（1）计价方法、使用寿命、减值测试" w:id="148"/>
      <w:bookmarkEnd w:id="14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、无形资产的计价方法</w:t>
      </w:r>
    </w:p>
    <w:p>
      <w:pPr>
        <w:pStyle w:val="BodyText"/>
        <w:spacing w:line="408" w:lineRule="auto" w:before="84"/>
        <w:ind w:right="151" w:firstLine="420"/>
        <w:jc w:val="both"/>
      </w:pPr>
      <w:r>
        <w:rPr>
          <w:spacing w:val="-1"/>
        </w:rPr>
        <w:t>本公司无形资产按照成本进行初始计量。购入的无形资产，按实际支付的价款和相关支出作为实际成</w:t>
      </w:r>
      <w:r>
        <w:rPr/>
        <w:t> </w:t>
      </w: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408" w:lineRule="auto"/>
        <w:ind w:right="151" w:firstLine="420"/>
        <w:jc w:val="both"/>
      </w:pPr>
      <w:r>
        <w:rPr>
          <w:spacing w:val="-1"/>
        </w:rPr>
        <w:t>本公司无形资产后续计量方法分别为：使用寿命有限无形资产采用直线法摊销，并在年度终了，对无</w:t>
      </w:r>
      <w:r>
        <w:rPr/>
        <w:t> </w:t>
      </w:r>
      <w:r>
        <w:rPr>
          <w:spacing w:val="-1"/>
        </w:rPr>
        <w:t>形资产的使用寿命和摊销方法进行复核，如与原先估计数存在差异的，进行相应的调整；使用寿命不确定</w:t>
      </w:r>
      <w:r>
        <w:rPr>
          <w:spacing w:val="-83"/>
        </w:rPr>
        <w:t> </w:t>
      </w:r>
      <w:r>
        <w:rPr>
          <w:spacing w:val="-83"/>
        </w:rPr>
      </w:r>
      <w:r>
        <w:rPr>
          <w:spacing w:val="-1"/>
        </w:rPr>
        <w:t>的无形资产不摊销，但在年度终了，对使用寿命进行复核，当有确凿证据表明其使用寿命是有限的，则估</w:t>
      </w:r>
      <w:r>
        <w:rPr>
          <w:spacing w:val="-85"/>
        </w:rPr>
        <w:t> </w:t>
      </w:r>
      <w:r>
        <w:rPr>
          <w:spacing w:val="-85"/>
        </w:rPr>
      </w:r>
      <w:r>
        <w:rPr/>
        <w:t>计其使用寿命，按直线法进行摊销。</w:t>
      </w:r>
    </w:p>
    <w:p>
      <w:pPr>
        <w:pStyle w:val="BodyText"/>
        <w:spacing w:line="408" w:lineRule="auto"/>
        <w:ind w:left="573" w:right="0"/>
        <w:jc w:val="left"/>
      </w:pPr>
      <w:r>
        <w:rPr>
          <w:rFonts w:ascii="宋体" w:hAnsi="宋体" w:cs="宋体" w:eastAsia="宋体" w:hint="default"/>
        </w:rPr>
        <w:t>2</w:t>
      </w:r>
      <w:r>
        <w:rPr/>
        <w:t>、使用寿命不确定的判断依据 </w:t>
      </w:r>
      <w:r>
        <w:rPr>
          <w:spacing w:val="-1"/>
        </w:rPr>
        <w:t>本公司将无法预见该资产为公司带来经济利益的期限，或使用期限不确定等无形资产确定为使用寿命</w:t>
      </w:r>
    </w:p>
    <w:p>
      <w:pPr>
        <w:pStyle w:val="BodyText"/>
        <w:spacing w:line="408" w:lineRule="auto"/>
        <w:ind w:right="151"/>
        <w:jc w:val="both"/>
      </w:pPr>
      <w:r>
        <w:rPr>
          <w:spacing w:val="-1"/>
        </w:rPr>
        <w:t>不确定的无形资产。使用寿命不确定的判断依据为：来源于合同性权利或其他法定权利，但合同规定或法</w:t>
      </w:r>
      <w:r>
        <w:rPr>
          <w:spacing w:val="-83"/>
        </w:rPr>
        <w:t> </w:t>
      </w:r>
      <w:r>
        <w:rPr>
          <w:spacing w:val="-83"/>
        </w:rPr>
      </w:r>
      <w:r>
        <w:rPr>
          <w:spacing w:val="-1"/>
        </w:rPr>
        <w:t>律规定无明确使用年限；综合同行业情况或相关专家论证等，仍无法判断无形资产为公司带来经济利益的</w:t>
      </w:r>
      <w:r>
        <w:rPr>
          <w:spacing w:val="-81"/>
        </w:rPr>
        <w:t> </w:t>
      </w:r>
      <w:r>
        <w:rPr>
          <w:spacing w:val="-81"/>
        </w:rPr>
      </w:r>
      <w:r>
        <w:rPr/>
        <w:t>期限。</w:t>
      </w:r>
    </w:p>
    <w:p>
      <w:pPr>
        <w:pStyle w:val="BodyText"/>
        <w:spacing w:line="408" w:lineRule="auto"/>
        <w:ind w:right="151" w:firstLine="420"/>
        <w:jc w:val="both"/>
      </w:pPr>
      <w:r>
        <w:rPr>
          <w:spacing w:val="-1"/>
        </w:rPr>
        <w:t>每年年末，对使用寿命不确定无形资产使用寿命进行复核，主要采取自下而上的方式，由无形资产使</w:t>
      </w:r>
      <w:r>
        <w:rPr/>
        <w:t> 用相关部门进行基础复核，评价使用寿命不确定判断依据是否存在变化等。</w:t>
      </w:r>
    </w:p>
    <w:p>
      <w:pPr>
        <w:spacing w:after="0" w:line="408"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2）内部研究开发支出会计政策" w:id="149"/>
      <w:bookmarkEnd w:id="149"/>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90" w:firstLine="420"/>
        <w:jc w:val="both"/>
      </w:pPr>
      <w:r>
        <w:rPr>
          <w:spacing w:val="-1"/>
        </w:rPr>
        <w:t>内部研究开发项目研究阶段的支出，于发生时计入当期损益；开发阶段的支出，满足确认为无形资产</w:t>
      </w:r>
      <w:r>
        <w:rPr/>
        <w:t> </w:t>
      </w:r>
      <w:r>
        <w:rPr>
          <w:spacing w:val="-1"/>
        </w:rPr>
        <w:t>条件的转入无形资产核算。划分内部研究开发项目的研究阶段和开发阶段的具体标准：为获取新的技术和</w:t>
      </w:r>
      <w:r>
        <w:rPr>
          <w:spacing w:val="-81"/>
        </w:rPr>
        <w:t> </w:t>
      </w:r>
      <w:r>
        <w:rPr>
          <w:spacing w:val="-81"/>
        </w:rPr>
      </w:r>
      <w:r>
        <w:rPr>
          <w:spacing w:val="-1"/>
        </w:rPr>
        <w:t>知识等进行的有计划的调查阶段，应确定为研究阶段，该阶段具有计划性和探索性等特点；在进行商业性</w:t>
      </w:r>
      <w:r>
        <w:rPr>
          <w:spacing w:val="-83"/>
        </w:rPr>
        <w:t> </w:t>
      </w:r>
      <w:r>
        <w:rPr>
          <w:spacing w:val="-83"/>
        </w:rPr>
      </w:r>
      <w:r>
        <w:rPr/>
        <w:t>生产或使用前，将研究成果或其他知识应用于某项计划或设计，以生产出新的或具有实质性改进的材料、 </w:t>
      </w:r>
      <w:r>
        <w:rPr>
          <w:spacing w:val="-1"/>
        </w:rPr>
        <w:t>装置、产品等阶段，应确定为开发阶段，该阶段具有针对性和形成成果的可能性较大等特点。开发阶段的</w:t>
      </w:r>
      <w:r>
        <w:rPr>
          <w:spacing w:val="-86"/>
        </w:rPr>
        <w:t> </w:t>
      </w:r>
      <w:r>
        <w:rPr>
          <w:spacing w:val="-86"/>
        </w:rPr>
      </w:r>
      <w:r>
        <w:rPr>
          <w:spacing w:val="-1"/>
        </w:rPr>
        <w:t>支出，同时满足下列条件的，确认为无形资产：①完成该无形资产以使其能够使用或出售在技术上具有可</w:t>
      </w:r>
      <w:r>
        <w:rPr>
          <w:spacing w:val="-83"/>
        </w:rPr>
        <w:t> </w:t>
      </w:r>
      <w:r>
        <w:rPr>
          <w:spacing w:val="-83"/>
        </w:rPr>
      </w:r>
      <w:r>
        <w:rPr>
          <w:spacing w:val="-1"/>
        </w:rPr>
        <w:t>行性；②具有完成该无形资产并使用或出售的意图；③无形资产产生经济利益的方式，包括能够证明运用</w:t>
      </w:r>
      <w:r>
        <w:rPr>
          <w:spacing w:val="-83"/>
        </w:rPr>
        <w:t> </w:t>
      </w:r>
      <w:r>
        <w:rPr>
          <w:spacing w:val="-83"/>
        </w:rPr>
      </w:r>
      <w:r>
        <w:rPr/>
        <w:t>该无形资产生产的产品存在市场或无形资产自身存在市场，无形资产将在内部使用的，能证明其有用性；</w:t>
      </w:r>
    </w:p>
    <w:p>
      <w:pPr>
        <w:pStyle w:val="BodyText"/>
        <w:spacing w:line="240" w:lineRule="auto"/>
        <w:ind w:right="0"/>
        <w:jc w:val="left"/>
      </w:pPr>
      <w:r>
        <w:rPr>
          <w:spacing w:val="-3"/>
        </w:rPr>
        <w:t>④有足够的技术、财务资源和其他资源支持，以完成该无形资产的开发，并有能力使用或出售该无形资产；</w:t>
      </w:r>
    </w:p>
    <w:p>
      <w:pPr>
        <w:spacing w:line="240" w:lineRule="auto" w:before="10"/>
        <w:rPr>
          <w:rFonts w:ascii="宋体" w:hAnsi="宋体" w:cs="宋体" w:eastAsia="宋体" w:hint="default"/>
          <w:sz w:val="14"/>
          <w:szCs w:val="14"/>
        </w:rPr>
      </w:pPr>
    </w:p>
    <w:p>
      <w:pPr>
        <w:spacing w:line="604" w:lineRule="auto" w:before="0"/>
        <w:ind w:left="153" w:right="4688"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z w:val="21"/>
          <w:szCs w:val="21"/>
        </w:rPr>
        <w:t>.</w:t>
      </w:r>
      <w:r>
        <w:rPr>
          <w:rFonts w:ascii="宋体" w:hAnsi="宋体" w:cs="宋体" w:eastAsia="宋体" w:hint="default"/>
          <w:sz w:val="21"/>
          <w:szCs w:val="21"/>
        </w:rPr>
        <w:t>归属于该无形资产开发阶段的支出能够可靠地计量。 </w:t>
      </w:r>
      <w:bookmarkStart w:name="20、长期资产减值" w:id="150"/>
      <w:bookmarkEnd w:id="150"/>
      <w:r>
        <w:rPr>
          <w:rFonts w:ascii="宋体" w:hAnsi="宋体" w:cs="宋体" w:eastAsia="宋体" w:hint="default"/>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408" w:lineRule="auto" w:before="96"/>
        <w:ind w:right="212" w:firstLine="420"/>
        <w:jc w:val="both"/>
      </w:pPr>
      <w:r>
        <w:rPr>
          <w:spacing w:val="-1"/>
        </w:rPr>
        <w:t>长期股权投资、采用成本模式计量的投资性房地产、固定资产、在建工程、采用成本模式计量的生产</w:t>
      </w:r>
      <w:r>
        <w:rPr/>
        <w:t> </w:t>
      </w:r>
      <w:r>
        <w:rPr>
          <w:spacing w:val="-1"/>
        </w:rPr>
        <w:t>性生物资产、油气资产、无形资产、商誉等长期资产于资产负债表日存在减值迹象的，进行减值测试。减</w:t>
      </w:r>
      <w:r>
        <w:rPr>
          <w:spacing w:val="-83"/>
        </w:rPr>
        <w:t> </w:t>
      </w:r>
      <w:r>
        <w:rPr>
          <w:spacing w:val="-83"/>
        </w:rPr>
      </w:r>
      <w:r>
        <w:rPr/>
        <w:t>值测试结果表明资产的可收回金额低于其账面价值的，按其差额计提减值准备并计入减值损失。</w:t>
      </w:r>
    </w:p>
    <w:p>
      <w:pPr>
        <w:pStyle w:val="BodyText"/>
        <w:spacing w:line="408" w:lineRule="auto"/>
        <w:ind w:right="211" w:firstLine="420"/>
        <w:jc w:val="both"/>
      </w:pPr>
      <w:r>
        <w:rPr>
          <w:spacing w:val="3"/>
        </w:rPr>
        <w:t>可收回金额为资产的公允价值减去处置费用后的净额与资产预计未来现金流量的现值两者之间的较</w:t>
      </w:r>
      <w:r>
        <w:rPr/>
        <w:t> </w:t>
      </w:r>
      <w:r>
        <w:rPr>
          <w:spacing w:val="-1"/>
        </w:rPr>
        <w:t>高者。资产减值准备按单项资产为基础计算并确认，如果难以对单项资产的可收回金额进行估计的，以该</w:t>
      </w:r>
      <w:r>
        <w:rPr>
          <w:spacing w:val="-83"/>
        </w:rPr>
        <w:t> </w:t>
      </w:r>
      <w:r>
        <w:rPr>
          <w:spacing w:val="-83"/>
        </w:rPr>
      </w:r>
      <w:r>
        <w:rPr/>
        <w:t>资产所属的资产组确定资产组的可收回金额。资产组是能够独立产生现金流入的最小资产组合。</w:t>
      </w:r>
    </w:p>
    <w:p>
      <w:pPr>
        <w:pStyle w:val="BodyText"/>
        <w:spacing w:line="408" w:lineRule="auto"/>
        <w:ind w:right="211"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1"/>
        </w:rPr>
        <w:t> </w:t>
      </w:r>
      <w:r>
        <w:rPr>
          <w:spacing w:val="-81"/>
        </w:rPr>
      </w:r>
      <w:r>
        <w:rPr>
          <w:spacing w:val="-1"/>
        </w:rPr>
        <w:t>誉的资产组或资产组组合的可收回金额低于其账面价值的，确认相应的减值损失。减值损失金额先抵减分</w:t>
      </w:r>
      <w:r>
        <w:rPr>
          <w:spacing w:val="-81"/>
        </w:rPr>
        <w:t> </w:t>
      </w:r>
      <w:r>
        <w:rPr>
          <w:spacing w:val="-81"/>
        </w:rPr>
      </w:r>
      <w:r>
        <w:rPr>
          <w:spacing w:val="-1"/>
        </w:rPr>
        <w:t>摊至该资产组或资产组组合的商誉的账面价值，再根据资产组或资产组组合中除商誉以外的其他各项资产</w:t>
      </w:r>
      <w:r>
        <w:rPr>
          <w:spacing w:val="-81"/>
        </w:rPr>
        <w:t> </w:t>
      </w:r>
      <w:r>
        <w:rPr>
          <w:spacing w:val="-81"/>
        </w:rPr>
      </w:r>
      <w:r>
        <w:rPr/>
        <w:t>的账面价值所占比重，按比例抵减其他各项资产的账面价值。</w:t>
      </w:r>
    </w:p>
    <w:p>
      <w:pPr>
        <w:spacing w:line="604" w:lineRule="auto" w:before="46"/>
        <w:ind w:left="153" w:right="2903" w:firstLine="420"/>
        <w:jc w:val="left"/>
        <w:rPr>
          <w:rFonts w:ascii="宋体" w:hAnsi="宋体" w:cs="宋体" w:eastAsia="宋体" w:hint="default"/>
          <w:sz w:val="21"/>
          <w:szCs w:val="21"/>
        </w:rPr>
      </w:pPr>
      <w:r>
        <w:rPr>
          <w:rFonts w:ascii="宋体" w:hAnsi="宋体" w:cs="宋体" w:eastAsia="宋体" w:hint="default"/>
          <w:sz w:val="21"/>
          <w:szCs w:val="21"/>
        </w:rPr>
        <w:t>上述资产减值损失一经确认，以后期间不予转回价值得以恢复的部分。 </w:t>
      </w:r>
      <w:bookmarkStart w:name="21、长期待摊费用" w:id="151"/>
      <w:bookmarkEnd w:id="151"/>
      <w:r>
        <w:rPr>
          <w:rFonts w:ascii="宋体" w:hAnsi="宋体" w:cs="宋体" w:eastAsia="宋体" w:hint="default"/>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408" w:lineRule="auto" w:before="96"/>
        <w:ind w:right="211" w:firstLine="420"/>
        <w:jc w:val="both"/>
      </w:pPr>
      <w:r>
        <w:rPr>
          <w:spacing w:val="-1"/>
        </w:rPr>
        <w:t>本公司长期待摊费用是指已经支出，但受益期限在一年以上（不含一年）的各项费用。长期待摊费用</w:t>
      </w:r>
      <w:r>
        <w:rPr/>
        <w:t> </w:t>
      </w:r>
      <w:r>
        <w:rPr>
          <w:spacing w:val="-1"/>
        </w:rPr>
        <w:t>按费用项目的受益期限分期摊销。若长期待摊的费用项目不能使以后会计期间受益，则将尚未摊销的该项</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604" w:lineRule="auto" w:before="174"/>
        <w:ind w:left="153" w:right="6683" w:firstLine="0"/>
        <w:jc w:val="left"/>
        <w:rPr>
          <w:rFonts w:ascii="宋体" w:hAnsi="宋体" w:cs="宋体" w:eastAsia="宋体" w:hint="default"/>
          <w:sz w:val="21"/>
          <w:szCs w:val="21"/>
        </w:rPr>
      </w:pPr>
      <w:r>
        <w:rPr>
          <w:rFonts w:ascii="宋体" w:hAnsi="宋体" w:cs="宋体" w:eastAsia="宋体" w:hint="default"/>
          <w:sz w:val="21"/>
          <w:szCs w:val="21"/>
        </w:rPr>
        <w:t>目的摊余价值全部转入当期损益。 </w:t>
      </w:r>
      <w:bookmarkStart w:name="22、职工薪酬" w:id="152"/>
      <w:bookmarkEnd w:id="152"/>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3"/>
        <w:spacing w:line="240" w:lineRule="auto" w:before="19"/>
        <w:ind w:right="104"/>
        <w:jc w:val="left"/>
        <w:rPr>
          <w:b w:val="0"/>
          <w:bCs w:val="0"/>
        </w:rPr>
      </w:pPr>
      <w:bookmarkStart w:name="（1）短期薪酬的会计处理方法" w:id="153"/>
      <w:bookmarkEnd w:id="153"/>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89" w:firstLine="420"/>
        <w:jc w:val="both"/>
      </w:pPr>
      <w:r>
        <w:rPr>
          <w:spacing w:val="-1"/>
        </w:rPr>
        <w:t>在职工为本公司提供服务的会计期间，将实际发生的短期薪酬确认为负债，并计入当期损益，其他会</w:t>
      </w:r>
      <w:r>
        <w:rPr/>
        <w:t> </w:t>
      </w:r>
      <w:r>
        <w:rPr>
          <w:spacing w:val="-1"/>
        </w:rPr>
        <w:t>计准则要求或允许计入资产成本的除外。本公司发生的职工福利费，在实际发生时根据实际发生额计入当</w:t>
      </w:r>
      <w:r>
        <w:rPr>
          <w:spacing w:val="-81"/>
        </w:rPr>
        <w:t> </w:t>
      </w:r>
      <w:r>
        <w:rPr>
          <w:spacing w:val="-81"/>
        </w:rPr>
      </w:r>
      <w:r>
        <w:rPr>
          <w:spacing w:val="-1"/>
        </w:rPr>
        <w:t>期损益或相关资产成本。职工福利费为非货币性福利的，按照公允价值计量。企业为职工缴纳的医疗保险</w:t>
      </w:r>
      <w:r>
        <w:rPr>
          <w:spacing w:val="-83"/>
        </w:rPr>
        <w:t> </w:t>
      </w:r>
      <w:r>
        <w:rPr>
          <w:spacing w:val="-83"/>
        </w:rPr>
      </w:r>
      <w:r>
        <w:rPr/>
        <w:t>费、工伤保险费、生育保险费等社会保险费和住房公积金，以及按规定提取的工会经费和职工教育经费，</w:t>
      </w:r>
      <w:r>
        <w:rPr/>
        <w:t> </w:t>
      </w:r>
      <w:r>
        <w:rPr>
          <w:spacing w:val="-1"/>
        </w:rPr>
        <w:t>在职工提供服务的会计期间，根据规定的计提基础和计提比例计算确定相应的职工薪酬金额，并确认相应</w:t>
      </w:r>
      <w:r>
        <w:rPr>
          <w:spacing w:val="-81"/>
        </w:rPr>
        <w:t> </w:t>
      </w:r>
      <w:r>
        <w:rPr>
          <w:spacing w:val="-81"/>
        </w:rPr>
      </w:r>
      <w:r>
        <w:rPr/>
        <w:t>负债，计入当期损益或相关资产成本。</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2）离职后福利的会计处理方法" w:id="154"/>
      <w:bookmarkEnd w:id="154"/>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211" w:firstLine="420"/>
        <w:jc w:val="both"/>
      </w:pPr>
      <w:r>
        <w:rPr>
          <w:spacing w:val="-1"/>
        </w:rPr>
        <w:t>本公司在职工提供服务的会计期间，根据设定提存计划计算的应缴存金额确认为负债，并计入当期损</w:t>
      </w:r>
      <w:r>
        <w:rPr/>
        <w:t> </w:t>
      </w:r>
      <w:r>
        <w:rPr>
          <w:spacing w:val="-1"/>
        </w:rPr>
        <w:t>益或相关资产成本。根据预期累计福利单位法确定的公式将设定受益计划产生的福利义务归属于职工提供</w:t>
      </w:r>
      <w:r>
        <w:rPr>
          <w:spacing w:val="-81"/>
        </w:rPr>
        <w:t> </w:t>
      </w:r>
      <w:r>
        <w:rPr>
          <w:spacing w:val="-81"/>
        </w:rPr>
      </w:r>
      <w:r>
        <w:rPr/>
        <w:t>服务的期间，并计入当期损益或相关资产成本。</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3）辞退福利的会计处理方法" w:id="155"/>
      <w:bookmarkEnd w:id="155"/>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98" w:firstLine="420"/>
        <w:jc w:val="left"/>
      </w:pPr>
      <w:r>
        <w:rPr>
          <w:spacing w:val="-3"/>
        </w:rPr>
        <w:t>企业向职工提供辞退福利时，在下列两者孰早日确认辞退福利产生的职工薪酬负债，并计入当期损益：</w:t>
      </w:r>
      <w:r>
        <w:rPr/>
        <w:t> 企业不能单方面撤回因解除劳动关系计划或裁减建议所提供的辞退福利时；企业确认与涉及支付辞退福利 的重组相关的成本或费用时。</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4）其他长期职工福利的会计处理方法" w:id="156"/>
      <w:bookmarkEnd w:id="156"/>
      <w:r>
        <w:rPr>
          <w:b w:val="0"/>
          <w:bCs w:val="0"/>
        </w:rPr>
      </w:r>
      <w:r>
        <w:rPr/>
        <w:t>（</w:t>
      </w:r>
      <w:r>
        <w:rPr>
          <w:rFonts w:ascii="宋体" w:hAnsi="宋体" w:cs="宋体" w:eastAsia="宋体" w:hint="default"/>
        </w:rPr>
        <w:t>4</w:t>
      </w:r>
      <w:r>
        <w:rPr/>
        <w:t>）其他长期职工福利的会计处理方法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211" w:firstLine="420"/>
        <w:jc w:val="both"/>
      </w:pPr>
      <w:r>
        <w:rPr>
          <w:spacing w:val="-1"/>
        </w:rPr>
        <w:t>本公司向职工提供的其他长期职工福利，符合设定提存计划条件的，应当有关设定提存计划的规定进</w:t>
      </w:r>
      <w:r>
        <w:rPr/>
        <w:t> 行处理；除此外，根据设定受益计划的有关规定，确认和计量其他长期职工福利净负债或净资产。</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23、预计负债" w:id="157"/>
      <w:bookmarkEnd w:id="157"/>
      <w:r>
        <w:rPr>
          <w:b w:val="0"/>
          <w:bCs w:val="0"/>
        </w:rPr>
      </w:r>
      <w:r>
        <w:rPr>
          <w:rFonts w:ascii="宋体" w:hAnsi="宋体" w:cs="宋体" w:eastAsia="宋体" w:hint="default"/>
        </w:rPr>
        <w:t>23</w:t>
      </w:r>
      <w:r>
        <w:rPr/>
        <w:t>、预计负债</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211" w:firstLine="420"/>
        <w:jc w:val="both"/>
      </w:pPr>
      <w:r>
        <w:rPr>
          <w:spacing w:val="-1"/>
        </w:rPr>
        <w:t>当与或有事项相关的义务是公司承担的现时义务，且履行该义务很可能导致经济利益流出，同时其金</w:t>
      </w:r>
      <w:r>
        <w:rPr/>
        <w:t> </w:t>
      </w:r>
      <w:r>
        <w:rPr>
          <w:spacing w:val="-1"/>
        </w:rPr>
        <w:t>额能够可靠地计量时确认该义务为预计负债。本公司按照履行相关现时义务所需支出的最佳估计数进行初</w:t>
      </w:r>
      <w:r>
        <w:rPr>
          <w:spacing w:val="-81"/>
        </w:rPr>
        <w:t> </w:t>
      </w:r>
      <w:r>
        <w:rPr>
          <w:spacing w:val="-81"/>
        </w:rPr>
      </w:r>
      <w:r>
        <w:rPr>
          <w:spacing w:val="-1"/>
        </w:rPr>
        <w:t>始计量，如所需支出存在一个连续范围，且该范围内各种结果发生的可能性相同，最佳估计数按照该范围</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995" w:right="0" w:hanging="842"/>
        <w:jc w:val="left"/>
      </w:pPr>
      <w:r>
        <w:rPr/>
        <w:t>内的中间值确定；如涉及多个项目，按照各种可能结果及相关概率计算确定最佳估计数。 </w:t>
      </w:r>
      <w:r>
        <w:rPr>
          <w:spacing w:val="-1"/>
        </w:rPr>
        <w:t>资产负债表日应当对预计负债账面价值进行复核，有确凿证据表明该账面价值不能真实反映当前</w:t>
      </w:r>
    </w:p>
    <w:p>
      <w:pPr>
        <w:pStyle w:val="BodyText"/>
        <w:spacing w:line="408" w:lineRule="auto"/>
        <w:ind w:left="995" w:right="3893" w:hanging="842"/>
        <w:jc w:val="left"/>
      </w:pPr>
      <w:r>
        <w:rPr/>
        <w:t>最佳估计数，应当按照当前最佳估计数对该账面价值进行调整。 依据上述计量方法，公司实际预计负债确认程序为：</w:t>
      </w:r>
    </w:p>
    <w:p>
      <w:pPr>
        <w:pStyle w:val="BodyText"/>
        <w:spacing w:line="408" w:lineRule="auto"/>
        <w:ind w:right="157" w:firstLine="420"/>
        <w:jc w:val="both"/>
      </w:pPr>
      <w:r>
        <w:rPr>
          <w:spacing w:val="3"/>
        </w:rPr>
        <w:t>①对工程建造项目产生的预计质保维修费用，根据以往年度经验确定的发生质保维修费用最佳估计</w:t>
      </w:r>
      <w:r>
        <w:rPr/>
        <w:t> 数，按照报告期实际确认的工程建造项目营业收入的</w:t>
      </w:r>
      <w:r>
        <w:rPr>
          <w:rFonts w:ascii="宋体" w:hAnsi="宋体" w:cs="宋体" w:eastAsia="宋体" w:hint="default"/>
        </w:rPr>
        <w:t>1%</w:t>
      </w:r>
      <w:r>
        <w:rPr/>
        <w:t>确认预计负债。</w:t>
      </w:r>
    </w:p>
    <w:p>
      <w:pPr>
        <w:pStyle w:val="BodyText"/>
        <w:spacing w:line="408" w:lineRule="auto"/>
        <w:ind w:left="154" w:right="152" w:firstLine="420"/>
        <w:jc w:val="both"/>
      </w:pPr>
      <w:r>
        <w:rPr/>
        <w:t>②对</w:t>
      </w:r>
      <w:r>
        <w:rPr>
          <w:rFonts w:ascii="宋体" w:hAnsi="宋体" w:cs="宋体" w:eastAsia="宋体" w:hint="default"/>
        </w:rPr>
        <w:t>BOT</w:t>
      </w:r>
      <w:r>
        <w:rPr/>
        <w:t>项目产生的预计环保设备大修及更新费用，按照当前确定的最佳估计数确认预计负债，每个 </w:t>
      </w:r>
      <w:r>
        <w:rPr>
          <w:spacing w:val="-1"/>
        </w:rPr>
        <w:t>报告期末对上期确定的最佳估计数进行复核，如有有确凿证据表明该账面价值不能真实反映当前最佳估计</w:t>
      </w:r>
      <w:r>
        <w:rPr>
          <w:spacing w:val="-81"/>
        </w:rPr>
        <w:t> </w:t>
      </w:r>
      <w:r>
        <w:rPr>
          <w:spacing w:val="-81"/>
        </w:rPr>
      </w:r>
      <w:r>
        <w:rPr/>
        <w:t>数，按照当前最佳估计数对该账面价值进行调整。</w:t>
      </w:r>
    </w:p>
    <w:p>
      <w:pPr>
        <w:spacing w:line="240" w:lineRule="auto" w:before="8"/>
        <w:rPr>
          <w:rFonts w:ascii="宋体" w:hAnsi="宋体" w:cs="宋体" w:eastAsia="宋体" w:hint="default"/>
          <w:sz w:val="20"/>
          <w:szCs w:val="20"/>
        </w:rPr>
      </w:pPr>
    </w:p>
    <w:p>
      <w:pPr>
        <w:pStyle w:val="Heading3"/>
        <w:spacing w:line="240" w:lineRule="auto"/>
        <w:ind w:left="154" w:right="0"/>
        <w:jc w:val="left"/>
        <w:rPr>
          <w:b w:val="0"/>
          <w:bCs w:val="0"/>
        </w:rPr>
      </w:pPr>
      <w:bookmarkStart w:name="24、股份支付" w:id="158"/>
      <w:bookmarkEnd w:id="158"/>
      <w:r>
        <w:rPr>
          <w:b w:val="0"/>
          <w:bCs w:val="0"/>
        </w:rPr>
      </w:r>
      <w:r>
        <w:rPr>
          <w:rFonts w:ascii="宋体" w:hAnsi="宋体" w:cs="宋体" w:eastAsia="宋体" w:hint="default"/>
        </w:rPr>
        <w:t>24</w:t>
      </w:r>
      <w:r>
        <w:rPr/>
        <w:t>、股份支付</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154" w:right="151" w:firstLine="420"/>
        <w:jc w:val="both"/>
      </w:pPr>
      <w:r>
        <w:rPr>
          <w:spacing w:val="-1"/>
        </w:rPr>
        <w:t>本公司股份支付包括以权益结算的股份支付和以现金结算的股份支付。以权益结算的股份支付换取职</w:t>
      </w:r>
      <w:r>
        <w:rPr/>
        <w:t> </w:t>
      </w:r>
      <w:r>
        <w:rPr>
          <w:spacing w:val="-1"/>
        </w:rPr>
        <w:t>工提供服务的，以授予职工权益工具的公允价值计量。存在活跃市场的，按照活跃市场中的报价确定；不</w:t>
      </w:r>
      <w:r>
        <w:rPr>
          <w:spacing w:val="-85"/>
        </w:rPr>
        <w:t> </w:t>
      </w:r>
      <w:r>
        <w:rPr>
          <w:spacing w:val="-85"/>
        </w:rPr>
      </w:r>
      <w:r>
        <w:rPr>
          <w:spacing w:val="-1"/>
        </w:rPr>
        <w:t>存在活跃市场的，采用估值技术确定，包括参考熟悉情况并自愿交易的各方最近进行的市场交易中使用的</w:t>
      </w:r>
      <w:r>
        <w:rPr>
          <w:spacing w:val="-81"/>
        </w:rPr>
        <w:t> </w:t>
      </w:r>
      <w:r>
        <w:rPr>
          <w:spacing w:val="-81"/>
        </w:rPr>
      </w:r>
      <w:r>
        <w:rPr/>
        <w:t>价格、参照实质上相同的其他金融工具的当前公允价值、现金流量折现法和期权定价模型等。</w:t>
      </w:r>
    </w:p>
    <w:p>
      <w:pPr>
        <w:pStyle w:val="BodyText"/>
        <w:spacing w:line="408" w:lineRule="auto"/>
        <w:ind w:right="151" w:firstLine="420"/>
        <w:jc w:val="both"/>
      </w:pPr>
      <w:r>
        <w:rPr>
          <w:spacing w:val="-1"/>
        </w:rPr>
        <w:t>在各个资产负债表日，根据最新取得的可行权人数变动、业绩指标完成情况等后续信息，修正预计可</w:t>
      </w:r>
      <w:r>
        <w:rPr/>
        <w:t> </w:t>
      </w:r>
      <w:r>
        <w:rPr>
          <w:spacing w:val="-1"/>
        </w:rPr>
        <w:t>行权的股票期权数量，并以此为依据确认各期应分摊的费用。对于跨越多个会计期间的期权费用，一般可</w:t>
      </w:r>
      <w:r>
        <w:rPr>
          <w:spacing w:val="-83"/>
        </w:rPr>
        <w:t> </w:t>
      </w:r>
      <w:r>
        <w:rPr>
          <w:spacing w:val="-83"/>
        </w:rPr>
      </w:r>
      <w:r>
        <w:rPr/>
        <w:t>以按照该期权在某会计期间内等待期长度占整个等待期长度的比例进行分摊。</w:t>
      </w:r>
    </w:p>
    <w:p>
      <w:pPr>
        <w:spacing w:line="690" w:lineRule="atLeast" w:before="166"/>
        <w:ind w:left="573" w:right="0" w:hanging="420"/>
        <w:jc w:val="left"/>
        <w:rPr>
          <w:rFonts w:ascii="宋体" w:hAnsi="宋体" w:cs="宋体" w:eastAsia="宋体" w:hint="default"/>
          <w:sz w:val="21"/>
          <w:szCs w:val="21"/>
        </w:rPr>
      </w:pPr>
      <w:bookmarkStart w:name="25、优先股、永续债等其他金融工具" w:id="159"/>
      <w:bookmarkEnd w:id="159"/>
      <w:r>
        <w:rPr/>
      </w:r>
      <w:r>
        <w:rPr>
          <w:rFonts w:ascii="宋体" w:hAnsi="宋体" w:cs="宋体" w:eastAsia="宋体" w:hint="default"/>
          <w:b/>
          <w:bCs/>
          <w:sz w:val="21"/>
          <w:szCs w:val="21"/>
        </w:rPr>
        <w:t>25</w:t>
      </w:r>
      <w:r>
        <w:rPr>
          <w:rFonts w:ascii="宋体" w:hAnsi="宋体" w:cs="宋体" w:eastAsia="宋体" w:hint="default"/>
          <w:b/>
          <w:bCs/>
          <w:sz w:val="21"/>
          <w:szCs w:val="21"/>
        </w:rPr>
        <w:t>、优先股、永续债等其他金融工具</w:t>
      </w:r>
      <w:r>
        <w:rPr>
          <w:rFonts w:ascii="宋体" w:hAnsi="宋体" w:cs="宋体" w:eastAsia="宋体" w:hint="default"/>
          <w:b/>
          <w:bCs/>
          <w:w w:val="99"/>
          <w:sz w:val="21"/>
          <w:szCs w:val="21"/>
        </w:rPr>
        <w:t> </w:t>
      </w:r>
      <w:r>
        <w:rPr>
          <w:rFonts w:ascii="宋体" w:hAnsi="宋体" w:cs="宋体" w:eastAsia="宋体" w:hint="default"/>
          <w:spacing w:val="-1"/>
          <w:sz w:val="21"/>
          <w:szCs w:val="21"/>
        </w:rPr>
        <w:t>发行方对于归类为金融负债的金融工具在“应付债券”科目核算，在该工具存续期间，计提利息并对</w:t>
      </w:r>
    </w:p>
    <w:p>
      <w:pPr>
        <w:spacing w:line="240" w:lineRule="auto" w:before="10"/>
        <w:rPr>
          <w:rFonts w:ascii="宋体" w:hAnsi="宋体" w:cs="宋体" w:eastAsia="宋体" w:hint="default"/>
          <w:sz w:val="14"/>
          <w:szCs w:val="14"/>
        </w:rPr>
      </w:pPr>
    </w:p>
    <w:p>
      <w:pPr>
        <w:pStyle w:val="BodyText"/>
        <w:spacing w:line="408" w:lineRule="auto" w:before="0"/>
        <w:ind w:left="154" w:right="152"/>
        <w:jc w:val="both"/>
      </w:pPr>
      <w:r>
        <w:rPr>
          <w:spacing w:val="-1"/>
        </w:rPr>
        <w:t>账面的利息调整进行调整等的会计处理，按照金融工具确认和计量准则中有关金融负债按摊余成本后续计</w:t>
      </w:r>
      <w:r>
        <w:rPr>
          <w:spacing w:val="-81"/>
        </w:rPr>
        <w:t> </w:t>
      </w:r>
      <w:r>
        <w:rPr>
          <w:spacing w:val="-81"/>
        </w:rPr>
      </w:r>
      <w:r>
        <w:rPr>
          <w:spacing w:val="-1"/>
        </w:rPr>
        <w:t>量的规定进行会计处理。发行方对于归类为权益工具的在“其他权益工具”科目核算，在存续期间分派股</w:t>
      </w:r>
      <w:r>
        <w:rPr>
          <w:spacing w:val="-86"/>
        </w:rPr>
        <w:t> </w:t>
      </w:r>
      <w:r>
        <w:rPr>
          <w:spacing w:val="-86"/>
        </w:rPr>
      </w:r>
      <w:r>
        <w:rPr/>
        <w:t>利（含分类为权益工具的工具所产生的利息）的，作为利润分配处理。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6、收入" w:id="160"/>
      <w:bookmarkEnd w:id="160"/>
      <w:r>
        <w:rPr>
          <w:b w:val="0"/>
          <w:bCs w:val="0"/>
        </w:rPr>
      </w:r>
      <w:r>
        <w:rPr>
          <w:rFonts w:ascii="宋体" w:hAnsi="宋体" w:cs="宋体" w:eastAsia="宋体" w:hint="default"/>
        </w:rPr>
        <w:t>26</w:t>
      </w:r>
      <w:r>
        <w:rPr/>
        <w:t>、收入</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573" w:right="0"/>
        <w:jc w:val="left"/>
      </w:pPr>
      <w:r>
        <w:rPr>
          <w:rFonts w:ascii="宋体" w:hAnsi="宋体" w:cs="宋体" w:eastAsia="宋体" w:hint="default"/>
        </w:rPr>
        <w:t>1</w:t>
      </w:r>
      <w:r>
        <w:rPr/>
        <w:t>、销售商品 </w:t>
      </w:r>
      <w:r>
        <w:rPr>
          <w:spacing w:val="-1"/>
        </w:rPr>
        <w:t>商品收入同时满足下列条件的，才能予以确认：①公司已将商品所有权上的主要风险和报酬转移给购</w:t>
      </w:r>
    </w:p>
    <w:p>
      <w:pPr>
        <w:pStyle w:val="BodyText"/>
        <w:spacing w:line="240" w:lineRule="auto"/>
        <w:ind w:right="0"/>
        <w:jc w:val="left"/>
      </w:pPr>
      <w:r>
        <w:rPr/>
        <w:t>货方；②公司既没有保留通常与所有权相联系的继续管理权，也没有对已售出的商品实施有效控制；③收</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入的金额能够可靠地计量；④相关的经济利益很可能流入本公司；⑤相关的已发生或将发生的成本能够可</w:t>
      </w:r>
      <w:r>
        <w:rPr>
          <w:spacing w:val="-81"/>
        </w:rPr>
        <w:t> </w:t>
      </w:r>
      <w:r>
        <w:rPr>
          <w:spacing w:val="-81"/>
        </w:rPr>
      </w:r>
      <w:r>
        <w:rPr/>
        <w:t>靠地计量。</w:t>
      </w:r>
    </w:p>
    <w:p>
      <w:pPr>
        <w:pStyle w:val="BodyText"/>
        <w:spacing w:line="408" w:lineRule="auto"/>
        <w:ind w:right="151" w:firstLine="420"/>
        <w:jc w:val="both"/>
      </w:pPr>
      <w:r>
        <w:rPr>
          <w:spacing w:val="-1"/>
        </w:rPr>
        <w:t>本公司按照从购货方已收或应收的合同或协议价款确定销售商品收入金额，但已收或应收的合同或协</w:t>
      </w:r>
      <w:r>
        <w:rPr/>
        <w:t> </w:t>
      </w:r>
      <w:r>
        <w:rPr>
          <w:spacing w:val="-1"/>
        </w:rPr>
        <w:t>议价款不公允的除外。合同或协议价款的收取采用递延方式，实质上具有融资性质的，按照应收的合同或</w:t>
      </w:r>
      <w:r>
        <w:rPr>
          <w:spacing w:val="-83"/>
        </w:rPr>
        <w:t> </w:t>
      </w:r>
      <w:r>
        <w:rPr>
          <w:spacing w:val="-83"/>
        </w:rPr>
      </w:r>
      <w:r>
        <w:rPr>
          <w:spacing w:val="-1"/>
        </w:rPr>
        <w:t>协议价款的公允价值确定销售商品收入金额。应收的合同或协议价款与其公允价值之间的差额，在合同或</w:t>
      </w:r>
      <w:r>
        <w:rPr>
          <w:spacing w:val="-81"/>
        </w:rPr>
        <w:t> </w:t>
      </w:r>
      <w:r>
        <w:rPr>
          <w:spacing w:val="-81"/>
        </w:rPr>
      </w:r>
      <w:r>
        <w:rPr/>
        <w:t>协议期间内采用实际利率法进行摊销，计入当期损益。</w:t>
      </w:r>
    </w:p>
    <w:p>
      <w:pPr>
        <w:pStyle w:val="BodyText"/>
        <w:spacing w:line="408" w:lineRule="auto"/>
        <w:ind w:right="151" w:firstLine="420"/>
        <w:jc w:val="both"/>
      </w:pPr>
      <w:r>
        <w:rPr>
          <w:spacing w:val="-1"/>
        </w:rPr>
        <w:t>销售商品涉及现金折扣的，按照扣除现金折扣前的金额确定销售商品收入金额。销售商品涉及商业折</w:t>
      </w:r>
      <w:r>
        <w:rPr/>
        <w:t> </w:t>
      </w:r>
      <w:r>
        <w:rPr>
          <w:spacing w:val="-1"/>
        </w:rPr>
        <w:t>扣的，按照扣除商业折扣后的金额确定销售商品收入金额。本公司已经确认销售商品收入的售出商品发生</w:t>
      </w:r>
      <w:r>
        <w:rPr>
          <w:spacing w:val="-81"/>
        </w:rPr>
        <w:t> </w:t>
      </w:r>
      <w:r>
        <w:rPr>
          <w:spacing w:val="-81"/>
        </w:rPr>
      </w:r>
      <w:r>
        <w:rPr/>
        <w:t>销售折让的，在发生时冲减当期销售商品收入。</w:t>
      </w:r>
    </w:p>
    <w:p>
      <w:pPr>
        <w:pStyle w:val="BodyText"/>
        <w:spacing w:line="408" w:lineRule="auto"/>
        <w:ind w:left="573" w:right="113"/>
        <w:jc w:val="left"/>
      </w:pPr>
      <w:r>
        <w:rPr/>
        <w:t>公司已经确认销售商品收入的售出商品发生销售退回的，在发生时冲减当期销售商品收入。 </w:t>
      </w:r>
      <w:r>
        <w:rPr>
          <w:rFonts w:ascii="宋体" w:hAnsi="宋体" w:cs="宋体" w:eastAsia="宋体" w:hint="default"/>
        </w:rPr>
        <w:t>2</w:t>
      </w:r>
      <w:r>
        <w:rPr/>
        <w:t>、提供劳务 本公司在资产负债表日提供劳务交易的结果能够可靠估计的，采用完工百分比法确认提供劳务收入，</w:t>
      </w:r>
    </w:p>
    <w:p>
      <w:pPr>
        <w:pStyle w:val="BodyText"/>
        <w:spacing w:line="408" w:lineRule="auto"/>
        <w:ind w:left="574" w:right="3892" w:hanging="420"/>
        <w:jc w:val="left"/>
      </w:pPr>
      <w:r>
        <w:rPr/>
        <w:t>即按照提供劳务交易的完工进度确认收入与费用。 提供劳务交易的结果能够可靠估计，应同时满足下列条件：</w:t>
      </w:r>
    </w:p>
    <w:p>
      <w:pPr>
        <w:pStyle w:val="BodyText"/>
        <w:spacing w:line="240" w:lineRule="auto"/>
        <w:ind w:left="573" w:right="0"/>
        <w:jc w:val="left"/>
      </w:pPr>
      <w:r>
        <w:rPr/>
        <w:t>①收入的金额能够可靠地计量；</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②相关的经济利益很可能流入企业；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③交易的完工进度能够可靠地确定；</w:t>
      </w:r>
    </w:p>
    <w:p>
      <w:pPr>
        <w:spacing w:line="240" w:lineRule="auto" w:before="10"/>
        <w:rPr>
          <w:rFonts w:ascii="宋体" w:hAnsi="宋体" w:cs="宋体" w:eastAsia="宋体" w:hint="default"/>
          <w:sz w:val="14"/>
          <w:szCs w:val="14"/>
        </w:rPr>
      </w:pPr>
    </w:p>
    <w:p>
      <w:pPr>
        <w:pStyle w:val="BodyText"/>
        <w:spacing w:line="408" w:lineRule="auto" w:before="0"/>
        <w:ind w:left="573" w:right="323"/>
        <w:jc w:val="left"/>
      </w:pPr>
      <w:r>
        <w:rPr/>
        <w:t>④交易中已发生和将发生的成本能够可靠地计量。 在同一会计年度内开始并完成的劳务，在劳务完成时确认收入，确认的金额为合同或协议总金额。 资产负债表日提供劳务交易结果不能够可靠估计的，分别下列情况处理：</w:t>
      </w:r>
    </w:p>
    <w:p>
      <w:pPr>
        <w:pStyle w:val="BodyText"/>
        <w:spacing w:line="408" w:lineRule="auto"/>
        <w:ind w:right="151" w:firstLine="420"/>
        <w:jc w:val="both"/>
      </w:pPr>
      <w:r>
        <w:rPr>
          <w:spacing w:val="-1"/>
        </w:rPr>
        <w:t>①已经发生的劳务成本预计能够得到补偿的，按照已经发生的劳务成本金额确认提供劳务收入，并按</w:t>
      </w:r>
      <w:r>
        <w:rPr/>
        <w:t> 相同金额结转劳务成本；</w:t>
      </w:r>
    </w:p>
    <w:p>
      <w:pPr>
        <w:pStyle w:val="BodyText"/>
        <w:spacing w:line="408" w:lineRule="auto"/>
        <w:ind w:right="151" w:firstLine="420"/>
        <w:jc w:val="both"/>
      </w:pPr>
      <w:r>
        <w:rPr>
          <w:spacing w:val="-1"/>
        </w:rPr>
        <w:t>②已经发生的劳务成本预计不能够得到补偿的，将已经发生的劳务成本计入当期损益，不确认提供劳</w:t>
      </w:r>
      <w:r>
        <w:rPr/>
        <w:t> 务收入。</w:t>
      </w:r>
    </w:p>
    <w:p>
      <w:pPr>
        <w:pStyle w:val="BodyText"/>
        <w:spacing w:line="408" w:lineRule="auto"/>
        <w:ind w:left="573" w:right="0"/>
        <w:jc w:val="left"/>
      </w:pPr>
      <w:r>
        <w:rPr>
          <w:rFonts w:ascii="宋体" w:hAnsi="宋体" w:cs="宋体" w:eastAsia="宋体" w:hint="default"/>
        </w:rPr>
        <w:t>3</w:t>
      </w:r>
      <w:r>
        <w:rPr/>
        <w:t>、让渡资产使用权 </w:t>
      </w:r>
      <w:r>
        <w:rPr>
          <w:spacing w:val="-1"/>
        </w:rPr>
        <w:t>让渡资产使用权收入包括利息收入、使用费收入等。让渡资产使用权收入同时满足下列条件的，才能</w:t>
      </w:r>
    </w:p>
    <w:p>
      <w:pPr>
        <w:pStyle w:val="BodyText"/>
        <w:spacing w:line="240" w:lineRule="auto"/>
        <w:ind w:right="0"/>
        <w:jc w:val="left"/>
      </w:pPr>
      <w:r>
        <w:rPr/>
        <w:t>予以确认：</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①相关的经济利益很可能流入企业；</w:t>
      </w:r>
    </w:p>
    <w:p>
      <w:pPr>
        <w:spacing w:line="240" w:lineRule="auto" w:before="10"/>
        <w:rPr>
          <w:rFonts w:ascii="宋体" w:hAnsi="宋体" w:cs="宋体" w:eastAsia="宋体" w:hint="default"/>
          <w:sz w:val="14"/>
          <w:szCs w:val="14"/>
        </w:rPr>
      </w:pPr>
    </w:p>
    <w:p>
      <w:pPr>
        <w:pStyle w:val="BodyText"/>
        <w:spacing w:line="408" w:lineRule="auto" w:before="0"/>
        <w:ind w:left="573" w:right="6413"/>
        <w:jc w:val="left"/>
      </w:pPr>
      <w:r>
        <w:rPr/>
        <w:t>②收入的金额能够可靠地计量。 </w:t>
      </w:r>
      <w:r>
        <w:rPr>
          <w:rFonts w:ascii="宋体" w:hAnsi="宋体" w:cs="宋体" w:eastAsia="宋体" w:hint="default"/>
        </w:rPr>
        <w:t>4</w:t>
      </w:r>
      <w:r>
        <w:rPr/>
        <w:t>、建造合同</w:t>
      </w:r>
    </w:p>
    <w:p>
      <w:pPr>
        <w:spacing w:after="0" w:line="408" w:lineRule="auto"/>
        <w:jc w:val="left"/>
        <w:sectPr>
          <w:footerReference w:type="default" r:id="rId24"/>
          <w:pgSz w:w="11910" w:h="16840"/>
          <w:pgMar w:footer="979" w:header="747"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98" w:firstLine="420"/>
        <w:jc w:val="left"/>
      </w:pPr>
      <w:r>
        <w:rPr>
          <w:spacing w:val="-3"/>
        </w:rPr>
        <w:t>于资产负债表日，建造合同的结果能够可靠地估计的，本公司根据完工百分比法确认合同收入和费用。</w:t>
      </w:r>
      <w:r>
        <w:rPr/>
        <w:t> 如果建造合同的结果不能可靠地估计，则区别情况处理：如合同成本能够收回的，则合同收入根据能够收 回的实际合同成本加以确认，合同成本在其发生的当期作为费用；如合同成本不可能收回的，则在发生时 作为费用，不确认收入。</w:t>
      </w:r>
    </w:p>
    <w:p>
      <w:pPr>
        <w:pStyle w:val="BodyText"/>
        <w:spacing w:line="408" w:lineRule="auto"/>
        <w:ind w:left="573" w:right="104"/>
        <w:jc w:val="left"/>
      </w:pPr>
      <w:r>
        <w:rPr/>
        <w:t>合同预计总成本超过合同总收入的，本公司将预计损失确认为当期费用。 合同完工进度按累计实际发生的合同成本占合同预计总成本的比例确定。 </w:t>
      </w:r>
      <w:r>
        <w:rPr>
          <w:spacing w:val="-1"/>
        </w:rPr>
        <w:t>建造合同的结果能够可靠估计是指同时满足：①合同总收入能够可靠地计量；②与合同相关的经济利</w:t>
      </w:r>
    </w:p>
    <w:p>
      <w:pPr>
        <w:pStyle w:val="BodyText"/>
        <w:spacing w:line="408" w:lineRule="auto"/>
        <w:ind w:right="104"/>
        <w:jc w:val="left"/>
      </w:pPr>
      <w:r>
        <w:rPr>
          <w:spacing w:val="-1"/>
        </w:rPr>
        <w:t>益很可能流入企业；③实际发生的合同成本能够清楚地区分和可靠地计量；④合同完工进度和为完成合同</w:t>
      </w:r>
      <w:r>
        <w:rPr>
          <w:spacing w:val="-81"/>
        </w:rPr>
        <w:t> </w:t>
      </w:r>
      <w:r>
        <w:rPr>
          <w:spacing w:val="-81"/>
        </w:rPr>
      </w:r>
      <w:r>
        <w:rPr/>
        <w:t>尚需发生的成本能够可靠地确定。</w:t>
      </w:r>
    </w:p>
    <w:p>
      <w:pPr>
        <w:pStyle w:val="BodyText"/>
        <w:spacing w:line="240" w:lineRule="auto"/>
        <w:ind w:left="573" w:right="104"/>
        <w:jc w:val="left"/>
      </w:pPr>
      <w:r>
        <w:rPr>
          <w:rFonts w:ascii="宋体" w:hAnsi="宋体" w:cs="宋体" w:eastAsia="宋体" w:hint="default"/>
        </w:rPr>
        <w:t>5</w:t>
      </w:r>
      <w:r>
        <w:rPr/>
        <w:t>、收入确认的具体方法</w:t>
      </w:r>
    </w:p>
    <w:p>
      <w:pPr>
        <w:spacing w:line="240" w:lineRule="auto" w:before="10"/>
        <w:rPr>
          <w:rFonts w:ascii="宋体" w:hAnsi="宋体" w:cs="宋体" w:eastAsia="宋体" w:hint="default"/>
          <w:sz w:val="14"/>
          <w:szCs w:val="14"/>
        </w:rPr>
      </w:pPr>
    </w:p>
    <w:p>
      <w:pPr>
        <w:pStyle w:val="BodyText"/>
        <w:spacing w:line="408" w:lineRule="auto" w:before="0"/>
        <w:ind w:right="211" w:firstLine="420"/>
        <w:jc w:val="both"/>
      </w:pPr>
      <w:r>
        <w:rPr>
          <w:spacing w:val="-1"/>
        </w:rPr>
        <w:t>①系统产品销售收入的确认程序：公司对需要安装的监控系统等，根据和客户签订的系统产品销售合</w:t>
      </w:r>
      <w:r>
        <w:rPr/>
        <w:t> </w:t>
      </w:r>
      <w:r>
        <w:rPr>
          <w:spacing w:val="-1"/>
        </w:rPr>
        <w:t>同经审批后组织发货，项目安装完毕，客户验收后出具安装调试报告或验收报告，公司根据合同、销售出</w:t>
      </w:r>
      <w:r>
        <w:rPr>
          <w:spacing w:val="-86"/>
        </w:rPr>
        <w:t> </w:t>
      </w:r>
      <w:r>
        <w:rPr>
          <w:spacing w:val="-86"/>
        </w:rPr>
      </w:r>
      <w:r>
        <w:rPr/>
        <w:t>库单、货物回单、安装调试报告或验收报告确认收入。</w:t>
      </w:r>
    </w:p>
    <w:p>
      <w:pPr>
        <w:pStyle w:val="BodyText"/>
        <w:spacing w:line="408" w:lineRule="auto"/>
        <w:ind w:right="210" w:firstLine="420"/>
        <w:jc w:val="both"/>
      </w:pPr>
      <w:r>
        <w:rPr>
          <w:spacing w:val="-1"/>
        </w:rPr>
        <w:t>环保设备销售收入确认的具体方式：公司的环保设备销售业务收入确认根据销售合同约定，按以下两</w:t>
      </w:r>
      <w:r>
        <w:rPr/>
        <w:t> 种方式确认收入：</w:t>
      </w:r>
      <w:r>
        <w:rPr>
          <w:rFonts w:ascii="宋体" w:hAnsi="宋体" w:cs="宋体" w:eastAsia="宋体" w:hint="default"/>
        </w:rPr>
        <w:t>1</w:t>
      </w:r>
      <w:r>
        <w:rPr/>
        <w:t>）不承担安装义务的产品：公司将产品运输到合同约定地点，由客户负责签收，公司</w:t>
      </w:r>
      <w:r>
        <w:rPr>
          <w:spacing w:val="-33"/>
        </w:rPr>
        <w:t> </w:t>
      </w:r>
      <w:r>
        <w:rPr>
          <w:spacing w:val="-33"/>
        </w:rPr>
      </w:r>
      <w:r>
        <w:rPr/>
        <w:t>依据签收单回执，确认为当期销售收入；</w:t>
      </w:r>
      <w:r>
        <w:rPr>
          <w:rFonts w:ascii="宋体" w:hAnsi="宋体" w:cs="宋体" w:eastAsia="宋体" w:hint="default"/>
        </w:rPr>
        <w:t>2</w:t>
      </w:r>
      <w:r>
        <w:rPr/>
        <w:t>）承担安装义务的产品：在产品单机安装验收合格后确认为当</w:t>
      </w:r>
      <w:r>
        <w:rPr>
          <w:spacing w:val="-30"/>
        </w:rPr>
        <w:t> </w:t>
      </w:r>
      <w:r>
        <w:rPr>
          <w:spacing w:val="-30"/>
        </w:rPr>
      </w:r>
      <w:r>
        <w:rPr/>
        <w:t>期销售收入。</w:t>
      </w:r>
    </w:p>
    <w:p>
      <w:pPr>
        <w:pStyle w:val="BodyText"/>
        <w:spacing w:line="408" w:lineRule="auto"/>
        <w:ind w:right="190" w:firstLine="420"/>
        <w:jc w:val="both"/>
      </w:pPr>
      <w:r>
        <w:rPr>
          <w:spacing w:val="-1"/>
        </w:rPr>
        <w:t>其他产品销售的确认程序：根据和客户签订的产品销售合同经审批后组织发货，产品送达客户指定地</w:t>
      </w:r>
      <w:r>
        <w:rPr/>
        <w:t> 点后，由客户检验核对无误，验收后出具收货或验收确认单据，公司根据合同、销售出库单、货物回单、 收货或验收确认单据确认收入。</w:t>
      </w:r>
    </w:p>
    <w:p>
      <w:pPr>
        <w:pStyle w:val="BodyText"/>
        <w:spacing w:line="408" w:lineRule="auto"/>
        <w:ind w:right="190" w:firstLine="420"/>
        <w:jc w:val="both"/>
      </w:pPr>
      <w:r>
        <w:rPr/>
        <w:t>②运营收入确认的具体方式：按每个月经业主确认后处理的工作量（水量或气量等）经业主确认后， 本公司确认收入。</w:t>
      </w:r>
    </w:p>
    <w:p>
      <w:pPr>
        <w:pStyle w:val="BodyText"/>
        <w:spacing w:line="408" w:lineRule="auto"/>
        <w:ind w:right="212" w:firstLine="420"/>
        <w:jc w:val="both"/>
      </w:pPr>
      <w:r>
        <w:rPr>
          <w:spacing w:val="-1"/>
        </w:rPr>
        <w:t>③技术服务收入确认的具体方式：公司在完成技术服务合同中约定结算的具体服务内容并提交相应技</w:t>
      </w:r>
      <w:r>
        <w:rPr/>
        <w:t> 术服务成果，经业主确认后确认相应技术服务收入。</w:t>
      </w:r>
    </w:p>
    <w:p>
      <w:pPr>
        <w:pStyle w:val="BodyText"/>
        <w:spacing w:line="408" w:lineRule="auto"/>
        <w:ind w:left="154" w:right="190" w:firstLine="420"/>
        <w:jc w:val="both"/>
      </w:pPr>
      <w:r>
        <w:rPr/>
        <w:t>④让渡资产使用权根据与资产使用权让渡相关的经济利益能够流入及收入的金额能够可靠地计量时， 确认收入。</w:t>
      </w:r>
    </w:p>
    <w:p>
      <w:pPr>
        <w:pStyle w:val="BodyText"/>
        <w:spacing w:line="408" w:lineRule="auto"/>
        <w:ind w:right="211" w:firstLine="420"/>
        <w:jc w:val="both"/>
      </w:pPr>
      <w:r>
        <w:rPr>
          <w:spacing w:val="-1"/>
        </w:rPr>
        <w:t>⑤工程建造收入按照《企业会计准则第</w:t>
      </w:r>
      <w:r>
        <w:rPr>
          <w:rFonts w:ascii="宋体" w:hAnsi="宋体" w:cs="宋体" w:eastAsia="宋体" w:hint="default"/>
          <w:spacing w:val="-1"/>
        </w:rPr>
        <w:t>15</w:t>
      </w:r>
      <w:r>
        <w:rPr>
          <w:spacing w:val="-1"/>
        </w:rPr>
        <w:t>号——建造合同》完工百分比确认收入，按已发生成本占预</w:t>
      </w:r>
      <w:r>
        <w:rPr/>
        <w:t> 计总成本确定工程完工进度。</w:t>
      </w:r>
    </w:p>
    <w:p>
      <w:pPr>
        <w:pStyle w:val="BodyText"/>
        <w:spacing w:line="408" w:lineRule="auto"/>
        <w:ind w:left="574" w:right="104"/>
        <w:jc w:val="left"/>
      </w:pPr>
      <w:r>
        <w:rPr>
          <w:rFonts w:ascii="宋体" w:hAnsi="宋体" w:cs="宋体" w:eastAsia="宋体" w:hint="default"/>
        </w:rPr>
        <w:t>BOT</w:t>
      </w:r>
      <w:r>
        <w:rPr/>
        <w:t>项目收入确认的具体方式： </w:t>
      </w:r>
      <w:r>
        <w:rPr>
          <w:spacing w:val="-1"/>
        </w:rPr>
        <w:t>建造期间，公司对于所提供的建造服务应当按照《企业会计准则第</w:t>
      </w:r>
      <w:r>
        <w:rPr>
          <w:rFonts w:ascii="宋体" w:hAnsi="宋体" w:cs="宋体" w:eastAsia="宋体" w:hint="default"/>
          <w:spacing w:val="-1"/>
        </w:rPr>
        <w:t>15</w:t>
      </w:r>
      <w:r>
        <w:rPr>
          <w:spacing w:val="-1"/>
        </w:rPr>
        <w:t>号——建造合同》确认相关的收</w:t>
      </w:r>
    </w:p>
    <w:p>
      <w:pPr>
        <w:spacing w:after="0" w:line="408" w:lineRule="auto"/>
        <w:jc w:val="left"/>
        <w:sectPr>
          <w:footerReference w:type="default" r:id="rId25"/>
          <w:pgSz w:w="11910" w:h="16840"/>
          <w:pgMar w:footer="979" w:header="747" w:top="1060" w:bottom="1160" w:left="980" w:right="920"/>
          <w:pgNumType w:start="101"/>
        </w:sectPr>
      </w:pPr>
    </w:p>
    <w:p>
      <w:pPr>
        <w:spacing w:line="240" w:lineRule="auto" w:before="0"/>
        <w:rPr>
          <w:rFonts w:ascii="宋体" w:hAnsi="宋体" w:cs="宋体" w:eastAsia="宋体" w:hint="default"/>
          <w:sz w:val="20"/>
          <w:szCs w:val="20"/>
        </w:rPr>
      </w:pPr>
    </w:p>
    <w:p>
      <w:pPr>
        <w:pStyle w:val="BodyText"/>
        <w:spacing w:line="408" w:lineRule="auto" w:before="174"/>
        <w:ind w:right="130"/>
        <w:jc w:val="both"/>
      </w:pPr>
      <w:r>
        <w:rPr>
          <w:spacing w:val="-1"/>
        </w:rPr>
        <w:t>入和费用。基础设施建成后，项目公司应当按照《企业会计准则第</w:t>
      </w:r>
      <w:r>
        <w:rPr>
          <w:rFonts w:ascii="宋体" w:hAnsi="宋体" w:cs="宋体" w:eastAsia="宋体" w:hint="default"/>
          <w:spacing w:val="-1"/>
        </w:rPr>
        <w:t>14</w:t>
      </w:r>
      <w:r>
        <w:rPr>
          <w:spacing w:val="-1"/>
        </w:rPr>
        <w:t>号——收入》确认与后续经营服务相</w:t>
      </w:r>
      <w:r>
        <w:rPr>
          <w:spacing w:val="-86"/>
        </w:rPr>
        <w:t> </w:t>
      </w:r>
      <w:r>
        <w:rPr>
          <w:spacing w:val="-86"/>
        </w:rPr>
      </w:r>
      <w:r>
        <w:rPr/>
        <w:t>关的收入。建造合同收入应当按照收取或应收对价的公允价值计量，并分别以下情况在确认收入的同时， 确认金融资产或无形资产：</w:t>
      </w:r>
    </w:p>
    <w:p>
      <w:pPr>
        <w:pStyle w:val="BodyText"/>
        <w:spacing w:line="408" w:lineRule="auto"/>
        <w:ind w:right="151" w:firstLine="420"/>
        <w:jc w:val="both"/>
      </w:pPr>
      <w:r>
        <w:rPr>
          <w:spacing w:val="-1"/>
        </w:rPr>
        <w:t>合同规定基础设施建成后的一定期间内，项目公司可以无条件地自合同授予方收取确定金额的货币资</w:t>
      </w:r>
      <w:r>
        <w:rPr/>
        <w:t> </w:t>
      </w:r>
      <w:r>
        <w:rPr>
          <w:spacing w:val="-1"/>
        </w:rPr>
        <w:t>金或其他金融资产的；或在项目公司提供经营服务的收费低于某一限定金额的情况下，合同授予方按照合</w:t>
      </w:r>
      <w:r>
        <w:rPr>
          <w:spacing w:val="-81"/>
        </w:rPr>
        <w:t> </w:t>
      </w:r>
      <w:r>
        <w:rPr>
          <w:spacing w:val="-81"/>
        </w:rPr>
      </w:r>
      <w:r>
        <w:rPr>
          <w:spacing w:val="-1"/>
        </w:rPr>
        <w:t>同规定负责将有关差价补偿给项目公司的，应当在确认收入的同时确认金融资产，并按照《企业会计准则</w:t>
      </w:r>
      <w:r>
        <w:rPr>
          <w:spacing w:val="-83"/>
        </w:rPr>
        <w:t> </w:t>
      </w:r>
      <w:r>
        <w:rPr>
          <w:spacing w:val="-83"/>
        </w:rPr>
      </w:r>
      <w:r>
        <w:rPr/>
        <w:t>第</w:t>
      </w:r>
      <w:r>
        <w:rPr>
          <w:rFonts w:ascii="宋体" w:hAnsi="宋体" w:cs="宋体" w:eastAsia="宋体" w:hint="default"/>
        </w:rPr>
        <w:t>22</w:t>
      </w:r>
      <w:r>
        <w:rPr/>
        <w:t>号——金融工具确认和计量》的规定处理。</w:t>
      </w:r>
    </w:p>
    <w:p>
      <w:pPr>
        <w:pStyle w:val="BodyText"/>
        <w:spacing w:line="408" w:lineRule="auto"/>
        <w:ind w:left="154" w:right="151" w:firstLine="420"/>
        <w:jc w:val="both"/>
      </w:pPr>
      <w:r>
        <w:rPr>
          <w:spacing w:val="3"/>
        </w:rPr>
        <w:t>合同规定项目公司在有关基础设施建成后，从事经营的一定期间内有权利向获取服务的对象收取费</w:t>
      </w:r>
      <w:r>
        <w:rPr/>
        <w:t> </w:t>
      </w:r>
      <w:r>
        <w:rPr>
          <w:spacing w:val="-1"/>
        </w:rPr>
        <w:t>用，但收费金额不确定的，该权利不构成一项无条件收取现金的权利，项目公司应当在确认收入的同时确</w:t>
      </w:r>
      <w:r>
        <w:rPr>
          <w:spacing w:val="-83"/>
        </w:rPr>
        <w:t> </w:t>
      </w:r>
      <w:r>
        <w:rPr>
          <w:spacing w:val="-83"/>
        </w:rPr>
      </w:r>
      <w:r>
        <w:rPr/>
        <w:t>认无形资产。</w:t>
      </w:r>
    </w:p>
    <w:p>
      <w:pPr>
        <w:pStyle w:val="BodyText"/>
        <w:spacing w:line="408" w:lineRule="auto"/>
        <w:ind w:left="154" w:right="151" w:firstLine="420"/>
        <w:jc w:val="both"/>
      </w:pPr>
      <w:r>
        <w:rPr>
          <w:spacing w:val="-1"/>
        </w:rPr>
        <w:t>项目公司未提供实际建造服务，将基础设施建造发包给其他方的，不应确认建造服务收入，应当按照</w:t>
      </w:r>
      <w:r>
        <w:rPr/>
        <w:t> 建造过程中支付的工程价款等考虑合同规定，分别确认为金融资产或无形资产。</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7、政府补助" w:id="161"/>
      <w:bookmarkEnd w:id="161"/>
      <w:r>
        <w:rPr>
          <w:b w:val="0"/>
          <w:bCs w:val="0"/>
        </w:rPr>
      </w:r>
      <w:r>
        <w:rPr>
          <w:rFonts w:ascii="宋体" w:hAnsi="宋体" w:cs="宋体" w:eastAsia="宋体" w:hint="default"/>
        </w:rPr>
        <w:t>27</w:t>
      </w:r>
      <w:r>
        <w:rPr/>
        <w:t>、政府补助</w:t>
      </w:r>
      <w:r>
        <w:rPr>
          <w:b w:val="0"/>
          <w:bCs w:val="0"/>
        </w:rPr>
      </w:r>
    </w:p>
    <w:p>
      <w:pPr>
        <w:spacing w:line="690" w:lineRule="exact" w:before="31"/>
        <w:ind w:left="573" w:right="0" w:hanging="420"/>
        <w:jc w:val="left"/>
        <w:rPr>
          <w:rFonts w:ascii="宋体" w:hAnsi="宋体" w:cs="宋体" w:eastAsia="宋体" w:hint="default"/>
          <w:sz w:val="21"/>
          <w:szCs w:val="21"/>
        </w:rPr>
      </w:pPr>
      <w:bookmarkStart w:name="（1）与资产相关的政府补助判断依据及会计处理方法" w:id="162"/>
      <w:bookmarkEnd w:id="16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本公司取得的、用于购建或以其他方式形成长期资产的政府补助，确认为与资产相关的政府补助，与</w:t>
      </w:r>
    </w:p>
    <w:p>
      <w:pPr>
        <w:pStyle w:val="BodyText"/>
        <w:spacing w:line="408" w:lineRule="auto" w:before="84"/>
        <w:ind w:right="153"/>
        <w:jc w:val="both"/>
      </w:pPr>
      <w:r>
        <w:rPr>
          <w:spacing w:val="-1"/>
        </w:rPr>
        <w:t>资产相关的政府补助，确认为递延收益，自相关资产可供使用时起，按照相关资产的预计使用期限，将递</w:t>
      </w:r>
      <w:r>
        <w:rPr>
          <w:spacing w:val="-86"/>
        </w:rPr>
        <w:t> </w:t>
      </w:r>
      <w:r>
        <w:rPr>
          <w:spacing w:val="-86"/>
        </w:rPr>
      </w:r>
      <w:r>
        <w:rPr/>
        <w:t>延收益平均分摊转入当期损益。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与收益相关的政府补助判断依据及会计处理方法" w:id="163"/>
      <w:bookmarkEnd w:id="163"/>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51" w:firstLine="420"/>
        <w:jc w:val="both"/>
      </w:pPr>
      <w:r>
        <w:rPr>
          <w:spacing w:val="-1"/>
        </w:rPr>
        <w:t>除与资产相关的政府补助之外的政府补助，确认为与收益相关的政府补助。分别下列情况处理：用于</w:t>
      </w:r>
      <w:r>
        <w:rPr/>
        <w:t> </w:t>
      </w:r>
      <w:r>
        <w:rPr>
          <w:spacing w:val="-1"/>
        </w:rPr>
        <w:t>补偿企业以后期间的相关费用或损失的，确认为递延收益，并在确认相关费用的期间，计入当期损益；用</w:t>
      </w:r>
      <w:r>
        <w:rPr>
          <w:spacing w:val="-85"/>
        </w:rPr>
        <w:t> </w:t>
      </w:r>
      <w:r>
        <w:rPr>
          <w:spacing w:val="-85"/>
        </w:rPr>
      </w:r>
      <w:r>
        <w:rPr/>
        <w:t>于补偿企业已发生的相关费用或损失的，直接计入当期损益。</w:t>
      </w:r>
    </w:p>
    <w:p>
      <w:pPr>
        <w:pStyle w:val="BodyText"/>
        <w:spacing w:line="408" w:lineRule="auto"/>
        <w:ind w:left="573" w:right="0"/>
        <w:jc w:val="left"/>
      </w:pPr>
      <w:r>
        <w:rPr/>
        <w:t>区分与资产相关政府补助和与收益相关政府补助的具体标准 </w:t>
      </w:r>
      <w:r>
        <w:rPr>
          <w:spacing w:val="-1"/>
        </w:rPr>
        <w:t>若政府文件未明确规定补助对象，将该政府补助划分为与资产相关或与收益相关的判断依据：①政府</w:t>
      </w:r>
    </w:p>
    <w:p>
      <w:pPr>
        <w:pStyle w:val="BodyText"/>
        <w:spacing w:line="408" w:lineRule="auto"/>
        <w:ind w:right="151"/>
        <w:jc w:val="both"/>
      </w:pPr>
      <w:r>
        <w:rPr>
          <w:spacing w:val="-1"/>
        </w:rPr>
        <w:t>文件明确了补助所针对的特定项目的，根据该特定项目的预算中将形成资产的支出金额和计入费用的支出</w:t>
      </w:r>
      <w:r>
        <w:rPr>
          <w:spacing w:val="-81"/>
        </w:rPr>
        <w:t> </w:t>
      </w:r>
      <w:r>
        <w:rPr>
          <w:spacing w:val="-81"/>
        </w:rPr>
      </w:r>
      <w:r>
        <w:rPr>
          <w:spacing w:val="-1"/>
        </w:rPr>
        <w:t>金额的相对比例进行划分，对该划分比例需在每个资产负债表日进行复核，必要时进行变更；②政府文件</w:t>
      </w:r>
      <w:r>
        <w:rPr>
          <w:spacing w:val="-83"/>
        </w:rPr>
        <w:t> </w:t>
      </w:r>
      <w:r>
        <w:rPr>
          <w:spacing w:val="-83"/>
        </w:rPr>
      </w:r>
      <w:r>
        <w:rPr/>
        <w:t>中对用途仅作一般性表述，没有指明特定项目的，作为与收益相关的政府补助。</w:t>
      </w:r>
    </w:p>
    <w:p>
      <w:pPr>
        <w:spacing w:after="0" w:line="408"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8、递延所得税资产/递延所得税负债" w:id="164"/>
      <w:bookmarkEnd w:id="164"/>
      <w:r>
        <w:rPr>
          <w:b w:val="0"/>
          <w:bCs w:val="0"/>
        </w:rPr>
      </w:r>
      <w:r>
        <w:rPr>
          <w:rFonts w:ascii="宋体" w:hAnsi="宋体" w:cs="宋体" w:eastAsia="宋体" w:hint="default"/>
        </w:rPr>
        <w:t>28</w:t>
      </w:r>
      <w:r>
        <w:rPr/>
        <w:t>、递延所得税资产</w:t>
      </w:r>
      <w:r>
        <w:rPr>
          <w:rFonts w:ascii="宋体" w:hAnsi="宋体" w:cs="宋体" w:eastAsia="宋体" w:hint="default"/>
        </w:rPr>
        <w:t>/</w:t>
      </w:r>
      <w:r>
        <w:rPr/>
        <w:t>递延所得税负债</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51" w:firstLine="420"/>
        <w:jc w:val="both"/>
      </w:pPr>
      <w:r>
        <w:rPr>
          <w:rFonts w:ascii="宋体" w:hAnsi="宋体" w:cs="宋体" w:eastAsia="宋体"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83"/>
        </w:rPr>
        <w:t> </w:t>
      </w:r>
      <w:r>
        <w:rPr>
          <w:spacing w:val="-83"/>
        </w:rPr>
      </w:r>
      <w:r>
        <w:rPr/>
        <w:t>率计算确认递延所得税资产或递延所得税负债。</w:t>
      </w:r>
    </w:p>
    <w:p>
      <w:pPr>
        <w:pStyle w:val="BodyText"/>
        <w:spacing w:line="408" w:lineRule="auto"/>
        <w:ind w:right="151" w:firstLine="420"/>
        <w:jc w:val="both"/>
      </w:pPr>
      <w:r>
        <w:rPr>
          <w:rFonts w:ascii="宋体" w:hAnsi="宋体" w:cs="宋体" w:eastAsia="宋体"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BodyText"/>
        <w:spacing w:line="408" w:lineRule="auto"/>
        <w:ind w:right="150" w:firstLine="420"/>
        <w:jc w:val="both"/>
      </w:pPr>
      <w:r>
        <w:rPr>
          <w:rFonts w:ascii="宋体" w:hAnsi="宋体" w:cs="宋体" w:eastAsia="宋体" w:hint="default"/>
        </w:rPr>
        <w:t>3</w:t>
      </w:r>
      <w:r>
        <w:rPr/>
        <w:t>、对与子公司及联营企业投资相关的应纳税暂时性差异，确认递延所得税负债，除非本公司能够控 </w:t>
      </w:r>
      <w:r>
        <w:rPr>
          <w:spacing w:val="-1"/>
        </w:rPr>
        <w:t>制暂时性差异转回的时间且该暂时性差异在可预见的未来很可能不会转回。对与子公司及联营企业投资相</w:t>
      </w:r>
      <w:r>
        <w:rPr>
          <w:spacing w:val="-80"/>
        </w:rPr>
        <w:t> </w:t>
      </w:r>
      <w:r>
        <w:rPr>
          <w:spacing w:val="-80"/>
        </w:rPr>
      </w:r>
      <w:r>
        <w:rPr>
          <w:spacing w:val="-1"/>
        </w:rPr>
        <w:t>关的可抵扣暂时性差异，当该暂时性差异在可预见的未来很可能转回且未来很可能获得用来抵扣可抵扣暂</w:t>
      </w:r>
      <w:r>
        <w:rPr>
          <w:spacing w:val="-81"/>
        </w:rPr>
        <w:t> </w:t>
      </w:r>
      <w:r>
        <w:rPr>
          <w:spacing w:val="-81"/>
        </w:rPr>
      </w:r>
      <w:r>
        <w:rPr/>
        <w:t>时性差异的应纳税所得额时，确认递延所得税资产。</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9、租赁" w:id="165"/>
      <w:bookmarkEnd w:id="165"/>
      <w:r>
        <w:rPr>
          <w:b w:val="0"/>
          <w:bCs w:val="0"/>
        </w:rPr>
      </w:r>
      <w:r>
        <w:rPr>
          <w:rFonts w:ascii="宋体" w:hAnsi="宋体" w:cs="宋体" w:eastAsia="宋体" w:hint="default"/>
        </w:rPr>
        <w:t>29</w:t>
      </w:r>
      <w:r>
        <w:rPr/>
        <w:t>、租赁</w:t>
      </w:r>
      <w:r>
        <w:rPr>
          <w:b w:val="0"/>
          <w:bCs w:val="0"/>
        </w:rPr>
      </w:r>
    </w:p>
    <w:p>
      <w:pPr>
        <w:spacing w:line="240" w:lineRule="auto" w:before="11"/>
        <w:rPr>
          <w:rFonts w:ascii="宋体" w:hAnsi="宋体" w:cs="宋体" w:eastAsia="宋体" w:hint="default"/>
          <w:b/>
          <w:bCs/>
          <w:sz w:val="25"/>
          <w:szCs w:val="25"/>
        </w:rPr>
      </w:pPr>
    </w:p>
    <w:p>
      <w:pPr>
        <w:spacing w:line="602" w:lineRule="auto" w:before="0"/>
        <w:ind w:left="573" w:right="2423" w:hanging="420"/>
        <w:jc w:val="left"/>
        <w:rPr>
          <w:rFonts w:ascii="宋体" w:hAnsi="宋体" w:cs="宋体" w:eastAsia="宋体" w:hint="default"/>
          <w:sz w:val="21"/>
          <w:szCs w:val="21"/>
        </w:rPr>
      </w:pPr>
      <w:bookmarkStart w:name="（1）经营租赁的会计处理方法" w:id="166"/>
      <w:bookmarkEnd w:id="16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Heading3"/>
        <w:spacing w:line="240" w:lineRule="auto" w:before="99"/>
        <w:ind w:right="0"/>
        <w:jc w:val="left"/>
        <w:rPr>
          <w:b w:val="0"/>
          <w:bCs w:val="0"/>
        </w:rPr>
      </w:pPr>
      <w:bookmarkStart w:name="（2）融资租赁的会计处理方法" w:id="167"/>
      <w:bookmarkEnd w:id="167"/>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51" w:firstLine="420"/>
        <w:jc w:val="both"/>
      </w:pPr>
      <w:r>
        <w:rPr>
          <w:spacing w:val="-1"/>
        </w:rPr>
        <w:t>以租赁资产的公允价值与最低租赁付款额的现值两者中较低者作为租入资产的入账价值，租入资产的</w:t>
      </w:r>
      <w:r>
        <w:rPr/>
        <w:t> </w:t>
      </w:r>
      <w:r>
        <w:rPr>
          <w:spacing w:val="-1"/>
        </w:rPr>
        <w:t>入账价值与最低租赁付款额之间的差额作为未确认融资费用，在租赁期内按实际利率法摊销。最低租赁付</w:t>
      </w:r>
      <w:r>
        <w:rPr>
          <w:spacing w:val="-81"/>
        </w:rPr>
        <w:t> </w:t>
      </w:r>
      <w:r>
        <w:rPr>
          <w:spacing w:val="-81"/>
        </w:rPr>
      </w:r>
      <w:r>
        <w:rPr/>
        <w:t>款额扣除未确认融资费用后的余额作为长期应付款列示。</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0、其他重要的会计政策和会计估计" w:id="168"/>
      <w:bookmarkEnd w:id="168"/>
      <w:r>
        <w:rPr>
          <w:b w:val="0"/>
          <w:bCs w:val="0"/>
        </w:rPr>
      </w:r>
      <w:r>
        <w:rPr>
          <w:rFonts w:ascii="宋体" w:hAnsi="宋体" w:cs="宋体" w:eastAsia="宋体" w:hint="default"/>
        </w:rPr>
        <w:t>30</w:t>
      </w:r>
      <w:r>
        <w:rPr/>
        <w:t>、其他重要的会计政策和会计估计</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51" w:firstLine="420"/>
        <w:jc w:val="both"/>
      </w:pPr>
      <w:r>
        <w:rPr>
          <w:spacing w:val="-1"/>
        </w:rPr>
        <w:t>由于经营活动内在的不确定性，本公司需要对无法准确计量的报表项目的账面价值进行判断、估计和</w:t>
      </w:r>
      <w:r>
        <w:rPr/>
        <w:t> </w:t>
      </w:r>
      <w:r>
        <w:rPr>
          <w:spacing w:val="-1"/>
        </w:rPr>
        <w:t>假设。这些判断、估计和假设是基于本公司管理层过去的历史经验，并在考虑其他相关因素的基础上作出</w:t>
      </w:r>
      <w:r>
        <w:rPr>
          <w:spacing w:val="-83"/>
        </w:rPr>
        <w:t> </w:t>
      </w:r>
      <w:r>
        <w:rPr>
          <w:spacing w:val="-83"/>
        </w:rPr>
      </w:r>
      <w:r>
        <w:rPr/>
        <w:t>的，实际的结果可能与本公司的估计存在差异。</w:t>
      </w:r>
    </w:p>
    <w:p>
      <w:pPr>
        <w:pStyle w:val="BodyText"/>
        <w:spacing w:line="408" w:lineRule="auto"/>
        <w:ind w:left="154" w:right="151" w:firstLine="420"/>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3" w:right="104"/>
        <w:jc w:val="left"/>
      </w:pPr>
      <w:r>
        <w:rPr>
          <w:rFonts w:ascii="宋体" w:hAnsi="宋体" w:cs="宋体" w:eastAsia="宋体" w:hint="default"/>
        </w:rPr>
        <w:t>1</w:t>
      </w:r>
      <w:r>
        <w:rPr/>
        <w:t>、固定资产预计可使用年限和预计残值 </w:t>
      </w:r>
      <w:r>
        <w:rPr>
          <w:spacing w:val="-1"/>
        </w:rPr>
        <w:t>本公司就固定资产拟定可使用年限和残值。该估计是根据对类似性质及功能的固定资产的实际可使用</w:t>
      </w:r>
    </w:p>
    <w:p>
      <w:pPr>
        <w:pStyle w:val="BodyText"/>
        <w:spacing w:line="408" w:lineRule="auto"/>
        <w:ind w:right="211"/>
        <w:jc w:val="both"/>
      </w:pPr>
      <w:r>
        <w:rPr>
          <w:spacing w:val="-1"/>
        </w:rPr>
        <w:t>年限和残值的历史经验为基础，并可能因技术革新及竞争对手就回应严峻的行业竞争而有重大改变。当固</w:t>
      </w:r>
      <w:r>
        <w:rPr>
          <w:spacing w:val="-81"/>
        </w:rPr>
        <w:t> </w:t>
      </w:r>
      <w:r>
        <w:rPr>
          <w:spacing w:val="-81"/>
        </w:rPr>
      </w:r>
      <w:r>
        <w:rPr>
          <w:spacing w:val="-1"/>
        </w:rPr>
        <w:t>定资产预计可使用年限和残值少于先前估计，本公司将提高折旧、或冲销或冲减技术陈旧或者非战略性固</w:t>
      </w:r>
      <w:r>
        <w:rPr>
          <w:spacing w:val="-81"/>
        </w:rPr>
        <w:t> </w:t>
      </w:r>
      <w:r>
        <w:rPr>
          <w:spacing w:val="-81"/>
        </w:rPr>
      </w:r>
      <w:r>
        <w:rPr/>
        <w:t>定资产。</w:t>
      </w:r>
    </w:p>
    <w:p>
      <w:pPr>
        <w:pStyle w:val="BodyText"/>
        <w:spacing w:line="408" w:lineRule="auto"/>
        <w:ind w:left="573" w:right="173"/>
        <w:jc w:val="left"/>
      </w:pPr>
      <w:r>
        <w:rPr>
          <w:rFonts w:ascii="宋体" w:hAnsi="宋体" w:cs="宋体" w:eastAsia="宋体" w:hint="default"/>
        </w:rPr>
        <w:t>2</w:t>
      </w:r>
      <w:r>
        <w:rPr/>
        <w:t>、商誉减值 在对商誉进行减值测试时，需计算包含商誉的相关资产组或者资产组组合的预计未来现金流量现值，</w:t>
      </w:r>
    </w:p>
    <w:p>
      <w:pPr>
        <w:pStyle w:val="BodyText"/>
        <w:spacing w:line="408" w:lineRule="auto"/>
        <w:ind w:right="212"/>
        <w:jc w:val="both"/>
      </w:pPr>
      <w:r>
        <w:rPr>
          <w:spacing w:val="-1"/>
        </w:rPr>
        <w:t>并需要对该资产组或资产组组合的未来现金流量进行预计，同时确定一个适当的反映当前市场货币时间价</w:t>
      </w:r>
      <w:r>
        <w:rPr>
          <w:spacing w:val="-81"/>
        </w:rPr>
        <w:t> </w:t>
      </w:r>
      <w:r>
        <w:rPr>
          <w:spacing w:val="-81"/>
        </w:rPr>
      </w:r>
      <w:r>
        <w:rPr/>
        <w:t>值和资产特定风险的税前利率。</w:t>
      </w:r>
    </w:p>
    <w:p>
      <w:pPr>
        <w:pStyle w:val="BodyText"/>
        <w:spacing w:line="408" w:lineRule="auto"/>
        <w:ind w:left="574" w:right="104"/>
        <w:jc w:val="left"/>
      </w:pPr>
      <w:r>
        <w:rPr>
          <w:rFonts w:ascii="宋体" w:hAnsi="宋体" w:cs="宋体" w:eastAsia="宋体" w:hint="default"/>
        </w:rPr>
        <w:t>3</w:t>
      </w:r>
      <w:r>
        <w:rPr/>
        <w:t>、递延所得税资产的确认 </w:t>
      </w:r>
      <w:r>
        <w:rPr>
          <w:spacing w:val="-1"/>
        </w:rPr>
        <w:t>递延所得税资产的实现主要取决于未来的实际盈利及暂时性差异在未来使用年度的实际税率。如未来</w:t>
      </w:r>
    </w:p>
    <w:p>
      <w:pPr>
        <w:pStyle w:val="BodyText"/>
        <w:spacing w:line="408" w:lineRule="auto"/>
        <w:ind w:left="154" w:right="211"/>
        <w:jc w:val="both"/>
      </w:pPr>
      <w:r>
        <w:rPr>
          <w:spacing w:val="-1"/>
        </w:rPr>
        <w:t>实际产生的盈利少于预期，或实际税率低于预期，确认的递延所得税资产将被转回，确认在转回发生期间</w:t>
      </w:r>
      <w:r>
        <w:rPr>
          <w:spacing w:val="-83"/>
        </w:rPr>
        <w:t> </w:t>
      </w:r>
      <w:r>
        <w:rPr>
          <w:spacing w:val="-83"/>
        </w:rPr>
      </w:r>
      <w:r>
        <w:rPr/>
        <w:t>的损益中。</w:t>
      </w:r>
    </w:p>
    <w:p>
      <w:pPr>
        <w:pStyle w:val="BodyText"/>
        <w:spacing w:line="408" w:lineRule="auto"/>
        <w:ind w:left="573" w:right="104"/>
        <w:jc w:val="left"/>
      </w:pPr>
      <w:r>
        <w:rPr>
          <w:rFonts w:ascii="宋体" w:hAnsi="宋体" w:cs="宋体" w:eastAsia="宋体" w:hint="default"/>
        </w:rPr>
        <w:t>4</w:t>
      </w:r>
      <w:r>
        <w:rPr/>
        <w:t>、坏账准备 </w:t>
      </w:r>
      <w:r>
        <w:rPr>
          <w:spacing w:val="-1"/>
        </w:rPr>
        <w:t>本公司根据应收款项的可收回性为判断基础确认坏账准备。当存在迹象表明应收款项无法收回时需要</w:t>
      </w:r>
    </w:p>
    <w:p>
      <w:pPr>
        <w:pStyle w:val="BodyText"/>
        <w:spacing w:line="408" w:lineRule="auto"/>
        <w:ind w:right="211"/>
        <w:jc w:val="both"/>
      </w:pPr>
      <w:r>
        <w:rPr>
          <w:spacing w:val="-1"/>
        </w:rPr>
        <w:t>确认坏账准备。坏账准备的确认需要运用判断和估计，如重新估计结果与现有估计存在差异，该差异将会</w:t>
      </w:r>
      <w:r>
        <w:rPr>
          <w:spacing w:val="-83"/>
        </w:rPr>
        <w:t> </w:t>
      </w:r>
      <w:r>
        <w:rPr>
          <w:spacing w:val="-83"/>
        </w:rPr>
      </w:r>
      <w:r>
        <w:rPr/>
        <w:t>影响估计改变期间的应收款项账面价值。</w:t>
      </w:r>
    </w:p>
    <w:p>
      <w:pPr>
        <w:pStyle w:val="BodyText"/>
        <w:spacing w:line="408" w:lineRule="auto"/>
        <w:ind w:left="573" w:right="98"/>
        <w:jc w:val="left"/>
      </w:pPr>
      <w:r>
        <w:rPr>
          <w:rFonts w:ascii="宋体" w:hAnsi="宋体" w:cs="宋体" w:eastAsia="宋体" w:hint="default"/>
        </w:rPr>
        <w:t>5</w:t>
      </w:r>
      <w:r>
        <w:rPr/>
        <w:t>、金融工具管理风险和政策 </w:t>
      </w:r>
      <w:r>
        <w:rPr>
          <w:spacing w:val="-3"/>
        </w:rPr>
        <w:t>本公司的主要金融工具包括应收账款、其他应收款、应付账款、其他应付款、短期借款、长期借款等。</w:t>
      </w:r>
    </w:p>
    <w:p>
      <w:pPr>
        <w:pStyle w:val="BodyText"/>
        <w:spacing w:line="408" w:lineRule="auto"/>
        <w:ind w:right="211"/>
        <w:jc w:val="both"/>
      </w:pPr>
      <w:r>
        <w:rPr>
          <w:spacing w:val="-1"/>
        </w:rPr>
        <w:t>该等金融工具的详细情况已于相关附注内披露。公司管理层监控该等金融工具的风险，研究制订减少该等</w:t>
      </w:r>
      <w:r>
        <w:rPr>
          <w:spacing w:val="-81"/>
        </w:rPr>
        <w:t> </w:t>
      </w:r>
      <w:r>
        <w:rPr>
          <w:spacing w:val="-81"/>
        </w:rPr>
      </w:r>
      <w:r>
        <w:rPr/>
        <w:t>风险的政策并确保实施及有效推行。</w:t>
      </w:r>
    </w:p>
    <w:p>
      <w:pPr>
        <w:pStyle w:val="BodyText"/>
        <w:spacing w:line="408" w:lineRule="auto"/>
        <w:ind w:right="190" w:firstLine="420"/>
        <w:jc w:val="both"/>
      </w:pPr>
      <w:r>
        <w:rPr>
          <w:spacing w:val="-1"/>
        </w:rPr>
        <w:t>于资产负债表日，如果债务人未能就各类已确认的金融资产履行其责任，或本公司为其提供财务担保</w:t>
      </w:r>
      <w:r>
        <w:rPr/>
        <w:t> 的债务人未能履行其责任，本公司的最高信贷风险为合并资产负债表中列报的该等金融资产的账面价值。 </w:t>
      </w:r>
      <w:r>
        <w:rPr>
          <w:spacing w:val="-1"/>
        </w:rPr>
        <w:t>为了尽量降低信贷风险，公司根据信贷政策，对本公司债务人超过信用期的应收款项进行催收并视情况决</w:t>
      </w:r>
      <w:r>
        <w:rPr>
          <w:spacing w:val="-81"/>
        </w:rPr>
        <w:t> </w:t>
      </w:r>
      <w:r>
        <w:rPr>
          <w:spacing w:val="-81"/>
        </w:rPr>
      </w:r>
      <w:r>
        <w:rPr>
          <w:spacing w:val="-1"/>
        </w:rPr>
        <w:t>定是否启用法律诉讼程序，确保应收款项的收回。另外，公司在资产负债表日对每一项应收款项的可回收</w:t>
      </w:r>
      <w:r>
        <w:rPr>
          <w:spacing w:val="-82"/>
        </w:rPr>
        <w:t> </w:t>
      </w:r>
      <w:r>
        <w:rPr>
          <w:spacing w:val="-82"/>
        </w:rPr>
      </w:r>
      <w:r>
        <w:rPr/>
        <w:t>性进行检查，确保对应收款项计提足够的坏账准备。</w:t>
      </w:r>
    </w:p>
    <w:p>
      <w:pPr>
        <w:spacing w:after="0" w:line="408"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1、重要会计政策和会计估计变更" w:id="169"/>
      <w:bookmarkEnd w:id="169"/>
      <w:r>
        <w:rPr>
          <w:b w:val="0"/>
          <w:bCs w:val="0"/>
        </w:rPr>
      </w:r>
      <w:r>
        <w:rPr>
          <w:rFonts w:ascii="宋体" w:hAnsi="宋体" w:cs="宋体" w:eastAsia="宋体" w:hint="default"/>
        </w:rPr>
        <w:t>31</w:t>
      </w:r>
      <w:r>
        <w:rPr/>
        <w:t>、重要会计政策和会计估计变更</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重要会计政策变更" w:id="170"/>
      <w:bookmarkEnd w:id="170"/>
      <w:r>
        <w:rPr>
          <w:b w:val="0"/>
          <w:bCs w:val="0"/>
        </w:rPr>
      </w: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46"/>
        <w:gridCol w:w="2693"/>
        <w:gridCol w:w="1631"/>
      </w:tblGrid>
      <w:tr>
        <w:trPr>
          <w:trHeight w:val="401"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3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7" w:hRule="exact"/>
        </w:trPr>
        <w:tc>
          <w:tcPr>
            <w:tcW w:w="524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14"/>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因执行新企业会计准则导致的会计政策变更。</w:t>
            </w:r>
            <w:r>
              <w:rPr>
                <w:rFonts w:ascii="宋体" w:hAnsi="宋体" w:cs="宋体" w:eastAsia="宋体" w:hint="default"/>
                <w:sz w:val="18"/>
                <w:szCs w:val="18"/>
              </w:rPr>
              <w:t>2014 </w:t>
            </w:r>
            <w:r>
              <w:rPr>
                <w:rFonts w:ascii="宋体" w:hAnsi="宋体" w:cs="宋体" w:eastAsia="宋体" w:hint="default"/>
                <w:sz w:val="18"/>
                <w:szCs w:val="18"/>
              </w:rPr>
              <w:t>年初，财政部 分别以财会</w:t>
            </w:r>
            <w:r>
              <w:rPr>
                <w:rFonts w:ascii="宋体" w:hAnsi="宋体" w:cs="宋体" w:eastAsia="宋体" w:hint="default"/>
                <w:sz w:val="18"/>
                <w:szCs w:val="18"/>
              </w:rPr>
              <w:t>[2014]6 </w:t>
            </w:r>
            <w:r>
              <w:rPr>
                <w:rFonts w:ascii="宋体" w:hAnsi="宋体" w:cs="宋体" w:eastAsia="宋体" w:hint="default"/>
                <w:sz w:val="18"/>
                <w:szCs w:val="18"/>
              </w:rPr>
              <w:t>号、</w:t>
            </w:r>
            <w:r>
              <w:rPr>
                <w:rFonts w:ascii="宋体" w:hAnsi="宋体" w:cs="宋体" w:eastAsia="宋体" w:hint="default"/>
                <w:sz w:val="18"/>
                <w:szCs w:val="18"/>
              </w:rPr>
              <w:t>7 </w:t>
            </w:r>
            <w:r>
              <w:rPr>
                <w:rFonts w:ascii="宋体" w:hAnsi="宋体" w:cs="宋体" w:eastAsia="宋体" w:hint="default"/>
                <w:sz w:val="18"/>
                <w:szCs w:val="18"/>
              </w:rPr>
              <w:t>号、</w:t>
            </w:r>
            <w:r>
              <w:rPr>
                <w:rFonts w:ascii="宋体" w:hAnsi="宋体" w:cs="宋体" w:eastAsia="宋体" w:hint="default"/>
                <w:sz w:val="18"/>
                <w:szCs w:val="18"/>
              </w:rPr>
              <w:t>8 </w:t>
            </w:r>
            <w:r>
              <w:rPr>
                <w:rFonts w:ascii="宋体" w:hAnsi="宋体" w:cs="宋体" w:eastAsia="宋体" w:hint="default"/>
                <w:sz w:val="18"/>
                <w:szCs w:val="18"/>
              </w:rPr>
              <w:t>号、</w:t>
            </w:r>
            <w:r>
              <w:rPr>
                <w:rFonts w:ascii="宋体" w:hAnsi="宋体" w:cs="宋体" w:eastAsia="宋体" w:hint="default"/>
                <w:sz w:val="18"/>
                <w:szCs w:val="18"/>
              </w:rPr>
              <w:t>10 </w:t>
            </w:r>
            <w:r>
              <w:rPr>
                <w:rFonts w:ascii="宋体" w:hAnsi="宋体" w:cs="宋体" w:eastAsia="宋体" w:hint="default"/>
                <w:sz w:val="18"/>
                <w:szCs w:val="18"/>
              </w:rPr>
              <w:t>号、</w:t>
            </w:r>
            <w:r>
              <w:rPr>
                <w:rFonts w:ascii="宋体" w:hAnsi="宋体" w:cs="宋体" w:eastAsia="宋体" w:hint="default"/>
                <w:sz w:val="18"/>
                <w:szCs w:val="18"/>
              </w:rPr>
              <w:t>11 </w:t>
            </w:r>
            <w:r>
              <w:rPr>
                <w:rFonts w:ascii="宋体" w:hAnsi="宋体" w:cs="宋体" w:eastAsia="宋体" w:hint="default"/>
                <w:sz w:val="18"/>
                <w:szCs w:val="18"/>
              </w:rPr>
              <w:t>号、</w:t>
            </w:r>
            <w:r>
              <w:rPr>
                <w:rFonts w:ascii="宋体" w:hAnsi="宋体" w:cs="宋体" w:eastAsia="宋体" w:hint="default"/>
                <w:sz w:val="18"/>
                <w:szCs w:val="18"/>
              </w:rPr>
              <w:t>14 </w:t>
            </w:r>
            <w:r>
              <w:rPr>
                <w:rFonts w:ascii="宋体" w:hAnsi="宋体" w:cs="宋体" w:eastAsia="宋体" w:hint="default"/>
                <w:sz w:val="18"/>
                <w:szCs w:val="18"/>
              </w:rPr>
              <w:t>号及</w:t>
            </w:r>
            <w:r>
              <w:rPr>
                <w:rFonts w:ascii="宋体" w:hAnsi="宋体" w:cs="宋体" w:eastAsia="宋体" w:hint="default"/>
                <w:spacing w:val="-30"/>
                <w:sz w:val="18"/>
                <w:szCs w:val="18"/>
              </w:rPr>
              <w:t> </w:t>
            </w:r>
            <w:r>
              <w:rPr>
                <w:rFonts w:ascii="宋体" w:hAnsi="宋体" w:cs="宋体" w:eastAsia="宋体" w:hint="default"/>
                <w:sz w:val="18"/>
                <w:szCs w:val="18"/>
              </w:rPr>
              <w:t>16 </w:t>
            </w:r>
            <w:r>
              <w:rPr>
                <w:rFonts w:ascii="宋体" w:hAnsi="宋体" w:cs="宋体" w:eastAsia="宋体" w:hint="default"/>
                <w:sz w:val="18"/>
                <w:szCs w:val="18"/>
              </w:rPr>
              <w:t>号发布了《企业会计准则第</w:t>
            </w:r>
            <w:r>
              <w:rPr>
                <w:rFonts w:ascii="宋体" w:hAnsi="宋体" w:cs="宋体" w:eastAsia="宋体" w:hint="default"/>
                <w:spacing w:val="-43"/>
                <w:sz w:val="18"/>
                <w:szCs w:val="18"/>
              </w:rPr>
              <w:t> </w:t>
            </w:r>
            <w:r>
              <w:rPr>
                <w:rFonts w:ascii="宋体" w:hAnsi="宋体" w:cs="宋体" w:eastAsia="宋体" w:hint="default"/>
                <w:sz w:val="18"/>
                <w:szCs w:val="18"/>
              </w:rPr>
              <w:t>39</w:t>
            </w:r>
            <w:r>
              <w:rPr>
                <w:rFonts w:ascii="宋体" w:hAnsi="宋体" w:cs="宋体" w:eastAsia="宋体" w:hint="default"/>
                <w:spacing w:val="6"/>
                <w:sz w:val="18"/>
                <w:szCs w:val="18"/>
              </w:rPr>
              <w:t> </w:t>
            </w:r>
            <w:r>
              <w:rPr>
                <w:rFonts w:ascii="宋体" w:hAnsi="宋体" w:cs="宋体" w:eastAsia="宋体" w:hint="default"/>
                <w:spacing w:val="-12"/>
                <w:sz w:val="18"/>
                <w:szCs w:val="18"/>
              </w:rPr>
              <w:t>号——公允价值计量》、《企业会计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准则第 </w:t>
            </w:r>
            <w:r>
              <w:rPr>
                <w:rFonts w:ascii="宋体" w:hAnsi="宋体" w:cs="宋体" w:eastAsia="宋体" w:hint="default"/>
                <w:sz w:val="18"/>
                <w:szCs w:val="18"/>
              </w:rPr>
              <w:t>30 </w:t>
            </w:r>
            <w:r>
              <w:rPr>
                <w:rFonts w:ascii="宋体" w:hAnsi="宋体" w:cs="宋体" w:eastAsia="宋体" w:hint="default"/>
                <w:sz w:val="18"/>
                <w:szCs w:val="18"/>
              </w:rPr>
              <w:t>号——财务报表列报（</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pacing w:val="-21"/>
                <w:sz w:val="18"/>
                <w:szCs w:val="18"/>
              </w:rPr>
              <w:t>年修订）》、《企业会计准则</w:t>
            </w:r>
            <w:r>
              <w:rPr>
                <w:rFonts w:ascii="宋体" w:hAnsi="宋体" w:cs="宋体" w:eastAsia="宋体" w:hint="default"/>
                <w:sz w:val="18"/>
                <w:szCs w:val="18"/>
              </w:rPr>
              <w:t> 第 </w:t>
            </w:r>
            <w:r>
              <w:rPr>
                <w:rFonts w:ascii="宋体" w:hAnsi="宋体" w:cs="宋体" w:eastAsia="宋体" w:hint="default"/>
                <w:sz w:val="18"/>
                <w:szCs w:val="18"/>
              </w:rPr>
              <w:t>9 </w:t>
            </w:r>
            <w:r>
              <w:rPr>
                <w:rFonts w:ascii="宋体" w:hAnsi="宋体" w:cs="宋体" w:eastAsia="宋体" w:hint="default"/>
                <w:sz w:val="18"/>
                <w:szCs w:val="18"/>
              </w:rPr>
              <w:t>号——职工薪酬（</w:t>
            </w:r>
            <w:r>
              <w:rPr>
                <w:rFonts w:ascii="宋体" w:hAnsi="宋体" w:cs="宋体" w:eastAsia="宋体" w:hint="default"/>
                <w:sz w:val="18"/>
                <w:szCs w:val="18"/>
              </w:rPr>
              <w:t>2014 </w:t>
            </w:r>
            <w:r>
              <w:rPr>
                <w:rFonts w:ascii="宋体" w:hAnsi="宋体" w:cs="宋体" w:eastAsia="宋体" w:hint="default"/>
                <w:spacing w:val="-20"/>
                <w:sz w:val="18"/>
                <w:szCs w:val="18"/>
              </w:rPr>
              <w:t>年修订）》、《企业会计准则第</w:t>
            </w:r>
            <w:r>
              <w:rPr>
                <w:rFonts w:ascii="宋体" w:hAnsi="宋体" w:cs="宋体" w:eastAsia="宋体" w:hint="default"/>
                <w:sz w:val="18"/>
                <w:szCs w:val="18"/>
              </w:rPr>
              <w:t> </w:t>
            </w:r>
            <w:r>
              <w:rPr>
                <w:rFonts w:ascii="宋体" w:hAnsi="宋体" w:cs="宋体" w:eastAsia="宋体" w:hint="default"/>
                <w:sz w:val="18"/>
                <w:szCs w:val="18"/>
              </w:rPr>
              <w:t>33</w:t>
            </w:r>
            <w:r>
              <w:rPr>
                <w:rFonts w:ascii="宋体" w:hAnsi="宋体" w:cs="宋体" w:eastAsia="宋体" w:hint="default"/>
                <w:spacing w:val="-36"/>
                <w:sz w:val="18"/>
                <w:szCs w:val="18"/>
              </w:rPr>
              <w:t> </w:t>
            </w:r>
            <w:r>
              <w:rPr>
                <w:rFonts w:ascii="宋体" w:hAnsi="宋体" w:cs="宋体" w:eastAsia="宋体" w:hint="default"/>
                <w:sz w:val="18"/>
                <w:szCs w:val="18"/>
              </w:rPr>
              <w:t>号</w:t>
            </w:r>
          </w:p>
          <w:p>
            <w:pPr>
              <w:pStyle w:val="TableParagraph"/>
              <w:spacing w:line="316" w:lineRule="auto" w:before="19"/>
              <w:ind w:left="22" w:right="16"/>
              <w:jc w:val="left"/>
              <w:rPr>
                <w:rFonts w:ascii="宋体" w:hAnsi="宋体" w:cs="宋体" w:eastAsia="宋体" w:hint="default"/>
                <w:sz w:val="18"/>
                <w:szCs w:val="18"/>
              </w:rPr>
            </w:pPr>
            <w:r>
              <w:rPr>
                <w:rFonts w:ascii="宋体" w:hAnsi="宋体" w:cs="宋体" w:eastAsia="宋体" w:hint="default"/>
                <w:sz w:val="18"/>
                <w:szCs w:val="18"/>
              </w:rPr>
              <w:t>——合并财务报表（</w:t>
            </w:r>
            <w:r>
              <w:rPr>
                <w:rFonts w:ascii="宋体" w:hAnsi="宋体" w:cs="宋体" w:eastAsia="宋体" w:hint="default"/>
                <w:sz w:val="18"/>
                <w:szCs w:val="18"/>
              </w:rPr>
              <w:t>2014 </w:t>
            </w:r>
            <w:r>
              <w:rPr>
                <w:rFonts w:ascii="宋体" w:hAnsi="宋体" w:cs="宋体" w:eastAsia="宋体" w:hint="default"/>
                <w:spacing w:val="-20"/>
                <w:sz w:val="18"/>
                <w:szCs w:val="18"/>
              </w:rPr>
              <w:t>年修订）》、《企业会计准则第</w:t>
            </w:r>
            <w:r>
              <w:rPr>
                <w:rFonts w:ascii="宋体" w:hAnsi="宋体" w:cs="宋体" w:eastAsia="宋体" w:hint="default"/>
                <w:sz w:val="18"/>
                <w:szCs w:val="18"/>
              </w:rPr>
              <w:t> </w:t>
            </w:r>
            <w:r>
              <w:rPr>
                <w:rFonts w:ascii="宋体" w:hAnsi="宋体" w:cs="宋体" w:eastAsia="宋体" w:hint="default"/>
                <w:sz w:val="18"/>
                <w:szCs w:val="18"/>
              </w:rPr>
              <w:t>40</w:t>
            </w:r>
            <w:r>
              <w:rPr>
                <w:rFonts w:ascii="宋体" w:hAnsi="宋体" w:cs="宋体" w:eastAsia="宋体" w:hint="default"/>
                <w:spacing w:val="-38"/>
                <w:sz w:val="18"/>
                <w:szCs w:val="18"/>
              </w:rPr>
              <w:t> </w:t>
            </w:r>
            <w:r>
              <w:rPr>
                <w:rFonts w:ascii="宋体" w:hAnsi="宋体" w:cs="宋体" w:eastAsia="宋体" w:hint="default"/>
                <w:sz w:val="18"/>
                <w:szCs w:val="18"/>
              </w:rPr>
              <w:t>号—— </w:t>
            </w:r>
            <w:r>
              <w:rPr>
                <w:rFonts w:ascii="宋体" w:hAnsi="宋体" w:cs="宋体" w:eastAsia="宋体" w:hint="default"/>
                <w:spacing w:val="-16"/>
                <w:sz w:val="18"/>
                <w:szCs w:val="18"/>
              </w:rPr>
              <w:t>合营安排》、《企业会计准则第</w:t>
            </w:r>
            <w:r>
              <w:rPr>
                <w:rFonts w:ascii="宋体" w:hAnsi="宋体" w:cs="宋体" w:eastAsia="宋体" w:hint="default"/>
                <w:sz w:val="18"/>
                <w:szCs w:val="18"/>
              </w:rPr>
              <w:t> </w:t>
            </w:r>
            <w:r>
              <w:rPr>
                <w:rFonts w:ascii="宋体" w:hAnsi="宋体" w:cs="宋体" w:eastAsia="宋体" w:hint="default"/>
                <w:sz w:val="18"/>
                <w:szCs w:val="18"/>
              </w:rPr>
              <w:t>2 </w:t>
            </w:r>
            <w:r>
              <w:rPr>
                <w:rFonts w:ascii="宋体" w:hAnsi="宋体" w:cs="宋体" w:eastAsia="宋体" w:hint="default"/>
                <w:sz w:val="18"/>
                <w:szCs w:val="18"/>
              </w:rPr>
              <w:t>号—— </w:t>
            </w:r>
            <w:r>
              <w:rPr>
                <w:rFonts w:ascii="宋体" w:hAnsi="宋体" w:cs="宋体" w:eastAsia="宋体" w:hint="default"/>
                <w:spacing w:val="-4"/>
                <w:sz w:val="18"/>
                <w:szCs w:val="18"/>
              </w:rPr>
              <w:t>长期股权投资（</w:t>
            </w:r>
            <w:r>
              <w:rPr>
                <w:rFonts w:ascii="宋体" w:hAnsi="宋体" w:cs="宋体" w:eastAsia="宋体" w:hint="default"/>
                <w:spacing w:val="-4"/>
                <w:sz w:val="18"/>
                <w:szCs w:val="18"/>
              </w:rPr>
              <w:t>2014</w:t>
            </w:r>
            <w:r>
              <w:rPr>
                <w:rFonts w:ascii="宋体" w:hAnsi="宋体" w:cs="宋体" w:eastAsia="宋体" w:hint="default"/>
                <w:spacing w:val="-37"/>
                <w:sz w:val="18"/>
                <w:szCs w:val="18"/>
              </w:rPr>
              <w:t> </w:t>
            </w:r>
            <w:r>
              <w:rPr>
                <w:rFonts w:ascii="宋体" w:hAnsi="宋体" w:cs="宋体" w:eastAsia="宋体" w:hint="default"/>
                <w:sz w:val="18"/>
                <w:szCs w:val="18"/>
              </w:rPr>
              <w:t>年修 </w:t>
            </w:r>
            <w:r>
              <w:rPr>
                <w:rFonts w:ascii="宋体" w:hAnsi="宋体" w:cs="宋体" w:eastAsia="宋体" w:hint="default"/>
                <w:spacing w:val="-8"/>
                <w:sz w:val="18"/>
                <w:szCs w:val="18"/>
              </w:rPr>
              <w:t>订）》及《企业会计准则第</w:t>
            </w:r>
            <w:r>
              <w:rPr>
                <w:rFonts w:ascii="宋体" w:hAnsi="宋体" w:cs="宋体" w:eastAsia="宋体" w:hint="default"/>
                <w:sz w:val="18"/>
                <w:szCs w:val="18"/>
              </w:rPr>
              <w:t> </w:t>
            </w:r>
            <w:r>
              <w:rPr>
                <w:rFonts w:ascii="宋体" w:hAnsi="宋体" w:cs="宋体" w:eastAsia="宋体" w:hint="default"/>
                <w:sz w:val="18"/>
                <w:szCs w:val="18"/>
              </w:rPr>
              <w:t>41 </w:t>
            </w:r>
            <w:r>
              <w:rPr>
                <w:rFonts w:ascii="宋体" w:hAnsi="宋体" w:cs="宋体" w:eastAsia="宋体" w:hint="default"/>
                <w:sz w:val="18"/>
                <w:szCs w:val="18"/>
              </w:rPr>
              <w:t>号——</w:t>
            </w:r>
            <w:r>
              <w:rPr>
                <w:rFonts w:ascii="宋体" w:hAnsi="宋体" w:cs="宋体" w:eastAsia="宋体" w:hint="default"/>
                <w:spacing w:val="-39"/>
                <w:sz w:val="18"/>
                <w:szCs w:val="18"/>
              </w:rPr>
              <w:t> </w:t>
            </w:r>
            <w:r>
              <w:rPr>
                <w:rFonts w:ascii="宋体" w:hAnsi="宋体" w:cs="宋体" w:eastAsia="宋体" w:hint="default"/>
                <w:spacing w:val="-8"/>
                <w:sz w:val="18"/>
                <w:szCs w:val="18"/>
              </w:rPr>
              <w:t>在其他主体中权益的披露》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要求自</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日起在所有执行企业会计准则的企业范围 内施行，鼓励在境外上市的企业提前执行。同时，财政部以财会 </w:t>
            </w:r>
            <w:r>
              <w:rPr>
                <w:rFonts w:ascii="宋体" w:hAnsi="宋体" w:cs="宋体" w:eastAsia="宋体" w:hint="default"/>
                <w:sz w:val="18"/>
                <w:szCs w:val="18"/>
              </w:rPr>
              <w:t>[2014]23 </w:t>
            </w:r>
            <w:r>
              <w:rPr>
                <w:rFonts w:ascii="宋体" w:hAnsi="宋体" w:cs="宋体" w:eastAsia="宋体" w:hint="default"/>
                <w:sz w:val="18"/>
                <w:szCs w:val="18"/>
              </w:rPr>
              <w:t>号发布了《企业会计准则第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号——金融工具列报</w:t>
            </w:r>
          </w:p>
          <w:p>
            <w:pPr>
              <w:pStyle w:val="TableParagraph"/>
              <w:spacing w:line="319" w:lineRule="auto" w:before="19"/>
              <w:ind w:left="22" w:right="1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 </w:t>
            </w:r>
            <w:r>
              <w:rPr>
                <w:rFonts w:ascii="宋体" w:hAnsi="宋体" w:cs="宋体" w:eastAsia="宋体" w:hint="default"/>
                <w:spacing w:val="-29"/>
                <w:sz w:val="18"/>
                <w:szCs w:val="18"/>
              </w:rPr>
              <w:t>年修订）》，要求在</w:t>
            </w: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年年度及以后期间的财务报告中按 照该准则的要求对金融工具进行列报。</w:t>
            </w:r>
          </w:p>
        </w:tc>
        <w:tc>
          <w:tcPr>
            <w:tcW w:w="26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6" w:right="22"/>
              <w:jc w:val="center"/>
              <w:rPr>
                <w:rFonts w:ascii="宋体" w:hAnsi="宋体" w:cs="宋体" w:eastAsia="宋体" w:hint="default"/>
                <w:sz w:val="18"/>
                <w:szCs w:val="18"/>
              </w:rPr>
            </w:pPr>
            <w:r>
              <w:rPr>
                <w:rFonts w:ascii="宋体" w:hAnsi="宋体" w:cs="宋体" w:eastAsia="宋体" w:hint="default"/>
                <w:spacing w:val="-5"/>
                <w:sz w:val="18"/>
                <w:szCs w:val="18"/>
              </w:rPr>
              <w:t>第三届董事会第九次会议、第三届</w:t>
            </w:r>
            <w:r>
              <w:rPr>
                <w:rFonts w:ascii="宋体" w:hAnsi="宋体" w:cs="宋体" w:eastAsia="宋体" w:hint="default"/>
                <w:sz w:val="18"/>
                <w:szCs w:val="18"/>
              </w:rPr>
              <w:t> 监事会第七次会议分别审议通过</w:t>
            </w:r>
          </w:p>
          <w:p>
            <w:pPr>
              <w:pStyle w:val="TableParagraph"/>
              <w:spacing w:line="240" w:lineRule="auto" w:before="20"/>
              <w:ind w:left="-145" w:right="48"/>
              <w:jc w:val="center"/>
              <w:rPr>
                <w:rFonts w:ascii="宋体" w:hAnsi="宋体" w:cs="宋体" w:eastAsia="宋体" w:hint="default"/>
                <w:sz w:val="18"/>
                <w:szCs w:val="18"/>
              </w:rPr>
            </w:pPr>
            <w:r>
              <w:rPr>
                <w:rFonts w:ascii="宋体" w:hAnsi="宋体" w:cs="宋体" w:eastAsia="宋体" w:hint="default"/>
                <w:spacing w:val="-19"/>
                <w:sz w:val="18"/>
                <w:szCs w:val="18"/>
              </w:rPr>
              <w:t>，</w:t>
            </w:r>
            <w:r>
              <w:rPr>
                <w:rFonts w:ascii="宋体" w:hAnsi="宋体" w:cs="宋体" w:eastAsia="宋体" w:hint="default"/>
                <w:sz w:val="18"/>
                <w:szCs w:val="18"/>
              </w:rPr>
              <w:t>了《关于会计政策变更的议案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r>
        <w:rPr/>
        <w:pict>
          <v:group style="position:absolute;margin-left:320.380005pt;margin-top:-108.686317pt;width:131.9pt;height:17.6pt;mso-position-horizontal-relative:page;mso-position-vertical-relative:paragraph;z-index:-910336" coordorigin="6408,-2174" coordsize="2638,352">
            <v:shape style="position:absolute;left:6408;top:-2174;width:2638;height:352" coordorigin="6408,-2174" coordsize="2638,352" path="m6408,-1822l9046,-1822,9046,-2174,6408,-2174,6408,-1822xe" filled="true" fillcolor="#ffffff" stroked="false">
              <v:path arrowok="t"/>
              <v:fill type="solid"/>
            </v:shape>
            <w10:wrap type="none"/>
          </v:group>
        </w:pict>
      </w:r>
      <w:bookmarkStart w:name="（2）重要会计估计变更" w:id="171"/>
      <w:bookmarkEnd w:id="171"/>
      <w:r>
        <w:rPr>
          <w:b w:val="0"/>
          <w:bCs w:val="0"/>
        </w:rPr>
      </w:r>
      <w:r>
        <w:rPr/>
        <w:t>（</w:t>
      </w: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六、税项" w:id="172"/>
      <w:bookmarkEnd w:id="172"/>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173"/>
      <w:bookmarkEnd w:id="173"/>
      <w:r>
        <w:rPr>
          <w:b w:val="0"/>
          <w:bCs w:val="0"/>
        </w:rPr>
      </w: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应交增值税、营业税额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详见说明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应交增值税、营业税额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应交增值税、营业税额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汉威电子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福建恒嘉环保设备有限公司（以下简称“福建恒嘉”）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w:t>
            </w:r>
            <w:r>
              <w:rPr>
                <w:rFonts w:ascii="宋体" w:hAnsi="宋体" w:cs="宋体" w:eastAsia="宋体" w:hint="default"/>
                <w:sz w:val="18"/>
                <w:szCs w:val="18"/>
              </w:rPr>
              <w:t>(</w:t>
            </w:r>
            <w:r>
              <w:rPr>
                <w:rFonts w:ascii="宋体" w:hAnsi="宋体" w:cs="宋体" w:eastAsia="宋体" w:hint="default"/>
                <w:sz w:val="18"/>
                <w:szCs w:val="18"/>
              </w:rPr>
              <w:t>东山</w:t>
            </w:r>
            <w:r>
              <w:rPr>
                <w:rFonts w:ascii="宋体" w:hAnsi="宋体" w:cs="宋体" w:eastAsia="宋体" w:hint="default"/>
                <w:sz w:val="18"/>
                <w:szCs w:val="18"/>
              </w:rPr>
              <w:t>)</w:t>
            </w:r>
            <w:r>
              <w:rPr>
                <w:rFonts w:ascii="宋体" w:hAnsi="宋体" w:cs="宋体" w:eastAsia="宋体" w:hint="default"/>
                <w:sz w:val="18"/>
                <w:szCs w:val="18"/>
              </w:rPr>
              <w:t>水处理有限公司（以下简称“东山嘉园”）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福建嘉园环保有限责任公司（以下简称“福建嘉园”）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福州丰泽自动化有限公司（以下简称“福州丰泽”）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合肥嘉园水处理投资有限公司（以下简称“合肥嘉园”）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上海嘉园环保科技有限公司（以下简称“上海嘉园”）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重庆嘉恒水处理有限公司（以下简称“重庆嘉恒”）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2、税收优惠" w:id="174"/>
      <w:bookmarkEnd w:id="174"/>
      <w:r>
        <w:rPr>
          <w:b w:val="0"/>
          <w:bCs w:val="0"/>
        </w:rPr>
      </w:r>
      <w:r>
        <w:rPr>
          <w:rFonts w:ascii="宋体" w:hAnsi="宋体" w:cs="宋体" w:eastAsia="宋体" w:hint="default"/>
        </w:rPr>
        <w:t>2</w:t>
      </w:r>
      <w:r>
        <w:rPr/>
        <w:t>、税收优惠</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574" w:right="0"/>
        <w:jc w:val="left"/>
      </w:pPr>
      <w:r>
        <w:rPr>
          <w:rFonts w:ascii="宋体" w:hAnsi="宋体" w:cs="宋体" w:eastAsia="宋体" w:hint="default"/>
        </w:rPr>
        <w:t>1</w:t>
      </w:r>
      <w:r>
        <w:rPr/>
        <w:t>、所得税税收优惠 </w:t>
      </w:r>
      <w:r>
        <w:rPr>
          <w:spacing w:val="-1"/>
        </w:rPr>
        <w:t>汉威电子、炜盛电子、沈阳金建、鞍山易兴、嘉园环保及嘉园环保子公司上海嘉园于</w:t>
      </w:r>
      <w:r>
        <w:rPr>
          <w:rFonts w:ascii="宋体" w:hAnsi="宋体" w:cs="宋体" w:eastAsia="宋体" w:hint="default"/>
          <w:spacing w:val="-1"/>
        </w:rPr>
        <w:t>2014</w:t>
      </w:r>
      <w:r>
        <w:rPr>
          <w:spacing w:val="-1"/>
        </w:rPr>
        <w:t>年度经相关</w:t>
      </w:r>
    </w:p>
    <w:p>
      <w:pPr>
        <w:pStyle w:val="BodyText"/>
        <w:spacing w:line="408" w:lineRule="auto"/>
        <w:ind w:right="152"/>
        <w:jc w:val="both"/>
      </w:pPr>
      <w:r>
        <w:rPr>
          <w:spacing w:val="-1"/>
        </w:rPr>
        <w:t>部门批复认定为高新技术企业，根据《中华人民共和国企业所得税法》及《关于高新技术企业</w:t>
      </w:r>
      <w:r>
        <w:rPr>
          <w:rFonts w:ascii="宋体" w:hAnsi="宋体" w:cs="宋体" w:eastAsia="宋体" w:hint="default"/>
          <w:spacing w:val="-1"/>
        </w:rPr>
        <w:t>2008</w:t>
      </w:r>
      <w:r>
        <w:rPr>
          <w:spacing w:val="-1"/>
        </w:rPr>
        <w:t>年度缴</w:t>
      </w:r>
      <w:r>
        <w:rPr>
          <w:spacing w:val="-84"/>
        </w:rPr>
        <w:t> </w:t>
      </w:r>
      <w:r>
        <w:rPr>
          <w:spacing w:val="-84"/>
        </w:rPr>
      </w:r>
      <w:r>
        <w:rPr>
          <w:spacing w:val="-1"/>
        </w:rPr>
        <w:t>纳企业所得税问题的通知》（国税（</w:t>
      </w:r>
      <w:r>
        <w:rPr>
          <w:rFonts w:ascii="宋体" w:hAnsi="宋体" w:cs="宋体" w:eastAsia="宋体" w:hint="default"/>
          <w:spacing w:val="-1"/>
        </w:rPr>
        <w:t>2008</w:t>
      </w:r>
      <w:r>
        <w:rPr>
          <w:spacing w:val="-1"/>
        </w:rPr>
        <w:t>）</w:t>
      </w:r>
      <w:r>
        <w:rPr>
          <w:rFonts w:ascii="宋体" w:hAnsi="宋体" w:cs="宋体" w:eastAsia="宋体" w:hint="default"/>
          <w:spacing w:val="-1"/>
        </w:rPr>
        <w:t>985</w:t>
      </w:r>
      <w:r>
        <w:rPr>
          <w:spacing w:val="-1"/>
        </w:rPr>
        <w:t>号）有关规定，自</w:t>
      </w:r>
      <w:r>
        <w:rPr>
          <w:rFonts w:ascii="宋体" w:hAnsi="宋体" w:cs="宋体" w:eastAsia="宋体" w:hint="default"/>
          <w:spacing w:val="-1"/>
        </w:rPr>
        <w:t>2014</w:t>
      </w:r>
      <w:r>
        <w:rPr>
          <w:spacing w:val="-1"/>
        </w:rPr>
        <w:t>年度起三年内适用</w:t>
      </w:r>
      <w:r>
        <w:rPr>
          <w:rFonts w:ascii="宋体" w:hAnsi="宋体" w:cs="宋体" w:eastAsia="宋体" w:hint="default"/>
          <w:spacing w:val="-1"/>
        </w:rPr>
        <w:t>15%</w:t>
      </w:r>
      <w:r>
        <w:rPr>
          <w:spacing w:val="-1"/>
        </w:rPr>
        <w:t>的所得税优惠</w:t>
      </w:r>
      <w:r>
        <w:rPr>
          <w:spacing w:val="-80"/>
        </w:rPr>
        <w:t> </w:t>
      </w:r>
      <w:r>
        <w:rPr>
          <w:spacing w:val="-80"/>
        </w:rPr>
      </w:r>
      <w:r>
        <w:rPr/>
        <w:t>税率。</w:t>
      </w:r>
    </w:p>
    <w:p>
      <w:pPr>
        <w:pStyle w:val="BodyText"/>
        <w:spacing w:line="408" w:lineRule="auto"/>
        <w:ind w:right="150" w:firstLine="420"/>
        <w:jc w:val="both"/>
      </w:pPr>
      <w:r>
        <w:rPr/>
        <w:t>创威煤安</w:t>
      </w:r>
      <w:r>
        <w:rPr>
          <w:rFonts w:ascii="宋体" w:hAnsi="宋体" w:cs="宋体" w:eastAsia="宋体" w:hint="default"/>
        </w:rPr>
        <w:t>2013</w:t>
      </w:r>
      <w:r>
        <w:rPr/>
        <w:t>年度经相关部门批复认定为高新技术企业，并自</w:t>
      </w:r>
      <w:r>
        <w:rPr>
          <w:rFonts w:ascii="宋体" w:hAnsi="宋体" w:cs="宋体" w:eastAsia="宋体" w:hint="default"/>
        </w:rPr>
        <w:t>2013</w:t>
      </w:r>
      <w:r>
        <w:rPr/>
        <w:t>年度起三年内适用</w:t>
      </w:r>
      <w:r>
        <w:rPr>
          <w:rFonts w:ascii="宋体" w:hAnsi="宋体" w:cs="宋体" w:eastAsia="宋体" w:hint="default"/>
        </w:rPr>
        <w:t>15%</w:t>
      </w:r>
      <w:r>
        <w:rPr/>
        <w:t>的所得税优 惠税率。</w:t>
      </w:r>
    </w:p>
    <w:p>
      <w:pPr>
        <w:pStyle w:val="BodyText"/>
        <w:spacing w:line="408" w:lineRule="auto"/>
        <w:ind w:right="129" w:firstLine="420"/>
        <w:jc w:val="both"/>
      </w:pPr>
      <w:r>
        <w:rPr>
          <w:spacing w:val="-1"/>
        </w:rPr>
        <w:t>中威天安根据《财政部、国家税务总局关于进一步鼓励软件产业和集成电路产业发展企业所得税政策</w:t>
      </w:r>
      <w:r>
        <w:rPr/>
        <w:t> 的通知》，经上海市浦东新区国税局浦税十五所备（</w:t>
      </w:r>
      <w:r>
        <w:rPr>
          <w:rFonts w:ascii="宋体" w:hAnsi="宋体" w:cs="宋体" w:eastAsia="宋体" w:hint="default"/>
        </w:rPr>
        <w:t>2013</w:t>
      </w:r>
      <w:r>
        <w:rPr/>
        <w:t>）</w:t>
      </w:r>
      <w:r>
        <w:rPr>
          <w:rFonts w:ascii="宋体" w:hAnsi="宋体" w:cs="宋体" w:eastAsia="宋体" w:hint="default"/>
        </w:rPr>
        <w:t>19</w:t>
      </w:r>
      <w:r>
        <w:rPr/>
        <w:t>号《企业所得税优惠事先备案结果通知书》 批准，自</w:t>
      </w:r>
      <w:r>
        <w:rPr>
          <w:rFonts w:ascii="宋体" w:hAnsi="宋体" w:cs="宋体" w:eastAsia="宋体" w:hint="default"/>
        </w:rPr>
        <w:t>2012</w:t>
      </w:r>
      <w:r>
        <w:rPr/>
        <w:t>年度起享受软件企业所得税“两免三减半”税收优惠。</w:t>
      </w:r>
    </w:p>
    <w:p>
      <w:pPr>
        <w:pStyle w:val="BodyText"/>
        <w:spacing w:line="408" w:lineRule="auto"/>
        <w:ind w:right="150" w:firstLine="420"/>
        <w:jc w:val="both"/>
      </w:pPr>
      <w:r>
        <w:rPr>
          <w:spacing w:val="-1"/>
        </w:rPr>
        <w:t>嘉园环保根据《中华人民共和国企业所得税法》第二十七条以及《中华人民共和国企业所得税法实施</w:t>
      </w:r>
      <w:r>
        <w:rPr/>
        <w:t> </w:t>
      </w:r>
      <w:r>
        <w:rPr>
          <w:spacing w:val="-1"/>
        </w:rPr>
        <w:t>条例》第九十条的规定，对符合条件的技术转让所得不超过</w:t>
      </w:r>
      <w:r>
        <w:rPr>
          <w:rFonts w:ascii="宋体" w:hAnsi="宋体" w:cs="宋体" w:eastAsia="宋体" w:hint="default"/>
          <w:spacing w:val="-1"/>
        </w:rPr>
        <w:t>500</w:t>
      </w:r>
      <w:r>
        <w:rPr>
          <w:spacing w:val="-1"/>
        </w:rPr>
        <w:t>万元的部分，免征企业所得税；超过</w:t>
      </w:r>
      <w:r>
        <w:rPr>
          <w:rFonts w:ascii="宋体" w:hAnsi="宋体" w:cs="宋体" w:eastAsia="宋体" w:hint="default"/>
          <w:spacing w:val="-1"/>
        </w:rPr>
        <w:t>500</w:t>
      </w:r>
      <w:r>
        <w:rPr>
          <w:spacing w:val="-1"/>
        </w:rPr>
        <w:t>万</w:t>
      </w:r>
      <w:r>
        <w:rPr>
          <w:spacing w:val="-85"/>
        </w:rPr>
        <w:t> </w:t>
      </w:r>
      <w:r>
        <w:rPr/>
        <w:t>元的部分，减半征收企业所得税。</w:t>
      </w:r>
    </w:p>
    <w:p>
      <w:pPr>
        <w:pStyle w:val="BodyText"/>
        <w:spacing w:line="408" w:lineRule="auto"/>
        <w:ind w:right="153" w:firstLine="420"/>
        <w:jc w:val="both"/>
      </w:pPr>
      <w:r>
        <w:rPr>
          <w:spacing w:val="-1"/>
        </w:rPr>
        <w:t>东山嘉园、合肥嘉园根据《中华人民共和国企业所得税法》第二十七条以及《中华人民共和国企业所</w:t>
      </w:r>
      <w:r>
        <w:rPr/>
        <w:t> 得税法实施条例》第八十八条的规定，享受企业所得税三免三减半税收优惠。</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3" w:right="104"/>
        <w:jc w:val="left"/>
      </w:pPr>
      <w:r>
        <w:rPr>
          <w:rFonts w:ascii="宋体" w:hAnsi="宋体" w:cs="宋体" w:eastAsia="宋体" w:hint="default"/>
        </w:rPr>
        <w:t>2</w:t>
      </w:r>
      <w:r>
        <w:rPr/>
        <w:t>、增值税税收优惠 本公司及炜盛电子、创威煤安、中威天安、福州丰泽根据“财税（</w:t>
      </w:r>
      <w:r>
        <w:rPr>
          <w:rFonts w:ascii="宋体" w:hAnsi="宋体" w:cs="宋体" w:eastAsia="宋体" w:hint="default"/>
        </w:rPr>
        <w:t>2011</w:t>
      </w:r>
      <w:r>
        <w:rPr/>
        <w:t>）</w:t>
      </w:r>
      <w:r>
        <w:rPr>
          <w:rFonts w:ascii="宋体" w:hAnsi="宋体" w:cs="宋体" w:eastAsia="宋体" w:hint="default"/>
        </w:rPr>
        <w:t>100</w:t>
      </w:r>
      <w:r>
        <w:rPr/>
        <w:t>号《财政部、国家税务</w:t>
      </w:r>
    </w:p>
    <w:p>
      <w:pPr>
        <w:pStyle w:val="BodyText"/>
        <w:spacing w:line="408" w:lineRule="auto"/>
        <w:ind w:right="104"/>
        <w:jc w:val="left"/>
      </w:pPr>
      <w:r>
        <w:rPr/>
        <w:t>总局关于软件产品增值税政策的通知》“的规定，自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日起对增值税一般纳税人销售其自行开发 </w:t>
      </w:r>
      <w:r>
        <w:rPr>
          <w:spacing w:val="-1"/>
        </w:rPr>
        <w:t>生产的软件产品，按</w:t>
      </w:r>
      <w:r>
        <w:rPr>
          <w:rFonts w:ascii="宋体" w:hAnsi="宋体" w:cs="宋体" w:eastAsia="宋体" w:hint="default"/>
          <w:spacing w:val="-1"/>
        </w:rPr>
        <w:t>17%</w:t>
      </w:r>
      <w:r>
        <w:rPr>
          <w:spacing w:val="-1"/>
        </w:rPr>
        <w:t>的法定税率征收增值税后，对其增值税实际税负超过</w:t>
      </w:r>
      <w:r>
        <w:rPr>
          <w:rFonts w:ascii="宋体" w:hAnsi="宋体" w:cs="宋体" w:eastAsia="宋体" w:hint="default"/>
          <w:spacing w:val="-1"/>
        </w:rPr>
        <w:t>3%</w:t>
      </w:r>
      <w:r>
        <w:rPr>
          <w:spacing w:val="-1"/>
        </w:rPr>
        <w:t>的部分实行即征即退政策。</w:t>
      </w:r>
    </w:p>
    <w:p>
      <w:pPr>
        <w:pStyle w:val="BodyText"/>
        <w:spacing w:line="408" w:lineRule="auto"/>
        <w:ind w:right="104" w:firstLine="420"/>
        <w:jc w:val="left"/>
      </w:pPr>
      <w:r>
        <w:rPr>
          <w:spacing w:val="-1"/>
        </w:rPr>
        <w:t>东山嘉园根据“财税字（</w:t>
      </w:r>
      <w:r>
        <w:rPr>
          <w:rFonts w:ascii="宋体" w:hAnsi="宋体" w:cs="宋体" w:eastAsia="宋体" w:hint="default"/>
          <w:spacing w:val="-1"/>
        </w:rPr>
        <w:t>2001</w:t>
      </w:r>
      <w:r>
        <w:rPr>
          <w:spacing w:val="-1"/>
        </w:rPr>
        <w:t>）第</w:t>
      </w:r>
      <w:r>
        <w:rPr>
          <w:rFonts w:ascii="宋体" w:hAnsi="宋体" w:cs="宋体" w:eastAsia="宋体" w:hint="default"/>
          <w:spacing w:val="-1"/>
        </w:rPr>
        <w:t>97</w:t>
      </w:r>
      <w:r>
        <w:rPr>
          <w:spacing w:val="-1"/>
        </w:rPr>
        <w:t>号《财政部、国家税务总局关于污水处理费有关增值税政策的通</w:t>
      </w:r>
      <w:r>
        <w:rPr/>
        <w:t> 知》”的规定，对收取的污水处理费，免征增值税。</w:t>
      </w:r>
    </w:p>
    <w:p>
      <w:pPr>
        <w:pStyle w:val="BodyText"/>
        <w:spacing w:line="408" w:lineRule="auto"/>
        <w:ind w:right="104" w:firstLine="420"/>
        <w:jc w:val="left"/>
      </w:pPr>
      <w:r>
        <w:rPr/>
        <w:t>合肥嘉园根据“财税（</w:t>
      </w:r>
      <w:r>
        <w:rPr>
          <w:rFonts w:ascii="宋体" w:hAnsi="宋体" w:cs="宋体" w:eastAsia="宋体" w:hint="default"/>
        </w:rPr>
        <w:t>2008</w:t>
      </w:r>
      <w:r>
        <w:rPr/>
        <w:t>）</w:t>
      </w:r>
      <w:r>
        <w:rPr>
          <w:rFonts w:ascii="宋体" w:hAnsi="宋体" w:cs="宋体" w:eastAsia="宋体" w:hint="default"/>
        </w:rPr>
        <w:t>156</w:t>
      </w:r>
      <w:r>
        <w:rPr/>
        <w:t>号《关于资源综合利用及其他产品增值税政策的通知》”的规定， 对垃圾处理厂渗透（滤）液回收处理，免征增值税。</w:t>
      </w:r>
    </w:p>
    <w:p>
      <w:pPr>
        <w:spacing w:line="240" w:lineRule="auto" w:before="11"/>
        <w:rPr>
          <w:rFonts w:ascii="宋体" w:hAnsi="宋体" w:cs="宋体" w:eastAsia="宋体" w:hint="default"/>
          <w:sz w:val="18"/>
          <w:szCs w:val="18"/>
        </w:rPr>
      </w:pPr>
    </w:p>
    <w:p>
      <w:pPr>
        <w:pStyle w:val="Heading2"/>
        <w:spacing w:line="240" w:lineRule="auto"/>
        <w:ind w:right="104"/>
        <w:jc w:val="left"/>
        <w:rPr>
          <w:b w:val="0"/>
          <w:bCs w:val="0"/>
        </w:rPr>
      </w:pPr>
      <w:bookmarkStart w:name="七、合并财务报表项目注释" w:id="175"/>
      <w:bookmarkEnd w:id="17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货币资金" w:id="176"/>
      <w:bookmarkEnd w:id="176"/>
      <w:r>
        <w:rPr>
          <w:b w:val="0"/>
          <w:bCs w:val="0"/>
        </w:rPr>
      </w:r>
      <w:r>
        <w:rPr>
          <w:rFonts w:ascii="宋体" w:hAnsi="宋体" w:cs="宋体" w:eastAsia="宋体" w:hint="default"/>
        </w:rPr>
        <w:t>1</w:t>
      </w:r>
      <w:r>
        <w:rPr/>
        <w:t>、货币资金</w:t>
      </w:r>
      <w:r>
        <w:rPr>
          <w:b w:val="0"/>
          <w:bCs w:val="0"/>
        </w:rPr>
      </w:r>
    </w:p>
    <w:p>
      <w:pPr>
        <w:spacing w:line="240" w:lineRule="auto" w:before="11"/>
        <w:rPr>
          <w:rFonts w:ascii="宋体" w:hAnsi="宋体" w:cs="宋体" w:eastAsia="宋体" w:hint="default"/>
          <w:b/>
          <w:bCs/>
          <w:sz w:val="27"/>
          <w:szCs w:val="27"/>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865,925.04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177,631.50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223,386,262.88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259,899,079.29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18,176,068.49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136,000.00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242,428,256.41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260,212,710.79</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604" w:lineRule="auto" w:before="0"/>
        <w:ind w:right="1013" w:firstLine="420"/>
        <w:jc w:val="left"/>
        <w:rPr>
          <w:rFonts w:ascii="宋体" w:hAnsi="宋体" w:cs="宋体" w:eastAsia="宋体" w:hint="default"/>
        </w:rPr>
      </w:pPr>
      <w:r>
        <w:rPr/>
        <w:t>注：期末其他货币资金中将于</w:t>
      </w:r>
      <w:r>
        <w:rPr>
          <w:rFonts w:ascii="宋体" w:hAnsi="宋体" w:cs="宋体" w:eastAsia="宋体" w:hint="default"/>
        </w:rPr>
        <w:t>3</w:t>
      </w:r>
      <w:r>
        <w:rPr/>
        <w:t>个月后到期的汇票、保函、信用证保证金</w:t>
      </w:r>
      <w:r>
        <w:rPr>
          <w:rFonts w:ascii="宋体" w:hAnsi="宋体" w:cs="宋体" w:eastAsia="宋体" w:hint="default"/>
        </w:rPr>
        <w:t>14,580,568.49</w:t>
      </w:r>
      <w:r>
        <w:rPr/>
        <w:t>元。 </w:t>
      </w:r>
      <w:bookmarkStart w:name="2、应收票据" w:id="177"/>
      <w:bookmarkEnd w:id="177"/>
      <w:r>
        <w:rPr/>
      </w:r>
      <w:r>
        <w:rPr>
          <w:rFonts w:ascii="宋体" w:hAnsi="宋体" w:cs="宋体" w:eastAsia="宋体" w:hint="default"/>
          <w:b/>
          <w:bCs/>
        </w:rPr>
        <w:t>2</w:t>
      </w:r>
      <w:r>
        <w:rPr>
          <w:rFonts w:ascii="宋体" w:hAnsi="宋体" w:cs="宋体" w:eastAsia="宋体" w:hint="default"/>
          <w:b/>
          <w:bCs/>
        </w:rPr>
        <w:t>、应收票据</w:t>
      </w:r>
      <w:r>
        <w:rPr>
          <w:rFonts w:ascii="宋体" w:hAnsi="宋体" w:cs="宋体" w:eastAsia="宋体" w:hint="default"/>
        </w:rPr>
      </w:r>
    </w:p>
    <w:p>
      <w:pPr>
        <w:pStyle w:val="Heading3"/>
        <w:spacing w:line="240" w:lineRule="auto" w:before="20"/>
        <w:ind w:right="104"/>
        <w:jc w:val="left"/>
        <w:rPr>
          <w:b w:val="0"/>
          <w:bCs w:val="0"/>
        </w:rPr>
      </w:pPr>
      <w:bookmarkStart w:name="（1）应收票据分类列示" w:id="178"/>
      <w:bookmarkEnd w:id="178"/>
      <w:r>
        <w:rPr>
          <w:b w:val="0"/>
          <w:bCs w:val="0"/>
        </w:rPr>
      </w:r>
      <w:r>
        <w:rPr/>
        <w:t>（</w:t>
      </w:r>
      <w:r>
        <w:rPr>
          <w:rFonts w:ascii="宋体" w:hAnsi="宋体" w:cs="宋体" w:eastAsia="宋体" w:hint="default"/>
        </w:rPr>
        <w:t>1</w:t>
      </w:r>
      <w:r>
        <w:rPr/>
        <w:t>）应收票据分类列示</w:t>
      </w:r>
      <w:r>
        <w:rPr>
          <w:b w:val="0"/>
          <w:bCs w:val="0"/>
        </w:rPr>
      </w:r>
    </w:p>
    <w:p>
      <w:pPr>
        <w:spacing w:line="240" w:lineRule="auto" w:before="5"/>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19,762,146.02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5,369,168.50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21,223,146.02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5,369,168.50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2）期末公司已背书或贴现且在资产负债表日尚未到期的应收票据" w:id="179"/>
      <w:bookmarkEnd w:id="179"/>
      <w:r>
        <w:rPr>
          <w:b w:val="0"/>
          <w:bCs w:val="0"/>
        </w:rPr>
      </w:r>
      <w:r>
        <w:rPr/>
        <w:t>（</w:t>
      </w:r>
      <w:r>
        <w:rPr>
          <w:rFonts w:ascii="宋体" w:hAnsi="宋体" w:cs="宋体" w:eastAsia="宋体" w:hint="default"/>
        </w:rPr>
        <w:t>2</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20,131,584.72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20,131,584.72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应收账款" w:id="180"/>
      <w:bookmarkEnd w:id="180"/>
      <w:r>
        <w:rPr>
          <w:b w:val="0"/>
          <w:bCs w:val="0"/>
        </w:rPr>
      </w:r>
      <w:r>
        <w:rPr>
          <w:rFonts w:ascii="宋体" w:hAnsi="宋体" w:cs="宋体" w:eastAsia="宋体" w:hint="default"/>
        </w:rPr>
        <w:t>3</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4" w:right="0"/>
        <w:jc w:val="left"/>
        <w:rPr>
          <w:b w:val="0"/>
          <w:bCs w:val="0"/>
        </w:rPr>
      </w:pPr>
      <w:bookmarkStart w:name="（1）应收账款分类披露" w:id="181"/>
      <w:bookmarkEnd w:id="181"/>
      <w:r>
        <w:rPr>
          <w:b w:val="0"/>
          <w:bCs w:val="0"/>
        </w:rPr>
      </w: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237,923</w:t>
            </w:r>
          </w:p>
          <w:p>
            <w:pPr>
              <w:pStyle w:val="TableParagraph"/>
              <w:spacing w:line="240" w:lineRule="auto" w:before="76"/>
              <w:ind w:left="87" w:right="0"/>
              <w:jc w:val="left"/>
              <w:rPr>
                <w:rFonts w:ascii="宋体" w:hAnsi="宋体" w:cs="宋体" w:eastAsia="宋体" w:hint="default"/>
                <w:sz w:val="18"/>
                <w:szCs w:val="18"/>
              </w:rPr>
            </w:pPr>
            <w:r>
              <w:rPr>
                <w:rFonts w:ascii="宋体"/>
                <w:sz w:val="18"/>
              </w:rPr>
              <w:t>,655.83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99.64%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24,427,</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771.83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213,495,</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884.00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136,32</w:t>
            </w:r>
          </w:p>
          <w:p>
            <w:pPr>
              <w:pStyle w:val="TableParagraph"/>
              <w:spacing w:line="240" w:lineRule="auto" w:before="75"/>
              <w:ind w:right="23"/>
              <w:jc w:val="right"/>
              <w:rPr>
                <w:rFonts w:ascii="宋体" w:hAnsi="宋体" w:cs="宋体" w:eastAsia="宋体" w:hint="default"/>
                <w:sz w:val="18"/>
                <w:szCs w:val="18"/>
              </w:rPr>
            </w:pPr>
            <w:r>
              <w:rPr>
                <w:rFonts w:ascii="宋体"/>
                <w:sz w:val="18"/>
              </w:rPr>
              <w:t>4,607.</w:t>
            </w:r>
          </w:p>
          <w:p>
            <w:pPr>
              <w:pStyle w:val="TableParagraph"/>
              <w:spacing w:line="240" w:lineRule="auto" w:before="77"/>
              <w:ind w:right="23"/>
              <w:jc w:val="right"/>
              <w:rPr>
                <w:rFonts w:ascii="宋体" w:hAnsi="宋体" w:cs="宋体" w:eastAsia="宋体" w:hint="default"/>
                <w:sz w:val="18"/>
                <w:szCs w:val="18"/>
              </w:rPr>
            </w:pPr>
            <w:r>
              <w:rPr>
                <w:rFonts w:ascii="宋体"/>
                <w:sz w:val="18"/>
              </w:rPr>
              <w:t>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12,761,6</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38.34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9.36%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123,562,9</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69.57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864,000</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432,000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432,000.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238,787</w:t>
            </w:r>
          </w:p>
          <w:p>
            <w:pPr>
              <w:pStyle w:val="TableParagraph"/>
              <w:spacing w:line="240" w:lineRule="auto" w:before="77"/>
              <w:ind w:left="93" w:right="0"/>
              <w:jc w:val="left"/>
              <w:rPr>
                <w:rFonts w:ascii="宋体" w:hAnsi="宋体" w:cs="宋体" w:eastAsia="宋体" w:hint="default"/>
                <w:sz w:val="18"/>
                <w:szCs w:val="18"/>
              </w:rPr>
            </w:pPr>
            <w:r>
              <w:rPr>
                <w:rFonts w:ascii="宋体"/>
                <w:sz w:val="18"/>
              </w:rPr>
              <w:t>,655.83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24,859,</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771.83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213,927,</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884.00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136,32</w:t>
            </w:r>
          </w:p>
          <w:p>
            <w:pPr>
              <w:pStyle w:val="TableParagraph"/>
              <w:spacing w:line="240" w:lineRule="auto" w:before="75"/>
              <w:ind w:right="23"/>
              <w:jc w:val="right"/>
              <w:rPr>
                <w:rFonts w:ascii="宋体" w:hAnsi="宋体" w:cs="宋体" w:eastAsia="宋体" w:hint="default"/>
                <w:sz w:val="18"/>
                <w:szCs w:val="18"/>
              </w:rPr>
            </w:pPr>
            <w:r>
              <w:rPr>
                <w:rFonts w:ascii="宋体"/>
                <w:sz w:val="18"/>
              </w:rPr>
              <w:t>4,607.</w:t>
            </w:r>
          </w:p>
          <w:p>
            <w:pPr>
              <w:pStyle w:val="TableParagraph"/>
              <w:spacing w:line="240" w:lineRule="auto" w:before="78"/>
              <w:ind w:right="23"/>
              <w:jc w:val="right"/>
              <w:rPr>
                <w:rFonts w:ascii="宋体" w:hAnsi="宋体" w:cs="宋体" w:eastAsia="宋体" w:hint="default"/>
                <w:sz w:val="18"/>
                <w:szCs w:val="18"/>
              </w:rPr>
            </w:pPr>
            <w:r>
              <w:rPr>
                <w:rFonts w:ascii="宋体"/>
                <w:sz w:val="18"/>
              </w:rPr>
              <w:t>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12,761,6</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38.34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123,562,9</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69.57</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153,483,794.50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7,674,189.72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45,716,357.17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4,571,635.72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24,117,925.33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4,823,585.06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14,605,578.83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7,358,361.33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8,201,524.44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2,460,457.33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3,012,300.79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1,506,150.40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3,391,753.60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3,391,753.60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237,923,655.83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24,427,771.83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6"/>
        <w:ind w:left="154" w:right="58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2）本期计提、收回或转回的坏账准备情况" w:id="182"/>
      <w:bookmarkEnd w:id="182"/>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3" w:right="329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7,071,482.74</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其中本期坏账准备收回或转回金额重要的：无。</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本期实际核销的应收账款情况" w:id="183"/>
      <w:bookmarkEnd w:id="183"/>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59,418.17</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184"/>
      <w:bookmarkEnd w:id="184"/>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227"/>
        <w:gridCol w:w="1985"/>
        <w:gridCol w:w="1844"/>
        <w:gridCol w:w="1666"/>
      </w:tblGrid>
      <w:tr>
        <w:trPr>
          <w:trHeight w:val="979" w:hRule="exact"/>
        </w:trPr>
        <w:tc>
          <w:tcPr>
            <w:tcW w:w="32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1"/>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21"/>
              <w:ind w:left="14" w:right="12"/>
              <w:jc w:val="center"/>
              <w:rPr>
                <w:rFonts w:ascii="宋体" w:hAnsi="宋体" w:cs="宋体" w:eastAsia="宋体" w:hint="default"/>
                <w:sz w:val="18"/>
                <w:szCs w:val="18"/>
              </w:rPr>
            </w:pPr>
            <w:r>
              <w:rPr>
                <w:rFonts w:ascii="宋体" w:hAnsi="宋体" w:cs="宋体" w:eastAsia="宋体" w:hint="default"/>
                <w:sz w:val="18"/>
                <w:szCs w:val="18"/>
              </w:rPr>
              <w:t>期末余额及占应收账款 期末余额合计数的比例 </w:t>
            </w:r>
            <w:r>
              <w:rPr>
                <w:rFonts w:ascii="宋体" w:hAnsi="宋体" w:cs="宋体" w:eastAsia="宋体" w:hint="default"/>
                <w:sz w:val="18"/>
                <w:szCs w:val="18"/>
              </w:rPr>
              <w:t>(%)</w:t>
            </w:r>
          </w:p>
        </w:tc>
        <w:tc>
          <w:tcPr>
            <w:tcW w:w="16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1"/>
              <w:ind w:left="284"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7" w:hRule="exact"/>
        </w:trPr>
        <w:tc>
          <w:tcPr>
            <w:tcW w:w="32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光大环保技术装备（常州）有限公司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9,987,000.00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4.18</w:t>
            </w:r>
          </w:p>
        </w:tc>
        <w:tc>
          <w:tcPr>
            <w:tcW w:w="16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499,350.00</w:t>
            </w:r>
          </w:p>
        </w:tc>
      </w:tr>
      <w:tr>
        <w:trPr>
          <w:trHeight w:val="347" w:hRule="exact"/>
        </w:trPr>
        <w:tc>
          <w:tcPr>
            <w:tcW w:w="32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新疆天智辰业化工有限公司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3,896,891.30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1.63</w:t>
            </w:r>
          </w:p>
        </w:tc>
        <w:tc>
          <w:tcPr>
            <w:tcW w:w="16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194,844.57</w:t>
            </w:r>
          </w:p>
        </w:tc>
      </w:tr>
      <w:tr>
        <w:trPr>
          <w:trHeight w:val="347" w:hRule="exact"/>
        </w:trPr>
        <w:tc>
          <w:tcPr>
            <w:tcW w:w="32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陕西格润科贸有限责任公司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3,870,587.84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1.62</w:t>
            </w:r>
          </w:p>
        </w:tc>
        <w:tc>
          <w:tcPr>
            <w:tcW w:w="16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193,529.39</w:t>
            </w:r>
          </w:p>
        </w:tc>
      </w:tr>
      <w:tr>
        <w:trPr>
          <w:trHeight w:val="348" w:hRule="exact"/>
        </w:trPr>
        <w:tc>
          <w:tcPr>
            <w:tcW w:w="32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浙江双益环保科技发展有限公司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3,050,000.00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1.28</w:t>
            </w:r>
          </w:p>
        </w:tc>
        <w:tc>
          <w:tcPr>
            <w:tcW w:w="16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305,000.00</w:t>
            </w:r>
          </w:p>
        </w:tc>
      </w:tr>
      <w:tr>
        <w:trPr>
          <w:trHeight w:val="347" w:hRule="exact"/>
        </w:trPr>
        <w:tc>
          <w:tcPr>
            <w:tcW w:w="32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2,869,489.00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1.20</w:t>
            </w:r>
          </w:p>
        </w:tc>
        <w:tc>
          <w:tcPr>
            <w:tcW w:w="16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143,474.45</w:t>
            </w:r>
          </w:p>
        </w:tc>
      </w:tr>
      <w:tr>
        <w:trPr>
          <w:trHeight w:val="355" w:hRule="exact"/>
        </w:trPr>
        <w:tc>
          <w:tcPr>
            <w:tcW w:w="32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23,673,968.14</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9.91</w:t>
            </w:r>
          </w:p>
        </w:tc>
        <w:tc>
          <w:tcPr>
            <w:tcW w:w="16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1,336,198.41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4、预付款项" w:id="185"/>
      <w:bookmarkEnd w:id="185"/>
      <w:r>
        <w:rPr>
          <w:b w:val="0"/>
          <w:bCs w:val="0"/>
        </w:rPr>
      </w:r>
      <w:r>
        <w:rPr>
          <w:rFonts w:ascii="宋体" w:hAnsi="宋体" w:cs="宋体" w:eastAsia="宋体" w:hint="default"/>
        </w:rPr>
        <w:t>4</w:t>
      </w:r>
      <w:r>
        <w:rPr/>
        <w:t>、预付款项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4" w:right="0"/>
        <w:jc w:val="left"/>
        <w:rPr>
          <w:b w:val="0"/>
          <w:bCs w:val="0"/>
        </w:rPr>
      </w:pPr>
      <w:bookmarkStart w:name="（1）预付款项按账龄列示" w:id="186"/>
      <w:bookmarkEnd w:id="186"/>
      <w:r>
        <w:rPr>
          <w:b w:val="0"/>
          <w:bCs w:val="0"/>
        </w:rPr>
      </w:r>
      <w:r>
        <w:rPr/>
        <w:t>（</w:t>
      </w:r>
      <w:r>
        <w:rPr>
          <w:rFonts w:ascii="宋体" w:hAnsi="宋体" w:cs="宋体" w:eastAsia="宋体" w:hint="default"/>
        </w:rPr>
        <w:t>1</w:t>
      </w:r>
      <w:r>
        <w:rPr/>
        <w:t>）预付款项按账龄列示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10,002,212.15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68.56%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11,744,582.47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82.95%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2,917,190.02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1,184,142.10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884,716.61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832,907.96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786,147.72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397,552.38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14,590,266.50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14,159,184.91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1744"/>
        <w:gridCol w:w="1742"/>
        <w:gridCol w:w="2391"/>
        <w:gridCol w:w="1743"/>
        <w:gridCol w:w="1744"/>
      </w:tblGrid>
      <w:tr>
        <w:trPr>
          <w:trHeight w:val="352" w:hRule="exact"/>
        </w:trPr>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债权单位</w:t>
            </w:r>
          </w:p>
        </w:tc>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65" w:hRule="exact"/>
        </w:trPr>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10"/>
                <w:sz w:val="18"/>
                <w:szCs w:val="18"/>
              </w:rPr>
              <w:t>深圳恒通源水处理科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1,000,000.00</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事项尚未完结</w:t>
            </w:r>
          </w:p>
        </w:tc>
      </w:tr>
      <w:tr>
        <w:trPr>
          <w:trHeight w:val="666" w:hRule="exact"/>
        </w:trPr>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汉威电子</w:t>
            </w:r>
          </w:p>
        </w:tc>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10"/>
                <w:sz w:val="18"/>
                <w:szCs w:val="18"/>
              </w:rPr>
              <w:t>河南省亚邦文化传播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631,350.00</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53" w:hRule="exact"/>
        </w:trPr>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1,631,350.00</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按预付对象归集的期末余额前五吊的预付款情况" w:id="187"/>
      <w:bookmarkEnd w:id="187"/>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907"/>
        <w:gridCol w:w="2907"/>
        <w:gridCol w:w="2908"/>
      </w:tblGrid>
      <w:tr>
        <w:trPr>
          <w:trHeight w:val="34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r>
      <w:tr>
        <w:trPr>
          <w:trHeight w:val="34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深圳恒通源水处理科技有限公司</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1,000,000.00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6.85</w:t>
            </w:r>
          </w:p>
        </w:tc>
      </w:tr>
      <w:tr>
        <w:trPr>
          <w:trHeight w:val="34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北京博宏兴盛科技有限公司</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800,000.00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5.48</w:t>
            </w:r>
          </w:p>
        </w:tc>
      </w:tr>
      <w:tr>
        <w:trPr>
          <w:trHeight w:val="34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河南省亚邦文化传播有限公司</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631,350.00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4.33</w:t>
            </w:r>
          </w:p>
        </w:tc>
      </w:tr>
      <w:tr>
        <w:trPr>
          <w:trHeight w:val="348"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河南工业大学</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600,000.00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4.11</w:t>
            </w:r>
          </w:p>
        </w:tc>
      </w:tr>
      <w:tr>
        <w:trPr>
          <w:trHeight w:val="34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中国科学院上海高等研究院</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500,000.00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3.43</w:t>
            </w:r>
          </w:p>
        </w:tc>
      </w:tr>
      <w:tr>
        <w:trPr>
          <w:trHeight w:val="34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3,531,350.00</w:t>
            </w:r>
          </w:p>
        </w:tc>
        <w:tc>
          <w:tcPr>
            <w:tcW w:w="2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24.20</w:t>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其他应收款" w:id="188"/>
      <w:bookmarkEnd w:id="188"/>
      <w:r>
        <w:rPr>
          <w:b w:val="0"/>
          <w:bCs w:val="0"/>
        </w:rPr>
      </w:r>
      <w:r>
        <w:rPr>
          <w:rFonts w:ascii="宋体" w:hAnsi="宋体" w:cs="宋体" w:eastAsia="宋体" w:hint="default"/>
        </w:rPr>
        <w:t>5</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其他应收款分类披露" w:id="189"/>
      <w:bookmarkEnd w:id="189"/>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15,167,</w:t>
            </w:r>
          </w:p>
          <w:p>
            <w:pPr>
              <w:pStyle w:val="TableParagraph"/>
              <w:spacing w:line="240" w:lineRule="auto" w:before="76"/>
              <w:ind w:left="177" w:right="0"/>
              <w:jc w:val="left"/>
              <w:rPr>
                <w:rFonts w:ascii="宋体" w:hAnsi="宋体" w:cs="宋体" w:eastAsia="宋体" w:hint="default"/>
                <w:sz w:val="18"/>
                <w:szCs w:val="18"/>
              </w:rPr>
            </w:pPr>
            <w:r>
              <w:rPr>
                <w:rFonts w:ascii="宋体"/>
                <w:sz w:val="18"/>
              </w:rPr>
              <w:t>639.29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96.19%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1,550,2</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89.24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13,617,3</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50.05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10,338</w:t>
            </w:r>
          </w:p>
          <w:p>
            <w:pPr>
              <w:pStyle w:val="TableParagraph"/>
              <w:spacing w:line="240" w:lineRule="auto" w:before="75"/>
              <w:ind w:right="23"/>
              <w:jc w:val="right"/>
              <w:rPr>
                <w:rFonts w:ascii="宋体" w:hAnsi="宋体" w:cs="宋体" w:eastAsia="宋体" w:hint="default"/>
                <w:sz w:val="18"/>
                <w:szCs w:val="18"/>
              </w:rPr>
            </w:pPr>
            <w:r>
              <w:rPr>
                <w:rFonts w:ascii="宋体"/>
                <w:sz w:val="18"/>
              </w:rPr>
              <w:t>,279.2</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94.51%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784,127.</w:t>
            </w:r>
          </w:p>
          <w:p>
            <w:pPr>
              <w:pStyle w:val="TableParagraph"/>
              <w:spacing w:line="240" w:lineRule="auto" w:before="76"/>
              <w:ind w:right="20"/>
              <w:jc w:val="right"/>
              <w:rPr>
                <w:rFonts w:ascii="宋体" w:hAnsi="宋体" w:cs="宋体" w:eastAsia="宋体" w:hint="default"/>
                <w:sz w:val="18"/>
                <w:szCs w:val="18"/>
              </w:rPr>
            </w:pPr>
            <w:r>
              <w:rPr>
                <w:rFonts w:ascii="宋体"/>
                <w:sz w:val="18"/>
              </w:rPr>
              <w:t>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7.58%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9,554,151</w:t>
            </w:r>
          </w:p>
          <w:p>
            <w:pPr>
              <w:pStyle w:val="TableParagraph"/>
              <w:spacing w:line="240" w:lineRule="auto" w:before="76"/>
              <w:ind w:right="23"/>
              <w:jc w:val="right"/>
              <w:rPr>
                <w:rFonts w:ascii="宋体" w:hAnsi="宋体" w:cs="宋体" w:eastAsia="宋体" w:hint="default"/>
                <w:sz w:val="18"/>
                <w:szCs w:val="18"/>
              </w:rPr>
            </w:pPr>
            <w:r>
              <w:rPr>
                <w:rFonts w:ascii="宋体"/>
                <w:sz w:val="18"/>
              </w:rPr>
              <w:t>.64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600,000</w:t>
            </w:r>
          </w:p>
          <w:p>
            <w:pPr>
              <w:pStyle w:val="TableParagraph"/>
              <w:spacing w:line="240" w:lineRule="auto" w:before="76"/>
              <w:ind w:left="447"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600,000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 w:right="0"/>
              <w:jc w:val="center"/>
              <w:rPr>
                <w:rFonts w:ascii="宋体" w:hAnsi="宋体" w:cs="宋体" w:eastAsia="宋体" w:hint="default"/>
                <w:sz w:val="18"/>
                <w:szCs w:val="18"/>
              </w:rPr>
            </w:pPr>
            <w:r>
              <w:rPr>
                <w:rFonts w:ascii="宋体"/>
                <w:sz w:val="18"/>
              </w:rPr>
              <w:t>600,00</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5.49%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15,767,</w:t>
            </w:r>
          </w:p>
          <w:p>
            <w:pPr>
              <w:pStyle w:val="TableParagraph"/>
              <w:spacing w:line="240" w:lineRule="auto" w:before="76"/>
              <w:ind w:left="183" w:right="0"/>
              <w:jc w:val="left"/>
              <w:rPr>
                <w:rFonts w:ascii="宋体" w:hAnsi="宋体" w:cs="宋体" w:eastAsia="宋体" w:hint="default"/>
                <w:sz w:val="18"/>
                <w:szCs w:val="18"/>
              </w:rPr>
            </w:pPr>
            <w:r>
              <w:rPr>
                <w:rFonts w:ascii="宋体"/>
                <w:sz w:val="18"/>
              </w:rPr>
              <w:t>639.29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2,150,2</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89.24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13,617,3</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50.05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10,938</w:t>
            </w:r>
          </w:p>
          <w:p>
            <w:pPr>
              <w:pStyle w:val="TableParagraph"/>
              <w:spacing w:line="240" w:lineRule="auto" w:before="75"/>
              <w:ind w:right="23"/>
              <w:jc w:val="right"/>
              <w:rPr>
                <w:rFonts w:ascii="宋体" w:hAnsi="宋体" w:cs="宋体" w:eastAsia="宋体" w:hint="default"/>
                <w:sz w:val="18"/>
                <w:szCs w:val="18"/>
              </w:rPr>
            </w:pPr>
            <w:r>
              <w:rPr>
                <w:rFonts w:ascii="宋体"/>
                <w:sz w:val="18"/>
              </w:rPr>
              <w:t>,279.2</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1,384,12</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7.61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9,554,151</w:t>
            </w:r>
          </w:p>
          <w:p>
            <w:pPr>
              <w:pStyle w:val="TableParagraph"/>
              <w:spacing w:line="240" w:lineRule="auto" w:before="76"/>
              <w:ind w:right="23"/>
              <w:jc w:val="right"/>
              <w:rPr>
                <w:rFonts w:ascii="宋体" w:hAnsi="宋体" w:cs="宋体" w:eastAsia="宋体" w:hint="default"/>
                <w:sz w:val="18"/>
                <w:szCs w:val="18"/>
              </w:rPr>
            </w:pPr>
            <w:r>
              <w:rPr>
                <w:rFonts w:ascii="宋体"/>
                <w:sz w:val="18"/>
              </w:rPr>
              <w:t>.64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10,051,451.45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502,572.57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2,272,557.14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227,255.72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1,292,941.39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258,588.28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1,550,689.31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561,872.67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1,317,020.20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395,106.06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133,805.00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66,902.50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99,864.11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99,864.11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15,167,639.29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1,550,289.24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779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6"/>
        <w:ind w:left="154" w:right="563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本期计提、收回或转回的坏账准备情况" w:id="190"/>
      <w:bookmarkEnd w:id="19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z w:val="18"/>
          <w:szCs w:val="18"/>
        </w:rPr>
        <w:t>-39,387.84</w:t>
      </w:r>
      <w:r>
        <w:rPr>
          <w:rFonts w:ascii="宋体" w:hAnsi="宋体" w:cs="宋体" w:eastAsia="宋体" w:hint="default"/>
          <w:spacing w:val="-46"/>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75" w:space="52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应收款按款项性质分类情况" w:id="191"/>
      <w:bookmarkEnd w:id="191"/>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10,853,610.01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4,200,326.10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3,328,034.64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3,977,651.92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1,585,994.64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2,760,301.23</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8" w:right="0"/>
              <w:jc w:val="left"/>
              <w:rPr>
                <w:rFonts w:ascii="宋体" w:hAnsi="宋体" w:cs="宋体" w:eastAsia="宋体" w:hint="default"/>
                <w:sz w:val="18"/>
                <w:szCs w:val="18"/>
              </w:rPr>
            </w:pPr>
            <w:r>
              <w:rPr>
                <w:rFonts w:ascii="宋体"/>
                <w:sz w:val="18"/>
              </w:rPr>
              <w:t>15,767,639.29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8" w:right="0"/>
              <w:jc w:val="left"/>
              <w:rPr>
                <w:rFonts w:ascii="宋体" w:hAnsi="宋体" w:cs="宋体" w:eastAsia="宋体" w:hint="default"/>
                <w:sz w:val="18"/>
                <w:szCs w:val="18"/>
              </w:rPr>
            </w:pPr>
            <w:r>
              <w:rPr>
                <w:rFonts w:ascii="宋体"/>
                <w:sz w:val="18"/>
              </w:rPr>
              <w:t>10,938,279.25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吊的其他应收款情况" w:id="192"/>
      <w:bookmarkEnd w:id="192"/>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134"/>
        <w:gridCol w:w="1134"/>
        <w:gridCol w:w="1130"/>
        <w:gridCol w:w="1596"/>
        <w:gridCol w:w="1595"/>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宜宾市投资集团有限责任公司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2,133,196.0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106,659.80</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湖南省永州市坦塘垃圾处理有限责任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辽宁工程招标公司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sz w:val="18"/>
              </w:rPr>
              <w:t>800,000.00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昆明市地下管线探测办公室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sz w:val="18"/>
              </w:rPr>
              <w:t>600,000.00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4,533,196.0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sz w:val="18"/>
              </w:rPr>
              <w:t>28.75%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566,659.80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存货" w:id="193"/>
      <w:bookmarkEnd w:id="193"/>
      <w:r>
        <w:rPr>
          <w:b w:val="0"/>
          <w:bCs w:val="0"/>
        </w:rPr>
      </w:r>
      <w:r>
        <w:rPr>
          <w:rFonts w:ascii="宋体" w:hAnsi="宋体" w:cs="宋体" w:eastAsia="宋体" w:hint="default"/>
        </w:rPr>
        <w:t>6</w:t>
      </w:r>
      <w:r>
        <w:rPr/>
        <w:t>、存货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4" w:right="0"/>
        <w:jc w:val="left"/>
        <w:rPr>
          <w:b w:val="0"/>
          <w:bCs w:val="0"/>
        </w:rPr>
      </w:pPr>
      <w:bookmarkStart w:name="（1）存货分类" w:id="194"/>
      <w:bookmarkEnd w:id="194"/>
      <w:r>
        <w:rPr>
          <w:b w:val="0"/>
          <w:bCs w:val="0"/>
        </w:rPr>
      </w:r>
      <w:r>
        <w:rPr/>
        <w:t>（</w:t>
      </w:r>
      <w:r>
        <w:rPr>
          <w:rFonts w:ascii="宋体" w:hAnsi="宋体" w:cs="宋体" w:eastAsia="宋体" w:hint="default"/>
        </w:rPr>
        <w:t>1</w:t>
      </w:r>
      <w:r>
        <w:rPr/>
        <w:t>）存货分类</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22,523,525.56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22,523,525.56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26,835,516.63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26,835,516.63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16,964,757.87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16,964,757.87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9,320,578.57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9,320,578.57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25,417,249.24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25,417,249.24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31,963,721.09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31,963,721.09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120,816.09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120,816.09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329,096.07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329,096.07</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56,605,909.01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56,605,909.01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1,481,630.15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1,481,630.15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561,320.76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561,320.76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56,162,721.71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56,162,721.71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179,276,609.63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179,276,609.63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69,010,233.12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69,010,233.12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建造合同形成的已完工未结算资产情况" w:id="195"/>
      <w:bookmarkEnd w:id="195"/>
      <w:r>
        <w:rPr>
          <w:b w:val="0"/>
          <w:bCs w:val="0"/>
        </w:rPr>
      </w:r>
      <w:r>
        <w:rPr/>
        <w:t>（</w:t>
      </w:r>
      <w:r>
        <w:rPr>
          <w:rFonts w:ascii="宋体" w:hAnsi="宋体" w:cs="宋体" w:eastAsia="宋体" w:hint="default"/>
        </w:rPr>
        <w:t>2</w:t>
      </w:r>
      <w:r>
        <w:rPr/>
        <w:t>）期末建造合同形成的已完工未结算资产情况</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114,581,621.71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56,144,396.88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114,120,109.58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56,605,909.01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其他流动资产" w:id="196"/>
      <w:bookmarkEnd w:id="196"/>
      <w:r>
        <w:rPr>
          <w:b w:val="0"/>
          <w:bCs w:val="0"/>
        </w:rPr>
      </w:r>
      <w:r>
        <w:rPr>
          <w:rFonts w:ascii="宋体" w:hAnsi="宋体" w:cs="宋体" w:eastAsia="宋体" w:hint="default"/>
        </w:rPr>
        <w:t>7</w:t>
      </w:r>
      <w:r>
        <w:rPr/>
        <w:t>、其他流动资产</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777,178.56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7,602.76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784,781.32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可供出售金融资产" w:id="197"/>
      <w:bookmarkEnd w:id="197"/>
      <w:r>
        <w:rPr>
          <w:b w:val="0"/>
          <w:bCs w:val="0"/>
        </w:rPr>
      </w:r>
      <w:r>
        <w:rPr>
          <w:rFonts w:ascii="宋体" w:hAnsi="宋体" w:cs="宋体" w:eastAsia="宋体" w:hint="default"/>
        </w:rPr>
        <w:t>8</w:t>
      </w:r>
      <w:r>
        <w:rPr/>
        <w:t>、可供出售金融资产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可供出售金融资产情况" w:id="198"/>
      <w:bookmarkEnd w:id="198"/>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成本计量的可供出售金融资产" w:id="199"/>
      <w:bookmarkEnd w:id="199"/>
      <w:r>
        <w:rPr>
          <w:b w:val="0"/>
          <w:bCs w:val="0"/>
        </w:rPr>
      </w:r>
      <w:r>
        <w:rPr/>
        <w:t>（</w:t>
      </w:r>
      <w:r>
        <w:rPr>
          <w:rFonts w:ascii="宋体" w:hAnsi="宋体" w:cs="宋体" w:eastAsia="宋体" w:hint="default"/>
        </w:rPr>
        <w:t>2</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上海戴维 蓝普传感 技术有限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6" w:right="0"/>
              <w:jc w:val="left"/>
              <w:rPr>
                <w:rFonts w:ascii="宋体" w:hAnsi="宋体" w:cs="宋体" w:eastAsia="宋体" w:hint="default"/>
                <w:sz w:val="18"/>
                <w:szCs w:val="18"/>
              </w:rPr>
            </w:pPr>
            <w:r>
              <w:rPr>
                <w:rFonts w:ascii="宋体"/>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9、长期应收款" w:id="200"/>
      <w:bookmarkEnd w:id="200"/>
      <w:r>
        <w:rPr>
          <w:b w:val="0"/>
          <w:bCs w:val="0"/>
        </w:rPr>
      </w:r>
      <w:r>
        <w:rPr>
          <w:rFonts w:ascii="宋体" w:hAnsi="宋体" w:cs="宋体" w:eastAsia="宋体" w:hint="default"/>
        </w:rPr>
        <w:t>9</w:t>
      </w:r>
      <w:r>
        <w:rPr/>
        <w:t>、长期应收款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长期应收款情况" w:id="201"/>
      <w:bookmarkEnd w:id="201"/>
      <w:r>
        <w:rPr>
          <w:b w:val="0"/>
          <w:bCs w:val="0"/>
        </w:rPr>
      </w:r>
      <w:r>
        <w:rPr/>
        <w:t>（</w:t>
      </w:r>
      <w:r>
        <w:rPr>
          <w:rFonts w:ascii="宋体" w:hAnsi="宋体" w:cs="宋体" w:eastAsia="宋体" w:hint="default"/>
        </w:rPr>
        <w:t>1</w:t>
      </w:r>
      <w:r>
        <w:rPr/>
        <w:t>）长期应收款情况</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10,992,958.0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10,992,958.0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10,992,958.0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10,992,958.0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66" w:type="dxa"/>
            <w:vMerge w:val="restart"/>
            <w:tcBorders>
              <w:top w:val="single" w:sz="4" w:space="0" w:color="000000"/>
              <w:left w:val="single" w:sz="4" w:space="0" w:color="000000"/>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10" w:space="0" w:color="D2D2D2"/>
            </w:tcBorders>
          </w:tcPr>
          <w:p>
            <w:pP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r>
        <w:trPr>
          <w:trHeight w:val="162"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0、长期股权投资" w:id="202"/>
      <w:bookmarkEnd w:id="202"/>
      <w:r>
        <w:rPr>
          <w:b w:val="0"/>
          <w:bCs w:val="0"/>
        </w:rPr>
      </w:r>
      <w:r>
        <w:rPr>
          <w:rFonts w:ascii="宋体" w:hAnsi="宋体" w:cs="宋体" w:eastAsia="宋体" w:hint="default"/>
        </w:rPr>
        <w:t>10</w:t>
      </w:r>
      <w:r>
        <w:rPr/>
        <w:t>、长期股权投资</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苏州能斯 达电子科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 w:right="0"/>
              <w:jc w:val="left"/>
              <w:rPr>
                <w:rFonts w:ascii="宋体" w:hAnsi="宋体" w:cs="宋体" w:eastAsia="宋体" w:hint="default"/>
                <w:sz w:val="18"/>
                <w:szCs w:val="18"/>
              </w:rPr>
            </w:pPr>
            <w:r>
              <w:rPr>
                <w:rFonts w:ascii="宋体"/>
                <w:sz w:val="18"/>
              </w:rPr>
              <w:t>-472,752</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-472,752</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-472,752</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投资性房地产" w:id="203"/>
      <w:bookmarkEnd w:id="203"/>
      <w:r>
        <w:rPr>
          <w:b w:val="0"/>
          <w:bCs w:val="0"/>
        </w:rPr>
      </w:r>
      <w:r>
        <w:rPr>
          <w:rFonts w:ascii="宋体" w:hAnsi="宋体" w:cs="宋体" w:eastAsia="宋体" w:hint="default"/>
        </w:rPr>
        <w:t>11</w:t>
      </w:r>
      <w:r>
        <w:rPr/>
        <w:t>、投资性房地产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采用成本计量模式的投资性房地产" w:id="204"/>
      <w:bookmarkEnd w:id="204"/>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5"/>
        <w:rPr>
          <w:rFonts w:ascii="宋体" w:hAnsi="宋体" w:cs="宋体" w:eastAsia="宋体" w:hint="default"/>
          <w:b/>
          <w:bCs/>
          <w:sz w:val="24"/>
          <w:szCs w:val="24"/>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sz w:val="18"/>
              </w:rPr>
              <w:t>11,334,551.13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11,334,551.13</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56,449,792.15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56,449,792.15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50,279,084.53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50,279,084.53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6,170,707.62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6,170,707.62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67,784,343.28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67,784,343.28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1,568,454.50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1,568,454.50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4,116,548.56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4,116,548.56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1,264,018.52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1,264,018.52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1,741,956.30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1,741,956.30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）企业合并增</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1,110,573.74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1,110,573.74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5,685,003.06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5,685,003.06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62,099,340.22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62,099,340.22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9,766,096.63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9,766,096.63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8"/>
        <w:ind w:right="0"/>
        <w:jc w:val="left"/>
        <w:rPr>
          <w:b w:val="0"/>
          <w:bCs w:val="0"/>
        </w:rPr>
      </w:pPr>
      <w:bookmarkStart w:name="12、固定资产" w:id="205"/>
      <w:bookmarkEnd w:id="205"/>
      <w:r>
        <w:rPr>
          <w:b w:val="0"/>
          <w:bCs w:val="0"/>
        </w:rPr>
      </w:r>
      <w:r>
        <w:rPr>
          <w:rFonts w:ascii="宋体" w:hAnsi="宋体" w:cs="宋体" w:eastAsia="宋体" w:hint="default"/>
        </w:rPr>
        <w:t>12</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固定资产情况" w:id="206"/>
      <w:bookmarkEnd w:id="206"/>
      <w:r>
        <w:rPr>
          <w:b w:val="0"/>
          <w:bCs w:val="0"/>
        </w:rPr>
      </w:r>
      <w:r>
        <w:rPr/>
        <w:t>（</w:t>
      </w:r>
      <w:r>
        <w:rPr>
          <w:rFonts w:ascii="宋体" w:hAnsi="宋体" w:cs="宋体" w:eastAsia="宋体" w:hint="default"/>
        </w:rPr>
        <w:t>1</w:t>
      </w:r>
      <w:r>
        <w:rPr/>
        <w:t>）固定资产情况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251,773,130.</w:t>
            </w:r>
          </w:p>
          <w:p>
            <w:pPr>
              <w:pStyle w:val="TableParagraph"/>
              <w:spacing w:line="240" w:lineRule="auto" w:before="77"/>
              <w:ind w:right="20"/>
              <w:jc w:val="right"/>
              <w:rPr>
                <w:rFonts w:ascii="宋体" w:hAnsi="宋体" w:cs="宋体" w:eastAsia="宋体" w:hint="default"/>
                <w:sz w:val="18"/>
                <w:szCs w:val="18"/>
              </w:rPr>
            </w:pPr>
            <w:r>
              <w:rPr>
                <w:rFonts w:ascii="宋体"/>
                <w:sz w:val="18"/>
              </w:rPr>
              <w:t>18</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41,202,172.9</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21,019,724.5</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8,230,918.94</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322,225,946.62</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195,344,744.</w:t>
            </w:r>
          </w:p>
          <w:p>
            <w:pPr>
              <w:pStyle w:val="TableParagraph"/>
              <w:spacing w:line="240" w:lineRule="auto" w:before="77"/>
              <w:ind w:right="20"/>
              <w:jc w:val="right"/>
              <w:rPr>
                <w:rFonts w:ascii="宋体" w:hAnsi="宋体" w:cs="宋体" w:eastAsia="宋体" w:hint="default"/>
                <w:sz w:val="18"/>
                <w:szCs w:val="18"/>
              </w:rPr>
            </w:pPr>
            <w:r>
              <w:rPr>
                <w:rFonts w:ascii="宋体"/>
                <w:sz w:val="18"/>
              </w:rPr>
              <w:t>15</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6,943,234.74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sz w:val="18"/>
              </w:rPr>
              <w:t>8,868,896.95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6,995,772.66</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218,152,648.50</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884,695.63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6,105,225.07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1,158,776.27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8,148,696.97</w:t>
            </w: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137,970,549.</w:t>
            </w:r>
          </w:p>
          <w:p>
            <w:pPr>
              <w:pStyle w:val="TableParagraph"/>
              <w:spacing w:line="240" w:lineRule="auto" w:before="77"/>
              <w:ind w:right="20"/>
              <w:jc w:val="right"/>
              <w:rPr>
                <w:rFonts w:ascii="宋体" w:hAnsi="宋体" w:cs="宋体" w:eastAsia="宋体" w:hint="default"/>
                <w:sz w:val="18"/>
                <w:szCs w:val="18"/>
              </w:rPr>
            </w:pPr>
            <w:r>
              <w:rPr>
                <w:rFonts w:ascii="宋体"/>
                <w:sz w:val="18"/>
              </w:rPr>
              <w:t>01</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137,970,549.01</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57,374,195.1</w:t>
            </w:r>
          </w:p>
          <w:p>
            <w:pPr>
              <w:pStyle w:val="TableParagraph"/>
              <w:spacing w:line="240" w:lineRule="auto" w:before="78"/>
              <w:ind w:right="20"/>
              <w:jc w:val="right"/>
              <w:rPr>
                <w:rFonts w:ascii="宋体" w:hAnsi="宋体" w:cs="宋体" w:eastAsia="宋体" w:hint="default"/>
                <w:sz w:val="18"/>
                <w:szCs w:val="18"/>
              </w:rPr>
            </w:pPr>
            <w:r>
              <w:rPr>
                <w:rFonts w:ascii="宋体"/>
                <w:sz w:val="18"/>
              </w:rPr>
              <w:t>4</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6,058,539.11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sz w:val="18"/>
              </w:rPr>
              <w:t>2,763,671.88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5,836,996.39</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72,033,402.52</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55,835,592.2</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sz w:val="18"/>
              </w:rPr>
              <w:t>120,734.43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sz w:val="18"/>
              </w:rPr>
              <w:t>2,162,280.34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sz w:val="18"/>
              </w:rPr>
              <w:t>252,705.00</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58,371,312.02</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120,734.43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2,162,280.34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252,705.00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2,535,719.77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）修缮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5,556,507.72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5,556,507.72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转入投资性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50,279,084.5</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50,279,084.53</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391,282,282.</w:t>
            </w:r>
          </w:p>
          <w:p>
            <w:pPr>
              <w:pStyle w:val="TableParagraph"/>
              <w:spacing w:line="240" w:lineRule="auto" w:before="77"/>
              <w:ind w:right="20"/>
              <w:jc w:val="right"/>
              <w:rPr>
                <w:rFonts w:ascii="宋体" w:hAnsi="宋体" w:cs="宋体" w:eastAsia="宋体" w:hint="default"/>
                <w:sz w:val="18"/>
                <w:szCs w:val="18"/>
              </w:rPr>
            </w:pPr>
            <w:r>
              <w:rPr>
                <w:rFonts w:ascii="宋体"/>
                <w:sz w:val="18"/>
              </w:rPr>
              <w:t>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48,024,673.3</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27,726,341.1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14,973,986.6</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482,007,283.10</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9,665,263.43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10,811,067.0</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宋体" w:hAnsi="宋体" w:cs="宋体" w:eastAsia="宋体" w:hint="default"/>
                <w:sz w:val="18"/>
                <w:szCs w:val="18"/>
              </w:rPr>
            </w:pPr>
            <w:r>
              <w:rPr>
                <w:rFonts w:ascii="宋体"/>
                <w:sz w:val="18"/>
              </w:rPr>
              <w:t>5,852,042.98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3,707,631.55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30,036,004.97</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16,361,030.3</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6,854,489.68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center"/>
              <w:rPr>
                <w:rFonts w:ascii="宋体" w:hAnsi="宋体" w:cs="宋体" w:eastAsia="宋体" w:hint="default"/>
                <w:sz w:val="18"/>
                <w:szCs w:val="18"/>
              </w:rPr>
            </w:pPr>
            <w:r>
              <w:rPr>
                <w:rFonts w:ascii="宋体"/>
                <w:sz w:val="18"/>
              </w:rPr>
              <w:t>5,455,884.26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3,705,651.26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32,377,055.54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8,365,623.75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4,112,882.35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3,793,171.85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1,002,729.73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17,274,407.68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84"/>
                <w:sz w:val="18"/>
                <w:szCs w:val="18"/>
              </w:rPr>
              <w:t>）</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7,995,406.59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2,741,607.33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1,662,712.41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2,702,921.53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15,102,647.86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2,681,108.54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114,698.40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2,054,162.40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181,639.74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5,031,609.08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114,698.40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 w:right="0"/>
              <w:jc w:val="center"/>
              <w:rPr>
                <w:rFonts w:ascii="宋体" w:hAnsi="宋体" w:cs="宋体" w:eastAsia="宋体" w:hint="default"/>
                <w:sz w:val="18"/>
                <w:szCs w:val="18"/>
              </w:rPr>
            </w:pPr>
            <w:r>
              <w:rPr>
                <w:rFonts w:ascii="宋体"/>
                <w:sz w:val="18"/>
              </w:rPr>
              <w:t>2,054,162.40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181,639.74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2,350,500.54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）修缮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939,152.24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939,152.24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转入投资性房地产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1,741,956.30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1,741,956.30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23,345,185.2</w:t>
            </w:r>
          </w:p>
          <w:p>
            <w:pPr>
              <w:pStyle w:val="TableParagraph"/>
              <w:spacing w:line="240" w:lineRule="auto" w:before="77"/>
              <w:ind w:right="20"/>
              <w:jc w:val="right"/>
              <w:rPr>
                <w:rFonts w:ascii="宋体" w:hAnsi="宋体" w:cs="宋体" w:eastAsia="宋体" w:hint="default"/>
                <w:sz w:val="18"/>
                <w:szCs w:val="18"/>
              </w:rPr>
            </w:pPr>
            <w:r>
              <w:rPr>
                <w:rFonts w:ascii="宋体"/>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17,550,858.2</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sz w:val="18"/>
              </w:rPr>
              <w:t>9,253,764.84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center"/>
              <w:rPr>
                <w:rFonts w:ascii="宋体" w:hAnsi="宋体" w:cs="宋体" w:eastAsia="宋体" w:hint="default"/>
                <w:sz w:val="18"/>
                <w:szCs w:val="18"/>
              </w:rPr>
            </w:pPr>
            <w:r>
              <w:rPr>
                <w:rFonts w:ascii="宋体"/>
                <w:sz w:val="18"/>
              </w:rPr>
              <w:t>7,231,643.07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center"/>
              <w:rPr>
                <w:rFonts w:ascii="宋体" w:hAnsi="宋体" w:cs="宋体" w:eastAsia="宋体" w:hint="default"/>
                <w:sz w:val="18"/>
                <w:szCs w:val="18"/>
              </w:rPr>
            </w:pPr>
            <w:r>
              <w:rPr>
                <w:rFonts w:ascii="宋体"/>
                <w:sz w:val="18"/>
              </w:rPr>
              <w:t>57,381,451.43</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367,937,096.</w:t>
            </w:r>
          </w:p>
          <w:p>
            <w:pPr>
              <w:pStyle w:val="TableParagraph"/>
              <w:spacing w:line="240" w:lineRule="auto" w:before="77"/>
              <w:ind w:right="20"/>
              <w:jc w:val="right"/>
              <w:rPr>
                <w:rFonts w:ascii="宋体" w:hAnsi="宋体" w:cs="宋体" w:eastAsia="宋体" w:hint="default"/>
                <w:sz w:val="18"/>
                <w:szCs w:val="18"/>
              </w:rPr>
            </w:pPr>
            <w:r>
              <w:rPr>
                <w:rFonts w:ascii="宋体"/>
                <w:sz w:val="18"/>
              </w:rPr>
              <w:t>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30,473,815.0</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18,472,576.2</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center"/>
              <w:rPr>
                <w:rFonts w:ascii="宋体" w:hAnsi="宋体" w:cs="宋体" w:eastAsia="宋体" w:hint="default"/>
                <w:sz w:val="18"/>
                <w:szCs w:val="18"/>
              </w:rPr>
            </w:pPr>
            <w:r>
              <w:rPr>
                <w:rFonts w:ascii="宋体"/>
                <w:sz w:val="18"/>
              </w:rPr>
              <w:t>7,742,343.53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424,625,831.67</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242,107,866.</w:t>
            </w:r>
          </w:p>
          <w:p>
            <w:pPr>
              <w:pStyle w:val="TableParagraph"/>
              <w:spacing w:line="240" w:lineRule="auto" w:before="77"/>
              <w:ind w:right="20"/>
              <w:jc w:val="right"/>
              <w:rPr>
                <w:rFonts w:ascii="宋体" w:hAnsi="宋体" w:cs="宋体" w:eastAsia="宋体" w:hint="default"/>
                <w:sz w:val="18"/>
                <w:szCs w:val="18"/>
              </w:rPr>
            </w:pPr>
            <w:r>
              <w:rPr>
                <w:rFonts w:ascii="宋体"/>
                <w:sz w:val="18"/>
              </w:rPr>
              <w:t>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30,391,105.9</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15,167,681.5</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center"/>
              <w:rPr>
                <w:rFonts w:ascii="宋体" w:hAnsi="宋体" w:cs="宋体" w:eastAsia="宋体" w:hint="default"/>
                <w:sz w:val="18"/>
                <w:szCs w:val="18"/>
              </w:rPr>
            </w:pPr>
            <w:r>
              <w:rPr>
                <w:rFonts w:ascii="宋体"/>
                <w:sz w:val="18"/>
              </w:rPr>
              <w:t>4,523,287.39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292,189,941.65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办妥产权证书的固定资产情况" w:id="207"/>
      <w:bookmarkEnd w:id="207"/>
      <w:r>
        <w:rPr>
          <w:b w:val="0"/>
          <w:bCs w:val="0"/>
        </w:rPr>
      </w:r>
      <w:r>
        <w:rPr/>
        <w:t>（</w:t>
      </w:r>
      <w:r>
        <w:rPr>
          <w:rFonts w:ascii="宋体" w:hAnsi="宋体" w:cs="宋体" w:eastAsia="宋体" w:hint="default"/>
        </w:rPr>
        <w:t>2</w:t>
      </w:r>
      <w:r>
        <w:rPr/>
        <w:t>）未办妥产权证书的固定资产情况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汉威国际传感器科技园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130,386,665.73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132,703,193.53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20,138,180.24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嘉园环保闽侯公寓楼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4,103,158.60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嘉园环保软件园</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区办公楼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958,540.93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沈阳金建办公用房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5,339,424.24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在建工程" w:id="208"/>
      <w:bookmarkEnd w:id="208"/>
      <w:r>
        <w:rPr>
          <w:b w:val="0"/>
          <w:bCs w:val="0"/>
        </w:rPr>
      </w:r>
      <w:r>
        <w:rPr>
          <w:rFonts w:ascii="宋体" w:hAnsi="宋体" w:cs="宋体" w:eastAsia="宋体" w:hint="default"/>
        </w:rPr>
        <w:t>13</w:t>
      </w:r>
      <w:r>
        <w:rPr/>
        <w:t>、在建工程</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在建工程情况" w:id="209"/>
      <w:bookmarkEnd w:id="209"/>
      <w:r>
        <w:rPr>
          <w:b w:val="0"/>
          <w:bCs w:val="0"/>
        </w:rPr>
      </w:r>
      <w:r>
        <w:rPr/>
        <w:t>（</w:t>
      </w:r>
      <w:r>
        <w:rPr>
          <w:rFonts w:ascii="宋体" w:hAnsi="宋体" w:cs="宋体" w:eastAsia="宋体" w:hint="default"/>
        </w:rPr>
        <w:t>1</w:t>
      </w:r>
      <w:r>
        <w:rPr/>
        <w:t>）在建工程情况</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汉威电子信息化 升级改造项目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4,210,851.12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4,210,851.12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1,787,800.16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1,787,800.16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河南物联网科技 产业园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46,808,362.44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46,808,362.44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925,048.09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925,048.09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77,281.55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77,281.55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5,135,899.21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5,135,899.21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48,673,444.15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48,673,444.15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10"/>
      <w:bookmarkEnd w:id="210"/>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汉威电 子信息 化升级 改造项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4,700,0</w:t>
            </w:r>
          </w:p>
          <w:p>
            <w:pPr>
              <w:pStyle w:val="TableParagraph"/>
              <w:spacing w:line="240" w:lineRule="auto" w:before="77"/>
              <w:ind w:left="230" w:right="0"/>
              <w:jc w:val="center"/>
              <w:rPr>
                <w:rFonts w:ascii="宋体" w:hAnsi="宋体" w:cs="宋体" w:eastAsia="宋体" w:hint="default"/>
                <w:sz w:val="18"/>
                <w:szCs w:val="18"/>
              </w:rPr>
            </w:pPr>
            <w:r>
              <w:rPr>
                <w:rFonts w:ascii="宋体"/>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1,787,8</w:t>
            </w:r>
          </w:p>
          <w:p>
            <w:pPr>
              <w:pStyle w:val="TableParagraph"/>
              <w:spacing w:line="240" w:lineRule="auto" w:before="77"/>
              <w:ind w:left="231" w:right="0"/>
              <w:jc w:val="center"/>
              <w:rPr>
                <w:rFonts w:ascii="宋体" w:hAnsi="宋体" w:cs="宋体" w:eastAsia="宋体" w:hint="default"/>
                <w:sz w:val="18"/>
                <w:szCs w:val="18"/>
              </w:rPr>
            </w:pPr>
            <w:r>
              <w:rPr>
                <w:rFonts w:ascii="宋体"/>
                <w:sz w:val="18"/>
              </w:rPr>
              <w:t>00.16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2,423,0</w:t>
            </w:r>
          </w:p>
          <w:p>
            <w:pPr>
              <w:pStyle w:val="TableParagraph"/>
              <w:spacing w:line="240" w:lineRule="auto" w:before="77"/>
              <w:ind w:left="230" w:right="0"/>
              <w:jc w:val="center"/>
              <w:rPr>
                <w:rFonts w:ascii="宋体" w:hAnsi="宋体" w:cs="宋体" w:eastAsia="宋体" w:hint="default"/>
                <w:sz w:val="18"/>
                <w:szCs w:val="18"/>
              </w:rPr>
            </w:pPr>
            <w:r>
              <w:rPr>
                <w:rFonts w:ascii="宋体"/>
                <w:sz w:val="18"/>
              </w:rPr>
              <w:t>50.96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4,210,8</w:t>
            </w:r>
          </w:p>
          <w:p>
            <w:pPr>
              <w:pStyle w:val="TableParagraph"/>
              <w:spacing w:line="240" w:lineRule="auto" w:before="77"/>
              <w:ind w:left="230" w:right="0"/>
              <w:jc w:val="center"/>
              <w:rPr>
                <w:rFonts w:ascii="宋体" w:hAnsi="宋体" w:cs="宋体" w:eastAsia="宋体" w:hint="default"/>
                <w:sz w:val="18"/>
                <w:szCs w:val="18"/>
              </w:rPr>
            </w:pPr>
            <w:r>
              <w:rPr>
                <w:rFonts w:ascii="宋体"/>
                <w:sz w:val="18"/>
              </w:rPr>
              <w:t>51.12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河南物 联网科 技产业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91,850,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sz w:val="18"/>
              </w:rPr>
              <w:t>46,808,</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362.44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85,894,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831.09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sz w:val="18"/>
              </w:rPr>
              <w:t>132,703</w:t>
            </w:r>
          </w:p>
          <w:p>
            <w:pPr>
              <w:pStyle w:val="TableParagraph"/>
              <w:spacing w:line="240" w:lineRule="auto" w:before="76"/>
              <w:ind w:left="73" w:right="0"/>
              <w:jc w:val="left"/>
              <w:rPr>
                <w:rFonts w:ascii="宋体" w:hAnsi="宋体" w:cs="宋体" w:eastAsia="宋体" w:hint="default"/>
                <w:sz w:val="18"/>
                <w:szCs w:val="18"/>
              </w:rPr>
            </w:pPr>
            <w:r>
              <w:rPr>
                <w:rFonts w:ascii="宋体"/>
                <w:sz w:val="18"/>
              </w:rPr>
              <w:t>,193.53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144.45%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96,550,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48,596,</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162.60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88,317,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882.05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132,703</w:t>
            </w:r>
          </w:p>
          <w:p>
            <w:pPr>
              <w:pStyle w:val="TableParagraph"/>
              <w:spacing w:line="240" w:lineRule="auto" w:before="76"/>
              <w:ind w:left="73" w:right="0"/>
              <w:jc w:val="left"/>
              <w:rPr>
                <w:rFonts w:ascii="宋体" w:hAnsi="宋体" w:cs="宋体" w:eastAsia="宋体" w:hint="default"/>
                <w:sz w:val="18"/>
                <w:szCs w:val="18"/>
              </w:rPr>
            </w:pPr>
            <w:r>
              <w:rPr>
                <w:rFonts w:ascii="宋体"/>
                <w:sz w:val="18"/>
              </w:rPr>
              <w:t>,193.53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 w:right="0"/>
              <w:jc w:val="center"/>
              <w:rPr>
                <w:rFonts w:ascii="宋体" w:hAnsi="宋体" w:cs="宋体" w:eastAsia="宋体" w:hint="default"/>
                <w:sz w:val="18"/>
                <w:szCs w:val="18"/>
              </w:rPr>
            </w:pPr>
            <w:r>
              <w:rPr>
                <w:rFonts w:ascii="宋体"/>
                <w:sz w:val="18"/>
              </w:rPr>
              <w:t>4,210,8</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51.12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4、无形资产" w:id="211"/>
      <w:bookmarkEnd w:id="211"/>
      <w:r>
        <w:rPr>
          <w:b w:val="0"/>
          <w:bCs w:val="0"/>
        </w:rPr>
      </w:r>
      <w:r>
        <w:rPr>
          <w:rFonts w:ascii="宋体" w:hAnsi="宋体" w:cs="宋体" w:eastAsia="宋体" w:hint="default"/>
        </w:rPr>
        <w:t>14</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4" w:right="0"/>
        <w:jc w:val="left"/>
        <w:rPr>
          <w:b w:val="0"/>
          <w:bCs w:val="0"/>
        </w:rPr>
      </w:pPr>
      <w:bookmarkStart w:name="（1）无形资产情况" w:id="212"/>
      <w:bookmarkEnd w:id="212"/>
      <w:r>
        <w:rPr>
          <w:b w:val="0"/>
          <w:bCs w:val="0"/>
        </w:rPr>
      </w:r>
      <w:r>
        <w:rPr/>
        <w:t>（</w:t>
      </w:r>
      <w:r>
        <w:rPr>
          <w:rFonts w:ascii="宋体" w:hAnsi="宋体" w:cs="宋体" w:eastAsia="宋体" w:hint="default"/>
        </w:rPr>
        <w:t>1</w:t>
      </w:r>
      <w:r>
        <w:rPr/>
        <w:t>）无形资产情况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55,648,216.06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943,740.00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12,107,008.57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7,196,927.56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75,895,892.19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12,960,052.11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48,083,736.58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11,122,503.62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226,834,598.36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299,000,890.67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1,030,210.00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880,278.77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1,910,488.77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12,960,052.11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48,083,736.58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10,092,293.62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225,954,319.59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297,090,401.90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68,608,268.17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49,027,476.58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23,229,512.19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233,934,609.92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374,799,866.86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3,310,560.20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54,734.07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852,353.67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1,361,259.61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5,578,907.55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2,188,141.15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2,015,079.30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1,684,388.56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21,417,591.56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27,305,200.57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1,163,188.02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1,466,858.14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1,384,863.23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2,444,355.94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6,459,265.33</w:t>
            </w:r>
          </w:p>
        </w:tc>
      </w:tr>
      <w:tr>
        <w:trPr>
          <w:trHeight w:val="714"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3" w:right="0"/>
              <w:jc w:val="left"/>
              <w:rPr>
                <w:rFonts w:ascii="宋体" w:hAnsi="宋体" w:cs="宋体" w:eastAsia="宋体" w:hint="default"/>
                <w:sz w:val="18"/>
                <w:szCs w:val="18"/>
              </w:rPr>
            </w:pPr>
            <w:r>
              <w:rPr>
                <w:rFonts w:ascii="宋体" w:hAnsi="宋体" w:cs="宋体" w:eastAsia="宋体" w:hint="default"/>
                <w:sz w:val="18"/>
                <w:szCs w:val="18"/>
              </w:rPr>
              <w:t>( 2 )</w:t>
            </w:r>
            <w:r>
              <w:rPr>
                <w:rFonts w:ascii="宋体" w:hAnsi="宋体" w:cs="宋体" w:eastAsia="宋体" w:hint="default"/>
                <w:sz w:val="18"/>
                <w:szCs w:val="18"/>
              </w:rPr>
              <w:t>企业合并增</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1,024,953.13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548,221.16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299,525.33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18,973,235.62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20,845,935.24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96,916.00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5,498,701.35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2,069,813.37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2,536,742.23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22,681,935.17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32,787,192.12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63,109,566.82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46,957,663.21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20,692,769.96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211,252,674.75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342,012,674.74</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52,337,655.86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889,005.93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11,254,654.90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5,835,667.95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70,316,984.64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5、开发支出" w:id="213"/>
      <w:bookmarkEnd w:id="213"/>
      <w:r>
        <w:rPr>
          <w:b w:val="0"/>
          <w:bCs w:val="0"/>
        </w:rPr>
      </w:r>
      <w:r>
        <w:rPr>
          <w:rFonts w:ascii="宋体" w:hAnsi="宋体" w:cs="宋体" w:eastAsia="宋体" w:hint="default"/>
        </w:rPr>
        <w:t>15</w:t>
      </w:r>
      <w:r>
        <w:rPr/>
        <w:t>、开发支出</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基于开路激光 技术的传感器 系统研发及产 业化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center"/>
              <w:rPr>
                <w:rFonts w:ascii="宋体" w:hAnsi="宋体" w:cs="宋体" w:eastAsia="宋体" w:hint="default"/>
                <w:sz w:val="18"/>
                <w:szCs w:val="18"/>
              </w:rPr>
            </w:pPr>
            <w:r>
              <w:rPr>
                <w:rFonts w:ascii="宋体"/>
                <w:sz w:val="18"/>
              </w:rPr>
              <w:t>5,694,048.77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 w:right="0"/>
              <w:jc w:val="center"/>
              <w:rPr>
                <w:rFonts w:ascii="宋体" w:hAnsi="宋体" w:cs="宋体" w:eastAsia="宋体" w:hint="default"/>
                <w:sz w:val="18"/>
                <w:szCs w:val="18"/>
              </w:rPr>
            </w:pPr>
            <w:r>
              <w:rPr>
                <w:rFonts w:ascii="宋体"/>
                <w:sz w:val="18"/>
              </w:rPr>
              <w:t>5,694,048.77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危险化学品事 故应急快速响 应软硬件装备 产业化关键技 术开发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4,633,380.99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center"/>
              <w:rPr>
                <w:rFonts w:ascii="宋体" w:hAnsi="宋体" w:cs="宋体" w:eastAsia="宋体" w:hint="default"/>
                <w:sz w:val="18"/>
                <w:szCs w:val="18"/>
              </w:rPr>
            </w:pPr>
            <w:r>
              <w:rPr>
                <w:rFonts w:ascii="宋体"/>
                <w:sz w:val="18"/>
              </w:rPr>
              <w:t>4,633,380.99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基于物联网领 域的红外光纤 传感器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1" w:right="0"/>
              <w:jc w:val="center"/>
              <w:rPr>
                <w:rFonts w:ascii="宋体" w:hAnsi="宋体" w:cs="宋体" w:eastAsia="宋体" w:hint="default"/>
                <w:sz w:val="18"/>
                <w:szCs w:val="18"/>
              </w:rPr>
            </w:pPr>
            <w:r>
              <w:rPr>
                <w:rFonts w:ascii="宋体"/>
                <w:sz w:val="18"/>
              </w:rPr>
              <w:t>4,611,736.12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0" w:right="0"/>
              <w:jc w:val="center"/>
              <w:rPr>
                <w:rFonts w:ascii="宋体" w:hAnsi="宋体" w:cs="宋体" w:eastAsia="宋体" w:hint="default"/>
                <w:sz w:val="18"/>
                <w:szCs w:val="18"/>
              </w:rPr>
            </w:pPr>
            <w:r>
              <w:rPr>
                <w:rFonts w:ascii="宋体"/>
                <w:sz w:val="18"/>
              </w:rPr>
              <w:t>4,611,736.12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市政燃气危险 源智能传感终 端及云应用研 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center"/>
              <w:rPr>
                <w:rFonts w:ascii="宋体" w:hAnsi="宋体" w:cs="宋体" w:eastAsia="宋体" w:hint="default"/>
                <w:sz w:val="18"/>
                <w:szCs w:val="18"/>
              </w:rPr>
            </w:pPr>
            <w:r>
              <w:rPr>
                <w:rFonts w:ascii="宋体"/>
                <w:sz w:val="18"/>
              </w:rPr>
              <w:t>2,647,564.95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 w:right="0"/>
              <w:jc w:val="center"/>
              <w:rPr>
                <w:rFonts w:ascii="宋体" w:hAnsi="宋体" w:cs="宋体" w:eastAsia="宋体" w:hint="default"/>
                <w:sz w:val="18"/>
                <w:szCs w:val="18"/>
              </w:rPr>
            </w:pPr>
            <w:r>
              <w:rPr>
                <w:rFonts w:ascii="宋体"/>
                <w:sz w:val="18"/>
              </w:rPr>
              <w:t>2,647,564.95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电化学气体传 感器及产业化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2,316,750.64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center"/>
              <w:rPr>
                <w:rFonts w:ascii="宋体" w:hAnsi="宋体" w:cs="宋体" w:eastAsia="宋体" w:hint="default"/>
                <w:sz w:val="18"/>
                <w:szCs w:val="18"/>
              </w:rPr>
            </w:pPr>
            <w:r>
              <w:rPr>
                <w:rFonts w:ascii="宋体"/>
                <w:sz w:val="18"/>
              </w:rPr>
              <w:t>2,316,750.64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6"/>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年国家粮 食公益性行业 科研专项</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1" w:right="0"/>
              <w:jc w:val="center"/>
              <w:rPr>
                <w:rFonts w:ascii="宋体" w:hAnsi="宋体" w:cs="宋体" w:eastAsia="宋体" w:hint="default"/>
                <w:sz w:val="18"/>
                <w:szCs w:val="18"/>
              </w:rPr>
            </w:pPr>
            <w:r>
              <w:rPr>
                <w:rFonts w:ascii="宋体"/>
                <w:sz w:val="18"/>
              </w:rPr>
              <w:t>1,963,226.90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0" w:right="0"/>
              <w:jc w:val="center"/>
              <w:rPr>
                <w:rFonts w:ascii="宋体" w:hAnsi="宋体" w:cs="宋体" w:eastAsia="宋体" w:hint="default"/>
                <w:sz w:val="18"/>
                <w:szCs w:val="18"/>
              </w:rPr>
            </w:pPr>
            <w:r>
              <w:rPr>
                <w:rFonts w:ascii="宋体"/>
                <w:sz w:val="18"/>
              </w:rPr>
              <w:t>1,963,226.90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微</w:t>
            </w:r>
            <w:r>
              <w:rPr>
                <w:rFonts w:ascii="宋体" w:hAnsi="宋体" w:cs="宋体" w:eastAsia="宋体" w:hint="default"/>
                <w:sz w:val="18"/>
                <w:szCs w:val="18"/>
              </w:rPr>
              <w:t>-</w:t>
            </w:r>
            <w:r>
              <w:rPr>
                <w:rFonts w:ascii="宋体" w:hAnsi="宋体" w:cs="宋体" w:eastAsia="宋体" w:hint="default"/>
                <w:sz w:val="18"/>
                <w:szCs w:val="18"/>
              </w:rPr>
              <w:t>纳智能传 感工业监控系 统关键技术研 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center"/>
              <w:rPr>
                <w:rFonts w:ascii="宋体" w:hAnsi="宋体" w:cs="宋体" w:eastAsia="宋体" w:hint="default"/>
                <w:sz w:val="18"/>
                <w:szCs w:val="18"/>
              </w:rPr>
            </w:pPr>
            <w:r>
              <w:rPr>
                <w:rFonts w:ascii="宋体"/>
                <w:sz w:val="18"/>
              </w:rPr>
              <w:t>1,930,140.92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 w:right="0"/>
              <w:jc w:val="center"/>
              <w:rPr>
                <w:rFonts w:ascii="宋体" w:hAnsi="宋体" w:cs="宋体" w:eastAsia="宋体" w:hint="default"/>
                <w:sz w:val="18"/>
                <w:szCs w:val="18"/>
              </w:rPr>
            </w:pPr>
            <w:r>
              <w:rPr>
                <w:rFonts w:ascii="宋体"/>
                <w:sz w:val="18"/>
              </w:rPr>
              <w:t>1,930,140.92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中威危险化学 品事故移动应 急救援与处置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 w:right="0"/>
              <w:jc w:val="center"/>
              <w:rPr>
                <w:rFonts w:ascii="宋体" w:hAnsi="宋体" w:cs="宋体" w:eastAsia="宋体" w:hint="default"/>
                <w:sz w:val="18"/>
                <w:szCs w:val="18"/>
              </w:rPr>
            </w:pPr>
            <w:r>
              <w:rPr>
                <w:rFonts w:ascii="宋体"/>
                <w:sz w:val="18"/>
              </w:rPr>
              <w:t>1,898,640.59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 w:right="0"/>
              <w:jc w:val="center"/>
              <w:rPr>
                <w:rFonts w:ascii="宋体" w:hAnsi="宋体" w:cs="宋体" w:eastAsia="宋体" w:hint="default"/>
                <w:sz w:val="18"/>
                <w:szCs w:val="18"/>
              </w:rPr>
            </w:pPr>
            <w:r>
              <w:rPr>
                <w:rFonts w:ascii="宋体"/>
                <w:sz w:val="18"/>
              </w:rPr>
              <w:t>1,898,640.59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压力传感器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1,506,005.63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1,506,005.63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电阻型湿度传 感器</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1,000,798.77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0" w:right="0"/>
              <w:jc w:val="center"/>
              <w:rPr>
                <w:rFonts w:ascii="宋体" w:hAnsi="宋体" w:cs="宋体" w:eastAsia="宋体" w:hint="default"/>
                <w:sz w:val="18"/>
                <w:szCs w:val="18"/>
              </w:rPr>
            </w:pPr>
            <w:r>
              <w:rPr>
                <w:rFonts w:ascii="宋体"/>
                <w:sz w:val="18"/>
              </w:rPr>
              <w:t>1,000,798.77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9,169,561.46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 w:right="0"/>
              <w:jc w:val="center"/>
              <w:rPr>
                <w:rFonts w:ascii="宋体" w:hAnsi="宋体" w:cs="宋体" w:eastAsia="宋体" w:hint="default"/>
                <w:sz w:val="18"/>
                <w:szCs w:val="18"/>
              </w:rPr>
            </w:pPr>
            <w:r>
              <w:rPr>
                <w:rFonts w:ascii="宋体"/>
                <w:sz w:val="18"/>
              </w:rPr>
              <w:t>1,000,000.00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8,592,936.99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1,576,624.47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1" w:right="0"/>
              <w:jc w:val="center"/>
              <w:rPr>
                <w:rFonts w:ascii="宋体" w:hAnsi="宋体" w:cs="宋体" w:eastAsia="宋体" w:hint="default"/>
                <w:sz w:val="18"/>
                <w:szCs w:val="18"/>
              </w:rPr>
            </w:pPr>
            <w:r>
              <w:rPr>
                <w:rFonts w:ascii="宋体"/>
                <w:sz w:val="18"/>
              </w:rPr>
              <w:t>37,371,855.7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 w:right="0"/>
              <w:jc w:val="center"/>
              <w:rPr>
                <w:rFonts w:ascii="宋体" w:hAnsi="宋体" w:cs="宋体" w:eastAsia="宋体" w:hint="default"/>
                <w:sz w:val="18"/>
                <w:szCs w:val="18"/>
              </w:rPr>
            </w:pPr>
            <w:r>
              <w:rPr>
                <w:rFonts w:ascii="宋体"/>
                <w:sz w:val="18"/>
              </w:rPr>
              <w:t>1,000,000.00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0" w:right="0"/>
              <w:jc w:val="center"/>
              <w:rPr>
                <w:rFonts w:ascii="宋体" w:hAnsi="宋体" w:cs="宋体" w:eastAsia="宋体" w:hint="default"/>
                <w:sz w:val="18"/>
                <w:szCs w:val="18"/>
              </w:rPr>
            </w:pPr>
            <w:r>
              <w:rPr>
                <w:rFonts w:ascii="宋体"/>
                <w:sz w:val="18"/>
              </w:rPr>
              <w:t>36,795,231.2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1,576,624.47</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商誉" w:id="214"/>
      <w:bookmarkEnd w:id="214"/>
      <w:r>
        <w:rPr>
          <w:b w:val="0"/>
          <w:bCs w:val="0"/>
        </w:rPr>
      </w:r>
      <w:r>
        <w:rPr>
          <w:rFonts w:ascii="宋体" w:hAnsi="宋体" w:cs="宋体" w:eastAsia="宋体" w:hint="default"/>
        </w:rPr>
        <w:t>16</w:t>
      </w:r>
      <w:r>
        <w:rPr/>
        <w:t>、商誉</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商誉账面原值" w:id="215"/>
      <w:bookmarkEnd w:id="215"/>
      <w:r>
        <w:rPr>
          <w:b w:val="0"/>
          <w:bCs w:val="0"/>
        </w:rPr>
      </w:r>
      <w:r>
        <w:rPr/>
        <w:t>（</w:t>
      </w:r>
      <w:r>
        <w:rPr>
          <w:rFonts w:ascii="宋体" w:hAnsi="宋体" w:cs="宋体" w:eastAsia="宋体" w:hint="default"/>
        </w:rPr>
        <w:t>1</w:t>
      </w:r>
      <w:r>
        <w:rPr/>
        <w:t>）商誉账面原值</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198,883.77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198,883.77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25,819,827.09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25,819,827.09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8,089,254.51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8,089,254.51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222,690,686.33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222,690,686.33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14,419,607.42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14,419,607.42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26,018,710.86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245,199,548.26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271,218,259.12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16"/>
      <w:bookmarkEnd w:id="216"/>
      <w:r>
        <w:rPr>
          <w:b w:val="0"/>
          <w:bCs w:val="0"/>
        </w:rPr>
      </w:r>
      <w:r>
        <w:rPr/>
        <w:t>（</w:t>
      </w:r>
      <w:r>
        <w:rPr>
          <w:rFonts w:ascii="宋体" w:hAnsi="宋体" w:cs="宋体" w:eastAsia="宋体" w:hint="default"/>
        </w:rPr>
        <w:t>2</w:t>
      </w:r>
      <w:r>
        <w:rPr/>
        <w:t>）商誉减值准备</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2"/>
        <w:rPr>
          <w:rFonts w:ascii="宋体" w:hAnsi="宋体" w:cs="宋体" w:eastAsia="宋体" w:hint="default"/>
          <w:sz w:val="12"/>
          <w:szCs w:val="12"/>
        </w:rPr>
      </w:pPr>
    </w:p>
    <w:p>
      <w:pPr>
        <w:pStyle w:val="BodyText"/>
        <w:spacing w:line="408" w:lineRule="auto" w:before="0"/>
        <w:ind w:left="154" w:right="151" w:firstLine="420"/>
        <w:jc w:val="both"/>
      </w:pPr>
      <w:r>
        <w:rPr>
          <w:spacing w:val="-1"/>
        </w:rPr>
        <w:t>报告期末商誉为公司以非同一控制下企业合并方式购买子公司产生的商誉。公司将商誉在所收购子公</w:t>
      </w:r>
      <w:r>
        <w:rPr/>
        <w:t> </w:t>
      </w:r>
      <w:r>
        <w:rPr>
          <w:spacing w:val="-1"/>
        </w:rPr>
        <w:t>司的全部资产确定为一个资产组组合，根据预期产品销售收入、成本及其他相关费用，采用现金流量预测</w:t>
      </w:r>
      <w:r>
        <w:rPr>
          <w:spacing w:val="-83"/>
        </w:rPr>
        <w:t> </w:t>
      </w:r>
      <w:r>
        <w:rPr>
          <w:spacing w:val="-83"/>
        </w:rPr>
      </w:r>
      <w:r>
        <w:rPr>
          <w:spacing w:val="-1"/>
        </w:rPr>
        <w:t>方法和能够反映相关资产组组合的特定风险的折现率，以分析资产组组合的可收回金额。公司相信这些重</w:t>
      </w:r>
      <w:r>
        <w:rPr>
          <w:spacing w:val="-81"/>
        </w:rPr>
        <w:t> </w:t>
      </w:r>
      <w:r>
        <w:rPr>
          <w:spacing w:val="-81"/>
        </w:rPr>
      </w:r>
      <w:r>
        <w:rPr>
          <w:spacing w:val="-1"/>
        </w:rPr>
        <w:t>要假设的任何重大变化都有可能会引起资产组组合的账面价值超过其可收回金额。经测试，资产负债表日</w:t>
      </w:r>
      <w:r>
        <w:rPr>
          <w:spacing w:val="-81"/>
        </w:rPr>
        <w:t> </w:t>
      </w:r>
      <w:r>
        <w:rPr>
          <w:spacing w:val="-81"/>
        </w:rPr>
      </w:r>
      <w:r>
        <w:rPr>
          <w:spacing w:val="-1"/>
        </w:rPr>
        <w:t>采用现金流折现方法得到的长期股权投资整体价值大于包括完全商誉在内账面价值，公司认为，基于上述</w:t>
      </w:r>
      <w:r>
        <w:rPr>
          <w:spacing w:val="-81"/>
        </w:rPr>
        <w:t> </w:t>
      </w:r>
      <w:r>
        <w:rPr>
          <w:spacing w:val="-81"/>
        </w:rPr>
      </w:r>
      <w:r>
        <w:rPr/>
        <w:t>估计，报告期末商誉无需计提减值。</w:t>
      </w:r>
    </w:p>
    <w:p>
      <w:pPr>
        <w:spacing w:line="240" w:lineRule="auto" w:before="6"/>
        <w:rPr>
          <w:rFonts w:ascii="宋体" w:hAnsi="宋体" w:cs="宋体" w:eastAsia="宋体" w:hint="default"/>
          <w:sz w:val="20"/>
          <w:szCs w:val="20"/>
        </w:rPr>
      </w:pPr>
    </w:p>
    <w:p>
      <w:pPr>
        <w:pStyle w:val="Heading3"/>
        <w:spacing w:line="240" w:lineRule="auto"/>
        <w:ind w:left="154" w:right="0"/>
        <w:jc w:val="left"/>
        <w:rPr>
          <w:b w:val="0"/>
          <w:bCs w:val="0"/>
        </w:rPr>
      </w:pPr>
      <w:bookmarkStart w:name="17、长期待摊费用" w:id="217"/>
      <w:bookmarkEnd w:id="217"/>
      <w:r>
        <w:rPr>
          <w:b w:val="0"/>
          <w:bCs w:val="0"/>
        </w:rPr>
      </w:r>
      <w:r>
        <w:rPr>
          <w:rFonts w:ascii="宋体" w:hAnsi="宋体" w:cs="宋体" w:eastAsia="宋体" w:hint="default"/>
        </w:rPr>
        <w:t>17</w:t>
      </w:r>
      <w:r>
        <w:rPr/>
        <w:t>、长期待摊费用</w:t>
      </w:r>
      <w:r>
        <w:rPr>
          <w:b w:val="0"/>
          <w:bCs w:val="0"/>
        </w:rPr>
      </w:r>
    </w:p>
    <w:p>
      <w:pPr>
        <w:spacing w:line="240" w:lineRule="auto" w:before="12"/>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3" w:right="0"/>
              <w:jc w:val="left"/>
              <w:rPr>
                <w:rFonts w:ascii="宋体" w:hAnsi="宋体" w:cs="宋体" w:eastAsia="宋体" w:hint="default"/>
                <w:sz w:val="18"/>
                <w:szCs w:val="18"/>
              </w:rPr>
            </w:pPr>
            <w:r>
              <w:rPr>
                <w:rFonts w:ascii="宋体"/>
                <w:sz w:val="18"/>
              </w:rPr>
              <w:t>310,266.67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sz w:val="18"/>
              </w:rPr>
              <w:t>294,066.67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1" w:right="0"/>
              <w:jc w:val="left"/>
              <w:rPr>
                <w:rFonts w:ascii="宋体" w:hAnsi="宋体" w:cs="宋体" w:eastAsia="宋体" w:hint="default"/>
                <w:sz w:val="18"/>
                <w:szCs w:val="18"/>
              </w:rPr>
            </w:pPr>
            <w:r>
              <w:rPr>
                <w:rFonts w:ascii="宋体"/>
                <w:sz w:val="18"/>
              </w:rPr>
              <w:t>204,768.88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sz w:val="18"/>
              </w:rPr>
              <w:t>399,564.46</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煤安系统检测费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166,381.48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124,065.96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42,315.52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476,648.15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336,466.67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328,834.84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484,279.98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8、递延所得税资产/递延所得税负债" w:id="218"/>
      <w:bookmarkEnd w:id="218"/>
      <w:r>
        <w:rPr>
          <w:b w:val="0"/>
          <w:bCs w:val="0"/>
        </w:rPr>
      </w:r>
      <w:r>
        <w:rPr>
          <w:rFonts w:ascii="宋体" w:hAnsi="宋体" w:cs="宋体" w:eastAsia="宋体" w:hint="default"/>
        </w:rPr>
        <w:t>18</w:t>
      </w:r>
      <w:r>
        <w:rPr/>
        <w:t>、递延所得税资产</w:t>
      </w:r>
      <w:r>
        <w:rPr>
          <w:rFonts w:ascii="宋体" w:hAnsi="宋体" w:cs="宋体" w:eastAsia="宋体" w:hint="default"/>
        </w:rPr>
        <w:t>/</w:t>
      </w:r>
      <w:r>
        <w:rPr/>
        <w:t>递延所得税负债</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未经抵销的递延所得税资产" w:id="219"/>
      <w:bookmarkEnd w:id="219"/>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26,901,146.19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4,097,845.84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14,145,765.95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2,159,066.14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1,453,869.41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278,965.92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525,513.94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116,045.89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16,485,442.91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2,405,579.83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17,831,729.49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2,647,259.42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16,132,680.75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2,218,905.24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60,973,139.26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9,001,296.83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32,503,009.38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4,922,371.45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20"/>
      <w:bookmarkEnd w:id="220"/>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90,040,375.31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15,741,194.89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2,235,470.76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335,320.61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90,040,375.31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15,741,194.89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2,235,470.76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335,320.61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21"/>
      <w:bookmarkEnd w:id="221"/>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9,001,296.83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4,922,371.45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15,741,194.89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335,320.61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9、其他非流动资产" w:id="222"/>
      <w:bookmarkEnd w:id="222"/>
      <w:r>
        <w:rPr>
          <w:b w:val="0"/>
          <w:bCs w:val="0"/>
        </w:rPr>
      </w:r>
      <w:r>
        <w:rPr>
          <w:rFonts w:ascii="宋体" w:hAnsi="宋体" w:cs="宋体" w:eastAsia="宋体" w:hint="default"/>
        </w:rPr>
        <w:t>19</w:t>
      </w:r>
      <w:r>
        <w:rPr/>
        <w:t>、其他非流动资产</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合肥嘉园</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5"/>
                <w:sz w:val="18"/>
                <w:szCs w:val="18"/>
              </w:rPr>
              <w:t> </w:t>
            </w:r>
            <w:r>
              <w:rPr>
                <w:rFonts w:ascii="宋体" w:hAnsi="宋体" w:cs="宋体" w:eastAsia="宋体" w:hint="default"/>
                <w:sz w:val="18"/>
                <w:szCs w:val="18"/>
              </w:rPr>
              <w:t>运营维护保证金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5,507,078.40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5,507,078.40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0、短期借款" w:id="223"/>
      <w:bookmarkEnd w:id="223"/>
      <w:r>
        <w:rPr>
          <w:b w:val="0"/>
          <w:bCs w:val="0"/>
        </w:rPr>
      </w:r>
      <w:r>
        <w:rPr>
          <w:rFonts w:ascii="宋体" w:hAnsi="宋体" w:cs="宋体" w:eastAsia="宋体" w:hint="default"/>
        </w:rPr>
        <w:t>20</w:t>
      </w:r>
      <w:r>
        <w:rPr/>
        <w:t>、短期借款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4" w:right="0"/>
        <w:jc w:val="left"/>
        <w:rPr>
          <w:b w:val="0"/>
          <w:bCs w:val="0"/>
        </w:rPr>
      </w:pPr>
      <w:bookmarkStart w:name="（1）短期借款分类" w:id="224"/>
      <w:bookmarkEnd w:id="224"/>
      <w:r>
        <w:rPr>
          <w:b w:val="0"/>
          <w:bCs w:val="0"/>
        </w:rPr>
      </w: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12"/>
          <w:szCs w:val="12"/>
        </w:rPr>
      </w:pPr>
    </w:p>
    <w:p>
      <w:pPr>
        <w:pStyle w:val="BodyText"/>
        <w:spacing w:line="408" w:lineRule="auto" w:before="0"/>
        <w:ind w:right="156" w:firstLine="420"/>
        <w:jc w:val="both"/>
      </w:pPr>
      <w:r>
        <w:rPr>
          <w:rFonts w:ascii="宋体" w:hAnsi="宋体" w:cs="宋体" w:eastAsia="宋体" w:hint="default"/>
        </w:rPr>
        <w:t>1</w:t>
      </w:r>
      <w:r>
        <w:rPr/>
        <w:t>）嘉园环保向光大银行福州分行借款</w:t>
      </w:r>
      <w:r>
        <w:rPr>
          <w:rFonts w:ascii="宋体" w:hAnsi="宋体" w:cs="宋体" w:eastAsia="宋体" w:hint="default"/>
        </w:rPr>
        <w:t>1,000</w:t>
      </w:r>
      <w:r>
        <w:rPr/>
        <w:t>万元，借款期限</w:t>
      </w:r>
      <w:r>
        <w:rPr>
          <w:rFonts w:ascii="宋体" w:hAnsi="宋体" w:cs="宋体" w:eastAsia="宋体" w:hint="default"/>
        </w:rPr>
        <w:t>1</w:t>
      </w:r>
      <w:r>
        <w:rPr/>
        <w:t>年。该借款由股东陈泽枝、李泽清承担 连带担保责任；</w:t>
      </w:r>
    </w:p>
    <w:p>
      <w:pPr>
        <w:pStyle w:val="BodyText"/>
        <w:spacing w:line="408" w:lineRule="auto"/>
        <w:ind w:right="156" w:firstLine="420"/>
        <w:jc w:val="both"/>
      </w:pPr>
      <w:r>
        <w:rPr>
          <w:rFonts w:ascii="宋体" w:hAnsi="宋体" w:cs="宋体" w:eastAsia="宋体" w:hint="default"/>
        </w:rPr>
        <w:t>2</w:t>
      </w:r>
      <w:r>
        <w:rPr/>
        <w:t>）嘉园环保向兴业银行福州分行借款</w:t>
      </w:r>
      <w:r>
        <w:rPr>
          <w:rFonts w:ascii="宋体" w:hAnsi="宋体" w:cs="宋体" w:eastAsia="宋体" w:hint="default"/>
        </w:rPr>
        <w:t>3,000</w:t>
      </w:r>
      <w:r>
        <w:rPr/>
        <w:t>万元，借款期限</w:t>
      </w:r>
      <w:r>
        <w:rPr>
          <w:rFonts w:ascii="宋体" w:hAnsi="宋体" w:cs="宋体" w:eastAsia="宋体" w:hint="default"/>
        </w:rPr>
        <w:t>1</w:t>
      </w:r>
      <w:r>
        <w:rPr/>
        <w:t>年。该借款以恒嘉环保所有的厂房及土 地为抵押物，并由合肥嘉园、李泽清、陈泽枝、高孔兴承担连带担保责任</w:t>
      </w:r>
    </w:p>
    <w:p>
      <w:pPr>
        <w:pStyle w:val="BodyText"/>
        <w:spacing w:line="408" w:lineRule="auto"/>
        <w:ind w:right="153" w:firstLine="420"/>
        <w:jc w:val="both"/>
      </w:pPr>
      <w:r>
        <w:rPr>
          <w:rFonts w:ascii="宋体" w:hAnsi="宋体" w:cs="宋体" w:eastAsia="宋体" w:hint="default"/>
        </w:rPr>
        <w:t>3</w:t>
      </w:r>
      <w:r>
        <w:rPr/>
        <w:t>）嘉园环保向中国民生银行福州分行借款</w:t>
      </w:r>
      <w:r>
        <w:rPr>
          <w:rFonts w:ascii="宋体" w:hAnsi="宋体" w:cs="宋体" w:eastAsia="宋体" w:hint="default"/>
        </w:rPr>
        <w:t>1,000</w:t>
      </w:r>
      <w:r>
        <w:rPr/>
        <w:t>万元，借款期限</w:t>
      </w:r>
      <w:r>
        <w:rPr>
          <w:rFonts w:ascii="宋体" w:hAnsi="宋体" w:cs="宋体" w:eastAsia="宋体" w:hint="default"/>
        </w:rPr>
        <w:t>1</w:t>
      </w:r>
      <w:r>
        <w:rPr/>
        <w:t>年。该借款以公司所有的房产及土 地为抵押物，同时陈泽枝、李泽清承担连带担保责任；</w:t>
      </w:r>
    </w:p>
    <w:p>
      <w:pPr>
        <w:pStyle w:val="BodyText"/>
        <w:spacing w:line="408" w:lineRule="auto"/>
        <w:ind w:right="161" w:firstLine="420"/>
        <w:jc w:val="both"/>
      </w:pPr>
      <w:r>
        <w:rPr>
          <w:rFonts w:ascii="宋体" w:hAnsi="宋体" w:cs="宋体" w:eastAsia="宋体" w:hint="default"/>
        </w:rPr>
        <w:t>4</w:t>
      </w:r>
      <w:r>
        <w:rPr/>
        <w:t>）根据福建嘉园、福建恒嘉与招商银行福州五一支行签订的《国内信用证福费廷业务协议》，以持 有的未到期国内信用证采用福费廷方式取得融资借款</w:t>
      </w:r>
      <w:r>
        <w:rPr>
          <w:rFonts w:ascii="宋体" w:hAnsi="宋体" w:cs="宋体" w:eastAsia="宋体" w:hint="default"/>
        </w:rPr>
        <w:t>850</w:t>
      </w:r>
      <w:r>
        <w:rPr/>
        <w:t>万元。</w:t>
      </w:r>
    </w:p>
    <w:p>
      <w:pPr>
        <w:pStyle w:val="BodyText"/>
        <w:spacing w:line="408" w:lineRule="auto"/>
        <w:ind w:right="151" w:firstLine="420"/>
        <w:jc w:val="both"/>
      </w:pPr>
      <w:r>
        <w:rPr>
          <w:rFonts w:ascii="宋体" w:hAnsi="宋体" w:cs="宋体" w:eastAsia="宋体" w:hint="default"/>
        </w:rPr>
        <w:t>5</w:t>
      </w:r>
      <w:r>
        <w:rPr/>
        <w:t>）公司从中信银行郑州分行取得信用借款</w:t>
      </w:r>
      <w:r>
        <w:rPr>
          <w:rFonts w:ascii="宋体" w:hAnsi="宋体" w:cs="宋体" w:eastAsia="宋体" w:hint="default"/>
        </w:rPr>
        <w:t>3,000</w:t>
      </w:r>
      <w:r>
        <w:rPr/>
        <w:t>万元，借款期限</w:t>
      </w:r>
      <w:r>
        <w:rPr>
          <w:rFonts w:ascii="宋体" w:hAnsi="宋体" w:cs="宋体" w:eastAsia="宋体" w:hint="default"/>
        </w:rPr>
        <w:t>1</w:t>
      </w:r>
      <w:r>
        <w:rPr/>
        <w:t>年；从交通银行河南省分（支）行 </w:t>
      </w:r>
      <w:r>
        <w:rPr>
          <w:spacing w:val="-1"/>
        </w:rPr>
        <w:t>取得信用借款</w:t>
      </w:r>
      <w:r>
        <w:rPr>
          <w:rFonts w:ascii="宋体" w:hAnsi="宋体" w:cs="宋体" w:eastAsia="宋体" w:hint="default"/>
          <w:spacing w:val="-1"/>
        </w:rPr>
        <w:t>1,000</w:t>
      </w:r>
      <w:r>
        <w:rPr>
          <w:spacing w:val="-1"/>
        </w:rPr>
        <w:t>万元，借款期限</w:t>
      </w:r>
      <w:r>
        <w:rPr>
          <w:rFonts w:ascii="宋体" w:hAnsi="宋体" w:cs="宋体" w:eastAsia="宋体" w:hint="default"/>
          <w:spacing w:val="-1"/>
        </w:rPr>
        <w:t>1</w:t>
      </w:r>
      <w:r>
        <w:rPr>
          <w:spacing w:val="-1"/>
        </w:rPr>
        <w:t>年；从招商银行郑州金水路支行取得信用借款</w:t>
      </w:r>
      <w:r>
        <w:rPr>
          <w:rFonts w:ascii="宋体" w:hAnsi="宋体" w:cs="宋体" w:eastAsia="宋体" w:hint="default"/>
          <w:spacing w:val="-1"/>
        </w:rPr>
        <w:t>5,000</w:t>
      </w:r>
      <w:r>
        <w:rPr>
          <w:spacing w:val="-1"/>
        </w:rPr>
        <w:t>万元，借款期限</w:t>
      </w:r>
      <w:r>
        <w:rPr>
          <w:rFonts w:ascii="宋体" w:hAnsi="宋体" w:cs="宋体" w:eastAsia="宋体" w:hint="default"/>
          <w:spacing w:val="-1"/>
        </w:rPr>
        <w:t>1</w:t>
      </w:r>
      <w:r>
        <w:rPr>
          <w:rFonts w:ascii="宋体" w:hAnsi="宋体" w:cs="宋体" w:eastAsia="宋体" w:hint="default"/>
          <w:spacing w:val="-80"/>
        </w:rPr>
        <w:t> </w:t>
      </w:r>
      <w:r>
        <w:rPr/>
        <w:t>年；从中国银行郑州高新技术开发区支行取得信用借款</w:t>
      </w:r>
      <w:r>
        <w:rPr>
          <w:rFonts w:ascii="宋体" w:hAnsi="宋体" w:cs="宋体" w:eastAsia="宋体" w:hint="default"/>
        </w:rPr>
        <w:t>3,000</w:t>
      </w:r>
      <w:r>
        <w:rPr/>
        <w:t>万元，借款期限</w:t>
      </w:r>
      <w:r>
        <w:rPr>
          <w:rFonts w:ascii="宋体" w:hAnsi="宋体" w:cs="宋体" w:eastAsia="宋体" w:hint="default"/>
        </w:rPr>
        <w:t>1</w:t>
      </w:r>
      <w:r>
        <w:rPr/>
        <w:t>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1、应付票据" w:id="225"/>
      <w:bookmarkEnd w:id="225"/>
      <w:r>
        <w:rPr>
          <w:b w:val="0"/>
          <w:bCs w:val="0"/>
        </w:rPr>
      </w:r>
      <w:r>
        <w:rPr>
          <w:rFonts w:ascii="宋体" w:hAnsi="宋体" w:cs="宋体" w:eastAsia="宋体" w:hint="default"/>
        </w:rPr>
        <w:t>21</w:t>
      </w:r>
      <w:r>
        <w:rPr/>
        <w:t>、应付票据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23,571,593.63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23,571,593.63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2、应付账款" w:id="226"/>
      <w:bookmarkEnd w:id="226"/>
      <w:r>
        <w:rPr>
          <w:b w:val="0"/>
          <w:bCs w:val="0"/>
        </w:rPr>
      </w:r>
      <w:r>
        <w:rPr>
          <w:rFonts w:ascii="宋体" w:hAnsi="宋体" w:cs="宋体" w:eastAsia="宋体" w:hint="default"/>
        </w:rPr>
        <w:t>22</w:t>
      </w:r>
      <w:r>
        <w:rPr/>
        <w:t>、应付账款</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left="154" w:right="0"/>
        <w:jc w:val="left"/>
        <w:rPr>
          <w:b w:val="0"/>
          <w:bCs w:val="0"/>
        </w:rPr>
      </w:pPr>
      <w:bookmarkStart w:name="（1）应付账款列示" w:id="227"/>
      <w:bookmarkEnd w:id="227"/>
      <w:r>
        <w:rPr>
          <w:b w:val="0"/>
          <w:bCs w:val="0"/>
        </w:rPr>
      </w: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141,075,924.25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85,151,041.72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12,118,649.85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1,740,630.21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3,315,440.31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340,464.72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3,155,231.32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632,968.93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159,665,245.73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87,865,105.58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28"/>
      <w:bookmarkEnd w:id="228"/>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河南宏宇设备安装有限公司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1,018,562.76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尚未结清的工程款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郑州乐枫装饰工程有限公司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707,146.50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尚未结清的工程款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闽侯县铁岭发展有限公司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664,115.20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尚未结清的工程款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2,389,824.46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预收款项" w:id="229"/>
      <w:bookmarkEnd w:id="229"/>
      <w:r>
        <w:rPr>
          <w:b w:val="0"/>
          <w:bCs w:val="0"/>
        </w:rPr>
      </w:r>
      <w:r>
        <w:rPr>
          <w:rFonts w:ascii="宋体" w:hAnsi="宋体" w:cs="宋体" w:eastAsia="宋体" w:hint="default"/>
        </w:rPr>
        <w:t>23</w:t>
      </w:r>
      <w:r>
        <w:rPr/>
        <w:t>、预收款项</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预收款项列示" w:id="230"/>
      <w:bookmarkEnd w:id="230"/>
      <w:r>
        <w:rPr>
          <w:b w:val="0"/>
          <w:bCs w:val="0"/>
        </w:rPr>
      </w:r>
      <w:r>
        <w:rPr/>
        <w:t>（</w:t>
      </w:r>
      <w:r>
        <w:rPr>
          <w:rFonts w:ascii="宋体" w:hAnsi="宋体" w:cs="宋体" w:eastAsia="宋体" w:hint="default"/>
        </w:rPr>
        <w:t>1</w:t>
      </w:r>
      <w:r>
        <w:rPr/>
        <w:t>）预收款项列示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13,178,204.55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13,938,379.75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2,233,452.83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768,754.20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582,320.93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494,565.66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443,495.26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261,170.17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16,437,473.57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15,462,869.78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应付职工薪酬" w:id="231"/>
      <w:bookmarkEnd w:id="231"/>
      <w:r>
        <w:rPr>
          <w:b w:val="0"/>
          <w:bCs w:val="0"/>
        </w:rPr>
      </w:r>
      <w:r>
        <w:rPr>
          <w:rFonts w:ascii="宋体" w:hAnsi="宋体" w:cs="宋体" w:eastAsia="宋体" w:hint="default"/>
        </w:rPr>
        <w:t>24</w:t>
      </w:r>
      <w:r>
        <w:rPr/>
        <w:t>、应付职工薪酬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应付职工薪酬列示" w:id="232"/>
      <w:bookmarkEnd w:id="232"/>
      <w:r>
        <w:rPr>
          <w:b w:val="0"/>
          <w:bCs w:val="0"/>
        </w:rPr>
      </w: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5,946,490.64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79,385,081.25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75,227,881.94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10,103,689.95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9,451.41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5,793,857.73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5,778,239.23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25,069.91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234,797.91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234,797.91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5,955,942.05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85,413,736.89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81,240,919.08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10,128,759.86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33"/>
      <w:bookmarkEnd w:id="233"/>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5,829,225.98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73,166,287.39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69,030,447.50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9,965,065.87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1,149,555.28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1,147,473.28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2,082.00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4,265.93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2,627,082.39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2,616,652.14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14,696.18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4,265.93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2,244,139.87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2,236,622.37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11,783.43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155,978.51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153,734.06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2,244.45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226,964.01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226,295.71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668.30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4,432.00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1,364,522.61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1,358,962.61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9,992.00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108,566.73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1,077,633.58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1,074,346.41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111,853.90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5,946,490.64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79,385,081.25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75,227,881.94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10,103,689.95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34"/>
      <w:bookmarkEnd w:id="234"/>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6,433.05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5,340,477.10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5,325,861.10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21,049.05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3,018.36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453,380.63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452,378.13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9,451.41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5,793,857.73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5,778,239.23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25,069.91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5、应交税费" w:id="235"/>
      <w:bookmarkEnd w:id="235"/>
      <w:r>
        <w:rPr>
          <w:b w:val="0"/>
          <w:bCs w:val="0"/>
        </w:rPr>
      </w:r>
      <w:r>
        <w:rPr>
          <w:rFonts w:ascii="宋体" w:hAnsi="宋体" w:cs="宋体" w:eastAsia="宋体" w:hint="default"/>
        </w:rPr>
        <w:t>25</w:t>
      </w:r>
      <w:r>
        <w:rPr/>
        <w:t>、应交税费</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12,590,297.58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3,707,723.92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1,089,002.40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72,290.45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7,840,403.78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2,337,754.42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127,497.22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93,432.11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642,092.66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261,659.64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466,760.08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229,056.43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431,865.40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577,926.09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369,937.11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369,937.11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108,597.85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9,836.56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23,666,454.08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7,659,616.73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应付利息" w:id="236"/>
      <w:bookmarkEnd w:id="236"/>
      <w:r>
        <w:rPr>
          <w:b w:val="0"/>
          <w:bCs w:val="0"/>
        </w:rPr>
      </w:r>
      <w:r>
        <w:rPr>
          <w:rFonts w:ascii="宋体" w:hAnsi="宋体" w:cs="宋体" w:eastAsia="宋体" w:hint="default"/>
        </w:rPr>
        <w:t>26</w:t>
      </w:r>
      <w:r>
        <w:rPr/>
        <w:t>、应付利息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115,960.37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305,116.67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150,574.99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421,077.04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150,574.99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其他应付款" w:id="237"/>
      <w:bookmarkEnd w:id="237"/>
      <w:r>
        <w:rPr>
          <w:b w:val="0"/>
          <w:bCs w:val="0"/>
        </w:rPr>
      </w:r>
      <w:r>
        <w:rPr>
          <w:rFonts w:ascii="宋体" w:hAnsi="宋体" w:cs="宋体" w:eastAsia="宋体" w:hint="default"/>
        </w:rPr>
        <w:t>27</w:t>
      </w:r>
      <w:r>
        <w:rPr/>
        <w:t>、其他应付款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按款项性质列示其他应付款" w:id="238"/>
      <w:bookmarkEnd w:id="238"/>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8,275,374.59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749,438.75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17,231,440.00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5,777,995.89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1,598,168.27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608,486.14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655,869.25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31,893,296.62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5,003,476.27</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2）账龄超过1年的重要其他应付款" w:id="239"/>
      <w:bookmarkEnd w:id="239"/>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6"/>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尚未支付股权转让款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郑州晟禾实业有限公司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04"/>
        <w:jc w:val="left"/>
        <w:rPr>
          <w:b w:val="0"/>
          <w:bCs w:val="0"/>
        </w:rPr>
      </w:pPr>
      <w:bookmarkStart w:name="28、一年内到期的非流动负债" w:id="240"/>
      <w:bookmarkEnd w:id="240"/>
      <w:r>
        <w:rPr>
          <w:b w:val="0"/>
          <w:bCs w:val="0"/>
        </w:rPr>
      </w:r>
      <w:r>
        <w:rPr>
          <w:rFonts w:ascii="宋体" w:hAnsi="宋体" w:cs="宋体" w:eastAsia="宋体" w:hint="default"/>
        </w:rPr>
        <w:t>28</w:t>
      </w:r>
      <w:r>
        <w:rPr/>
        <w:t>、一年内到期的非流动负债</w:t>
      </w:r>
      <w:r>
        <w:rPr>
          <w:b w:val="0"/>
          <w:bCs w:val="0"/>
        </w:rPr>
      </w:r>
    </w:p>
    <w:p>
      <w:pPr>
        <w:spacing w:line="240" w:lineRule="auto" w:before="5"/>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13,992,907.92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15,999,550.90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25,312,907.92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15,999,550.90</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104"/>
        <w:jc w:val="left"/>
        <w:rPr>
          <w:b w:val="0"/>
          <w:bCs w:val="0"/>
        </w:rPr>
      </w:pPr>
      <w:bookmarkStart w:name="29、长期借款" w:id="241"/>
      <w:bookmarkEnd w:id="241"/>
      <w:r>
        <w:rPr>
          <w:b w:val="0"/>
          <w:bCs w:val="0"/>
        </w:rPr>
      </w:r>
      <w:r>
        <w:rPr>
          <w:rFonts w:ascii="宋体" w:hAnsi="宋体" w:cs="宋体" w:eastAsia="宋体" w:hint="default"/>
        </w:rPr>
        <w:t>29</w:t>
      </w:r>
      <w:r>
        <w:rPr/>
        <w:t>、长期借款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04"/>
        <w:jc w:val="left"/>
        <w:rPr>
          <w:b w:val="0"/>
          <w:bCs w:val="0"/>
        </w:rPr>
      </w:pPr>
      <w:bookmarkStart w:name="（1）长期借款分类" w:id="242"/>
      <w:bookmarkEnd w:id="242"/>
      <w:r>
        <w:rPr>
          <w:b w:val="0"/>
          <w:bCs w:val="0"/>
        </w:rPr>
      </w:r>
      <w:r>
        <w:rPr/>
        <w:t>（</w:t>
      </w:r>
      <w:r>
        <w:rPr>
          <w:rFonts w:ascii="宋体" w:hAnsi="宋体" w:cs="宋体" w:eastAsia="宋体" w:hint="default"/>
        </w:rPr>
        <w:t>1</w:t>
      </w:r>
      <w:r>
        <w:rPr/>
        <w:t>）长期借款分类</w:t>
      </w:r>
      <w:r>
        <w:rPr>
          <w:b w:val="0"/>
          <w:bCs w:val="0"/>
        </w:rPr>
      </w:r>
    </w:p>
    <w:p>
      <w:pPr>
        <w:spacing w:line="240" w:lineRule="auto" w:before="5"/>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42,880,000.00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2"/>
        <w:rPr>
          <w:rFonts w:ascii="宋体" w:hAnsi="宋体" w:cs="宋体" w:eastAsia="宋体" w:hint="default"/>
          <w:sz w:val="12"/>
          <w:szCs w:val="12"/>
        </w:rPr>
      </w:pPr>
    </w:p>
    <w:p>
      <w:pPr>
        <w:pStyle w:val="BodyText"/>
        <w:spacing w:line="240" w:lineRule="auto" w:before="0"/>
        <w:ind w:left="574" w:right="104"/>
        <w:jc w:val="left"/>
      </w:pPr>
      <w:r>
        <w:rPr>
          <w:rFonts w:ascii="宋体" w:hAnsi="宋体" w:cs="宋体" w:eastAsia="宋体" w:hint="default"/>
        </w:rPr>
        <w:t>1</w:t>
      </w:r>
      <w:r>
        <w:rPr/>
        <w:t>）合肥嘉园</w:t>
      </w:r>
      <w:r>
        <w:rPr>
          <w:rFonts w:ascii="宋体" w:hAnsi="宋体" w:cs="宋体" w:eastAsia="宋体" w:hint="default"/>
        </w:rPr>
        <w:t>2012 </w:t>
      </w:r>
      <w:r>
        <w:rPr/>
        <w:t>年</w:t>
      </w:r>
      <w:r>
        <w:rPr>
          <w:rFonts w:ascii="宋体" w:hAnsi="宋体" w:cs="宋体" w:eastAsia="宋体" w:hint="default"/>
        </w:rPr>
        <w:t>11 </w:t>
      </w:r>
      <w:r>
        <w:rPr/>
        <w:t>月</w:t>
      </w:r>
      <w:r>
        <w:rPr>
          <w:rFonts w:ascii="宋体" w:hAnsi="宋体" w:cs="宋体" w:eastAsia="宋体" w:hint="default"/>
        </w:rPr>
        <w:t>29</w:t>
      </w:r>
      <w:r>
        <w:rPr>
          <w:rFonts w:ascii="宋体" w:hAnsi="宋体" w:cs="宋体" w:eastAsia="宋体" w:hint="default"/>
          <w:spacing w:val="-26"/>
        </w:rPr>
        <w:t> </w:t>
      </w:r>
      <w:r>
        <w:rPr/>
        <w:t>日与中国工商银行股份有限公司合肥城建支行签订借款合同，借款金额</w:t>
      </w:r>
    </w:p>
    <w:p>
      <w:pPr>
        <w:spacing w:line="240" w:lineRule="auto" w:before="10"/>
        <w:rPr>
          <w:rFonts w:ascii="宋体" w:hAnsi="宋体" w:cs="宋体" w:eastAsia="宋体" w:hint="default"/>
          <w:sz w:val="14"/>
          <w:szCs w:val="14"/>
        </w:rPr>
      </w:pPr>
    </w:p>
    <w:p>
      <w:pPr>
        <w:pStyle w:val="BodyText"/>
        <w:spacing w:line="408" w:lineRule="auto" w:before="0"/>
        <w:ind w:right="202"/>
        <w:jc w:val="left"/>
      </w:pPr>
      <w:r>
        <w:rPr>
          <w:rFonts w:ascii="宋体" w:hAnsi="宋体" w:cs="宋体" w:eastAsia="宋体" w:hint="default"/>
        </w:rPr>
        <w:t>50,000,000.00 </w:t>
      </w:r>
      <w:r>
        <w:rPr/>
        <w:t>元，借款期限自</w:t>
      </w:r>
      <w:r>
        <w:rPr>
          <w:rFonts w:ascii="宋体" w:hAnsi="宋体" w:cs="宋体" w:eastAsia="宋体" w:hint="default"/>
        </w:rPr>
        <w:t>2012 </w:t>
      </w:r>
      <w:r>
        <w:rPr/>
        <w:t>年</w:t>
      </w:r>
      <w:r>
        <w:rPr>
          <w:rFonts w:ascii="宋体" w:hAnsi="宋体" w:cs="宋体" w:eastAsia="宋体" w:hint="default"/>
        </w:rPr>
        <w:t>11 </w:t>
      </w:r>
      <w:r>
        <w:rPr/>
        <w:t>月</w:t>
      </w:r>
      <w:r>
        <w:rPr>
          <w:rFonts w:ascii="宋体" w:hAnsi="宋体" w:cs="宋体" w:eastAsia="宋体" w:hint="default"/>
        </w:rPr>
        <w:t>29 </w:t>
      </w:r>
      <w:r>
        <w:rPr/>
        <w:t>日至</w:t>
      </w:r>
      <w:r>
        <w:rPr>
          <w:rFonts w:ascii="宋体" w:hAnsi="宋体" w:cs="宋体" w:eastAsia="宋体" w:hint="default"/>
        </w:rPr>
        <w:t>2019 </w:t>
      </w:r>
      <w:r>
        <w:rPr/>
        <w:t>年</w:t>
      </w:r>
      <w:r>
        <w:rPr>
          <w:rFonts w:ascii="宋体" w:hAnsi="宋体" w:cs="宋体" w:eastAsia="宋体" w:hint="default"/>
        </w:rPr>
        <w:t>11 </w:t>
      </w:r>
      <w:r>
        <w:rPr/>
        <w:t>月</w:t>
      </w:r>
      <w:r>
        <w:rPr>
          <w:rFonts w:ascii="宋体" w:hAnsi="宋体" w:cs="宋体" w:eastAsia="宋体" w:hint="default"/>
        </w:rPr>
        <w:t>28</w:t>
      </w:r>
      <w:r>
        <w:rPr>
          <w:rFonts w:ascii="宋体" w:hAnsi="宋体" w:cs="宋体" w:eastAsia="宋体" w:hint="default"/>
          <w:spacing w:val="46"/>
        </w:rPr>
        <w:t> </w:t>
      </w:r>
      <w:r>
        <w:rPr>
          <w:spacing w:val="2"/>
        </w:rPr>
        <w:t>日；该项借款由</w:t>
      </w:r>
      <w:r>
        <w:rPr>
          <w:rFonts w:ascii="宋体" w:hAnsi="宋体" w:cs="宋体" w:eastAsia="宋体" w:hint="default"/>
          <w:spacing w:val="2"/>
        </w:rPr>
        <w:t>"</w:t>
      </w:r>
      <w:r>
        <w:rPr>
          <w:spacing w:val="2"/>
        </w:rPr>
        <w:t>合肥市龙泉山生 </w:t>
      </w:r>
      <w:r>
        <w:rPr/>
        <w:t>活垃圾处理场渗滤液处理厂</w:t>
      </w:r>
      <w:r>
        <w:rPr>
          <w:rFonts w:ascii="宋体" w:hAnsi="宋体" w:cs="宋体" w:eastAsia="宋体" w:hint="default"/>
        </w:rPr>
        <w:t>BOT</w:t>
      </w:r>
      <w:r>
        <w:rPr>
          <w:rFonts w:ascii="宋体" w:hAnsi="宋体" w:cs="宋体" w:eastAsia="宋体" w:hint="default"/>
          <w:spacing w:val="-3"/>
        </w:rPr>
        <w:t> </w:t>
      </w:r>
      <w:r>
        <w:rPr/>
        <w:t>项目</w:t>
      </w:r>
      <w:r>
        <w:rPr>
          <w:rFonts w:ascii="宋体" w:hAnsi="宋体" w:cs="宋体" w:eastAsia="宋体" w:hint="default"/>
        </w:rPr>
        <w:t>"</w:t>
      </w:r>
      <w:r>
        <w:rPr/>
        <w:t>特许经营权作质押，并由陈泽枝承担连带担保责任；</w:t>
      </w:r>
    </w:p>
    <w:p>
      <w:pPr>
        <w:pStyle w:val="BodyText"/>
        <w:spacing w:line="240" w:lineRule="auto"/>
        <w:ind w:left="573" w:right="104"/>
        <w:jc w:val="left"/>
      </w:pPr>
      <w:r>
        <w:rPr>
          <w:rFonts w:ascii="宋体" w:hAnsi="宋体" w:cs="宋体" w:eastAsia="宋体" w:hint="default"/>
        </w:rPr>
        <w:t>2</w:t>
      </w:r>
      <w:r>
        <w:rPr>
          <w:rFonts w:ascii="宋体" w:hAnsi="宋体" w:cs="宋体" w:eastAsia="宋体" w:hint="default"/>
          <w:spacing w:val="-84"/>
        </w:rPr>
        <w:t> </w:t>
      </w:r>
      <w:r>
        <w:rPr>
          <w:spacing w:val="14"/>
        </w:rPr>
        <w:t>）东山嘉园于</w:t>
      </w:r>
      <w:r>
        <w:rPr>
          <w:spacing w:val="-84"/>
        </w:rPr>
        <w:t> </w:t>
      </w:r>
      <w:r>
        <w:rPr>
          <w:rFonts w:ascii="宋体" w:hAnsi="宋体" w:cs="宋体" w:eastAsia="宋体" w:hint="default"/>
        </w:rPr>
        <w:t>2009</w:t>
      </w:r>
      <w:r>
        <w:rPr>
          <w:rFonts w:ascii="宋体" w:hAnsi="宋体" w:cs="宋体" w:eastAsia="宋体" w:hint="default"/>
          <w:spacing w:val="23"/>
        </w:rPr>
        <w:t> </w:t>
      </w:r>
      <w:r>
        <w:rPr/>
        <w:t>年</w:t>
      </w:r>
      <w:r>
        <w:rPr>
          <w:spacing w:val="-85"/>
        </w:rPr>
        <w:t> </w:t>
      </w:r>
      <w:r>
        <w:rPr>
          <w:rFonts w:ascii="宋体" w:hAnsi="宋体" w:cs="宋体" w:eastAsia="宋体" w:hint="default"/>
        </w:rPr>
        <w:t>7</w:t>
      </w:r>
      <w:r>
        <w:rPr>
          <w:rFonts w:ascii="宋体" w:hAnsi="宋体" w:cs="宋体" w:eastAsia="宋体" w:hint="default"/>
          <w:spacing w:val="25"/>
        </w:rPr>
        <w:t> </w:t>
      </w:r>
      <w:r>
        <w:rPr>
          <w:spacing w:val="6"/>
        </w:rPr>
        <w:t>月</w:t>
      </w:r>
      <w:r>
        <w:rPr>
          <w:rFonts w:ascii="宋体" w:hAnsi="宋体" w:cs="宋体" w:eastAsia="宋体" w:hint="default"/>
          <w:spacing w:val="6"/>
        </w:rPr>
        <w:t>24</w:t>
      </w:r>
      <w:r>
        <w:rPr>
          <w:rFonts w:ascii="宋体" w:hAnsi="宋体" w:cs="宋体" w:eastAsia="宋体" w:hint="default"/>
          <w:spacing w:val="24"/>
        </w:rPr>
        <w:t> </w:t>
      </w:r>
      <w:r>
        <w:rPr>
          <w:spacing w:val="16"/>
        </w:rPr>
        <w:t>日与中国银行股份有限公司东山支行签订借款合同，</w:t>
      </w:r>
      <w:r>
        <w:rPr>
          <w:spacing w:val="-87"/>
        </w:rPr>
        <w:t> </w:t>
      </w:r>
      <w:r>
        <w:rPr>
          <w:spacing w:val="13"/>
        </w:rPr>
        <w:t>借款金额</w:t>
      </w:r>
    </w:p>
    <w:p>
      <w:pPr>
        <w:spacing w:line="240" w:lineRule="auto" w:before="10"/>
        <w:rPr>
          <w:rFonts w:ascii="宋体" w:hAnsi="宋体" w:cs="宋体" w:eastAsia="宋体" w:hint="default"/>
          <w:sz w:val="14"/>
          <w:szCs w:val="14"/>
        </w:rPr>
      </w:pPr>
    </w:p>
    <w:p>
      <w:pPr>
        <w:pStyle w:val="BodyText"/>
        <w:spacing w:line="408" w:lineRule="auto" w:before="0"/>
        <w:ind w:right="106"/>
        <w:jc w:val="both"/>
      </w:pPr>
      <w:r>
        <w:rPr>
          <w:rFonts w:ascii="宋体" w:hAnsi="宋体" w:cs="宋体" w:eastAsia="宋体" w:hint="default"/>
        </w:rPr>
        <w:t>15,000,000.00</w:t>
      </w:r>
      <w:r>
        <w:rPr>
          <w:rFonts w:ascii="宋体" w:hAnsi="宋体" w:cs="宋体" w:eastAsia="宋体" w:hint="default"/>
          <w:spacing w:val="10"/>
        </w:rPr>
        <w:t> </w:t>
      </w:r>
      <w:r>
        <w:rPr/>
        <w:t>元，借款期限自</w:t>
      </w:r>
      <w:r>
        <w:rPr>
          <w:rFonts w:ascii="宋体" w:hAnsi="宋体" w:cs="宋体" w:eastAsia="宋体" w:hint="default"/>
        </w:rPr>
        <w:t>2009</w:t>
      </w:r>
      <w:r>
        <w:rPr>
          <w:rFonts w:ascii="宋体" w:hAnsi="宋体" w:cs="宋体" w:eastAsia="宋体" w:hint="default"/>
          <w:spacing w:val="7"/>
        </w:rPr>
        <w:t> </w:t>
      </w:r>
      <w:r>
        <w:rPr/>
        <w:t>年</w:t>
      </w:r>
      <w:r>
        <w:rPr>
          <w:rFonts w:ascii="宋体" w:hAnsi="宋体" w:cs="宋体" w:eastAsia="宋体" w:hint="default"/>
        </w:rPr>
        <w:t>7</w:t>
      </w:r>
      <w:r>
        <w:rPr>
          <w:rFonts w:ascii="宋体" w:hAnsi="宋体" w:cs="宋体" w:eastAsia="宋体" w:hint="default"/>
          <w:spacing w:val="10"/>
        </w:rPr>
        <w:t> </w:t>
      </w:r>
      <w:r>
        <w:rPr/>
        <w:t>月</w:t>
      </w:r>
      <w:r>
        <w:rPr>
          <w:rFonts w:ascii="宋体" w:hAnsi="宋体" w:cs="宋体" w:eastAsia="宋体" w:hint="default"/>
        </w:rPr>
        <w:t>24</w:t>
      </w:r>
      <w:r>
        <w:rPr>
          <w:rFonts w:ascii="宋体" w:hAnsi="宋体" w:cs="宋体" w:eastAsia="宋体" w:hint="default"/>
          <w:spacing w:val="9"/>
        </w:rPr>
        <w:t> </w:t>
      </w:r>
      <w:r>
        <w:rPr/>
        <w:t>日至</w:t>
      </w:r>
      <w:r>
        <w:rPr>
          <w:rFonts w:ascii="宋体" w:hAnsi="宋体" w:cs="宋体" w:eastAsia="宋体" w:hint="default"/>
        </w:rPr>
        <w:t>2018</w:t>
      </w:r>
      <w:r>
        <w:rPr>
          <w:rFonts w:ascii="宋体" w:hAnsi="宋体" w:cs="宋体" w:eastAsia="宋体" w:hint="default"/>
          <w:spacing w:val="9"/>
        </w:rPr>
        <w:t> </w:t>
      </w:r>
      <w:r>
        <w:rPr/>
        <w:t>年</w:t>
      </w:r>
      <w:r>
        <w:rPr>
          <w:rFonts w:ascii="宋体" w:hAnsi="宋体" w:cs="宋体" w:eastAsia="宋体" w:hint="default"/>
        </w:rPr>
        <w:t>12</w:t>
      </w:r>
      <w:r>
        <w:rPr>
          <w:rFonts w:ascii="宋体" w:hAnsi="宋体" w:cs="宋体" w:eastAsia="宋体" w:hint="default"/>
          <w:spacing w:val="9"/>
        </w:rPr>
        <w:t> </w:t>
      </w:r>
      <w:r>
        <w:rPr/>
        <w:t>月</w:t>
      </w:r>
      <w:r>
        <w:rPr>
          <w:rFonts w:ascii="宋体" w:hAnsi="宋体" w:cs="宋体" w:eastAsia="宋体" w:hint="default"/>
        </w:rPr>
        <w:t>20</w:t>
      </w:r>
      <w:r>
        <w:rPr>
          <w:rFonts w:ascii="宋体" w:hAnsi="宋体" w:cs="宋体" w:eastAsia="宋体" w:hint="default"/>
          <w:spacing w:val="9"/>
        </w:rPr>
        <w:t> </w:t>
      </w:r>
      <w:r>
        <w:rPr/>
        <w:t>日，由东山双东污水处理厂特许经</w:t>
      </w:r>
      <w:r>
        <w:rPr>
          <w:spacing w:val="-98"/>
        </w:rPr>
        <w:t> </w:t>
      </w:r>
      <w:r>
        <w:rPr>
          <w:spacing w:val="-98"/>
        </w:rPr>
      </w:r>
      <w:r>
        <w:rPr/>
        <w:t>营权作质押，并由嘉园环保及李泽清承担连带担保责任；于</w:t>
      </w:r>
      <w:r>
        <w:rPr>
          <w:rFonts w:ascii="宋体" w:hAnsi="宋体" w:cs="宋体" w:eastAsia="宋体" w:hint="default"/>
        </w:rPr>
        <w:t>2010</w:t>
      </w:r>
      <w:r>
        <w:rPr>
          <w:rFonts w:ascii="宋体" w:hAnsi="宋体" w:cs="宋体" w:eastAsia="宋体" w:hint="default"/>
          <w:spacing w:val="17"/>
        </w:rPr>
        <w:t> </w:t>
      </w:r>
      <w:r>
        <w:rPr/>
        <w:t>年</w:t>
      </w:r>
      <w:r>
        <w:rPr>
          <w:rFonts w:ascii="宋体" w:hAnsi="宋体" w:cs="宋体" w:eastAsia="宋体" w:hint="default"/>
        </w:rPr>
        <w:t>11</w:t>
      </w:r>
      <w:r>
        <w:rPr>
          <w:rFonts w:ascii="宋体" w:hAnsi="宋体" w:cs="宋体" w:eastAsia="宋体" w:hint="default"/>
          <w:spacing w:val="18"/>
        </w:rPr>
        <w:t> </w:t>
      </w:r>
      <w:r>
        <w:rPr/>
        <w:t>月</w:t>
      </w:r>
      <w:r>
        <w:rPr>
          <w:rFonts w:ascii="宋体" w:hAnsi="宋体" w:cs="宋体" w:eastAsia="宋体" w:hint="default"/>
        </w:rPr>
        <w:t>10</w:t>
      </w:r>
      <w:r>
        <w:rPr>
          <w:rFonts w:ascii="宋体" w:hAnsi="宋体" w:cs="宋体" w:eastAsia="宋体" w:hint="default"/>
          <w:spacing w:val="20"/>
        </w:rPr>
        <w:t> </w:t>
      </w:r>
      <w:r>
        <w:rPr/>
        <w:t>日与中国银行股份有限公司</w:t>
      </w:r>
      <w:r>
        <w:rPr>
          <w:spacing w:val="-86"/>
        </w:rPr>
        <w:t> </w:t>
      </w:r>
      <w:r>
        <w:rPr>
          <w:spacing w:val="-86"/>
        </w:rPr>
      </w:r>
      <w:r>
        <w:rPr>
          <w:spacing w:val="-3"/>
        </w:rPr>
        <w:t>东山支行签订借款合同，借款金额</w:t>
      </w:r>
      <w:r>
        <w:rPr>
          <w:rFonts w:ascii="宋体" w:hAnsi="宋体" w:cs="宋体" w:eastAsia="宋体" w:hint="default"/>
          <w:spacing w:val="-3"/>
        </w:rPr>
        <w:t>9,000,000.00 </w:t>
      </w:r>
      <w:r>
        <w:rPr>
          <w:spacing w:val="-6"/>
        </w:rPr>
        <w:t>元，借款期限自</w:t>
      </w:r>
      <w:r>
        <w:rPr>
          <w:rFonts w:ascii="宋体" w:hAnsi="宋体" w:cs="宋体" w:eastAsia="宋体" w:hint="default"/>
          <w:spacing w:val="-6"/>
        </w:rPr>
        <w:t>2010 </w:t>
      </w:r>
      <w:r>
        <w:rPr/>
        <w:t>年</w:t>
      </w:r>
      <w:r>
        <w:rPr>
          <w:rFonts w:ascii="宋体" w:hAnsi="宋体" w:cs="宋体" w:eastAsia="宋体" w:hint="default"/>
        </w:rPr>
        <w:t>11 </w:t>
      </w:r>
      <w:r>
        <w:rPr/>
        <w:t>月</w:t>
      </w:r>
      <w:r>
        <w:rPr>
          <w:rFonts w:ascii="宋体" w:hAnsi="宋体" w:cs="宋体" w:eastAsia="宋体" w:hint="default"/>
        </w:rPr>
        <w:t>10 </w:t>
      </w:r>
      <w:r>
        <w:rPr/>
        <w:t>日至</w:t>
      </w:r>
      <w:r>
        <w:rPr>
          <w:rFonts w:ascii="宋体" w:hAnsi="宋体" w:cs="宋体" w:eastAsia="宋体" w:hint="default"/>
        </w:rPr>
        <w:t>2019 </w:t>
      </w:r>
      <w:r>
        <w:rPr/>
        <w:t>年</w:t>
      </w:r>
      <w:r>
        <w:rPr>
          <w:rFonts w:ascii="宋体" w:hAnsi="宋体" w:cs="宋体" w:eastAsia="宋体" w:hint="default"/>
        </w:rPr>
        <w:t>9 </w:t>
      </w:r>
      <w:r>
        <w:rPr/>
        <w:t>月</w:t>
      </w:r>
      <w:r>
        <w:rPr>
          <w:rFonts w:ascii="宋体" w:hAnsi="宋体" w:cs="宋体" w:eastAsia="宋体" w:hint="default"/>
        </w:rPr>
        <w:t>21</w:t>
      </w:r>
      <w:r>
        <w:rPr>
          <w:rFonts w:ascii="宋体" w:hAnsi="宋体" w:cs="宋体" w:eastAsia="宋体" w:hint="default"/>
          <w:spacing w:val="22"/>
        </w:rPr>
        <w:t> </w:t>
      </w:r>
      <w:r>
        <w:rPr/>
        <w:t>日，</w:t>
      </w:r>
    </w:p>
    <w:p>
      <w:pPr>
        <w:spacing w:after="0" w:line="408"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3" w:right="1809" w:hanging="420"/>
        <w:jc w:val="left"/>
        <w:rPr>
          <w:rFonts w:ascii="宋体" w:hAnsi="宋体" w:cs="宋体" w:eastAsia="宋体" w:hint="default"/>
        </w:rPr>
      </w:pPr>
      <w:r>
        <w:rPr/>
        <w:t>由东山双东污水处理厂特许经营权作质押，并由嘉园环保及李泽清承担连带担保责任。 其他说明，包括利率区间：利率区间为</w:t>
      </w:r>
      <w:r>
        <w:rPr>
          <w:rFonts w:ascii="宋体" w:hAnsi="宋体" w:cs="宋体" w:eastAsia="宋体" w:hint="default"/>
        </w:rPr>
        <w:t>6.15%-6.765%</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0、预计负债" w:id="243"/>
      <w:bookmarkEnd w:id="243"/>
      <w:r>
        <w:rPr>
          <w:b w:val="0"/>
          <w:bCs w:val="0"/>
        </w:rPr>
      </w:r>
      <w:r>
        <w:rPr>
          <w:rFonts w:ascii="宋体" w:hAnsi="宋体" w:cs="宋体" w:eastAsia="宋体" w:hint="default"/>
        </w:rPr>
        <w:t>30</w:t>
      </w:r>
      <w:r>
        <w:rPr/>
        <w:t>、预计负债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84" w:right="0"/>
              <w:jc w:val="left"/>
              <w:rPr>
                <w:rFonts w:ascii="宋体" w:hAnsi="宋体" w:cs="宋体" w:eastAsia="宋体" w:hint="default"/>
                <w:sz w:val="18"/>
                <w:szCs w:val="18"/>
              </w:rPr>
            </w:pPr>
            <w:r>
              <w:rPr>
                <w:rFonts w:ascii="宋体"/>
                <w:sz w:val="18"/>
              </w:rPr>
              <w:t>48,863,867.43</w:t>
            </w:r>
          </w:p>
        </w:tc>
        <w:tc>
          <w:tcPr>
            <w:tcW w:w="2392" w:type="dxa"/>
            <w:vMerge w:val="restart"/>
            <w:tcBorders>
              <w:top w:val="single" w:sz="4" w:space="0" w:color="000000"/>
              <w:left w:val="single" w:sz="4" w:space="0" w:color="000000"/>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工程维修基金及</w:t>
            </w:r>
            <w:r>
              <w:rPr>
                <w:rFonts w:ascii="宋体" w:hAnsi="宋体" w:cs="宋体" w:eastAsia="宋体" w:hint="default"/>
                <w:spacing w:val="-47"/>
                <w:sz w:val="18"/>
                <w:szCs w:val="18"/>
              </w:rPr>
              <w:t> </w:t>
            </w:r>
            <w:r>
              <w:rPr>
                <w:rFonts w:ascii="宋体" w:hAnsi="宋体" w:cs="宋体" w:eastAsia="宋体" w:hint="default"/>
                <w:sz w:val="18"/>
                <w:szCs w:val="18"/>
              </w:rPr>
              <w:t>BOT</w:t>
            </w:r>
            <w:r>
              <w:rPr>
                <w:rFonts w:ascii="宋体" w:hAnsi="宋体" w:cs="宋体" w:eastAsia="宋体" w:hint="default"/>
                <w:spacing w:val="-47"/>
                <w:sz w:val="18"/>
                <w:szCs w:val="18"/>
              </w:rPr>
              <w:t> </w:t>
            </w:r>
            <w:r>
              <w:rPr>
                <w:rFonts w:ascii="宋体" w:hAnsi="宋体" w:cs="宋体" w:eastAsia="宋体" w:hint="default"/>
                <w:sz w:val="18"/>
                <w:szCs w:val="18"/>
              </w:rPr>
              <w:t>项目恢复 性大修费用</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79" w:right="0"/>
              <w:jc w:val="left"/>
              <w:rPr>
                <w:rFonts w:ascii="宋体" w:hAnsi="宋体" w:cs="宋体" w:eastAsia="宋体" w:hint="default"/>
                <w:sz w:val="18"/>
                <w:szCs w:val="18"/>
              </w:rPr>
            </w:pPr>
            <w:r>
              <w:rPr>
                <w:rFonts w:ascii="宋体"/>
                <w:sz w:val="18"/>
              </w:rPr>
              <w:t>48,863,867.43</w:t>
            </w:r>
          </w:p>
        </w:tc>
        <w:tc>
          <w:tcPr>
            <w:tcW w:w="2392" w:type="dxa"/>
            <w:tcBorders>
              <w:top w:val="single" w:sz="4" w:space="0" w:color="000000"/>
              <w:left w:val="single" w:sz="4" w:space="0" w:color="000000"/>
              <w:bottom w:val="single" w:sz="4" w:space="0" w:color="000000"/>
              <w:right w:val="single" w:sz="13"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40" w:lineRule="auto" w:before="89"/>
        <w:ind w:left="439" w:right="0"/>
        <w:jc w:val="left"/>
      </w:pPr>
      <w:r>
        <w:rPr>
          <w:rFonts w:ascii="宋体" w:hAnsi="宋体" w:cs="宋体" w:eastAsia="宋体" w:hint="default"/>
        </w:rPr>
        <w:t>1</w:t>
      </w:r>
      <w:r>
        <w:rPr/>
        <w:t>）工程维修基金为依据当期收入的</w:t>
      </w:r>
      <w:r>
        <w:rPr>
          <w:rFonts w:ascii="宋体" w:hAnsi="宋体" w:cs="宋体" w:eastAsia="宋体" w:hint="default"/>
        </w:rPr>
        <w:t>1%</w:t>
      </w:r>
      <w:r>
        <w:rPr/>
        <w:t>提取的售后维修费用；</w:t>
      </w:r>
    </w:p>
    <w:p>
      <w:pPr>
        <w:pStyle w:val="BodyText"/>
        <w:spacing w:line="273" w:lineRule="auto" w:before="37"/>
        <w:ind w:left="154" w:right="135" w:firstLine="285"/>
        <w:jc w:val="left"/>
      </w:pPr>
      <w:r>
        <w:rPr>
          <w:rFonts w:ascii="宋体" w:hAnsi="宋体" w:cs="宋体" w:eastAsia="宋体" w:hint="default"/>
        </w:rPr>
        <w:t>2</w:t>
      </w:r>
      <w:r>
        <w:rPr/>
        <w:t>）恢复性大修费用为根据</w:t>
      </w:r>
      <w:r>
        <w:rPr>
          <w:rFonts w:ascii="宋体" w:hAnsi="宋体" w:cs="宋体" w:eastAsia="宋体" w:hint="default"/>
        </w:rPr>
        <w:t>BOT</w:t>
      </w:r>
      <w:r>
        <w:rPr>
          <w:rFonts w:ascii="宋体" w:hAnsi="宋体" w:cs="宋体" w:eastAsia="宋体" w:hint="default"/>
          <w:spacing w:val="7"/>
        </w:rPr>
        <w:t> </w:t>
      </w:r>
      <w:r>
        <w:rPr/>
        <w:t>合同的约定确认的对项目运营及移交过程中预计支付的大修理及设备更 新费用。</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31、递延收益" w:id="244"/>
      <w:bookmarkEnd w:id="244"/>
      <w:r>
        <w:rPr>
          <w:b w:val="0"/>
          <w:bCs w:val="0"/>
        </w:rPr>
      </w:r>
      <w:r>
        <w:rPr>
          <w:rFonts w:ascii="宋体" w:hAnsi="宋体" w:cs="宋体" w:eastAsia="宋体" w:hint="default"/>
        </w:rPr>
        <w:t>31</w:t>
      </w:r>
      <w:r>
        <w:rPr/>
        <w:t>、递延收益</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17,831,729.49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22,557,378.26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19,343,664.84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21,045,442.91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减：将于一年内结转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损益的递延收益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-15,999,550.90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-13,992,907.92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-15,999,550.90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-13,992,907.92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1,832,178.59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8,564,470.34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3,344,113.94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7,052,534.99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电化学式气体探 测智能终端关键 技术研发及产业 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11,700,000.00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基于开路激光技 术的传感器系统 研发及产业化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857,142.86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1,857,142.86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年国家粮食 公益性行业科研 专项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1,167,300.00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416,500.00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5" w:right="0"/>
              <w:jc w:val="left"/>
              <w:rPr>
                <w:rFonts w:ascii="宋体" w:hAnsi="宋体" w:cs="宋体" w:eastAsia="宋体" w:hint="default"/>
                <w:sz w:val="18"/>
                <w:szCs w:val="18"/>
              </w:rPr>
            </w:pPr>
            <w:r>
              <w:rPr>
                <w:rFonts w:ascii="宋体"/>
                <w:sz w:val="18"/>
              </w:rPr>
              <w:t>560,000.00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823,800.00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微</w:t>
            </w:r>
            <w:r>
              <w:rPr>
                <w:rFonts w:ascii="宋体" w:hAnsi="宋体" w:cs="宋体" w:eastAsia="宋体" w:hint="default"/>
                <w:sz w:val="18"/>
                <w:szCs w:val="18"/>
              </w:rPr>
              <w:t>-</w:t>
            </w:r>
            <w:r>
              <w:rPr>
                <w:rFonts w:ascii="宋体" w:hAnsi="宋体" w:cs="宋体" w:eastAsia="宋体" w:hint="default"/>
                <w:sz w:val="18"/>
                <w:szCs w:val="18"/>
              </w:rPr>
              <w:t>纳智能传感 工业监控系统关</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键技术研究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河南省高端信息 产业链专项资金 项目：市政燃气 危险源智能传感 终端及云应用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年国家物联 网发展专项（智 能化燃气管网综 合信息管理系 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基于物联网领域 的红外光纤气体 传感器关键技术 研发及产业化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安全生产网络一 体化监控系统关 键技术开发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危险化学品事故 应急快速响应软 硬件装备产业化 关键技术开发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130,535.68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1,589,464.32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JY-RTO</w:t>
            </w:r>
            <w:r>
              <w:rPr>
                <w:rFonts w:ascii="宋体" w:hAnsi="宋体" w:cs="宋体" w:eastAsia="宋体" w:hint="default"/>
                <w:spacing w:val="-46"/>
                <w:sz w:val="18"/>
                <w:szCs w:val="18"/>
              </w:rPr>
              <w:t> </w:t>
            </w:r>
            <w:r>
              <w:rPr>
                <w:rFonts w:ascii="宋体" w:hAnsi="宋体" w:cs="宋体" w:eastAsia="宋体" w:hint="default"/>
                <w:sz w:val="18"/>
                <w:szCs w:val="18"/>
              </w:rPr>
              <w:t>型大风量 复杂挥发性有机 气体控制项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4,560,000.00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1,757,286.63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2,520,878.26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2,305,986.30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1,972,178.59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17,831,729.49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22,557,378.26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18,783,664.84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sz w:val="18"/>
              </w:rPr>
              <w:t>560,000.00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21,045,442.91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2、股本" w:id="245"/>
      <w:bookmarkEnd w:id="245"/>
      <w:r>
        <w:rPr>
          <w:b w:val="0"/>
          <w:bCs w:val="0"/>
        </w:rPr>
      </w:r>
      <w:r>
        <w:rPr>
          <w:rFonts w:ascii="宋体" w:hAnsi="宋体" w:cs="宋体" w:eastAsia="宋体" w:hint="default"/>
        </w:rPr>
        <w:t>32</w:t>
      </w:r>
      <w:r>
        <w:rPr/>
        <w:t>、股本</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28,511,403.0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28,511,403.0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146,511,403.</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2"/>
          <w:szCs w:val="12"/>
        </w:rPr>
      </w:pPr>
    </w:p>
    <w:p>
      <w:pPr>
        <w:pStyle w:val="BodyText"/>
        <w:spacing w:line="408" w:lineRule="auto" w:before="0"/>
        <w:ind w:right="151" w:firstLine="284"/>
        <w:jc w:val="both"/>
      </w:pPr>
      <w:r>
        <w:rPr>
          <w:rFonts w:ascii="宋体" w:hAnsi="宋体" w:cs="宋体" w:eastAsia="宋体" w:hint="default"/>
        </w:rPr>
        <w:t>1</w:t>
      </w:r>
      <w:r>
        <w:rPr/>
        <w:t>）根据公司</w:t>
      </w:r>
      <w:r>
        <w:rPr>
          <w:rFonts w:ascii="宋体" w:hAnsi="宋体" w:cs="宋体" w:eastAsia="宋体" w:hint="default"/>
        </w:rPr>
        <w:t>2014</w:t>
      </w:r>
      <w:r>
        <w:rPr/>
        <w:t>年第二次临时股东大会决议，并经中国证券监督管理委员会《关于核准河南汉威电子 股份有限公司向陈泽枝等发行股份购买资产并募集配套资金的批复》（证监许可</w:t>
      </w:r>
      <w:r>
        <w:rPr>
          <w:rFonts w:ascii="宋体" w:hAnsi="宋体" w:cs="宋体" w:eastAsia="宋体" w:hint="default"/>
        </w:rPr>
        <w:t>[2014]937</w:t>
      </w:r>
      <w:r>
        <w:rPr/>
        <w:t>号）核准，公</w:t>
      </w:r>
      <w:r>
        <w:rPr>
          <w:spacing w:val="-28"/>
        </w:rPr>
        <w:t> </w:t>
      </w:r>
      <w:r>
        <w:rPr>
          <w:spacing w:val="-28"/>
        </w:rPr>
      </w:r>
      <w:r>
        <w:rPr>
          <w:spacing w:val="10"/>
        </w:rPr>
        <w:t>司采取非公开发行股票方式发行股份购买资产，分别向陈泽枝发行</w:t>
      </w:r>
      <w:r>
        <w:rPr>
          <w:rFonts w:ascii="宋体" w:hAnsi="宋体" w:cs="宋体" w:eastAsia="宋体" w:hint="default"/>
          <w:spacing w:val="10"/>
        </w:rPr>
        <w:t>8,521,511</w:t>
      </w:r>
      <w:r>
        <w:rPr>
          <w:spacing w:val="10"/>
        </w:rPr>
        <w:t>股股份、向李泽清发行</w:t>
      </w:r>
    </w:p>
    <w:p>
      <w:pPr>
        <w:spacing w:after="0" w:line="408"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06"/>
        <w:jc w:val="both"/>
      </w:pPr>
      <w:r>
        <w:rPr>
          <w:rFonts w:ascii="宋体" w:hAnsi="宋体" w:cs="宋体" w:eastAsia="宋体" w:hint="default"/>
        </w:rPr>
        <w:t>3,940,333</w:t>
      </w:r>
      <w:r>
        <w:rPr/>
        <w:t>股股份、向高孔兴发行</w:t>
      </w:r>
      <w:r>
        <w:rPr>
          <w:rFonts w:ascii="宋体" w:hAnsi="宋体" w:cs="宋体" w:eastAsia="宋体" w:hint="default"/>
        </w:rPr>
        <w:t>2,461,315</w:t>
      </w:r>
      <w:r>
        <w:rPr/>
        <w:t>股股份、向缪品章发行</w:t>
      </w:r>
      <w:r>
        <w:rPr>
          <w:rFonts w:ascii="宋体" w:hAnsi="宋体" w:cs="宋体" w:eastAsia="宋体" w:hint="default"/>
        </w:rPr>
        <w:t>1,034,006</w:t>
      </w:r>
      <w:r>
        <w:rPr/>
        <w:t>股股份、向李扬发行</w:t>
      </w:r>
      <w:r>
        <w:rPr>
          <w:rFonts w:ascii="宋体" w:hAnsi="宋体" w:cs="宋体" w:eastAsia="宋体" w:hint="default"/>
        </w:rPr>
        <w:t>979,185 </w:t>
      </w:r>
      <w:r>
        <w:rPr/>
        <w:t>股股份、向芜湖华顺置业投资有限责任公司发行</w:t>
      </w:r>
      <w:r>
        <w:rPr>
          <w:rFonts w:ascii="宋体" w:hAnsi="宋体" w:cs="宋体" w:eastAsia="宋体" w:hint="default"/>
        </w:rPr>
        <w:t>858,553</w:t>
      </w:r>
      <w:r>
        <w:rPr/>
        <w:t>股股份、向许金炉发行</w:t>
      </w:r>
      <w:r>
        <w:rPr>
          <w:rFonts w:ascii="宋体" w:hAnsi="宋体" w:cs="宋体" w:eastAsia="宋体" w:hint="default"/>
        </w:rPr>
        <w:t>668,670</w:t>
      </w:r>
      <w:r>
        <w:rPr/>
        <w:t>股股份、向刘智良 发行</w:t>
      </w:r>
      <w:r>
        <w:rPr>
          <w:rFonts w:ascii="宋体" w:hAnsi="宋体" w:cs="宋体" w:eastAsia="宋体" w:hint="default"/>
        </w:rPr>
        <w:t>471,037</w:t>
      </w:r>
      <w:r>
        <w:rPr/>
        <w:t>股股份、向叶明发行</w:t>
      </w:r>
      <w:r>
        <w:rPr>
          <w:rFonts w:ascii="宋体" w:hAnsi="宋体" w:cs="宋体" w:eastAsia="宋体" w:hint="default"/>
        </w:rPr>
        <w:t>393,374</w:t>
      </w:r>
      <w:r>
        <w:rPr/>
        <w:t>股股份、向梁一红发行</w:t>
      </w:r>
      <w:r>
        <w:rPr>
          <w:rFonts w:ascii="宋体" w:hAnsi="宋体" w:cs="宋体" w:eastAsia="宋体" w:hint="default"/>
        </w:rPr>
        <w:t>393,374</w:t>
      </w:r>
      <w:r>
        <w:rPr/>
        <w:t>股股份、向黄开坚发行</w:t>
      </w:r>
      <w:r>
        <w:rPr>
          <w:rFonts w:ascii="宋体" w:hAnsi="宋体" w:cs="宋体" w:eastAsia="宋体" w:hint="default"/>
        </w:rPr>
        <w:t>339,495</w:t>
      </w:r>
      <w:r>
        <w:rPr/>
        <w:t>股 股份、向刘光江发行</w:t>
      </w:r>
      <w:r>
        <w:rPr>
          <w:rFonts w:ascii="宋体" w:hAnsi="宋体" w:cs="宋体" w:eastAsia="宋体" w:hint="default"/>
        </w:rPr>
        <w:t>349,989</w:t>
      </w:r>
      <w:r>
        <w:rPr/>
        <w:t>股股份、向邱宇发行</w:t>
      </w:r>
      <w:r>
        <w:rPr>
          <w:rFonts w:ascii="宋体" w:hAnsi="宋体" w:cs="宋体" w:eastAsia="宋体" w:hint="default"/>
        </w:rPr>
        <w:t>97,219</w:t>
      </w:r>
      <w:r>
        <w:rPr/>
        <w:t>股股份、向王锐发行</w:t>
      </w:r>
      <w:r>
        <w:rPr>
          <w:rFonts w:ascii="宋体" w:hAnsi="宋体" w:cs="宋体" w:eastAsia="宋体" w:hint="default"/>
        </w:rPr>
        <w:t>97,219</w:t>
      </w:r>
      <w:r>
        <w:rPr/>
        <w:t>股股份、向尚剑红发</w:t>
      </w:r>
      <w:r>
        <w:rPr>
          <w:spacing w:val="-29"/>
        </w:rPr>
        <w:t> </w:t>
      </w:r>
      <w:r>
        <w:rPr>
          <w:spacing w:val="-29"/>
        </w:rPr>
      </w:r>
      <w:r>
        <w:rPr>
          <w:spacing w:val="7"/>
        </w:rPr>
        <w:t>行</w:t>
      </w:r>
      <w:r>
        <w:rPr>
          <w:rFonts w:ascii="宋体" w:hAnsi="宋体" w:cs="宋体" w:eastAsia="宋体" w:hint="default"/>
          <w:spacing w:val="7"/>
        </w:rPr>
        <w:t>2,215,067</w:t>
      </w:r>
      <w:r>
        <w:rPr>
          <w:spacing w:val="7"/>
        </w:rPr>
        <w:t>股股份，每股面值</w:t>
      </w:r>
      <w:r>
        <w:rPr>
          <w:rFonts w:ascii="宋体" w:hAnsi="宋体" w:cs="宋体" w:eastAsia="宋体" w:hint="default"/>
          <w:spacing w:val="7"/>
        </w:rPr>
        <w:t>1.00</w:t>
      </w:r>
      <w:r>
        <w:rPr>
          <w:spacing w:val="7"/>
        </w:rPr>
        <w:t>元，每股发行价格为</w:t>
      </w:r>
      <w:r>
        <w:rPr>
          <w:rFonts w:ascii="宋体" w:hAnsi="宋体" w:cs="宋体" w:eastAsia="宋体" w:hint="default"/>
          <w:spacing w:val="7"/>
        </w:rPr>
        <w:t>15.53</w:t>
      </w:r>
      <w:r>
        <w:rPr>
          <w:spacing w:val="7"/>
        </w:rPr>
        <w:t>元。本次发行股份增加注册资本人民币</w:t>
      </w:r>
      <w:r>
        <w:rPr/>
        <w:t> </w:t>
      </w:r>
      <w:r>
        <w:rPr>
          <w:rFonts w:ascii="宋体" w:hAnsi="宋体" w:cs="宋体" w:eastAsia="宋体" w:hint="default"/>
          <w:spacing w:val="-4"/>
        </w:rPr>
        <w:t>22,820,347.00</w:t>
      </w:r>
      <w:r>
        <w:rPr>
          <w:spacing w:val="-4"/>
        </w:rPr>
        <w:t>元。本次增资经大信会计师事务所审验并出具了大信验字</w:t>
      </w:r>
      <w:r>
        <w:rPr>
          <w:rFonts w:ascii="宋体" w:hAnsi="宋体" w:cs="宋体" w:eastAsia="宋体" w:hint="default"/>
          <w:spacing w:val="-4"/>
        </w:rPr>
        <w:t>[2014]</w:t>
      </w:r>
      <w:r>
        <w:rPr>
          <w:spacing w:val="-4"/>
        </w:rPr>
        <w:t>第</w:t>
      </w:r>
      <w:r>
        <w:rPr>
          <w:rFonts w:ascii="宋体" w:hAnsi="宋体" w:cs="宋体" w:eastAsia="宋体" w:hint="default"/>
          <w:spacing w:val="-4"/>
        </w:rPr>
        <w:t>28-00007</w:t>
      </w:r>
      <w:r>
        <w:rPr>
          <w:spacing w:val="-4"/>
        </w:rPr>
        <w:t>号《验资报告》。</w:t>
      </w:r>
    </w:p>
    <w:p>
      <w:pPr>
        <w:pStyle w:val="BodyText"/>
        <w:spacing w:line="408" w:lineRule="auto"/>
        <w:ind w:right="211" w:firstLine="284"/>
        <w:jc w:val="both"/>
      </w:pPr>
      <w:r>
        <w:rPr>
          <w:rFonts w:ascii="宋体" w:hAnsi="宋体" w:cs="宋体" w:eastAsia="宋体" w:hint="default"/>
        </w:rPr>
        <w:t>2</w:t>
      </w:r>
      <w:r>
        <w:rPr/>
        <w:t>）根据公司</w:t>
      </w:r>
      <w:r>
        <w:rPr>
          <w:rFonts w:ascii="宋体" w:hAnsi="宋体" w:cs="宋体" w:eastAsia="宋体" w:hint="default"/>
        </w:rPr>
        <w:t>2014</w:t>
      </w:r>
      <w:r>
        <w:rPr/>
        <w:t>年第二次临时股东大会决议，并经中国证券监督管理委员会《关于核准河南汉威电子 股份有限公司向陈泽枝等发行股份购买资产并募集配套资金的批复》（证监许可</w:t>
      </w:r>
      <w:r>
        <w:rPr>
          <w:rFonts w:ascii="宋体" w:hAnsi="宋体" w:cs="宋体" w:eastAsia="宋体" w:hint="default"/>
        </w:rPr>
        <w:t>[2014]937</w:t>
      </w:r>
      <w:r>
        <w:rPr/>
        <w:t>号）核准，公</w:t>
      </w:r>
      <w:r>
        <w:rPr>
          <w:spacing w:val="-28"/>
        </w:rPr>
        <w:t> </w:t>
      </w:r>
      <w:r>
        <w:rPr>
          <w:spacing w:val="-28"/>
        </w:rPr>
      </w:r>
      <w:r>
        <w:rPr>
          <w:spacing w:val="-3"/>
        </w:rPr>
        <w:t>司非公开发行人民币普通股</w:t>
      </w:r>
      <w:r>
        <w:rPr>
          <w:rFonts w:ascii="宋体" w:hAnsi="宋体" w:cs="宋体" w:eastAsia="宋体" w:hint="default"/>
          <w:spacing w:val="-3"/>
        </w:rPr>
        <w:t>(A</w:t>
      </w:r>
      <w:r>
        <w:rPr>
          <w:spacing w:val="-3"/>
        </w:rPr>
        <w:t>股</w:t>
      </w:r>
      <w:r>
        <w:rPr>
          <w:rFonts w:ascii="宋体" w:hAnsi="宋体" w:cs="宋体" w:eastAsia="宋体" w:hint="default"/>
          <w:spacing w:val="-3"/>
        </w:rPr>
        <w:t>)5,691,056</w:t>
      </w:r>
      <w:r>
        <w:rPr>
          <w:spacing w:val="-3"/>
        </w:rPr>
        <w:t>股，每股面值人民币</w:t>
      </w:r>
      <w:r>
        <w:rPr>
          <w:rFonts w:ascii="宋体" w:hAnsi="宋体" w:cs="宋体" w:eastAsia="宋体" w:hint="default"/>
          <w:spacing w:val="-3"/>
        </w:rPr>
        <w:t>1.00</w:t>
      </w:r>
      <w:r>
        <w:rPr>
          <w:spacing w:val="-3"/>
        </w:rPr>
        <w:t>元，每股发行认购价格为人民币</w:t>
      </w:r>
      <w:r>
        <w:rPr>
          <w:rFonts w:ascii="宋体" w:hAnsi="宋体" w:cs="宋体" w:eastAsia="宋体" w:hint="default"/>
          <w:spacing w:val="-3"/>
        </w:rPr>
        <w:t>29.52</w:t>
      </w:r>
      <w:r>
        <w:rPr>
          <w:rFonts w:ascii="宋体" w:hAnsi="宋体" w:cs="宋体" w:eastAsia="宋体" w:hint="default"/>
          <w:spacing w:val="-64"/>
        </w:rPr>
        <w:t> </w:t>
      </w:r>
      <w:r>
        <w:rPr>
          <w:spacing w:val="-1"/>
        </w:rPr>
        <w:t>元。本次发行股份增加注册资本为人民币</w:t>
      </w:r>
      <w:r>
        <w:rPr>
          <w:rFonts w:ascii="宋体" w:hAnsi="宋体" w:cs="宋体" w:eastAsia="宋体" w:hint="default"/>
          <w:spacing w:val="-1"/>
        </w:rPr>
        <w:t>5,691,056.00</w:t>
      </w:r>
      <w:r>
        <w:rPr>
          <w:spacing w:val="-1"/>
        </w:rPr>
        <w:t>元。本次增资经大信会计师事务所审验并出具了大</w:t>
      </w:r>
      <w:r>
        <w:rPr>
          <w:spacing w:val="-76"/>
        </w:rPr>
        <w:t> </w:t>
      </w:r>
      <w:r>
        <w:rPr>
          <w:spacing w:val="-76"/>
        </w:rPr>
      </w:r>
      <w:r>
        <w:rPr/>
        <w:t>信验字</w:t>
      </w:r>
      <w:r>
        <w:rPr>
          <w:rFonts w:ascii="宋体" w:hAnsi="宋体" w:cs="宋体" w:eastAsia="宋体" w:hint="default"/>
        </w:rPr>
        <w:t>[2014]</w:t>
      </w:r>
      <w:r>
        <w:rPr/>
        <w:t>第</w:t>
      </w:r>
      <w:r>
        <w:rPr>
          <w:rFonts w:ascii="宋体" w:hAnsi="宋体" w:cs="宋体" w:eastAsia="宋体" w:hint="default"/>
        </w:rPr>
        <w:t>28-00008</w:t>
      </w:r>
      <w:r>
        <w:rPr/>
        <w:t>号《验资报告》。</w:t>
      </w:r>
    </w:p>
    <w:p>
      <w:pPr>
        <w:spacing w:line="240" w:lineRule="auto" w:before="8"/>
        <w:rPr>
          <w:rFonts w:ascii="宋体" w:hAnsi="宋体" w:cs="宋体" w:eastAsia="宋体" w:hint="default"/>
          <w:sz w:val="20"/>
          <w:szCs w:val="20"/>
        </w:rPr>
      </w:pPr>
    </w:p>
    <w:p>
      <w:pPr>
        <w:pStyle w:val="Heading3"/>
        <w:spacing w:line="240" w:lineRule="auto"/>
        <w:ind w:left="154" w:right="0"/>
        <w:jc w:val="both"/>
        <w:rPr>
          <w:b w:val="0"/>
          <w:bCs w:val="0"/>
        </w:rPr>
      </w:pPr>
      <w:bookmarkStart w:name="33、资本公积" w:id="246"/>
      <w:bookmarkEnd w:id="246"/>
      <w:r>
        <w:rPr>
          <w:b w:val="0"/>
          <w:bCs w:val="0"/>
        </w:rPr>
      </w:r>
      <w:r>
        <w:rPr>
          <w:rFonts w:ascii="宋体" w:hAnsi="宋体" w:cs="宋体" w:eastAsia="宋体" w:hint="default"/>
        </w:rPr>
        <w:t>33</w:t>
      </w:r>
      <w:r>
        <w:rPr/>
        <w:t>、资本公积</w:t>
      </w:r>
      <w:r>
        <w:rPr>
          <w:b w:val="0"/>
          <w:bCs w:val="0"/>
        </w:rPr>
      </w:r>
    </w:p>
    <w:p>
      <w:pPr>
        <w:spacing w:line="240" w:lineRule="auto" w:before="11"/>
        <w:rPr>
          <w:rFonts w:ascii="宋体" w:hAnsi="宋体" w:cs="宋体" w:eastAsia="宋体" w:hint="default"/>
          <w:b/>
          <w:bCs/>
          <w:sz w:val="27"/>
          <w:szCs w:val="27"/>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316,568,642.17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0" w:right="0"/>
              <w:jc w:val="left"/>
              <w:rPr>
                <w:rFonts w:ascii="宋体" w:hAnsi="宋体" w:cs="宋体" w:eastAsia="宋体" w:hint="default"/>
                <w:sz w:val="18"/>
                <w:szCs w:val="18"/>
              </w:rPr>
            </w:pPr>
            <w:r>
              <w:rPr>
                <w:rFonts w:ascii="宋体"/>
                <w:sz w:val="18"/>
              </w:rPr>
              <w:t>476,927,972.15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48,707,052.37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744,789,561.95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808,300.00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808,300.00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317,376,942.17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476,927,972.15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48,707,052.37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745,597,861.95</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2"/>
          <w:szCs w:val="12"/>
        </w:rPr>
      </w:pPr>
    </w:p>
    <w:p>
      <w:pPr>
        <w:pStyle w:val="BodyText"/>
        <w:spacing w:line="408" w:lineRule="auto" w:before="0"/>
        <w:ind w:left="154" w:right="211" w:firstLine="284"/>
        <w:jc w:val="both"/>
      </w:pPr>
      <w:r>
        <w:rPr>
          <w:rFonts w:ascii="宋体" w:hAnsi="宋体" w:cs="宋体" w:eastAsia="宋体" w:hint="default"/>
        </w:rPr>
        <w:t>1</w:t>
      </w:r>
      <w:r>
        <w:rPr/>
        <w:t>）根据公司</w:t>
      </w:r>
      <w:r>
        <w:rPr>
          <w:rFonts w:ascii="宋体" w:hAnsi="宋体" w:cs="宋体" w:eastAsia="宋体" w:hint="default"/>
        </w:rPr>
        <w:t>2014</w:t>
      </w:r>
      <w:r>
        <w:rPr/>
        <w:t>年第二次临时股东大会决议，并经中国证券监督管理委员会《关于核准河南汉威电子 股份有限公司向陈泽枝等发行股份购买资产并募集配套资金的批复》（证监许可</w:t>
      </w:r>
      <w:r>
        <w:rPr>
          <w:rFonts w:ascii="宋体" w:hAnsi="宋体" w:cs="宋体" w:eastAsia="宋体" w:hint="default"/>
        </w:rPr>
        <w:t>[2014]937</w:t>
      </w:r>
      <w:r>
        <w:rPr/>
        <w:t>号）核准，公</w:t>
      </w:r>
      <w:r>
        <w:rPr>
          <w:spacing w:val="-28"/>
        </w:rPr>
        <w:t> </w:t>
      </w:r>
      <w:r>
        <w:rPr>
          <w:spacing w:val="-28"/>
        </w:rPr>
      </w:r>
      <w:r>
        <w:rPr/>
        <w:t>司非公开发行股票</w:t>
      </w:r>
      <w:r>
        <w:rPr>
          <w:rFonts w:ascii="宋体" w:hAnsi="宋体" w:cs="宋体" w:eastAsia="宋体" w:hint="default"/>
        </w:rPr>
        <w:t>28,511,403</w:t>
      </w:r>
      <w:r>
        <w:rPr/>
        <w:t>股，实际收到出资</w:t>
      </w:r>
      <w:r>
        <w:rPr>
          <w:rFonts w:ascii="宋体" w:hAnsi="宋体" w:cs="宋体" w:eastAsia="宋体" w:hint="default"/>
        </w:rPr>
        <w:t>505,439,375.15</w:t>
      </w:r>
      <w:r>
        <w:rPr/>
        <w:t>元，新增注册资本人民币</w:t>
      </w:r>
      <w:r>
        <w:rPr>
          <w:rFonts w:ascii="宋体" w:hAnsi="宋体" w:cs="宋体" w:eastAsia="宋体" w:hint="default"/>
        </w:rPr>
        <w:t>28,511,403.00</w:t>
      </w:r>
      <w:r>
        <w:rPr>
          <w:rFonts w:ascii="宋体" w:hAnsi="宋体" w:cs="宋体" w:eastAsia="宋体" w:hint="default"/>
          <w:spacing w:val="-31"/>
        </w:rPr>
        <w:t> </w:t>
      </w:r>
      <w:r>
        <w:rPr>
          <w:rFonts w:ascii="宋体" w:hAnsi="宋体" w:cs="宋体" w:eastAsia="宋体" w:hint="default"/>
          <w:spacing w:val="-31"/>
        </w:rPr>
      </w:r>
      <w:r>
        <w:rPr/>
        <w:t>元，差额</w:t>
      </w:r>
      <w:r>
        <w:rPr>
          <w:rFonts w:ascii="宋体" w:hAnsi="宋体" w:cs="宋体" w:eastAsia="宋体" w:hint="default"/>
        </w:rPr>
        <w:t>476,927,972.15</w:t>
      </w:r>
      <w:r>
        <w:rPr/>
        <w:t>元计入资本公积。</w:t>
      </w:r>
    </w:p>
    <w:p>
      <w:pPr>
        <w:pStyle w:val="BodyText"/>
        <w:spacing w:line="240" w:lineRule="auto"/>
        <w:ind w:left="438" w:right="104"/>
        <w:jc w:val="left"/>
      </w:pPr>
      <w:r>
        <w:rPr>
          <w:rFonts w:ascii="宋体" w:hAnsi="宋体" w:cs="宋体" w:eastAsia="宋体" w:hint="default"/>
        </w:rPr>
        <w:t>2</w:t>
      </w:r>
      <w:r>
        <w:rPr/>
        <w:t>）报告期资本公积减少</w:t>
      </w:r>
      <w:r>
        <w:rPr>
          <w:rFonts w:ascii="宋体" w:hAnsi="宋体" w:cs="宋体" w:eastAsia="宋体" w:hint="default"/>
        </w:rPr>
        <w:t>48,707,052.37</w:t>
      </w:r>
      <w:r>
        <w:rPr/>
        <w:t>元系购买子公司沈阳金建全部少数股东股权所致。</w:t>
      </w:r>
    </w:p>
    <w:p>
      <w:pPr>
        <w:spacing w:line="240" w:lineRule="auto" w:before="0"/>
        <w:rPr>
          <w:rFonts w:ascii="宋体" w:hAnsi="宋体" w:cs="宋体" w:eastAsia="宋体" w:hint="default"/>
          <w:sz w:val="20"/>
          <w:szCs w:val="20"/>
        </w:rPr>
      </w:pPr>
    </w:p>
    <w:p>
      <w:pPr>
        <w:pStyle w:val="Heading3"/>
        <w:spacing w:line="240" w:lineRule="auto" w:before="154"/>
        <w:ind w:left="154" w:right="104"/>
        <w:jc w:val="left"/>
        <w:rPr>
          <w:b w:val="0"/>
          <w:bCs w:val="0"/>
        </w:rPr>
      </w:pPr>
      <w:bookmarkStart w:name="34、盈余公积" w:id="247"/>
      <w:bookmarkEnd w:id="247"/>
      <w:r>
        <w:rPr>
          <w:b w:val="0"/>
          <w:bCs w:val="0"/>
        </w:rPr>
      </w:r>
      <w:r>
        <w:rPr>
          <w:rFonts w:ascii="宋体" w:hAnsi="宋体" w:cs="宋体" w:eastAsia="宋体" w:hint="default"/>
        </w:rPr>
        <w:t>34</w:t>
      </w:r>
      <w:r>
        <w:rPr/>
        <w:t>、盈余公积</w:t>
      </w:r>
      <w:r>
        <w:rPr>
          <w:b w:val="0"/>
          <w:bCs w:val="0"/>
        </w:rPr>
      </w:r>
    </w:p>
    <w:p>
      <w:pPr>
        <w:spacing w:line="240" w:lineRule="auto" w:before="11"/>
        <w:rPr>
          <w:rFonts w:ascii="宋体" w:hAnsi="宋体" w:cs="宋体" w:eastAsia="宋体" w:hint="default"/>
          <w:b/>
          <w:bCs/>
          <w:sz w:val="27"/>
          <w:szCs w:val="27"/>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19,039,488.60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4,893,519.39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23,933,007.99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19,039,488.60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4,893,519.39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23,933,007.99</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604" w:lineRule="auto" w:before="174"/>
        <w:ind w:left="153" w:right="3287" w:firstLine="606"/>
        <w:jc w:val="left"/>
        <w:rPr>
          <w:rFonts w:ascii="宋体" w:hAnsi="宋体" w:cs="宋体" w:eastAsia="宋体" w:hint="default"/>
          <w:sz w:val="21"/>
          <w:szCs w:val="21"/>
        </w:rPr>
      </w:pPr>
      <w:r>
        <w:rPr>
          <w:rFonts w:ascii="宋体" w:hAnsi="宋体" w:cs="宋体" w:eastAsia="宋体" w:hint="default"/>
          <w:sz w:val="21"/>
          <w:szCs w:val="21"/>
        </w:rPr>
        <w:t>报告期内盈余公积增加数为本公司依据公司章程规定的计提数。 </w:t>
      </w:r>
      <w:bookmarkStart w:name="35、未分配利润" w:id="248"/>
      <w:bookmarkEnd w:id="248"/>
      <w:r>
        <w:rPr>
          <w:rFonts w:ascii="宋体" w:hAnsi="宋体" w:cs="宋体" w:eastAsia="宋体" w:hint="default"/>
          <w:sz w:val="21"/>
          <w:szCs w:val="21"/>
        </w:rPr>
      </w:r>
      <w:r>
        <w:rPr>
          <w:rFonts w:ascii="宋体" w:hAnsi="宋体" w:cs="宋体" w:eastAsia="宋体" w:hint="default"/>
          <w:b/>
          <w:bCs/>
          <w:sz w:val="21"/>
          <w:szCs w:val="21"/>
        </w:rPr>
        <w:t>35</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before="4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188,647,177.77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159,156,060.17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188,647,177.77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159,156,060.17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57,341,790.34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39,770,218.64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4,893,519.39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4,379,101.04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235,195,448.72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188,647,177.77</w:t>
            </w:r>
          </w:p>
        </w:tc>
      </w:tr>
    </w:tbl>
    <w:p>
      <w:pPr>
        <w:spacing w:line="357" w:lineRule="auto" w:before="51"/>
        <w:ind w:left="154" w:right="266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w:t>
      </w:r>
      <w:r>
        <w:rPr>
          <w:rFonts w:ascii="宋体" w:hAnsi="宋体" w:cs="宋体" w:eastAsia="宋体"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6、营业收入和营业成本" w:id="249"/>
      <w:bookmarkEnd w:id="249"/>
      <w:r>
        <w:rPr>
          <w:b w:val="0"/>
          <w:bCs w:val="0"/>
        </w:rPr>
      </w:r>
      <w:r>
        <w:rPr>
          <w:rFonts w:ascii="宋体" w:hAnsi="宋体" w:cs="宋体" w:eastAsia="宋体" w:hint="default"/>
        </w:rPr>
        <w:t>36</w:t>
      </w:r>
      <w:r>
        <w:rPr/>
        <w:t>、营业收入和营业成本</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383,447,512.08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193,544,983.78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290,494,274.22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141,823,654.64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15,859,318.02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7,425,097.42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11,978,145.33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1,340,587.50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399,306,830.10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200,970,081.20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302,472,419.55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143,164,242.14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7、营业税金及附加" w:id="250"/>
      <w:bookmarkEnd w:id="250"/>
      <w:r>
        <w:rPr>
          <w:b w:val="0"/>
          <w:bCs w:val="0"/>
        </w:rPr>
      </w:r>
      <w:r>
        <w:rPr>
          <w:rFonts w:ascii="宋体" w:hAnsi="宋体" w:cs="宋体" w:eastAsia="宋体" w:hint="default"/>
        </w:rPr>
        <w:t>37</w:t>
      </w:r>
      <w:r>
        <w:rPr/>
        <w:t>、营业税金及附加</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825,838.81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352,751.96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2,341,436.03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1,523,952.02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1,686,186.98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1,153,488.52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13,623.00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4,867,084.82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3,030,192.50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8、销售费用" w:id="251"/>
      <w:bookmarkEnd w:id="251"/>
      <w:r>
        <w:rPr>
          <w:b w:val="0"/>
          <w:bCs w:val="0"/>
        </w:rPr>
      </w:r>
      <w:r>
        <w:rPr>
          <w:rFonts w:ascii="宋体" w:hAnsi="宋体" w:cs="宋体" w:eastAsia="宋体" w:hint="default"/>
        </w:rPr>
        <w:t>38</w:t>
      </w:r>
      <w:r>
        <w:rPr/>
        <w:t>、销售费用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25,790,020.41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22,859,630.94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1,264,548.08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3,610,969.12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3,168,001.23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2,254,201.64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8,226,430.68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7,830,783.65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3,301,124.30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2,474,952.00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3,203,770.80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2,884,571.00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4,180,321.27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2,807,045.87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3,823,555.15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2,103,497.07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5,319,802.46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6,847,445.94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58,277,574.38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53,673,097.23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管理费用" w:id="252"/>
      <w:bookmarkEnd w:id="252"/>
      <w:r>
        <w:rPr>
          <w:b w:val="0"/>
          <w:bCs w:val="0"/>
        </w:rPr>
      </w:r>
      <w:r>
        <w:rPr>
          <w:rFonts w:ascii="宋体" w:hAnsi="宋体" w:cs="宋体" w:eastAsia="宋体" w:hint="default"/>
        </w:rPr>
        <w:t>39</w:t>
      </w:r>
      <w:r>
        <w:rPr/>
        <w:t>、管理费用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17,474,087.67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14,125,890.01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3,832,888.47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3,858,201.28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1,440,114.40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784,214.97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14,556,103.71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10,187,114.41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36,795,231.27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27,798,980.37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1,406,655.69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1,736,618.21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1,860,483.06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1,933,556.38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2,310,831.04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1,656,751.03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4,315,283.17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3,531,826.98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4,850,894.85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3,072,791.46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88,842,573.33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68,685,945.10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财务费用" w:id="253"/>
      <w:bookmarkEnd w:id="253"/>
      <w:r>
        <w:rPr>
          <w:b w:val="0"/>
          <w:bCs w:val="0"/>
        </w:rPr>
      </w:r>
      <w:r>
        <w:rPr>
          <w:rFonts w:ascii="宋体" w:hAnsi="宋体" w:cs="宋体" w:eastAsia="宋体" w:hint="default"/>
        </w:rPr>
        <w:t>40</w:t>
      </w:r>
      <w:r>
        <w:rPr/>
        <w:t>、财务费用</w:t>
      </w:r>
      <w:r>
        <w:rPr>
          <w:b w:val="0"/>
          <w:bCs w:val="0"/>
        </w:rPr>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7,751,313.95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3,683,571.64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2,624,959.06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4,402,672.53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519,279.68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300,859.26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73,776.61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17,154.60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181,976.45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80,639.22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5,753,834.41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-354,757.01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资产减值损失" w:id="254"/>
      <w:bookmarkEnd w:id="254"/>
      <w:r>
        <w:rPr>
          <w:b w:val="0"/>
          <w:bCs w:val="0"/>
        </w:rPr>
      </w:r>
      <w:r>
        <w:rPr>
          <w:rFonts w:ascii="宋体" w:hAnsi="宋体" w:cs="宋体" w:eastAsia="宋体" w:hint="default"/>
        </w:rPr>
        <w:t>41</w:t>
      </w:r>
      <w:r>
        <w:rPr/>
        <w:t>、资产减值损失</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7,032,094.90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4,452,907.83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7,032,094.90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4,452,907.83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投资收益" w:id="255"/>
      <w:bookmarkEnd w:id="255"/>
      <w:r>
        <w:rPr>
          <w:b w:val="0"/>
          <w:bCs w:val="0"/>
        </w:rPr>
      </w:r>
      <w:r>
        <w:rPr>
          <w:rFonts w:ascii="宋体" w:hAnsi="宋体" w:cs="宋体" w:eastAsia="宋体" w:hint="default"/>
        </w:rPr>
        <w:t>42</w:t>
      </w:r>
      <w:r>
        <w:rPr/>
        <w:t>、投资收益</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-472,752.59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-636,915.72</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-472,752.59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-636,915.72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营业外收入" w:id="256"/>
      <w:bookmarkEnd w:id="256"/>
      <w:r>
        <w:rPr>
          <w:b w:val="0"/>
          <w:bCs w:val="0"/>
        </w:rPr>
      </w:r>
      <w:r>
        <w:rPr>
          <w:rFonts w:ascii="宋体" w:hAnsi="宋体" w:cs="宋体" w:eastAsia="宋体" w:hint="default"/>
        </w:rPr>
        <w:t>43</w:t>
      </w:r>
      <w:r>
        <w:rPr/>
        <w:t>、营业外收入</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33,767,159.12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26,077,070.32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23,277,695.93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76,110.99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112,616.89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76,110.99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33,843,270.11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26,189,687.21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23,353,806.92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498"/>
        <w:gridCol w:w="1844"/>
        <w:gridCol w:w="1278"/>
        <w:gridCol w:w="1844"/>
      </w:tblGrid>
      <w:tr>
        <w:trPr>
          <w:trHeight w:val="61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466" w:right="420"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35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电化学式气体探测智能终端关键技术研发及产业化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12,000,000.00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10,489,463.19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4,997,313.1</w:t>
            </w:r>
          </w:p>
          <w:p>
            <w:pPr>
              <w:pStyle w:val="TableParagraph"/>
              <w:spacing w:line="240" w:lineRule="auto" w:before="6"/>
              <w:ind w:right="101"/>
              <w:jc w:val="right"/>
              <w:rPr>
                <w:rFonts w:ascii="宋体" w:hAnsi="宋体" w:cs="宋体" w:eastAsia="宋体" w:hint="default"/>
                <w:sz w:val="18"/>
                <w:szCs w:val="18"/>
              </w:rPr>
            </w:pPr>
            <w:r>
              <w:rPr>
                <w:rFonts w:ascii="宋体"/>
                <w:sz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基于开路激光技术的传感器系统研发及产业化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1,857,142.86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142,857.14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09"/>
              <w:jc w:val="left"/>
              <w:rPr>
                <w:rFonts w:ascii="宋体" w:hAnsi="宋体" w:cs="宋体" w:eastAsia="宋体" w:hint="default"/>
                <w:sz w:val="18"/>
                <w:szCs w:val="18"/>
              </w:rPr>
            </w:pPr>
            <w:r>
              <w:rPr>
                <w:rFonts w:ascii="宋体" w:hAnsi="宋体" w:cs="宋体" w:eastAsia="宋体" w:hint="default"/>
                <w:spacing w:val="5"/>
                <w:sz w:val="18"/>
                <w:szCs w:val="18"/>
              </w:rPr>
              <w:t>基于物联网领域的红外光纤气体传感器关键技术研发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及产业化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1,250,000.00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2,500,000.0</w:t>
            </w:r>
          </w:p>
          <w:p>
            <w:pPr>
              <w:pStyle w:val="TableParagraph"/>
              <w:spacing w:line="240" w:lineRule="auto" w:before="4"/>
              <w:ind w:right="101"/>
              <w:jc w:val="right"/>
              <w:rPr>
                <w:rFonts w:ascii="宋体" w:hAnsi="宋体" w:cs="宋体" w:eastAsia="宋体" w:hint="default"/>
                <w:sz w:val="18"/>
                <w:szCs w:val="18"/>
              </w:rPr>
            </w:pPr>
            <w:r>
              <w:rPr>
                <w:rFonts w:ascii="宋体"/>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微</w:t>
            </w:r>
            <w:r>
              <w:rPr>
                <w:rFonts w:ascii="宋体" w:hAnsi="宋体" w:cs="宋体" w:eastAsia="宋体" w:hint="default"/>
                <w:sz w:val="18"/>
                <w:szCs w:val="18"/>
              </w:rPr>
              <w:t>-</w:t>
            </w:r>
            <w:r>
              <w:rPr>
                <w:rFonts w:ascii="宋体" w:hAnsi="宋体" w:cs="宋体" w:eastAsia="宋体" w:hint="default"/>
                <w:sz w:val="18"/>
                <w:szCs w:val="18"/>
              </w:rPr>
              <w:t>纳智能传感工业监控系统关键技术研究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1,000,000.00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电化学气体传感器及产业化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1,000,000.00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上海市战略性新兴产业项目补助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860,000.00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基于物联网应用高性能气体传感器研发产业化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700,000.00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河南省信息化和两化融合示范试点企业奖励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600,000.00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中国驰名商标企业奖励款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500,000.00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9"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电化学甲醛传感器关键技术研发及产业化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500,000.00</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科技部关于</w:t>
            </w:r>
            <w:r>
              <w:rPr>
                <w:rFonts w:ascii="宋体" w:hAnsi="宋体" w:cs="宋体" w:eastAsia="宋体" w:hint="default"/>
                <w:spacing w:val="-64"/>
                <w:sz w:val="18"/>
                <w:szCs w:val="18"/>
              </w:rPr>
              <w:t> </w:t>
            </w:r>
            <w:r>
              <w:rPr>
                <w:rFonts w:ascii="宋体" w:hAnsi="宋体" w:cs="宋体" w:eastAsia="宋体" w:hint="default"/>
                <w:sz w:val="18"/>
                <w:szCs w:val="18"/>
              </w:rPr>
              <w:t>863</w:t>
            </w:r>
            <w:r>
              <w:rPr>
                <w:rFonts w:ascii="宋体" w:hAnsi="宋体" w:cs="宋体" w:eastAsia="宋体" w:hint="default"/>
                <w:spacing w:val="-65"/>
                <w:sz w:val="18"/>
                <w:szCs w:val="18"/>
              </w:rPr>
              <w:t> </w:t>
            </w:r>
            <w:r>
              <w:rPr>
                <w:rFonts w:ascii="宋体" w:hAnsi="宋体" w:cs="宋体" w:eastAsia="宋体" w:hint="default"/>
                <w:sz w:val="18"/>
                <w:szCs w:val="18"/>
              </w:rPr>
              <w:t>计划资源环境技术领域工业废气净化与 资源化技术及示范主题项目立项的通知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330,878.26</w:t>
            </w:r>
          </w:p>
        </w:tc>
        <w:tc>
          <w:tcPr>
            <w:tcW w:w="127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2,679,674.81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17,936,900.</w:t>
            </w:r>
          </w:p>
          <w:p>
            <w:pPr>
              <w:pStyle w:val="TableParagraph"/>
              <w:spacing w:line="240" w:lineRule="auto" w:before="4"/>
              <w:ind w:right="101"/>
              <w:jc w:val="right"/>
              <w:rPr>
                <w:rFonts w:ascii="宋体" w:hAnsi="宋体" w:cs="宋体" w:eastAsia="宋体" w:hint="default"/>
                <w:sz w:val="18"/>
                <w:szCs w:val="18"/>
              </w:rPr>
            </w:pPr>
            <w:r>
              <w:rPr>
                <w:rFonts w:ascii="宋体"/>
                <w:sz w:val="18"/>
              </w:rPr>
              <w:t>07</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33,767,159.12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26,077,070.</w:t>
            </w:r>
          </w:p>
          <w:p>
            <w:pPr>
              <w:pStyle w:val="TableParagraph"/>
              <w:spacing w:line="240" w:lineRule="auto" w:before="4"/>
              <w:ind w:right="101"/>
              <w:jc w:val="right"/>
              <w:rPr>
                <w:rFonts w:ascii="宋体" w:hAnsi="宋体" w:cs="宋体" w:eastAsia="宋体" w:hint="default"/>
                <w:sz w:val="18"/>
                <w:szCs w:val="18"/>
              </w:rPr>
            </w:pPr>
            <w:r>
              <w:rPr>
                <w:rFonts w:ascii="宋体"/>
                <w:sz w:val="18"/>
              </w:rPr>
              <w:t>32</w:t>
            </w: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214" w:right="104"/>
        <w:jc w:val="left"/>
        <w:rPr>
          <w:b w:val="0"/>
          <w:bCs w:val="0"/>
        </w:rPr>
      </w:pPr>
      <w:bookmarkStart w:name="44、营业外支出" w:id="257"/>
      <w:bookmarkEnd w:id="257"/>
      <w:r>
        <w:rPr>
          <w:b w:val="0"/>
          <w:bCs w:val="0"/>
        </w:rPr>
      </w:r>
      <w:r>
        <w:rPr>
          <w:rFonts w:ascii="宋体" w:hAnsi="宋体" w:cs="宋体" w:eastAsia="宋体" w:hint="default"/>
        </w:rPr>
        <w:t>44</w:t>
      </w:r>
      <w:r>
        <w:rPr/>
        <w:t>、营业外支出</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157,404.03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430,823.56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157,404.03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157,404.03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430,823.56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157,404.03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17,383.12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132,072.97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17,383.12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478,787.15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632,896.53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478,787.15</w:t>
            </w:r>
          </w:p>
        </w:tc>
      </w:tr>
    </w:tbl>
    <w:p>
      <w:pPr>
        <w:spacing w:before="51"/>
        <w:ind w:left="21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213" w:right="104"/>
        <w:jc w:val="left"/>
        <w:rPr>
          <w:b w:val="0"/>
          <w:bCs w:val="0"/>
        </w:rPr>
      </w:pPr>
      <w:bookmarkStart w:name="45、所得税费用" w:id="258"/>
      <w:bookmarkEnd w:id="258"/>
      <w:r>
        <w:rPr>
          <w:b w:val="0"/>
          <w:bCs w:val="0"/>
        </w:rPr>
      </w:r>
      <w:r>
        <w:rPr>
          <w:rFonts w:ascii="宋体" w:hAnsi="宋体" w:cs="宋体" w:eastAsia="宋体" w:hint="default"/>
        </w:rPr>
        <w:t>45</w:t>
      </w:r>
      <w:r>
        <w:rPr/>
        <w:t>、所得税费用</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213" w:right="104"/>
        <w:jc w:val="left"/>
        <w:rPr>
          <w:b w:val="0"/>
          <w:bCs w:val="0"/>
        </w:rPr>
      </w:pPr>
      <w:bookmarkStart w:name="（1）所得税费用表" w:id="259"/>
      <w:bookmarkEnd w:id="259"/>
      <w:r>
        <w:rPr>
          <w:b w:val="0"/>
          <w:bCs w:val="0"/>
        </w:rPr>
      </w:r>
      <w:r>
        <w:rPr/>
        <w:t>（</w:t>
      </w:r>
      <w:r>
        <w:rPr>
          <w:rFonts w:ascii="宋体" w:hAnsi="宋体" w:cs="宋体" w:eastAsia="宋体"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10,405,080.68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9,357,975.14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-2,323,271.24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-2,571,761.71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8,081,809.44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6,786,213.43</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260"/>
      <w:bookmarkEnd w:id="260"/>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66,455,317.43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9,968,297.61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4,212,176.83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-6,098,665.00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8,081,809.44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现金流量表项目" w:id="261"/>
      <w:bookmarkEnd w:id="261"/>
      <w:r>
        <w:rPr>
          <w:b w:val="0"/>
          <w:bCs w:val="0"/>
        </w:rPr>
      </w:r>
      <w:r>
        <w:rPr>
          <w:rFonts w:ascii="宋体" w:hAnsi="宋体" w:cs="宋体" w:eastAsia="宋体" w:hint="default"/>
        </w:rPr>
        <w:t>46</w:t>
      </w:r>
      <w:r>
        <w:rPr/>
        <w:t>、现金流量表项目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收到的其他与经营活动有关的现金" w:id="262"/>
      <w:bookmarkEnd w:id="262"/>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20,763,257.51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32,478,267.35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2,624,841.63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4,402,660.62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13,897,671.54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552,455.42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1,601,476.40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107,912.35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38,887,247.08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37,541,295.74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263"/>
      <w:bookmarkEnd w:id="263"/>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27,644,853.22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14,361,327.93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31,800,226.03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27,593,273.22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6,553,104.32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5,106,379.72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144,419.73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50,922.64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1,375,076.15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1,013,602.85</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557.889954pt;width:151.25pt;height:20.7pt;mso-position-horizontal-relative:page;mso-position-vertical-relative:page;z-index:-910312" coordorigin="4467,11158" coordsize="3025,414">
            <v:group style="position:absolute;left:4478;top:11169;width:2;height:392" coordorigin="4478,11169" coordsize="2,392">
              <v:shape style="position:absolute;left:4478;top:11169;width:2;height:392" coordorigin="4478,11169" coordsize="0,392" path="m4478,11169l4478,11560e" filled="false" stroked="true" strokeweight="1.140pt" strokecolor="#ffffff">
                <v:path arrowok="t"/>
              </v:shape>
            </v:group>
            <v:group style="position:absolute;left:4490;top:11169;width:3002;height:392" coordorigin="4490,11169" coordsize="3002,392">
              <v:shape style="position:absolute;left:4490;top:11169;width:3002;height:392" coordorigin="4490,11169" coordsize="3002,392" path="m4490,11560l7491,11560,7491,11169,4490,11169,4490,1156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90" w:right="0"/>
              <w:jc w:val="left"/>
              <w:rPr>
                <w:rFonts w:ascii="宋体" w:hAnsi="宋体" w:cs="宋体" w:eastAsia="宋体" w:hint="default"/>
                <w:sz w:val="18"/>
                <w:szCs w:val="18"/>
              </w:rPr>
            </w:pPr>
            <w:r>
              <w:rPr>
                <w:rFonts w:ascii="宋体"/>
                <w:sz w:val="18"/>
              </w:rPr>
              <w:t>67,517,679.45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6" w:right="0"/>
              <w:jc w:val="left"/>
              <w:rPr>
                <w:rFonts w:ascii="宋体" w:hAnsi="宋体" w:cs="宋体" w:eastAsia="宋体" w:hint="default"/>
                <w:sz w:val="18"/>
                <w:szCs w:val="18"/>
              </w:rPr>
            </w:pPr>
            <w:r>
              <w:rPr>
                <w:rFonts w:ascii="宋体"/>
                <w:sz w:val="18"/>
              </w:rPr>
              <w:t>48,125,506.36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支付的其他与筹资活动有关的现金" w:id="264"/>
      <w:bookmarkEnd w:id="264"/>
      <w:r>
        <w:rPr>
          <w:b w:val="0"/>
          <w:bCs w:val="0"/>
        </w:rPr>
      </w:r>
      <w:r>
        <w:rPr/>
        <w:t>（</w:t>
      </w:r>
      <w:r>
        <w:rPr>
          <w:rFonts w:ascii="宋体" w:hAnsi="宋体" w:cs="宋体" w:eastAsia="宋体" w:hint="default"/>
        </w:rPr>
        <w:t>3</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股利支付手续费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重组发行服务费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3,231,917.37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3,240,325.81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8,183.09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7、现金流量表补充资料" w:id="265"/>
      <w:bookmarkEnd w:id="265"/>
      <w:r>
        <w:rPr>
          <w:b w:val="0"/>
          <w:bCs w:val="0"/>
        </w:rPr>
      </w:r>
      <w:r>
        <w:rPr>
          <w:rFonts w:ascii="宋体" w:hAnsi="宋体" w:cs="宋体" w:eastAsia="宋体" w:hint="default"/>
        </w:rPr>
        <w:t>47</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4" w:right="0"/>
        <w:jc w:val="left"/>
        <w:rPr>
          <w:b w:val="0"/>
          <w:bCs w:val="0"/>
        </w:rPr>
      </w:pPr>
      <w:bookmarkStart w:name="（1）现金流量表补充资料" w:id="266"/>
      <w:bookmarkEnd w:id="266"/>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58,373,507.99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47,954,453.29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7,032,094.90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4,452,907.83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18,538,426.20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10,963,988.51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6,459,265.33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3,389,717.93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328,834.84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319,665.96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157,404.03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431,562.03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8,196,817.02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4,136,187.77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472,752.59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636,915.72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-762,258.10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-2,560,255.61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-1,559,941.39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-11,506.10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-3,537,103.31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-9,199,053.85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-34,306,112.09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-24,872,408.66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-8,463,645.84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42,233,995.37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50,930,042.17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77,876,415.19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45" w:right="0"/>
              <w:jc w:val="left"/>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5"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227,847,687.92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260,212,710.79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260,212,710.79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213,337,933.61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-32,365,022.87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46,874,777.18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267"/>
      <w:bookmarkEnd w:id="267"/>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141,482,760.00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3"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10,235,000.00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11,247,760.00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20,863,147.48</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6,142,040.71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10,953,060.43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3,768,046.34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150,619,612.52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现金和现金等价物的构成" w:id="268"/>
      <w:bookmarkEnd w:id="268"/>
      <w:r>
        <w:rPr>
          <w:b w:val="0"/>
          <w:bCs w:val="0"/>
        </w:rPr>
      </w:r>
      <w:r>
        <w:rPr/>
        <w:t>（</w:t>
      </w:r>
      <w:r>
        <w:rPr>
          <w:rFonts w:ascii="宋体" w:hAnsi="宋体" w:cs="宋体" w:eastAsia="宋体" w:hint="default"/>
        </w:rPr>
        <w:t>3</w:t>
      </w:r>
      <w:r>
        <w:rPr/>
        <w:t>）现金和现金等价物的构成</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227,847,687.92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260,212,710.79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865,925.04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177,631.50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223,386,262.88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259,899,079.29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3,595,500.00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227,847,687.92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260,212,710.79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所有权或使用权受到限制的资产" w:id="269"/>
      <w:bookmarkEnd w:id="269"/>
      <w:r>
        <w:rPr>
          <w:b w:val="0"/>
          <w:bCs w:val="0"/>
        </w:rPr>
      </w:r>
      <w:r>
        <w:rPr>
          <w:rFonts w:ascii="宋体" w:hAnsi="宋体" w:cs="宋体" w:eastAsia="宋体" w:hint="default"/>
        </w:rPr>
        <w:t>48</w:t>
      </w:r>
      <w:r>
        <w:rPr/>
        <w:t>、所有权或使用权受到限制的资产</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14,580,568.49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10,661,731.12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175,197,564.22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200,439,863.83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外币货币性项目" w:id="270"/>
      <w:bookmarkEnd w:id="270"/>
      <w:r>
        <w:rPr>
          <w:b w:val="0"/>
          <w:bCs w:val="0"/>
        </w:rPr>
      </w:r>
      <w:r>
        <w:rPr>
          <w:rFonts w:ascii="宋体" w:hAnsi="宋体" w:cs="宋体" w:eastAsia="宋体" w:hint="default"/>
        </w:rPr>
        <w:t>49</w:t>
      </w:r>
      <w:r>
        <w:rPr/>
        <w:t>、外币货币性项目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外币货币性项目" w:id="271"/>
      <w:bookmarkEnd w:id="271"/>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1,051,845.90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140,059.60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857,024.69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25,521.26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190,276.30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1,013.74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3,531.17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2,887,101.89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396,957.34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2,428,981.96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61,420.55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457,927.05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2,680,549.23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402,882.54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2,465,238.26</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28,879.09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215,310.97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272"/>
      <w:bookmarkEnd w:id="27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273"/>
      <w:bookmarkEnd w:id="273"/>
      <w:r>
        <w:rPr>
          <w:b w:val="0"/>
          <w:bCs w:val="0"/>
        </w:rPr>
      </w:r>
      <w:r>
        <w:rPr>
          <w:rFonts w:ascii="宋体" w:hAnsi="宋体" w:cs="宋体" w:eastAsia="宋体" w:hint="default"/>
        </w:rPr>
        <w:t>1</w:t>
      </w:r>
      <w:r>
        <w:rPr/>
        <w:t>、非同一控制下企业合并</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本期发生的非同一控制下企业合并" w:id="274"/>
      <w:bookmarkEnd w:id="274"/>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439,999,998</w:t>
            </w:r>
          </w:p>
          <w:p>
            <w:pPr>
              <w:pStyle w:val="TableParagraph"/>
              <w:spacing w:line="240" w:lineRule="auto" w:before="76"/>
              <w:ind w:right="20"/>
              <w:jc w:val="right"/>
              <w:rPr>
                <w:rFonts w:ascii="宋体" w:hAnsi="宋体" w:cs="宋体" w:eastAsia="宋体" w:hint="default"/>
                <w:sz w:val="18"/>
                <w:szCs w:val="18"/>
              </w:rPr>
            </w:pPr>
            <w:r>
              <w:rPr>
                <w:rFonts w:ascii="宋体"/>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工商变更登 记日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59,317,058.</w:t>
            </w:r>
          </w:p>
          <w:p>
            <w:pPr>
              <w:pStyle w:val="TableParagraph"/>
              <w:spacing w:line="240" w:lineRule="auto" w:before="76"/>
              <w:ind w:right="23"/>
              <w:jc w:val="right"/>
              <w:rPr>
                <w:rFonts w:ascii="宋体" w:hAnsi="宋体" w:cs="宋体" w:eastAsia="宋体" w:hint="default"/>
                <w:sz w:val="18"/>
                <w:szCs w:val="18"/>
              </w:rPr>
            </w:pPr>
            <w:r>
              <w:rPr>
                <w:rFonts w:ascii="宋体"/>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11,431,090.</w:t>
            </w:r>
          </w:p>
          <w:p>
            <w:pPr>
              <w:pStyle w:val="TableParagraph"/>
              <w:spacing w:line="240" w:lineRule="auto" w:before="76"/>
              <w:ind w:right="23"/>
              <w:jc w:val="right"/>
              <w:rPr>
                <w:rFonts w:ascii="宋体" w:hAnsi="宋体" w:cs="宋体" w:eastAsia="宋体" w:hint="default"/>
                <w:sz w:val="18"/>
                <w:szCs w:val="18"/>
              </w:rPr>
            </w:pPr>
            <w:r>
              <w:rPr>
                <w:rFonts w:ascii="宋体"/>
                <w:sz w:val="18"/>
              </w:rPr>
              <w:t>91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26,479,200.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工商变更登 记日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8,882,964.0</w:t>
            </w:r>
          </w:p>
          <w:p>
            <w:pPr>
              <w:pStyle w:val="TableParagraph"/>
              <w:spacing w:line="240" w:lineRule="auto" w:before="76"/>
              <w:ind w:right="23"/>
              <w:jc w:val="right"/>
              <w:rPr>
                <w:rFonts w:ascii="宋体" w:hAnsi="宋体" w:cs="宋体" w:eastAsia="宋体" w:hint="default"/>
                <w:sz w:val="18"/>
                <w:szCs w:val="18"/>
              </w:rPr>
            </w:pPr>
            <w:r>
              <w:rPr>
                <w:rFonts w:ascii="宋体"/>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3,179,871.4</w:t>
            </w:r>
          </w:p>
          <w:p>
            <w:pPr>
              <w:pStyle w:val="TableParagraph"/>
              <w:spacing w:line="240" w:lineRule="auto" w:before="76"/>
              <w:ind w:right="23"/>
              <w:jc w:val="right"/>
              <w:rPr>
                <w:rFonts w:ascii="宋体" w:hAnsi="宋体" w:cs="宋体" w:eastAsia="宋体" w:hint="default"/>
                <w:sz w:val="18"/>
                <w:szCs w:val="18"/>
              </w:rPr>
            </w:pPr>
            <w:r>
              <w:rPr>
                <w:rFonts w:ascii="宋体"/>
                <w:sz w:val="18"/>
              </w:rPr>
              <w:t>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10,235,000.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51.11%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工商变更登 记日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4,036,945.4</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sz w:val="18"/>
              </w:rPr>
              <w:t>-808,969.00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275"/>
      <w:bookmarkEnd w:id="275"/>
      <w:r>
        <w:rPr>
          <w:b w:val="0"/>
          <w:bCs w:val="0"/>
        </w:rPr>
      </w:r>
      <w:r>
        <w:rPr/>
        <w:t>（</w:t>
      </w:r>
      <w:r>
        <w:rPr>
          <w:rFonts w:ascii="宋体" w:hAnsi="宋体" w:cs="宋体" w:eastAsia="宋体" w:hint="default"/>
        </w:rPr>
        <w:t>2</w:t>
      </w:r>
      <w:r>
        <w:rPr/>
        <w:t>）合并成本及商誉</w:t>
      </w:r>
      <w:r>
        <w:rPr>
          <w:b w:val="0"/>
          <w:bCs w:val="0"/>
        </w:rPr>
      </w:r>
    </w:p>
    <w:p>
      <w:pPr>
        <w:spacing w:line="240" w:lineRule="auto" w:before="1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824"/>
        <w:gridCol w:w="1651"/>
        <w:gridCol w:w="1652"/>
        <w:gridCol w:w="1652"/>
      </w:tblGrid>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7"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8"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9" w:right="0"/>
              <w:jc w:val="left"/>
              <w:rPr>
                <w:rFonts w:ascii="宋体" w:hAnsi="宋体" w:cs="宋体" w:eastAsia="宋体" w:hint="default"/>
                <w:sz w:val="18"/>
                <w:szCs w:val="18"/>
              </w:rPr>
            </w:pPr>
            <w:r>
              <w:rPr>
                <w:rFonts w:ascii="宋体" w:hAnsi="宋体" w:cs="宋体" w:eastAsia="宋体" w:hint="default"/>
                <w:sz w:val="18"/>
                <w:szCs w:val="18"/>
              </w:rPr>
              <w:t>上海英森</w:t>
            </w:r>
          </w:p>
        </w:tc>
      </w:tr>
      <w:tr>
        <w:trPr>
          <w:trHeight w:val="348"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120,000,000.00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sz w:val="18"/>
              </w:rPr>
              <w:t>26,479,200.00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10,235,000.00</w:t>
            </w: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165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165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319,999,998.40</w:t>
            </w:r>
          </w:p>
        </w:tc>
        <w:tc>
          <w:tcPr>
            <w:tcW w:w="165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165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165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1"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439,999,998.40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4" w:right="0"/>
              <w:jc w:val="left"/>
              <w:rPr>
                <w:rFonts w:ascii="宋体" w:hAnsi="宋体" w:cs="宋体" w:eastAsia="宋体" w:hint="default"/>
                <w:sz w:val="18"/>
                <w:szCs w:val="18"/>
              </w:rPr>
            </w:pPr>
            <w:r>
              <w:rPr>
                <w:rFonts w:ascii="宋体"/>
                <w:sz w:val="18"/>
              </w:rPr>
              <w:t>26,479,200.00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10,235,000.00</w:t>
            </w:r>
          </w:p>
        </w:tc>
      </w:tr>
      <w:tr>
        <w:trPr>
          <w:trHeight w:val="347"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217,309,312.07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sz w:val="18"/>
              </w:rPr>
              <w:t>12,059,592.58</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2,145,745.49</w:t>
            </w:r>
          </w:p>
        </w:tc>
      </w:tr>
      <w:tr>
        <w:trPr>
          <w:trHeight w:val="660"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商誉</w:t>
            </w:r>
            <w:r>
              <w:rPr>
                <w:rFonts w:ascii="宋体" w:hAnsi="宋体" w:cs="宋体" w:eastAsia="宋体" w:hint="default"/>
                <w:spacing w:val="4"/>
                <w:sz w:val="18"/>
                <w:szCs w:val="18"/>
              </w:rPr>
              <w:t>/</w:t>
            </w:r>
            <w:r>
              <w:rPr>
                <w:rFonts w:ascii="宋体" w:hAnsi="宋体" w:cs="宋体" w:eastAsia="宋体" w:hint="default"/>
                <w:spacing w:val="4"/>
                <w:sz w:val="18"/>
                <w:szCs w:val="18"/>
              </w:rPr>
              <w:t>合并成本小于取得的可辨认净资产公允价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值份额的金额</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222,690,686.33</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sz w:val="18"/>
              </w:rPr>
              <w:t>14,419,607.42</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8,089,254.51</w:t>
            </w:r>
          </w:p>
        </w:tc>
      </w:tr>
    </w:tbl>
    <w:p>
      <w:pPr>
        <w:spacing w:line="240" w:lineRule="auto" w:before="2"/>
        <w:rPr>
          <w:rFonts w:ascii="宋体" w:hAnsi="宋体" w:cs="宋体" w:eastAsia="宋体" w:hint="default"/>
          <w:b/>
          <w:bCs/>
          <w:sz w:val="23"/>
          <w:szCs w:val="23"/>
        </w:rPr>
      </w:pPr>
    </w:p>
    <w:p>
      <w:pPr>
        <w:pStyle w:val="BodyText"/>
        <w:spacing w:line="295" w:lineRule="auto" w:before="35"/>
        <w:ind w:right="4313"/>
        <w:jc w:val="left"/>
      </w:pPr>
      <w:r>
        <w:rPr/>
        <w:t>合并成本公允价值的确定方法、或有对价及其变动的说明： 合并成本公允价值的确定方法：公平市场交易价格评估法。 对价及其变动的说明：无或有对价及其变动。 大额商誉形成的主要原因：</w:t>
      </w:r>
    </w:p>
    <w:p>
      <w:pPr>
        <w:pStyle w:val="BodyText"/>
        <w:spacing w:line="240" w:lineRule="auto" w:before="106"/>
        <w:ind w:left="154" w:right="0"/>
        <w:jc w:val="left"/>
      </w:pPr>
      <w:r>
        <w:rPr/>
        <w:t>大额商誉形成的主要原因：被合并企业的整体企业价值大于可辨认净资产的公允价值。</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被购买方于购买日可辨认资产、负债" w:id="276"/>
      <w:bookmarkEnd w:id="276"/>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384"/>
        <w:gridCol w:w="1277"/>
        <w:gridCol w:w="1276"/>
        <w:gridCol w:w="1276"/>
        <w:gridCol w:w="1276"/>
        <w:gridCol w:w="1134"/>
        <w:gridCol w:w="1099"/>
      </w:tblGrid>
      <w:tr>
        <w:trPr>
          <w:trHeight w:val="347"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1"/>
              <w:ind w:left="32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5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2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上海英森</w:t>
            </w:r>
          </w:p>
        </w:tc>
      </w:tr>
      <w:tr>
        <w:trPr>
          <w:trHeight w:val="659" w:hRule="exact"/>
        </w:trPr>
        <w:tc>
          <w:tcPr>
            <w:tcW w:w="1384"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71" w:right="269"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69" w:right="269"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69" w:right="269"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70" w:right="269"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99" w:right="198"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81" w:right="181"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6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534,147,635.4</w:t>
            </w:r>
          </w:p>
          <w:p>
            <w:pPr>
              <w:pStyle w:val="TableParagraph"/>
              <w:spacing w:line="240" w:lineRule="auto" w:before="76"/>
              <w:ind w:right="0"/>
              <w:jc w:val="right"/>
              <w:rPr>
                <w:rFonts w:ascii="宋体" w:hAnsi="宋体" w:cs="宋体" w:eastAsia="宋体" w:hint="default"/>
                <w:sz w:val="18"/>
                <w:szCs w:val="18"/>
              </w:rPr>
            </w:pPr>
            <w:r>
              <w:rPr>
                <w:rFonts w:ascii="宋体"/>
                <w:sz w:val="18"/>
              </w:rPr>
              <w:t>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465,045,293.3</w:t>
            </w:r>
          </w:p>
          <w:p>
            <w:pPr>
              <w:pStyle w:val="TableParagraph"/>
              <w:spacing w:line="240" w:lineRule="auto" w:before="76"/>
              <w:ind w:right="0"/>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24,705,998.30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17,853,233.40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9,060,647.77</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9,060,647.7</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25,896,714.78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25,896,714.78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3,768,046.34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3,768,046.34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6,142,040.71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6,142,040.7</w:t>
            </w:r>
          </w:p>
          <w:p>
            <w:pPr>
              <w:pStyle w:val="TableParagraph"/>
              <w:spacing w:line="240" w:lineRule="auto" w:before="76"/>
              <w:ind w:right="1"/>
              <w:jc w:val="right"/>
              <w:rPr>
                <w:rFonts w:ascii="宋体" w:hAnsi="宋体" w:cs="宋体" w:eastAsia="宋体" w:hint="default"/>
                <w:sz w:val="18"/>
                <w:szCs w:val="18"/>
              </w:rPr>
            </w:pPr>
            <w:r>
              <w:rPr>
                <w:rFonts w:ascii="宋体"/>
                <w:sz w:val="18"/>
              </w:rPr>
              <w:t>1</w:t>
            </w: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66,168,805.59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66,168,805.59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8,454,933.71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8,454,933.71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1,033,115.50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1,033,115.5</w:t>
            </w:r>
          </w:p>
          <w:p>
            <w:pPr>
              <w:pStyle w:val="TableParagraph"/>
              <w:spacing w:line="240" w:lineRule="auto" w:before="76"/>
              <w:ind w:right="1"/>
              <w:jc w:val="right"/>
              <w:rPr>
                <w:rFonts w:ascii="宋体" w:hAnsi="宋体" w:cs="宋体" w:eastAsia="宋体" w:hint="default"/>
                <w:sz w:val="18"/>
                <w:szCs w:val="18"/>
              </w:rPr>
            </w:pPr>
            <w:r>
              <w:rPr>
                <w:rFonts w:ascii="宋体"/>
                <w:sz w:val="18"/>
              </w:rPr>
              <w:t>0</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88,677,073.18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88,677,073.18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3,527,097.69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3,527,097.69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594,217.71</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594,217.71</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5,045,359.90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970,753.31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56,253,779.29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47,338,314.47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105,256.20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105,256.20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512,006.88</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512,006.88</w:t>
            </w:r>
          </w:p>
        </w:tc>
      </w:tr>
      <w:tr>
        <w:trPr>
          <w:trHeight w:val="6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269,363,676.7</w:t>
            </w:r>
          </w:p>
          <w:p>
            <w:pPr>
              <w:pStyle w:val="TableParagraph"/>
              <w:spacing w:line="240" w:lineRule="auto" w:before="76"/>
              <w:ind w:right="0"/>
              <w:jc w:val="right"/>
              <w:rPr>
                <w:rFonts w:ascii="宋体" w:hAnsi="宋体" w:cs="宋体" w:eastAsia="宋体" w:hint="default"/>
                <w:sz w:val="18"/>
                <w:szCs w:val="18"/>
              </w:rPr>
            </w:pPr>
            <w:r>
              <w:rPr>
                <w:rFonts w:ascii="宋体"/>
                <w:sz w:val="18"/>
              </w:rPr>
              <w:t>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213,251,406.0</w:t>
            </w:r>
          </w:p>
          <w:p>
            <w:pPr>
              <w:pStyle w:val="TableParagraph"/>
              <w:spacing w:line="240" w:lineRule="auto" w:before="76"/>
              <w:ind w:right="0"/>
              <w:jc w:val="right"/>
              <w:rPr>
                <w:rFonts w:ascii="宋体" w:hAnsi="宋体" w:cs="宋体" w:eastAsia="宋体" w:hint="default"/>
                <w:sz w:val="18"/>
                <w:szCs w:val="18"/>
              </w:rPr>
            </w:pPr>
            <w:r>
              <w:rPr>
                <w:rFonts w:ascii="宋体"/>
                <w:sz w:val="18"/>
              </w:rPr>
              <w:t>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6,880,789.89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28,024.99</w:t>
            </w:r>
          </w:p>
        </w:tc>
        <w:tc>
          <w:tcPr>
            <w:tcW w:w="113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22,742,225.94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22,742,225.94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1,969,874.47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1,969,874.47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779,266.97</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779,266.97</w:t>
            </w: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261,712,937.9</w:t>
            </w:r>
          </w:p>
          <w:p>
            <w:pPr>
              <w:pStyle w:val="TableParagraph"/>
              <w:spacing w:line="240" w:lineRule="auto" w:before="76"/>
              <w:ind w:right="0"/>
              <w:jc w:val="right"/>
              <w:rPr>
                <w:rFonts w:ascii="宋体" w:hAnsi="宋体" w:cs="宋体" w:eastAsia="宋体" w:hint="default"/>
                <w:sz w:val="18"/>
                <w:szCs w:val="18"/>
              </w:rPr>
            </w:pPr>
            <w:r>
              <w:rPr>
                <w:rFonts w:ascii="宋体"/>
                <w:sz w:val="18"/>
              </w:rPr>
              <w:t>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248,907,785.7</w:t>
            </w:r>
          </w:p>
          <w:p>
            <w:pPr>
              <w:pStyle w:val="TableParagraph"/>
              <w:spacing w:line="240" w:lineRule="auto" w:before="76"/>
              <w:ind w:right="0"/>
              <w:jc w:val="right"/>
              <w:rPr>
                <w:rFonts w:ascii="宋体" w:hAnsi="宋体" w:cs="宋体" w:eastAsia="宋体" w:hint="default"/>
                <w:sz w:val="18"/>
                <w:szCs w:val="18"/>
              </w:rPr>
            </w:pPr>
            <w:r>
              <w:rPr>
                <w:rFonts w:ascii="宋体"/>
                <w:sz w:val="18"/>
              </w:rPr>
              <w:t>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1,059,738.34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31,823.60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4,862,450.08</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4,862,450.0</w:t>
            </w:r>
          </w:p>
          <w:p>
            <w:pPr>
              <w:pStyle w:val="TableParagraph"/>
              <w:spacing w:line="240" w:lineRule="auto" w:before="76"/>
              <w:ind w:right="1"/>
              <w:jc w:val="right"/>
              <w:rPr>
                <w:rFonts w:ascii="宋体" w:hAnsi="宋体" w:cs="宋体" w:eastAsia="宋体" w:hint="default"/>
                <w:sz w:val="18"/>
                <w:szCs w:val="18"/>
              </w:rPr>
            </w:pPr>
            <w:r>
              <w:rPr>
                <w:rFonts w:ascii="宋体"/>
                <w:sz w:val="18"/>
              </w:rPr>
              <w:t>8</w:t>
            </w: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107,180,000.0</w:t>
            </w:r>
          </w:p>
          <w:p>
            <w:pPr>
              <w:pStyle w:val="TableParagraph"/>
              <w:spacing w:line="240" w:lineRule="auto" w:before="76"/>
              <w:ind w:right="0"/>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107,180,000.0</w:t>
            </w:r>
          </w:p>
          <w:p>
            <w:pPr>
              <w:pStyle w:val="TableParagraph"/>
              <w:spacing w:line="240" w:lineRule="auto" w:before="76"/>
              <w:ind w:right="0"/>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29,548,687.81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29,548,687.81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115,222.16</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115,222.16</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12,805,152.16</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1,027,914.74</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112,179,097.9</w:t>
            </w:r>
          </w:p>
          <w:p>
            <w:pPr>
              <w:pStyle w:val="TableParagraph"/>
              <w:spacing w:line="240" w:lineRule="auto" w:before="76"/>
              <w:ind w:right="0"/>
              <w:jc w:val="right"/>
              <w:rPr>
                <w:rFonts w:ascii="宋体" w:hAnsi="宋体" w:cs="宋体" w:eastAsia="宋体" w:hint="default"/>
                <w:sz w:val="18"/>
                <w:szCs w:val="18"/>
              </w:rPr>
            </w:pPr>
            <w:r>
              <w:rPr>
                <w:rFonts w:ascii="宋体"/>
                <w:sz w:val="18"/>
              </w:rPr>
              <w:t>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112,179,097.9</w:t>
            </w:r>
          </w:p>
          <w:p>
            <w:pPr>
              <w:pStyle w:val="TableParagraph"/>
              <w:spacing w:line="240" w:lineRule="auto" w:before="76"/>
              <w:ind w:right="0"/>
              <w:jc w:val="right"/>
              <w:rPr>
                <w:rFonts w:ascii="宋体" w:hAnsi="宋体" w:cs="宋体" w:eastAsia="宋体" w:hint="default"/>
                <w:sz w:val="18"/>
                <w:szCs w:val="18"/>
              </w:rPr>
            </w:pPr>
            <w:r>
              <w:rPr>
                <w:rFonts w:ascii="宋体"/>
                <w:sz w:val="18"/>
              </w:rPr>
              <w:t>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31,823.60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31,823.60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4,747,227.92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4,747,227.9</w:t>
            </w:r>
          </w:p>
          <w:p>
            <w:pPr>
              <w:pStyle w:val="TableParagraph"/>
              <w:spacing w:line="240" w:lineRule="auto" w:before="76"/>
              <w:ind w:right="1"/>
              <w:jc w:val="right"/>
              <w:rPr>
                <w:rFonts w:ascii="宋体" w:hAnsi="宋体" w:cs="宋体" w:eastAsia="宋体" w:hint="default"/>
                <w:sz w:val="18"/>
                <w:szCs w:val="18"/>
              </w:rPr>
            </w:pPr>
            <w:r>
              <w:rPr>
                <w:rFonts w:ascii="宋体"/>
                <w:sz w:val="18"/>
              </w:rPr>
              <w:t>2</w:t>
            </w: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272,434,697.5</w:t>
            </w:r>
          </w:p>
          <w:p>
            <w:pPr>
              <w:pStyle w:val="TableParagraph"/>
              <w:spacing w:line="240" w:lineRule="auto" w:before="76"/>
              <w:ind w:right="0"/>
              <w:jc w:val="right"/>
              <w:rPr>
                <w:rFonts w:ascii="宋体" w:hAnsi="宋体" w:cs="宋体" w:eastAsia="宋体" w:hint="default"/>
                <w:sz w:val="18"/>
                <w:szCs w:val="18"/>
              </w:rPr>
            </w:pPr>
            <w:r>
              <w:rPr>
                <w:rFonts w:ascii="宋体"/>
                <w:sz w:val="18"/>
              </w:rPr>
              <w:t>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216,137,507.5</w:t>
            </w:r>
          </w:p>
          <w:p>
            <w:pPr>
              <w:pStyle w:val="TableParagraph"/>
              <w:spacing w:line="240" w:lineRule="auto" w:before="76"/>
              <w:ind w:right="0"/>
              <w:jc w:val="right"/>
              <w:rPr>
                <w:rFonts w:ascii="宋体" w:hAnsi="宋体" w:cs="宋体" w:eastAsia="宋体" w:hint="default"/>
                <w:sz w:val="18"/>
                <w:szCs w:val="18"/>
              </w:rPr>
            </w:pPr>
            <w:r>
              <w:rPr>
                <w:rFonts w:ascii="宋体"/>
                <w:sz w:val="18"/>
              </w:rPr>
              <w:t>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23,646,259.96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17,821,409.80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4,198,197.69</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4,198,197.6</w:t>
            </w:r>
          </w:p>
          <w:p>
            <w:pPr>
              <w:pStyle w:val="TableParagraph"/>
              <w:spacing w:line="240" w:lineRule="auto" w:before="76"/>
              <w:ind w:right="1"/>
              <w:jc w:val="right"/>
              <w:rPr>
                <w:rFonts w:ascii="宋体" w:hAnsi="宋体" w:cs="宋体" w:eastAsia="宋体" w:hint="default"/>
                <w:sz w:val="18"/>
                <w:szCs w:val="18"/>
              </w:rPr>
            </w:pPr>
            <w:r>
              <w:rPr>
                <w:rFonts w:ascii="宋体"/>
                <w:sz w:val="18"/>
              </w:rPr>
              <w:t>9</w:t>
            </w: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6"/>
                <w:sz w:val="18"/>
                <w:szCs w:val="18"/>
              </w:rPr>
              <w:t>：</w:t>
            </w:r>
            <w:r>
              <w:rPr>
                <w:rFonts w:ascii="宋体" w:hAnsi="宋体" w:cs="宋体" w:eastAsia="宋体" w:hint="default"/>
                <w:sz w:val="18"/>
                <w:szCs w:val="18"/>
              </w:rPr>
              <w:t>少数股东权益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798,057.43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798,057.43</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14"/>
                <w:sz w:val="18"/>
                <w:szCs w:val="18"/>
              </w:rPr>
              <w:t>取得的归属于收</w:t>
            </w:r>
            <w:r>
              <w:rPr>
                <w:rFonts w:ascii="宋体" w:hAnsi="宋体" w:cs="宋体" w:eastAsia="宋体" w:hint="default"/>
                <w:sz w:val="18"/>
                <w:szCs w:val="18"/>
              </w:rPr>
              <w:t> 购方份额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217,309,312.0</w:t>
            </w:r>
          </w:p>
          <w:p>
            <w:pPr>
              <w:pStyle w:val="TableParagraph"/>
              <w:spacing w:line="240" w:lineRule="auto" w:before="76"/>
              <w:ind w:right="0"/>
              <w:jc w:val="right"/>
              <w:rPr>
                <w:rFonts w:ascii="宋体" w:hAnsi="宋体" w:cs="宋体" w:eastAsia="宋体" w:hint="default"/>
                <w:sz w:val="18"/>
                <w:szCs w:val="18"/>
              </w:rPr>
            </w:pPr>
            <w:r>
              <w:rPr>
                <w:rFonts w:ascii="宋体"/>
                <w:sz w:val="18"/>
              </w:rPr>
              <w:t>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172,271,560.0</w:t>
            </w:r>
          </w:p>
          <w:p>
            <w:pPr>
              <w:pStyle w:val="TableParagraph"/>
              <w:spacing w:line="240" w:lineRule="auto" w:before="76"/>
              <w:ind w:right="0"/>
              <w:jc w:val="right"/>
              <w:rPr>
                <w:rFonts w:ascii="宋体" w:hAnsi="宋体" w:cs="宋体" w:eastAsia="宋体" w:hint="default"/>
                <w:sz w:val="18"/>
                <w:szCs w:val="18"/>
              </w:rPr>
            </w:pPr>
            <w:r>
              <w:rPr>
                <w:rFonts w:ascii="宋体"/>
                <w:sz w:val="18"/>
              </w:rPr>
              <w:t>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12,059,592.58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9,088,919.00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2,145,745.49</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2,145,745.4</w:t>
            </w:r>
          </w:p>
          <w:p>
            <w:pPr>
              <w:pStyle w:val="TableParagraph"/>
              <w:spacing w:line="240" w:lineRule="auto" w:before="76"/>
              <w:ind w:right="1"/>
              <w:jc w:val="right"/>
              <w:rPr>
                <w:rFonts w:ascii="宋体" w:hAnsi="宋体" w:cs="宋体" w:eastAsia="宋体" w:hint="default"/>
                <w:sz w:val="18"/>
                <w:szCs w:val="18"/>
              </w:rPr>
            </w:pPr>
            <w:r>
              <w:rPr>
                <w:rFonts w:ascii="宋体"/>
                <w:sz w:val="18"/>
              </w:rPr>
              <w:t>9</w:t>
            </w:r>
          </w:p>
        </w:tc>
      </w:tr>
    </w:tbl>
    <w:p>
      <w:pPr>
        <w:spacing w:line="240" w:lineRule="auto" w:before="5"/>
        <w:rPr>
          <w:rFonts w:ascii="宋体" w:hAnsi="宋体" w:cs="宋体" w:eastAsia="宋体" w:hint="default"/>
          <w:b/>
          <w:bCs/>
          <w:sz w:val="24"/>
          <w:szCs w:val="24"/>
        </w:rPr>
      </w:pPr>
    </w:p>
    <w:p>
      <w:pPr>
        <w:spacing w:line="331" w:lineRule="auto" w:before="44"/>
        <w:ind w:left="153" w:right="3473"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w:t>
      </w:r>
      <w:r>
        <w:rPr>
          <w:rFonts w:ascii="宋体" w:hAnsi="宋体" w:cs="宋体" w:eastAsia="宋体" w:hint="default"/>
          <w:sz w:val="21"/>
          <w:szCs w:val="21"/>
        </w:rPr>
        <w:t>可辨认资产、负债公允价值的确定方法：公平市场交易价格评估法。</w:t>
      </w:r>
      <w:r>
        <w:rPr>
          <w:rFonts w:ascii="宋体" w:hAnsi="宋体" w:cs="宋体" w:eastAsia="宋体" w:hint="default"/>
          <w:sz w:val="21"/>
          <w:szCs w:val="21"/>
        </w:rPr>
        <w:t> </w:t>
      </w:r>
      <w:r>
        <w:rPr>
          <w:rFonts w:ascii="宋体" w:hAnsi="宋体" w:cs="宋体" w:eastAsia="宋体" w:hint="default"/>
          <w:sz w:val="18"/>
          <w:szCs w:val="18"/>
        </w:rPr>
        <w:t>企业合并中承担的被购买方的或有负债：</w:t>
      </w:r>
    </w:p>
    <w:p>
      <w:pPr>
        <w:spacing w:before="47"/>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277"/>
      <w:bookmarkEnd w:id="27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278"/>
      <w:bookmarkEnd w:id="278"/>
      <w:r>
        <w:rPr>
          <w:b w:val="0"/>
          <w:bCs w:val="0"/>
        </w:rPr>
      </w:r>
      <w:r>
        <w:rPr>
          <w:rFonts w:ascii="宋体" w:hAnsi="宋体" w:cs="宋体" w:eastAsia="宋体" w:hint="default"/>
        </w:rPr>
        <w:t>1</w:t>
      </w:r>
      <w:r>
        <w:rPr/>
        <w:t>、在子公司中的权益</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pict>
          <v:group style="position:absolute;margin-left:330.579987pt;margin-top:107.783669pt;width:67.9pt;height:27.95pt;mso-position-horizontal-relative:page;mso-position-vertical-relative:paragraph;z-index:-910288" coordorigin="6612,2156" coordsize="1358,559">
            <v:group style="position:absolute;left:6612;top:2156;width:1358;height:156" coordorigin="6612,2156" coordsize="1358,156">
              <v:shape style="position:absolute;left:6612;top:2156;width:1358;height:156" coordorigin="6612,2156" coordsize="1358,156" path="m6612,2312l7969,2312,7969,2156,6612,2156,6612,2312xe" filled="true" fillcolor="#ffffff" stroked="false">
                <v:path arrowok="t"/>
                <v:fill type="solid"/>
              </v:shape>
            </v:group>
            <v:group style="position:absolute;left:6623;top:2312;width:2;height:392" coordorigin="6623,2312" coordsize="2,392">
              <v:shape style="position:absolute;left:6623;top:2312;width:2;height:392" coordorigin="6623,2312" coordsize="0,392" path="m6623,2312l6623,2703e" filled="false" stroked="true" strokeweight="1.140pt" strokecolor="#ffffff">
                <v:path arrowok="t"/>
              </v:shape>
            </v:group>
            <v:group style="position:absolute;left:6634;top:2312;width:1312;height:392" coordorigin="6634,2312" coordsize="1312,392">
              <v:shape style="position:absolute;left:6634;top:2312;width:1312;height:392" coordorigin="6634,2312" coordsize="1312,392" path="m6634,2703l7946,2703,7946,2312,6634,2312,6634,2703xe" filled="true" fillcolor="#ffffff" stroked="false">
                <v:path arrowok="t"/>
                <v:fill type="solid"/>
              </v:shape>
            </v:group>
            <w10:wrap type="none"/>
          </v:group>
        </w:pict>
      </w:r>
      <w:bookmarkStart w:name="（1）企业集团的构成" w:id="279"/>
      <w:bookmarkEnd w:id="279"/>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038"/>
        <w:gridCol w:w="709"/>
        <w:gridCol w:w="2354"/>
        <w:gridCol w:w="386"/>
        <w:gridCol w:w="981"/>
        <w:gridCol w:w="959"/>
        <w:gridCol w:w="1774"/>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3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3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2354"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77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气敏元件、传感器的开发、生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04" w:right="0"/>
              <w:jc w:val="left"/>
              <w:rPr>
                <w:rFonts w:ascii="宋体" w:hAnsi="宋体" w:cs="宋体" w:eastAsia="宋体" w:hint="default"/>
                <w:sz w:val="18"/>
                <w:szCs w:val="18"/>
              </w:rPr>
            </w:pPr>
            <w:r>
              <w:rPr>
                <w:rFonts w:ascii="宋体"/>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11"/>
                <w:sz w:val="18"/>
                <w:szCs w:val="18"/>
              </w:rPr>
              <w:t>监控、检测仪表的研发、生产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销售</w:t>
            </w:r>
          </w:p>
        </w:tc>
        <w:tc>
          <w:tcPr>
            <w:tcW w:w="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4" w:right="0"/>
              <w:jc w:val="left"/>
              <w:rPr>
                <w:rFonts w:ascii="宋体" w:hAnsi="宋体" w:cs="宋体" w:eastAsia="宋体" w:hint="default"/>
                <w:sz w:val="18"/>
                <w:szCs w:val="18"/>
              </w:rPr>
            </w:pPr>
            <w:r>
              <w:rPr>
                <w:rFonts w:ascii="宋体"/>
                <w:sz w:val="18"/>
              </w:rPr>
              <w:t>51.00%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技术推广、自主经营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4" w:right="0"/>
              <w:jc w:val="left"/>
              <w:rPr>
                <w:rFonts w:ascii="宋体" w:hAnsi="宋体" w:cs="宋体" w:eastAsia="宋体" w:hint="default"/>
                <w:sz w:val="18"/>
                <w:szCs w:val="18"/>
              </w:rPr>
            </w:pPr>
            <w:r>
              <w:rPr>
                <w:rFonts w:ascii="宋体"/>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5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公共安全设备及器材的研发、 销售</w:t>
            </w:r>
          </w:p>
        </w:tc>
        <w:tc>
          <w:tcPr>
            <w:tcW w:w="1367"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7" w:right="0"/>
              <w:jc w:val="left"/>
              <w:rPr>
                <w:rFonts w:ascii="宋体" w:hAnsi="宋体" w:cs="宋体" w:eastAsia="宋体" w:hint="default"/>
                <w:sz w:val="18"/>
                <w:szCs w:val="18"/>
              </w:rPr>
            </w:pPr>
            <w:r>
              <w:rPr>
                <w:rFonts w:ascii="宋体"/>
                <w:sz w:val="18"/>
              </w:rPr>
              <w:t>43.00%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235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仪器仪表研发、生产、销售、 技术服务</w:t>
            </w:r>
          </w:p>
        </w:tc>
        <w:tc>
          <w:tcPr>
            <w:tcW w:w="1367"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7" w:right="0"/>
              <w:jc w:val="left"/>
              <w:rPr>
                <w:rFonts w:ascii="宋体" w:hAnsi="宋体" w:cs="宋体" w:eastAsia="宋体" w:hint="default"/>
                <w:sz w:val="18"/>
                <w:szCs w:val="18"/>
              </w:rPr>
            </w:pPr>
            <w:r>
              <w:rPr>
                <w:rFonts w:ascii="宋体"/>
                <w:sz w:val="18"/>
              </w:rPr>
              <w:t>51.00%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电子地图、地理信息工程项目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04" w:right="0"/>
              <w:jc w:val="left"/>
              <w:rPr>
                <w:rFonts w:ascii="宋体" w:hAnsi="宋体" w:cs="宋体" w:eastAsia="宋体" w:hint="default"/>
                <w:sz w:val="18"/>
                <w:szCs w:val="18"/>
              </w:rPr>
            </w:pPr>
            <w:r>
              <w:rPr>
                <w:rFonts w:ascii="宋体"/>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5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仪器仪表研发、生产、销售、 技术服务</w:t>
            </w:r>
          </w:p>
        </w:tc>
        <w:tc>
          <w:tcPr>
            <w:tcW w:w="1367"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7" w:right="0"/>
              <w:jc w:val="left"/>
              <w:rPr>
                <w:rFonts w:ascii="宋体" w:hAnsi="宋体" w:cs="宋体" w:eastAsia="宋体" w:hint="default"/>
                <w:sz w:val="18"/>
                <w:szCs w:val="18"/>
              </w:rPr>
            </w:pPr>
            <w:r>
              <w:rPr>
                <w:rFonts w:ascii="宋体"/>
                <w:sz w:val="18"/>
              </w:rPr>
              <w:t>51.11%</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公共、环保领域</w:t>
            </w:r>
            <w:r>
              <w:rPr>
                <w:rFonts w:ascii="宋体" w:hAnsi="宋体" w:cs="宋体" w:eastAsia="宋体" w:hint="default"/>
                <w:spacing w:val="-44"/>
                <w:sz w:val="18"/>
                <w:szCs w:val="18"/>
              </w:rPr>
              <w:t> </w:t>
            </w:r>
            <w:r>
              <w:rPr>
                <w:rFonts w:ascii="宋体" w:hAnsi="宋体" w:cs="宋体" w:eastAsia="宋体" w:hint="default"/>
                <w:sz w:val="18"/>
                <w:szCs w:val="18"/>
              </w:rPr>
              <w:t>SCADA</w:t>
            </w:r>
            <w:r>
              <w:rPr>
                <w:rFonts w:ascii="宋体" w:hAnsi="宋体" w:cs="宋体" w:eastAsia="宋体" w:hint="default"/>
                <w:spacing w:val="-44"/>
                <w:sz w:val="18"/>
                <w:szCs w:val="18"/>
              </w:rPr>
              <w:t> </w:t>
            </w:r>
            <w:r>
              <w:rPr>
                <w:rFonts w:ascii="宋体" w:hAnsi="宋体" w:cs="宋体" w:eastAsia="宋体" w:hint="default"/>
                <w:sz w:val="18"/>
                <w:szCs w:val="18"/>
              </w:rPr>
              <w:t>系统开 发、设计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sz w:val="18"/>
              </w:rPr>
              <w:t>51.00%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4" w:right="0"/>
              <w:jc w:val="left"/>
              <w:rPr>
                <w:rFonts w:ascii="宋体" w:hAnsi="宋体" w:cs="宋体" w:eastAsia="宋体" w:hint="default"/>
                <w:sz w:val="18"/>
                <w:szCs w:val="18"/>
              </w:rPr>
            </w:pPr>
            <w:r>
              <w:rPr>
                <w:rFonts w:ascii="宋体"/>
                <w:sz w:val="18"/>
              </w:rPr>
              <w:t>80.00%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line="360" w:lineRule="auto" w:before="51"/>
        <w:ind w:left="153" w:right="185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6"/>
        <w:ind w:left="154" w:right="671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2）重要的非全资子公司" w:id="280"/>
      <w:bookmarkEnd w:id="280"/>
      <w:r>
        <w:rPr>
          <w:b w:val="0"/>
          <w:bCs w:val="0"/>
        </w:rPr>
      </w:r>
      <w:r>
        <w:rPr/>
        <w:t>（</w:t>
      </w:r>
      <w:r>
        <w:rPr>
          <w:rFonts w:ascii="宋体" w:hAnsi="宋体" w:cs="宋体" w:eastAsia="宋体" w:hint="default"/>
        </w:rPr>
        <w:t>2</w:t>
      </w:r>
      <w:r>
        <w:rPr/>
        <w:t>）重要的非全资子公司</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-966,456.83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3,962,340.26</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-3,264,633.42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15,327,684.66</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762,816.17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3,861,525.71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2,044,523.99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56,371,852.01</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1,443,969.95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13,030,637.33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-395,495.95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1,656,956.25</w:t>
            </w: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281"/>
      <w:bookmarkEnd w:id="281"/>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哈尔滨 盈江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left"/>
              <w:rPr>
                <w:rFonts w:ascii="宋体" w:hAnsi="宋体" w:cs="宋体" w:eastAsia="宋体" w:hint="default"/>
                <w:sz w:val="18"/>
                <w:szCs w:val="18"/>
              </w:rPr>
            </w:pPr>
            <w:r>
              <w:rPr>
                <w:rFonts w:ascii="宋体"/>
                <w:sz w:val="18"/>
              </w:rPr>
              <w:t>10,197,</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313.75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2,291,1</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37.44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12,488,</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451.19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4,402,0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42.46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4,402,0</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42.46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11,956,</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366.35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2,624,4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33.18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14,580,</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799.53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4,522,0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29.92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4,522,0</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29.92</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中威天 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left"/>
              <w:rPr>
                <w:rFonts w:ascii="宋体" w:hAnsi="宋体" w:cs="宋体" w:eastAsia="宋体" w:hint="default"/>
                <w:sz w:val="18"/>
                <w:szCs w:val="18"/>
              </w:rPr>
            </w:pPr>
            <w:r>
              <w:rPr>
                <w:rFonts w:ascii="宋体"/>
                <w:sz w:val="18"/>
              </w:rPr>
              <w:t>18,532,</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841.78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11,552,</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964.43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30,085,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806.21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1,069,6</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66.93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2,125,4</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64.44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3,195,1</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31.37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25,415,</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190.77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10,027,</w:t>
            </w:r>
          </w:p>
          <w:p>
            <w:pPr>
              <w:pStyle w:val="TableParagraph"/>
              <w:spacing w:line="240" w:lineRule="auto" w:before="76"/>
              <w:ind w:left="161" w:right="0"/>
              <w:jc w:val="left"/>
              <w:rPr>
                <w:rFonts w:ascii="宋体" w:hAnsi="宋体" w:cs="宋体" w:eastAsia="宋体" w:hint="default"/>
                <w:sz w:val="18"/>
                <w:szCs w:val="18"/>
              </w:rPr>
            </w:pPr>
            <w:r>
              <w:rPr>
                <w:rFonts w:ascii="宋体"/>
                <w:sz w:val="18"/>
              </w:rPr>
              <w:t>444.17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35,442,</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634.94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1,724,5</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33.05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1,100,0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2,824,5</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33.05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沈阳汉 威</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8,539,4</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16.11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167,440</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8,706,8</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56.12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left"/>
              <w:rPr>
                <w:rFonts w:ascii="宋体" w:hAnsi="宋体" w:cs="宋体" w:eastAsia="宋体" w:hint="default"/>
                <w:sz w:val="18"/>
                <w:szCs w:val="18"/>
              </w:rPr>
            </w:pPr>
            <w:r>
              <w:rPr>
                <w:rFonts w:ascii="宋体"/>
                <w:sz w:val="18"/>
              </w:rPr>
              <w:t>826,191</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826,191</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8,767,2</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80.31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223,140</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8,990,4</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20.41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2,666,5</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23.39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2,666,5</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23.39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嘉园环 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left"/>
              <w:rPr>
                <w:rFonts w:ascii="宋体" w:hAnsi="宋体" w:cs="宋体" w:eastAsia="宋体" w:hint="default"/>
                <w:sz w:val="18"/>
                <w:szCs w:val="18"/>
              </w:rPr>
            </w:pPr>
            <w:r>
              <w:rPr>
                <w:rFonts w:ascii="宋体"/>
                <w:sz w:val="18"/>
              </w:rPr>
              <w:t>218,560</w:t>
            </w:r>
          </w:p>
          <w:p>
            <w:pPr>
              <w:pStyle w:val="TableParagraph"/>
              <w:spacing w:line="240" w:lineRule="auto" w:before="77"/>
              <w:ind w:left="74" w:right="0"/>
              <w:jc w:val="left"/>
              <w:rPr>
                <w:rFonts w:ascii="宋体" w:hAnsi="宋体" w:cs="宋体" w:eastAsia="宋体" w:hint="default"/>
                <w:sz w:val="18"/>
                <w:szCs w:val="18"/>
              </w:rPr>
            </w:pPr>
            <w:r>
              <w:rPr>
                <w:rFonts w:ascii="宋体"/>
                <w:sz w:val="18"/>
              </w:rPr>
              <w:t>,663.31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270,231</w:t>
            </w:r>
          </w:p>
          <w:p>
            <w:pPr>
              <w:pStyle w:val="TableParagraph"/>
              <w:spacing w:line="240" w:lineRule="auto" w:before="77"/>
              <w:ind w:left="73" w:right="0"/>
              <w:jc w:val="left"/>
              <w:rPr>
                <w:rFonts w:ascii="宋体" w:hAnsi="宋体" w:cs="宋体" w:eastAsia="宋体" w:hint="default"/>
                <w:sz w:val="18"/>
                <w:szCs w:val="18"/>
              </w:rPr>
            </w:pPr>
            <w:r>
              <w:rPr>
                <w:rFonts w:ascii="宋体"/>
                <w:sz w:val="18"/>
              </w:rPr>
              <w:t>,482.80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488,792</w:t>
            </w:r>
          </w:p>
          <w:p>
            <w:pPr>
              <w:pStyle w:val="TableParagraph"/>
              <w:spacing w:line="240" w:lineRule="auto" w:before="77"/>
              <w:ind w:left="73" w:right="0"/>
              <w:jc w:val="left"/>
              <w:rPr>
                <w:rFonts w:ascii="宋体" w:hAnsi="宋体" w:cs="宋体" w:eastAsia="宋体" w:hint="default"/>
                <w:sz w:val="18"/>
                <w:szCs w:val="18"/>
              </w:rPr>
            </w:pPr>
            <w:r>
              <w:rPr>
                <w:rFonts w:ascii="宋体"/>
                <w:sz w:val="18"/>
              </w:rPr>
              <w:t>,146.11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left"/>
              <w:rPr>
                <w:rFonts w:ascii="宋体" w:hAnsi="宋体" w:cs="宋体" w:eastAsia="宋体" w:hint="default"/>
                <w:sz w:val="18"/>
                <w:szCs w:val="18"/>
              </w:rPr>
            </w:pPr>
            <w:r>
              <w:rPr>
                <w:rFonts w:ascii="宋体"/>
                <w:sz w:val="18"/>
              </w:rPr>
              <w:t>163,281</w:t>
            </w:r>
          </w:p>
          <w:p>
            <w:pPr>
              <w:pStyle w:val="TableParagraph"/>
              <w:spacing w:line="240" w:lineRule="auto" w:before="77"/>
              <w:ind w:left="74" w:right="0"/>
              <w:jc w:val="left"/>
              <w:rPr>
                <w:rFonts w:ascii="宋体" w:hAnsi="宋体" w:cs="宋体" w:eastAsia="宋体" w:hint="default"/>
                <w:sz w:val="18"/>
                <w:szCs w:val="18"/>
              </w:rPr>
            </w:pPr>
            <w:r>
              <w:rPr>
                <w:rFonts w:ascii="宋体"/>
                <w:sz w:val="18"/>
              </w:rPr>
              <w:t>,322.99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sz w:val="18"/>
              </w:rPr>
              <w:t>97,942,</w:t>
            </w:r>
          </w:p>
          <w:p>
            <w:pPr>
              <w:pStyle w:val="TableParagraph"/>
              <w:spacing w:line="240" w:lineRule="auto" w:before="77"/>
              <w:ind w:left="162" w:right="0"/>
              <w:jc w:val="left"/>
              <w:rPr>
                <w:rFonts w:ascii="宋体" w:hAnsi="宋体" w:cs="宋体" w:eastAsia="宋体" w:hint="default"/>
                <w:sz w:val="18"/>
                <w:szCs w:val="18"/>
              </w:rPr>
            </w:pPr>
            <w:r>
              <w:rPr>
                <w:rFonts w:ascii="宋体"/>
                <w:sz w:val="18"/>
              </w:rPr>
              <w:t>224.68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宋体" w:hAnsi="宋体" w:cs="宋体" w:eastAsia="宋体" w:hint="default"/>
                <w:sz w:val="18"/>
                <w:szCs w:val="18"/>
              </w:rPr>
            </w:pPr>
            <w:r>
              <w:rPr>
                <w:rFonts w:ascii="宋体"/>
                <w:sz w:val="18"/>
              </w:rPr>
              <w:t>261,223</w:t>
            </w:r>
          </w:p>
          <w:p>
            <w:pPr>
              <w:pStyle w:val="TableParagraph"/>
              <w:spacing w:line="240" w:lineRule="auto" w:before="77"/>
              <w:ind w:left="71" w:right="0"/>
              <w:jc w:val="left"/>
              <w:rPr>
                <w:rFonts w:ascii="宋体" w:hAnsi="宋体" w:cs="宋体" w:eastAsia="宋体" w:hint="default"/>
                <w:sz w:val="18"/>
                <w:szCs w:val="18"/>
              </w:rPr>
            </w:pPr>
            <w:r>
              <w:rPr>
                <w:rFonts w:ascii="宋体"/>
                <w:sz w:val="18"/>
              </w:rPr>
              <w:t>,547.67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鞍山易 兴</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left"/>
              <w:rPr>
                <w:rFonts w:ascii="宋体" w:hAnsi="宋体" w:cs="宋体" w:eastAsia="宋体" w:hint="default"/>
                <w:sz w:val="18"/>
                <w:szCs w:val="18"/>
              </w:rPr>
            </w:pPr>
            <w:r>
              <w:rPr>
                <w:rFonts w:ascii="宋体"/>
                <w:sz w:val="18"/>
              </w:rPr>
              <w:t>22,038,</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562.25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342,562</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22,381,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124.88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1,379,8</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43.64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1,379,8</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43.64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上海英 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3,918,0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05.72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sz w:val="18"/>
              </w:rPr>
              <w:t>758,537</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4,676,5</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43.35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1,287,3</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14.66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1,287,3</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14.66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7,867,472.0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-1,972,360.</w:t>
            </w:r>
          </w:p>
          <w:p>
            <w:pPr>
              <w:pStyle w:val="TableParagraph"/>
              <w:spacing w:line="240" w:lineRule="auto" w:before="76"/>
              <w:ind w:right="20"/>
              <w:jc w:val="right"/>
              <w:rPr>
                <w:rFonts w:ascii="宋体" w:hAnsi="宋体" w:cs="宋体" w:eastAsia="宋体" w:hint="default"/>
                <w:sz w:val="18"/>
                <w:szCs w:val="18"/>
              </w:rPr>
            </w:pPr>
            <w:r>
              <w:rPr>
                <w:rFonts w:ascii="宋体"/>
                <w:sz w:val="18"/>
              </w:rPr>
              <w:t>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-1,972,360.</w:t>
            </w:r>
          </w:p>
          <w:p>
            <w:pPr>
              <w:pStyle w:val="TableParagraph"/>
              <w:spacing w:line="240" w:lineRule="auto" w:before="76"/>
              <w:ind w:right="20"/>
              <w:jc w:val="right"/>
              <w:rPr>
                <w:rFonts w:ascii="宋体" w:hAnsi="宋体" w:cs="宋体" w:eastAsia="宋体" w:hint="default"/>
                <w:sz w:val="18"/>
                <w:szCs w:val="18"/>
              </w:rPr>
            </w:pPr>
            <w:r>
              <w:rPr>
                <w:rFonts w:ascii="宋体"/>
                <w:sz w:val="18"/>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-2,565,438.</w:t>
            </w:r>
          </w:p>
          <w:p>
            <w:pPr>
              <w:pStyle w:val="TableParagraph"/>
              <w:spacing w:line="240" w:lineRule="auto" w:before="76"/>
              <w:ind w:right="20"/>
              <w:jc w:val="right"/>
              <w:rPr>
                <w:rFonts w:ascii="宋体" w:hAnsi="宋体" w:cs="宋体" w:eastAsia="宋体" w:hint="default"/>
                <w:sz w:val="18"/>
                <w:szCs w:val="18"/>
              </w:rPr>
            </w:pPr>
            <w:r>
              <w:rPr>
                <w:rFonts w:ascii="宋体"/>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9,754,813.7</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2,436,125.9</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2,436,125.9</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1,763,132.6</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3,514,150.0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-5,727,427.</w:t>
            </w:r>
          </w:p>
          <w:p>
            <w:pPr>
              <w:pStyle w:val="TableParagraph"/>
              <w:spacing w:line="240" w:lineRule="auto" w:before="76"/>
              <w:ind w:right="20"/>
              <w:jc w:val="right"/>
              <w:rPr>
                <w:rFonts w:ascii="宋体" w:hAnsi="宋体" w:cs="宋体" w:eastAsia="宋体" w:hint="default"/>
                <w:sz w:val="18"/>
                <w:szCs w:val="18"/>
              </w:rPr>
            </w:pPr>
            <w:r>
              <w:rPr>
                <w:rFonts w:ascii="宋体"/>
                <w:sz w:val="18"/>
              </w:rPr>
              <w:t>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-5,727,427.</w:t>
            </w:r>
          </w:p>
          <w:p>
            <w:pPr>
              <w:pStyle w:val="TableParagraph"/>
              <w:spacing w:line="240" w:lineRule="auto" w:before="76"/>
              <w:ind w:right="20"/>
              <w:jc w:val="right"/>
              <w:rPr>
                <w:rFonts w:ascii="宋体" w:hAnsi="宋体" w:cs="宋体" w:eastAsia="宋体" w:hint="default"/>
                <w:sz w:val="18"/>
                <w:szCs w:val="18"/>
              </w:rPr>
            </w:pPr>
            <w:r>
              <w:rPr>
                <w:rFonts w:ascii="宋体"/>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-2,012,596.</w:t>
            </w:r>
          </w:p>
          <w:p>
            <w:pPr>
              <w:pStyle w:val="TableParagraph"/>
              <w:spacing w:line="240" w:lineRule="auto" w:before="76"/>
              <w:ind w:right="20"/>
              <w:jc w:val="right"/>
              <w:rPr>
                <w:rFonts w:ascii="宋体" w:hAnsi="宋体" w:cs="宋体" w:eastAsia="宋体" w:hint="default"/>
                <w:sz w:val="18"/>
                <w:szCs w:val="18"/>
              </w:rPr>
            </w:pPr>
            <w:r>
              <w:rPr>
                <w:rFonts w:ascii="宋体"/>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15,489,226.</w:t>
            </w:r>
          </w:p>
          <w:p>
            <w:pPr>
              <w:pStyle w:val="TableParagraph"/>
              <w:spacing w:line="240" w:lineRule="auto" w:before="76"/>
              <w:ind w:right="20"/>
              <w:jc w:val="right"/>
              <w:rPr>
                <w:rFonts w:ascii="宋体" w:hAnsi="宋体" w:cs="宋体" w:eastAsia="宋体" w:hint="default"/>
                <w:sz w:val="18"/>
                <w:szCs w:val="18"/>
              </w:rPr>
            </w:pPr>
            <w:r>
              <w:rPr>
                <w:rFonts w:ascii="宋体"/>
                <w:sz w:val="18"/>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3,326,173.6</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3,326,173.6</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626,309.90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8,276,610.9</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1,556,767.6</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1,556,767.6</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3,405,557.6</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10,214,714.</w:t>
            </w:r>
          </w:p>
          <w:p>
            <w:pPr>
              <w:pStyle w:val="TableParagraph"/>
              <w:spacing w:line="240" w:lineRule="auto" w:before="76"/>
              <w:ind w:right="20"/>
              <w:jc w:val="right"/>
              <w:rPr>
                <w:rFonts w:ascii="宋体" w:hAnsi="宋体" w:cs="宋体" w:eastAsia="宋体" w:hint="default"/>
                <w:sz w:val="18"/>
                <w:szCs w:val="18"/>
              </w:rPr>
            </w:pPr>
            <w:r>
              <w:rPr>
                <w:rFonts w:ascii="宋体"/>
                <w:sz w:val="18"/>
              </w:rPr>
              <w:t>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1,459,470.3</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1,459,470.3</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-646,606.52</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59,317,058.</w:t>
            </w:r>
          </w:p>
          <w:p>
            <w:pPr>
              <w:pStyle w:val="TableParagraph"/>
              <w:spacing w:line="240" w:lineRule="auto" w:before="77"/>
              <w:ind w:right="20"/>
              <w:jc w:val="right"/>
              <w:rPr>
                <w:rFonts w:ascii="宋体" w:hAnsi="宋体" w:cs="宋体" w:eastAsia="宋体" w:hint="default"/>
                <w:sz w:val="18"/>
                <w:szCs w:val="18"/>
              </w:rPr>
            </w:pPr>
            <w:r>
              <w:rPr>
                <w:rFonts w:ascii="宋体"/>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11,431,090.</w:t>
            </w:r>
          </w:p>
          <w:p>
            <w:pPr>
              <w:pStyle w:val="TableParagraph"/>
              <w:spacing w:line="240" w:lineRule="auto" w:before="77"/>
              <w:ind w:right="20"/>
              <w:jc w:val="right"/>
              <w:rPr>
                <w:rFonts w:ascii="宋体" w:hAnsi="宋体" w:cs="宋体" w:eastAsia="宋体" w:hint="default"/>
                <w:sz w:val="18"/>
                <w:szCs w:val="18"/>
              </w:rPr>
            </w:pPr>
            <w:r>
              <w:rPr>
                <w:rFonts w:ascii="宋体"/>
                <w:sz w:val="18"/>
              </w:rPr>
              <w:t>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11,431,090.</w:t>
            </w:r>
          </w:p>
          <w:p>
            <w:pPr>
              <w:pStyle w:val="TableParagraph"/>
              <w:spacing w:line="240" w:lineRule="auto" w:before="77"/>
              <w:ind w:right="20"/>
              <w:jc w:val="right"/>
              <w:rPr>
                <w:rFonts w:ascii="宋体" w:hAnsi="宋体" w:cs="宋体" w:eastAsia="宋体" w:hint="default"/>
                <w:sz w:val="18"/>
                <w:szCs w:val="18"/>
              </w:rPr>
            </w:pPr>
            <w:r>
              <w:rPr>
                <w:rFonts w:ascii="宋体"/>
                <w:sz w:val="18"/>
              </w:rPr>
              <w:t>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6,080,957.9</w:t>
            </w:r>
          </w:p>
          <w:p>
            <w:pPr>
              <w:pStyle w:val="TableParagraph"/>
              <w:spacing w:line="240" w:lineRule="auto" w:before="77"/>
              <w:ind w:right="20"/>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8,882,964.0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3,179,871.4</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3,179,871.4</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sz w:val="18"/>
              </w:rPr>
              <w:t>-322,148.27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4"/>
        <w:gridCol w:w="1061"/>
        <w:gridCol w:w="1062"/>
        <w:gridCol w:w="1066"/>
        <w:gridCol w:w="1064"/>
        <w:gridCol w:w="1063"/>
        <w:gridCol w:w="1064"/>
        <w:gridCol w:w="1063"/>
        <w:gridCol w:w="1066"/>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4,036,945.4</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 w:right="0"/>
              <w:jc w:val="left"/>
              <w:rPr>
                <w:rFonts w:ascii="宋体" w:hAnsi="宋体" w:cs="宋体" w:eastAsia="宋体" w:hint="default"/>
                <w:sz w:val="18"/>
                <w:szCs w:val="18"/>
              </w:rPr>
            </w:pPr>
            <w:r>
              <w:rPr>
                <w:rFonts w:ascii="宋体"/>
                <w:sz w:val="18"/>
              </w:rPr>
              <w:t>-808,969.00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-808,969.00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-5,774,071.</w:t>
            </w:r>
          </w:p>
          <w:p>
            <w:pPr>
              <w:pStyle w:val="TableParagraph"/>
              <w:spacing w:line="240" w:lineRule="auto" w:before="77"/>
              <w:ind w:right="20"/>
              <w:jc w:val="right"/>
              <w:rPr>
                <w:rFonts w:ascii="宋体" w:hAnsi="宋体" w:cs="宋体" w:eastAsia="宋体" w:hint="default"/>
                <w:sz w:val="18"/>
                <w:szCs w:val="18"/>
              </w:rPr>
            </w:pPr>
            <w:r>
              <w:rPr>
                <w:rFonts w:ascii="宋体"/>
                <w:sz w:val="18"/>
              </w:rPr>
              <w:t>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282"/>
      <w:bookmarkEnd w:id="282"/>
      <w:r>
        <w:rPr>
          <w:b w:val="0"/>
          <w:bCs w:val="0"/>
        </w:rPr>
      </w:r>
      <w:r>
        <w:rPr>
          <w:rFonts w:ascii="宋体" w:hAnsi="宋体" w:cs="宋体" w:eastAsia="宋体"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在子公司所有者权益份额发生变化的情况说明" w:id="283"/>
      <w:bookmarkEnd w:id="283"/>
      <w:r>
        <w:rPr>
          <w:b w:val="0"/>
          <w:bCs w:val="0"/>
        </w:rPr>
      </w:r>
      <w:r>
        <w:rPr/>
        <w:t>（</w:t>
      </w:r>
      <w:r>
        <w:rPr>
          <w:rFonts w:ascii="宋体" w:hAnsi="宋体" w:cs="宋体" w:eastAsia="宋体"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154" w:right="0"/>
        <w:jc w:val="left"/>
      </w:pPr>
      <w:r>
        <w:rPr>
          <w:rFonts w:ascii="宋体" w:hAnsi="宋体" w:cs="宋体" w:eastAsia="宋体" w:hint="default"/>
        </w:rPr>
        <w:t>2014 </w:t>
      </w:r>
      <w:r>
        <w:rPr/>
        <w:t>年</w:t>
      </w:r>
      <w:r>
        <w:rPr>
          <w:rFonts w:ascii="宋体" w:hAnsi="宋体" w:cs="宋体" w:eastAsia="宋体" w:hint="default"/>
        </w:rPr>
        <w:t>10 </w:t>
      </w:r>
      <w:r>
        <w:rPr/>
        <w:t>月</w:t>
      </w:r>
      <w:r>
        <w:rPr>
          <w:rFonts w:ascii="宋体" w:hAnsi="宋体" w:cs="宋体" w:eastAsia="宋体" w:hint="default"/>
        </w:rPr>
        <w:t>9</w:t>
      </w:r>
      <w:r>
        <w:rPr>
          <w:rFonts w:ascii="宋体" w:hAnsi="宋体" w:cs="宋体" w:eastAsia="宋体" w:hint="default"/>
          <w:spacing w:val="-23"/>
        </w:rPr>
        <w:t> </w:t>
      </w:r>
      <w:r>
        <w:rPr/>
        <w:t>日沈阳市浑南区工商行政管理局核准了沈阳金建的股东变更，汉威电子收购沈阳金建剩余</w:t>
      </w:r>
    </w:p>
    <w:p>
      <w:pPr>
        <w:pStyle w:val="BodyText"/>
        <w:spacing w:line="240" w:lineRule="auto" w:before="37"/>
        <w:ind w:left="154" w:right="0"/>
        <w:jc w:val="left"/>
      </w:pPr>
      <w:r>
        <w:rPr>
          <w:rFonts w:ascii="宋体" w:hAnsi="宋体" w:cs="宋体" w:eastAsia="宋体" w:hint="default"/>
        </w:rPr>
        <w:t>48.91%</w:t>
      </w:r>
      <w:r>
        <w:rPr/>
        <w:t>的股权，成为沈阳金建的唯一股东，拥有沈阳金建</w:t>
      </w:r>
      <w:r>
        <w:rPr>
          <w:rFonts w:ascii="宋体" w:hAnsi="宋体" w:cs="宋体" w:eastAsia="宋体" w:hint="default"/>
        </w:rPr>
        <w:t>100%</w:t>
      </w:r>
      <w:r>
        <w:rPr/>
        <w:t>的股权。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交易对于少数股东权益及归属于母公司所有者权益的影响" w:id="284"/>
      <w:bookmarkEnd w:id="284"/>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929"/>
        <w:gridCol w:w="3792"/>
      </w:tblGrid>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沈阳金建</w:t>
            </w:r>
          </w:p>
        </w:tc>
      </w:tr>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37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30,000,000.00</w:t>
            </w:r>
          </w:p>
        </w:tc>
      </w:tr>
      <w:tr>
        <w:trPr>
          <w:trHeight w:val="348"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发行股权的公允价值</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34,399,990.51</w:t>
            </w:r>
          </w:p>
        </w:tc>
      </w:tr>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64,399,990.51</w:t>
            </w:r>
          </w:p>
        </w:tc>
      </w:tr>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15,692,938.14</w:t>
            </w:r>
          </w:p>
        </w:tc>
      </w:tr>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48,707,052.37</w:t>
            </w:r>
          </w:p>
        </w:tc>
      </w:tr>
      <w:tr>
        <w:trPr>
          <w:trHeight w:val="347" w:hRule="exact"/>
        </w:trPr>
        <w:tc>
          <w:tcPr>
            <w:tcW w:w="4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48,707,052.37</w:t>
            </w:r>
          </w:p>
        </w:tc>
      </w:tr>
      <w:tr>
        <w:trPr>
          <w:trHeight w:val="348" w:hRule="exact"/>
        </w:trPr>
        <w:tc>
          <w:tcPr>
            <w:tcW w:w="4929" w:type="dxa"/>
            <w:tcBorders>
              <w:top w:val="single" w:sz="6" w:space="0" w:color="000000"/>
              <w:left w:val="single" w:sz="6" w:space="0" w:color="000000"/>
              <w:bottom w:val="single" w:sz="6" w:space="0" w:color="000000"/>
              <w:right w:val="single" w:sz="6" w:space="0" w:color="000000"/>
            </w:tcBorders>
          </w:tcPr>
          <w:p>
            <w:pPr/>
          </w:p>
        </w:tc>
        <w:tc>
          <w:tcPr>
            <w:tcW w:w="3792" w:type="dxa"/>
            <w:tcBorders>
              <w:top w:val="single" w:sz="6" w:space="0" w:color="000000"/>
              <w:left w:val="single" w:sz="6" w:space="0" w:color="000000"/>
              <w:bottom w:val="nil" w:sz="6" w:space="0" w:color="auto"/>
              <w:right w:val="nil" w:sz="6" w:space="0" w:color="auto"/>
            </w:tcBorders>
          </w:tcPr>
          <w:p>
            <w:pP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285"/>
      <w:bookmarkEnd w:id="285"/>
      <w:r>
        <w:rPr>
          <w:b w:val="0"/>
          <w:bCs w:val="0"/>
        </w:rPr>
      </w:r>
      <w:r>
        <w:rPr>
          <w:rFonts w:ascii="宋体" w:hAnsi="宋体" w:cs="宋体" w:eastAsia="宋体" w:hint="default"/>
        </w:rPr>
        <w:t>3</w:t>
      </w:r>
      <w:r>
        <w:rPr/>
        <w:t>、在合营安排或联营企业中的权益</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上重要的合营企业和联营企业的汇总财务信息" w:id="286"/>
      <w:bookmarkEnd w:id="286"/>
      <w:r>
        <w:rPr>
          <w:b w:val="0"/>
          <w:bCs w:val="0"/>
        </w:rPr>
      </w:r>
      <w:r>
        <w:rPr/>
        <w:t>（</w:t>
      </w:r>
      <w:r>
        <w:rPr>
          <w:rFonts w:ascii="宋体" w:hAnsi="宋体" w:cs="宋体" w:eastAsia="宋体" w:hint="default"/>
        </w:rPr>
        <w:t>1</w:t>
      </w:r>
      <w:r>
        <w:rPr/>
        <w:t>）不重要的合营企业和联营企业的汇总财务信息</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1,677,247.41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-472,752.59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-472,752.59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与金融工具相关的风险" w:id="287"/>
      <w:bookmarkEnd w:id="287"/>
      <w:r>
        <w:rPr>
          <w:b w:val="0"/>
          <w:bCs w:val="0"/>
        </w:rPr>
      </w: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51" w:firstLine="600"/>
        <w:jc w:val="both"/>
      </w:pPr>
      <w:r>
        <w:rPr/>
        <w:t>本公司的主要金融工具包括借款、应收款项、应付款项等，各项金融工具的详细情况说明见本附注 </w:t>
      </w:r>
      <w:r>
        <w:rPr>
          <w:spacing w:val="-1"/>
        </w:rPr>
        <w:t>六。与这些金融工具有关的风险，以及本公司为降低这些风险所采取的风险管理政策如下所述。本公司管</w:t>
      </w:r>
      <w:r>
        <w:rPr>
          <w:spacing w:val="-83"/>
        </w:rPr>
        <w:t> </w:t>
      </w:r>
      <w:r>
        <w:rPr>
          <w:spacing w:val="-83"/>
        </w:rPr>
      </w:r>
      <w:r>
        <w:rPr/>
        <w:t>理层对这些风险敞口进行管理和监控以确保将上述风险控制在限定的范围之内。</w:t>
      </w:r>
    </w:p>
    <w:p>
      <w:pPr>
        <w:pStyle w:val="BodyText"/>
        <w:spacing w:line="408" w:lineRule="auto"/>
        <w:ind w:left="754" w:right="142"/>
        <w:jc w:val="left"/>
      </w:pPr>
      <w:r>
        <w:rPr>
          <w:rFonts w:ascii="宋体" w:hAnsi="宋体" w:cs="宋体" w:eastAsia="宋体" w:hint="default"/>
        </w:rPr>
        <w:t>1.</w:t>
      </w:r>
      <w:r>
        <w:rPr>
          <w:rFonts w:ascii="宋体" w:hAnsi="宋体" w:cs="宋体" w:eastAsia="宋体" w:hint="default"/>
          <w:spacing w:val="-1"/>
        </w:rPr>
        <w:t> </w:t>
      </w:r>
      <w:r>
        <w:rPr/>
        <w:t>各类风险管理目标和政策 本公司从事风险管理的目标是在风险和收益之间取得适当的平衡，将风险对本公司经营业绩的负面</w:t>
      </w:r>
    </w:p>
    <w:p>
      <w:pPr>
        <w:pStyle w:val="BodyText"/>
        <w:spacing w:line="408" w:lineRule="auto"/>
        <w:ind w:right="150"/>
        <w:jc w:val="both"/>
      </w:pPr>
      <w:r>
        <w:rPr>
          <w:spacing w:val="-1"/>
        </w:rPr>
        <w:t>影响降低到最低水平，使股东及其它权益投资者的利益最大化。基于该风险管理目标，本公司风险管理的</w:t>
      </w:r>
      <w:r>
        <w:rPr>
          <w:spacing w:val="-83"/>
        </w:rPr>
        <w:t> </w:t>
      </w:r>
      <w:r>
        <w:rPr>
          <w:spacing w:val="-83"/>
        </w:rPr>
      </w:r>
      <w:r>
        <w:rPr>
          <w:spacing w:val="-1"/>
        </w:rPr>
        <w:t>基本策略是确定和分析本公司所面临的各种风险，建立适当的风险承受底线并进行风险管理，并及时可靠</w:t>
      </w:r>
      <w:r>
        <w:rPr>
          <w:spacing w:val="-80"/>
        </w:rPr>
        <w:t> </w:t>
      </w:r>
      <w:r>
        <w:rPr>
          <w:spacing w:val="-80"/>
        </w:rPr>
      </w:r>
      <w:r>
        <w:rPr/>
        <w:t>地对各种风险进行监督，将风险控制在限定的范围之内。</w:t>
      </w:r>
    </w:p>
    <w:p>
      <w:pPr>
        <w:pStyle w:val="BodyText"/>
        <w:spacing w:line="408" w:lineRule="auto"/>
        <w:ind w:left="633" w:right="8034"/>
        <w:jc w:val="left"/>
      </w:pPr>
      <w:r>
        <w:rPr>
          <w:rFonts w:ascii="宋体" w:hAnsi="宋体" w:cs="宋体" w:eastAsia="宋体" w:hint="default"/>
        </w:rPr>
        <w:t>(1)</w:t>
      </w:r>
      <w:r>
        <w:rPr>
          <w:rFonts w:ascii="宋体" w:hAnsi="宋体" w:cs="宋体" w:eastAsia="宋体" w:hint="default"/>
          <w:spacing w:val="-1"/>
        </w:rPr>
        <w:t> </w:t>
      </w:r>
      <w:r>
        <w:rPr/>
        <w:t>市场风险 </w:t>
      </w:r>
      <w:r>
        <w:rPr>
          <w:rFonts w:ascii="宋体" w:hAnsi="宋体" w:cs="宋体" w:eastAsia="宋体" w:hint="default"/>
        </w:rPr>
        <w:t>1</w:t>
      </w:r>
      <w:r>
        <w:rPr/>
        <w:t>）汇率风险</w:t>
      </w:r>
    </w:p>
    <w:p>
      <w:pPr>
        <w:pStyle w:val="BodyText"/>
        <w:spacing w:line="408" w:lineRule="auto"/>
        <w:ind w:right="151" w:firstLine="360"/>
        <w:jc w:val="both"/>
      </w:pPr>
      <w:r>
        <w:rPr/>
        <w:t>本公司承受汇率风险主要与美元和欧元有关，主要涉及货币资金、应收账款、预付账款、应付账款、 </w:t>
      </w:r>
      <w:r>
        <w:rPr>
          <w:spacing w:val="-1"/>
        </w:rPr>
        <w:t>预收账款、短期借款等，该部分汇率变动使本公司面临外汇风险。但本公司管理层认为，本公司主要业务</w:t>
      </w:r>
      <w:r>
        <w:rPr>
          <w:spacing w:val="-86"/>
        </w:rPr>
        <w:t> </w:t>
      </w:r>
      <w:r>
        <w:rPr>
          <w:spacing w:val="-86"/>
        </w:rPr>
      </w:r>
      <w:r>
        <w:rPr>
          <w:spacing w:val="-1"/>
        </w:rPr>
        <w:t>活动以人民币计价结算，外币款项余额占本公司总资产或总负债比例较小，故本公司所面临的外汇风险并</w:t>
      </w:r>
      <w:r>
        <w:rPr>
          <w:spacing w:val="-81"/>
        </w:rPr>
        <w:t> </w:t>
      </w:r>
      <w:r>
        <w:rPr>
          <w:spacing w:val="-81"/>
        </w:rPr>
      </w:r>
      <w:r>
        <w:rPr/>
        <w:t>不重大。</w:t>
      </w:r>
    </w:p>
    <w:p>
      <w:pPr>
        <w:pStyle w:val="BodyText"/>
        <w:spacing w:line="408" w:lineRule="auto"/>
        <w:ind w:left="633" w:right="141"/>
        <w:jc w:val="left"/>
      </w:pPr>
      <w:r>
        <w:rPr>
          <w:rFonts w:ascii="宋体" w:hAnsi="宋体" w:cs="宋体" w:eastAsia="宋体" w:hint="default"/>
        </w:rPr>
        <w:t>2)</w:t>
      </w:r>
      <w:r>
        <w:rPr>
          <w:rFonts w:ascii="宋体" w:hAnsi="宋体" w:cs="宋体" w:eastAsia="宋体" w:hint="default"/>
          <w:spacing w:val="1"/>
        </w:rPr>
        <w:t> </w:t>
      </w:r>
      <w:r>
        <w:rPr/>
        <w:t>利率风险 </w:t>
      </w:r>
      <w:r>
        <w:rPr>
          <w:spacing w:val="-2"/>
        </w:rPr>
        <w:t>本公司的利率风险产生于银行借款等带息债务。本公司根据当时的市场环境来决定固定利率及浮动利</w:t>
      </w:r>
    </w:p>
    <w:p>
      <w:pPr>
        <w:pStyle w:val="BodyText"/>
        <w:spacing w:line="240" w:lineRule="auto"/>
        <w:ind w:right="0"/>
        <w:jc w:val="both"/>
      </w:pPr>
      <w:r>
        <w:rPr/>
        <w:t>率合同的相对比例。</w:t>
      </w:r>
    </w:p>
    <w:p>
      <w:pPr>
        <w:spacing w:line="240" w:lineRule="auto" w:before="10"/>
        <w:rPr>
          <w:rFonts w:ascii="宋体" w:hAnsi="宋体" w:cs="宋体" w:eastAsia="宋体" w:hint="default"/>
          <w:sz w:val="14"/>
          <w:szCs w:val="14"/>
        </w:rPr>
      </w:pPr>
    </w:p>
    <w:p>
      <w:pPr>
        <w:pStyle w:val="BodyText"/>
        <w:spacing w:line="408" w:lineRule="auto" w:before="0"/>
        <w:ind w:left="754" w:right="142" w:hanging="15"/>
        <w:jc w:val="left"/>
      </w:pPr>
      <w:r>
        <w:rPr>
          <w:rFonts w:ascii="宋体" w:hAnsi="宋体" w:cs="宋体" w:eastAsia="宋体" w:hint="default"/>
        </w:rPr>
        <w:t>(2)</w:t>
      </w:r>
      <w:r>
        <w:rPr>
          <w:rFonts w:ascii="宋体" w:hAnsi="宋体" w:cs="宋体" w:eastAsia="宋体" w:hint="default"/>
          <w:spacing w:val="-2"/>
        </w:rPr>
        <w:t> </w:t>
      </w:r>
      <w:r>
        <w:rPr/>
        <w:t>信用风险 可能引起本公司财务损失的最大信用风险敞口主要来自于合同另一方未能履行义务而导致本公司金</w:t>
      </w:r>
    </w:p>
    <w:p>
      <w:pPr>
        <w:pStyle w:val="BodyText"/>
        <w:spacing w:line="408" w:lineRule="auto"/>
        <w:ind w:left="633" w:right="141" w:hanging="480"/>
        <w:jc w:val="left"/>
      </w:pPr>
      <w:r>
        <w:rPr/>
        <w:t>融资产产生的损失以及本公司承担的财务担保，主要包括流动资金及应收款项的信用风险。 本公司的流动资金存放在信用评级较高的银行，故流动资金的信用风险较低。 </w:t>
      </w:r>
      <w:r>
        <w:rPr>
          <w:spacing w:val="-2"/>
        </w:rPr>
        <w:t>本公司应收款项系因开展经营活动而产生，本公司已采用了必要的政策确保销售客户具有良好的信用</w:t>
      </w:r>
    </w:p>
    <w:p>
      <w:pPr>
        <w:pStyle w:val="BodyText"/>
        <w:spacing w:line="408" w:lineRule="auto"/>
        <w:ind w:right="150"/>
        <w:jc w:val="both"/>
      </w:pPr>
      <w:r>
        <w:rPr>
          <w:spacing w:val="-1"/>
        </w:rPr>
        <w:t>记录，成立专门部门确定信用额度、进行信用审批，并执行其它监控程序以确保采取必要的措施回收过期</w:t>
      </w:r>
      <w:r>
        <w:rPr>
          <w:spacing w:val="-83"/>
        </w:rPr>
        <w:t> </w:t>
      </w:r>
      <w:r>
        <w:rPr>
          <w:spacing w:val="-83"/>
        </w:rPr>
      </w:r>
      <w:r>
        <w:rPr>
          <w:spacing w:val="-1"/>
        </w:rPr>
        <w:t>债权。此外，本公司于每个资产负债表日审核每一单项应收款的回收情况，以确保就无法回收的款项计提</w:t>
      </w:r>
      <w:r>
        <w:rPr>
          <w:spacing w:val="-82"/>
        </w:rPr>
        <w:t> </w:t>
      </w:r>
      <w:r>
        <w:rPr>
          <w:spacing w:val="-82"/>
        </w:rPr>
      </w:r>
      <w:r>
        <w:rPr>
          <w:spacing w:val="-1"/>
        </w:rPr>
        <w:t>充分的坏账准备。因此，本公司管理层认为本公司所承担的信用风险已经大为降低并在可控制范围内。同</w:t>
      </w:r>
      <w:r>
        <w:rPr>
          <w:spacing w:val="-83"/>
        </w:rPr>
        <w:t> </w:t>
      </w:r>
      <w:r>
        <w:rPr>
          <w:spacing w:val="-83"/>
        </w:rPr>
      </w:r>
      <w:r>
        <w:rPr/>
        <w:t>时，本公司无重大的信用集中风险。</w:t>
      </w:r>
    </w:p>
    <w:p>
      <w:pPr>
        <w:pStyle w:val="BodyText"/>
        <w:spacing w:line="408" w:lineRule="auto"/>
        <w:ind w:left="754" w:right="142"/>
        <w:jc w:val="left"/>
      </w:pPr>
      <w:r>
        <w:rPr>
          <w:rFonts w:ascii="宋体" w:hAnsi="宋体" w:cs="宋体" w:eastAsia="宋体" w:hint="default"/>
        </w:rPr>
        <w:t>(3) </w:t>
      </w:r>
      <w:r>
        <w:rPr/>
        <w:t>流动风险 流动风险为本公司在到期日无法履行其财务义务的风险。本公司管理流动性风险的原则是确保充分</w:t>
      </w:r>
    </w:p>
    <w:p>
      <w:pPr>
        <w:spacing w:after="0" w:line="40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13"/>
        <w:jc w:val="left"/>
      </w:pPr>
      <w:r>
        <w:rPr>
          <w:spacing w:val="-1"/>
        </w:rPr>
        <w:t>的资金流动性来履行到期债务，而不至于造成不可接受的损失或对企业信誉造成损害。本公司通过实施以</w:t>
      </w:r>
      <w:r>
        <w:rPr>
          <w:spacing w:val="-81"/>
        </w:rPr>
        <w:t> </w:t>
      </w:r>
      <w:r>
        <w:rPr>
          <w:spacing w:val="-81"/>
        </w:rPr>
      </w:r>
      <w:r>
        <w:rPr/>
        <w:t>下主要的流动性风险管理政策，从而有效地控制降低流动性风险， 主要包括：定期分析负债结构和期限</w:t>
      </w:r>
      <w:r>
        <w:rPr/>
        <w:t> 以确保有充裕的资金；对银行借款的使用情况进行监控并严格遵守借款协议；与金融机构进行融资磋商， 以保持一定的授信额度等。</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十一、关联方及关联交易" w:id="288"/>
      <w:bookmarkEnd w:id="288"/>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line="576" w:lineRule="auto" w:before="0"/>
        <w:ind w:left="153" w:right="3652" w:firstLine="0"/>
        <w:jc w:val="left"/>
        <w:rPr>
          <w:rFonts w:ascii="宋体" w:hAnsi="宋体" w:cs="宋体" w:eastAsia="宋体" w:hint="default"/>
          <w:sz w:val="21"/>
          <w:szCs w:val="21"/>
        </w:rPr>
      </w:pPr>
      <w:bookmarkStart w:name="1、本企业的子公司情况" w:id="289"/>
      <w:bookmarkEnd w:id="289"/>
      <w:r>
        <w:rPr/>
      </w:r>
      <w:r>
        <w:rPr>
          <w:rFonts w:ascii="宋体" w:hAnsi="宋体" w:cs="宋体" w:eastAsia="宋体"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宋体" w:hAnsi="宋体" w:cs="宋体" w:eastAsia="宋体" w:hint="default"/>
          <w:sz w:val="18"/>
          <w:szCs w:val="18"/>
        </w:rPr>
        <w:t>1</w:t>
      </w:r>
      <w:r>
        <w:rPr>
          <w:rFonts w:ascii="宋体" w:hAnsi="宋体" w:cs="宋体" w:eastAsia="宋体" w:hint="default"/>
          <w:sz w:val="18"/>
          <w:szCs w:val="18"/>
        </w:rPr>
        <w:t>、在子公司中的权益。 </w:t>
      </w:r>
      <w:bookmarkStart w:name="2、本企业合营和联营企业情况" w:id="290"/>
      <w:bookmarkEnd w:id="290"/>
      <w:r>
        <w:rPr>
          <w:rFonts w:ascii="宋体" w:hAnsi="宋体" w:cs="宋体" w:eastAsia="宋体" w:hint="default"/>
          <w:sz w:val="18"/>
          <w:szCs w:val="18"/>
        </w:rPr>
      </w:r>
      <w:r>
        <w:rPr>
          <w:rFonts w:ascii="宋体" w:hAnsi="宋体" w:cs="宋体" w:eastAsia="宋体"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60" w:lineRule="auto" w:before="71"/>
        <w:ind w:left="153" w:right="131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宋体" w:hAnsi="宋体" w:cs="宋体" w:eastAsia="宋体" w:hint="default"/>
          <w:sz w:val="18"/>
          <w:szCs w:val="18"/>
        </w:rPr>
        <w:t>3</w:t>
      </w:r>
      <w:r>
        <w:rPr>
          <w:rFonts w:ascii="宋体" w:hAnsi="宋体" w:cs="宋体" w:eastAsia="宋体" w:hint="default"/>
          <w:sz w:val="18"/>
          <w:szCs w:val="18"/>
        </w:rPr>
        <w:t>、在合营安排或联营企业中的权益。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关联交易情况" w:id="291"/>
      <w:bookmarkEnd w:id="291"/>
      <w:r>
        <w:rPr>
          <w:b w:val="0"/>
          <w:bCs w:val="0"/>
        </w:rPr>
      </w:r>
      <w:r>
        <w:rPr>
          <w:rFonts w:ascii="宋体" w:hAnsi="宋体" w:cs="宋体" w:eastAsia="宋体" w:hint="default"/>
        </w:rPr>
        <w:t>3</w:t>
      </w:r>
      <w:r>
        <w:rPr/>
        <w:t>、关联交易情况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4" w:right="0"/>
        <w:jc w:val="left"/>
        <w:rPr>
          <w:b w:val="0"/>
          <w:bCs w:val="0"/>
        </w:rPr>
      </w:pPr>
      <w:bookmarkStart w:name="（1）关联方资产转让、债务重组情况" w:id="292"/>
      <w:bookmarkEnd w:id="292"/>
      <w:r>
        <w:rPr>
          <w:b w:val="0"/>
          <w:bCs w:val="0"/>
        </w:rPr>
      </w:r>
      <w:r>
        <w:rPr/>
        <w:t>（</w:t>
      </w:r>
      <w:r>
        <w:rPr>
          <w:rFonts w:ascii="宋体" w:hAnsi="宋体" w:cs="宋体" w:eastAsia="宋体" w:hint="default"/>
        </w:rPr>
        <w:t>1</w:t>
      </w:r>
      <w:r>
        <w:rPr/>
        <w:t>）关联方资产转让、债务重组情况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收购其所持有的沈阳金建股 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9" w:right="0"/>
              <w:jc w:val="left"/>
              <w:rPr>
                <w:rFonts w:ascii="宋体" w:hAnsi="宋体" w:cs="宋体" w:eastAsia="宋体" w:hint="default"/>
                <w:sz w:val="18"/>
                <w:szCs w:val="18"/>
              </w:rPr>
            </w:pPr>
            <w:r>
              <w:rPr>
                <w:rFonts w:ascii="宋体"/>
                <w:sz w:val="18"/>
              </w:rPr>
              <w:t>64,399,990.51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9" w:right="0"/>
              <w:jc w:val="left"/>
              <w:rPr>
                <w:rFonts w:ascii="宋体" w:hAnsi="宋体" w:cs="宋体" w:eastAsia="宋体" w:hint="default"/>
                <w:sz w:val="18"/>
                <w:szCs w:val="18"/>
              </w:rPr>
            </w:pPr>
            <w:r>
              <w:rPr>
                <w:rFonts w:ascii="宋体"/>
                <w:sz w:val="18"/>
              </w:rPr>
              <w:t>35,968,000.00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关键管理人员报酬" w:id="293"/>
      <w:bookmarkEnd w:id="293"/>
      <w:r>
        <w:rPr>
          <w:b w:val="0"/>
          <w:bCs w:val="0"/>
        </w:rPr>
      </w:r>
      <w:r>
        <w:rPr/>
        <w:t>（</w:t>
      </w:r>
      <w:r>
        <w:rPr>
          <w:rFonts w:ascii="宋体" w:hAnsi="宋体" w:cs="宋体" w:eastAsia="宋体" w:hint="default"/>
        </w:rPr>
        <w:t>2</w:t>
      </w:r>
      <w:r>
        <w:rPr/>
        <w:t>）关键管理人员报酬</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406,800.00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237,500.00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230,400.00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299,900.00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高天增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169,700.00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210,300.00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李颖江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王思鹏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163,200.00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4、关联方承诺" w:id="294"/>
      <w:bookmarkEnd w:id="294"/>
      <w:r>
        <w:rPr>
          <w:b w:val="0"/>
          <w:bCs w:val="0"/>
        </w:rPr>
      </w:r>
      <w:r>
        <w:rPr>
          <w:rFonts w:ascii="宋体" w:hAnsi="宋体" w:cs="宋体" w:eastAsia="宋体" w:hint="default"/>
        </w:rPr>
        <w:t>4</w:t>
      </w:r>
      <w:r>
        <w:rPr/>
        <w:t>、关联方承诺</w:t>
      </w:r>
      <w:r>
        <w:rPr>
          <w:b w:val="0"/>
          <w:bCs w:val="0"/>
        </w:rPr>
      </w:r>
    </w:p>
    <w:p>
      <w:pPr>
        <w:spacing w:line="240" w:lineRule="auto" w:before="9"/>
        <w:rPr>
          <w:rFonts w:ascii="宋体" w:hAnsi="宋体" w:cs="宋体" w:eastAsia="宋体" w:hint="default"/>
          <w:b/>
          <w:bCs/>
          <w:sz w:val="27"/>
          <w:szCs w:val="27"/>
        </w:rPr>
      </w:pPr>
    </w:p>
    <w:p>
      <w:pPr>
        <w:spacing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上述公司收购尚剑红先生持有的沈阳金建的股份事项中，尚剑红先生的有关承诺详见本节“重要承诺事项”。</w:t>
      </w:r>
    </w:p>
    <w:p>
      <w:pPr>
        <w:spacing w:line="240" w:lineRule="auto" w:before="2"/>
        <w:rPr>
          <w:rFonts w:ascii="宋体" w:hAnsi="宋体" w:cs="宋体" w:eastAsia="宋体" w:hint="default"/>
          <w:sz w:val="25"/>
          <w:szCs w:val="25"/>
        </w:rPr>
      </w:pPr>
    </w:p>
    <w:p>
      <w:pPr>
        <w:pStyle w:val="Heading2"/>
        <w:spacing w:line="240" w:lineRule="auto"/>
        <w:ind w:right="104"/>
        <w:jc w:val="left"/>
        <w:rPr>
          <w:b w:val="0"/>
          <w:bCs w:val="0"/>
        </w:rPr>
      </w:pPr>
      <w:bookmarkStart w:name="十二、承诺及或有事项" w:id="295"/>
      <w:bookmarkEnd w:id="295"/>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重要承诺事项" w:id="296"/>
      <w:bookmarkEnd w:id="296"/>
      <w:r>
        <w:rPr>
          <w:b w:val="0"/>
          <w:bCs w:val="0"/>
        </w:rPr>
      </w:r>
      <w:r>
        <w:rPr>
          <w:rFonts w:ascii="宋体" w:hAnsi="宋体" w:cs="宋体" w:eastAsia="宋体" w:hint="default"/>
        </w:rPr>
        <w:t>1</w:t>
      </w:r>
      <w:r>
        <w:rPr/>
        <w:t>、重要承诺事项</w:t>
      </w:r>
      <w:r>
        <w:rPr>
          <w:b w:val="0"/>
          <w:bCs w:val="0"/>
        </w:rPr>
      </w:r>
    </w:p>
    <w:p>
      <w:pPr>
        <w:spacing w:line="240" w:lineRule="auto" w:before="12"/>
        <w:rPr>
          <w:rFonts w:ascii="宋体" w:hAnsi="宋体" w:cs="宋体" w:eastAsia="宋体" w:hint="default"/>
          <w:b/>
          <w:bCs/>
          <w:sz w:val="27"/>
          <w:szCs w:val="27"/>
        </w:rPr>
      </w:pPr>
    </w:p>
    <w:p>
      <w:pPr>
        <w:spacing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0"/>
        <w:rPr>
          <w:rFonts w:ascii="宋体" w:hAnsi="宋体" w:cs="宋体" w:eastAsia="宋体" w:hint="default"/>
          <w:sz w:val="12"/>
          <w:szCs w:val="12"/>
        </w:rPr>
      </w:pPr>
    </w:p>
    <w:p>
      <w:pPr>
        <w:pStyle w:val="BodyText"/>
        <w:spacing w:line="240" w:lineRule="auto" w:before="0"/>
        <w:ind w:left="754" w:right="104"/>
        <w:jc w:val="left"/>
      </w:pPr>
      <w:r>
        <w:rPr>
          <w:rFonts w:ascii="宋体" w:hAnsi="宋体" w:cs="宋体" w:eastAsia="宋体" w:hint="default"/>
        </w:rPr>
        <w:t>1</w:t>
      </w:r>
      <w:r>
        <w:rPr/>
        <w:t>、资产收购中的业绩承诺事项</w:t>
      </w:r>
    </w:p>
    <w:p>
      <w:pPr>
        <w:spacing w:line="240" w:lineRule="auto" w:before="10"/>
        <w:rPr>
          <w:rFonts w:ascii="宋体" w:hAnsi="宋体" w:cs="宋体" w:eastAsia="宋体" w:hint="default"/>
          <w:sz w:val="14"/>
          <w:szCs w:val="14"/>
        </w:rPr>
      </w:pPr>
    </w:p>
    <w:p>
      <w:pPr>
        <w:pStyle w:val="BodyText"/>
        <w:spacing w:line="408" w:lineRule="auto" w:before="0"/>
        <w:ind w:right="104" w:firstLine="600"/>
        <w:jc w:val="left"/>
      </w:pPr>
      <w:r>
        <w:rPr>
          <w:rFonts w:ascii="宋体" w:hAnsi="宋体" w:cs="宋体" w:eastAsia="宋体" w:hint="default"/>
          <w:spacing w:val="-3"/>
        </w:rPr>
        <w:t>2014</w:t>
      </w:r>
      <w:r>
        <w:rPr>
          <w:spacing w:val="-3"/>
        </w:rPr>
        <w:t>年汉威电子重大资产重组交易对方陈泽枝、李泽清、高孔兴、芜湖华顺置业投资有限责任公司、</w:t>
      </w:r>
      <w:r>
        <w:rPr/>
        <w:t> 许金炉、刘智良、黄开坚承诺：嘉园环保</w:t>
      </w:r>
      <w:r>
        <w:rPr>
          <w:rFonts w:ascii="宋体" w:hAnsi="宋体" w:cs="宋体" w:eastAsia="宋体" w:hint="default"/>
        </w:rPr>
        <w:t>2014</w:t>
      </w:r>
      <w:r>
        <w:rPr/>
        <w:t>年、</w:t>
      </w:r>
      <w:r>
        <w:rPr>
          <w:rFonts w:ascii="宋体" w:hAnsi="宋体" w:cs="宋体" w:eastAsia="宋体" w:hint="default"/>
        </w:rPr>
        <w:t>2015</w:t>
      </w:r>
      <w:r>
        <w:rPr/>
        <w:t>年、</w:t>
      </w:r>
      <w:r>
        <w:rPr>
          <w:rFonts w:ascii="宋体" w:hAnsi="宋体" w:cs="宋体" w:eastAsia="宋体" w:hint="default"/>
        </w:rPr>
        <w:t>2016</w:t>
      </w:r>
      <w:r>
        <w:rPr/>
        <w:t>年实现的扣除非经常性损益前后归属于母 公司所有者净利润孰低数不低于</w:t>
      </w:r>
      <w:r>
        <w:rPr>
          <w:rFonts w:ascii="宋体" w:hAnsi="宋体" w:cs="宋体" w:eastAsia="宋体" w:hint="default"/>
        </w:rPr>
        <w:t>3,353.20</w:t>
      </w:r>
      <w:r>
        <w:rPr/>
        <w:t>万元、</w:t>
      </w:r>
      <w:r>
        <w:rPr>
          <w:rFonts w:ascii="宋体" w:hAnsi="宋体" w:cs="宋体" w:eastAsia="宋体" w:hint="default"/>
        </w:rPr>
        <w:t>4,289.34</w:t>
      </w:r>
      <w:r>
        <w:rPr/>
        <w:t>万元、</w:t>
      </w:r>
      <w:r>
        <w:rPr>
          <w:rFonts w:ascii="宋体" w:hAnsi="宋体" w:cs="宋体" w:eastAsia="宋体" w:hint="default"/>
        </w:rPr>
        <w:t>5,252.41</w:t>
      </w:r>
      <w:r>
        <w:rPr/>
        <w:t>万元。如嘉园环保实际净利润低 于上述承诺金额，则由上述交易对方按照《利润承诺补偿协议》的约定负责向上市公司进行补偿。</w:t>
      </w:r>
    </w:p>
    <w:p>
      <w:pPr>
        <w:pStyle w:val="BodyText"/>
        <w:spacing w:line="408" w:lineRule="auto"/>
        <w:ind w:right="104" w:firstLine="600"/>
        <w:jc w:val="left"/>
      </w:pPr>
      <w:r>
        <w:rPr>
          <w:rFonts w:ascii="宋体" w:hAnsi="宋体" w:cs="宋体" w:eastAsia="宋体" w:hint="default"/>
        </w:rPr>
        <w:t>2014</w:t>
      </w:r>
      <w:r>
        <w:rPr/>
        <w:t>年汉威电子重大资产重组交易对方尚剑红承诺：沈阳金建</w:t>
      </w:r>
      <w:r>
        <w:rPr>
          <w:rFonts w:ascii="宋体" w:hAnsi="宋体" w:cs="宋体" w:eastAsia="宋体" w:hint="default"/>
        </w:rPr>
        <w:t>2014</w:t>
      </w:r>
      <w:r>
        <w:rPr/>
        <w:t>年、</w:t>
      </w:r>
      <w:r>
        <w:rPr>
          <w:rFonts w:ascii="宋体" w:hAnsi="宋体" w:cs="宋体" w:eastAsia="宋体" w:hint="default"/>
        </w:rPr>
        <w:t>2015</w:t>
      </w:r>
      <w:r>
        <w:rPr/>
        <w:t>年、</w:t>
      </w:r>
      <w:r>
        <w:rPr>
          <w:rFonts w:ascii="宋体" w:hAnsi="宋体" w:cs="宋体" w:eastAsia="宋体" w:hint="default"/>
        </w:rPr>
        <w:t>2016</w:t>
      </w:r>
      <w:r>
        <w:rPr/>
        <w:t>年实现的扣除 </w:t>
      </w:r>
      <w:r>
        <w:rPr>
          <w:spacing w:val="-3"/>
        </w:rPr>
        <w:t>非经常性损益前后归属于母公司所有者净利润孰低数不低于</w:t>
      </w:r>
      <w:r>
        <w:rPr>
          <w:rFonts w:ascii="宋体" w:hAnsi="宋体" w:cs="宋体" w:eastAsia="宋体" w:hint="default"/>
          <w:spacing w:val="-3"/>
        </w:rPr>
        <w:t>1,156.09</w:t>
      </w:r>
      <w:r>
        <w:rPr>
          <w:spacing w:val="-3"/>
        </w:rPr>
        <w:t>万元、</w:t>
      </w:r>
      <w:r>
        <w:rPr>
          <w:rFonts w:ascii="宋体" w:hAnsi="宋体" w:cs="宋体" w:eastAsia="宋体" w:hint="default"/>
          <w:spacing w:val="-3"/>
        </w:rPr>
        <w:t>1,355.66</w:t>
      </w:r>
      <w:r>
        <w:rPr>
          <w:spacing w:val="-3"/>
        </w:rPr>
        <w:t>万元、</w:t>
      </w:r>
      <w:r>
        <w:rPr>
          <w:rFonts w:ascii="宋体" w:hAnsi="宋体" w:cs="宋体" w:eastAsia="宋体" w:hint="default"/>
          <w:spacing w:val="-3"/>
        </w:rPr>
        <w:t>1,497.80</w:t>
      </w:r>
      <w:r>
        <w:rPr>
          <w:spacing w:val="-3"/>
        </w:rPr>
        <w:t>万元。</w:t>
      </w:r>
      <w:r>
        <w:rPr>
          <w:spacing w:val="-59"/>
        </w:rPr>
        <w:t> </w:t>
      </w:r>
      <w:r>
        <w:rPr>
          <w:spacing w:val="-59"/>
        </w:rPr>
      </w:r>
      <w:r>
        <w:rPr/>
        <w:t>如沈阳金建实际净利润低于上述承诺金额，则由尚剑红按照《利润承诺补偿协议》的约定负责向上市公司</w:t>
      </w:r>
      <w:r>
        <w:rPr/>
        <w:t> 进行补偿。</w:t>
      </w:r>
    </w:p>
    <w:p>
      <w:pPr>
        <w:pStyle w:val="BodyText"/>
        <w:spacing w:line="408" w:lineRule="auto"/>
        <w:ind w:left="154" w:right="212" w:firstLine="600"/>
        <w:jc w:val="both"/>
      </w:pPr>
      <w:r>
        <w:rPr>
          <w:rFonts w:ascii="宋体" w:hAnsi="宋体" w:cs="宋体" w:eastAsia="宋体" w:hint="default"/>
          <w:spacing w:val="-4"/>
        </w:rPr>
        <w:t>2014</w:t>
      </w:r>
      <w:r>
        <w:rPr>
          <w:spacing w:val="-4"/>
        </w:rPr>
        <w:t>年汉威电子资产收购交易对方王明慧、张连富、韩晓东等承诺：鞍山易兴</w:t>
      </w:r>
      <w:r>
        <w:rPr>
          <w:rFonts w:ascii="宋体" w:hAnsi="宋体" w:cs="宋体" w:eastAsia="宋体" w:hint="default"/>
          <w:spacing w:val="-4"/>
        </w:rPr>
        <w:t>2014</w:t>
      </w:r>
      <w:r>
        <w:rPr>
          <w:spacing w:val="-4"/>
        </w:rPr>
        <w:t>年、</w:t>
      </w:r>
      <w:r>
        <w:rPr>
          <w:rFonts w:ascii="宋体" w:hAnsi="宋体" w:cs="宋体" w:eastAsia="宋体" w:hint="default"/>
          <w:spacing w:val="-4"/>
        </w:rPr>
        <w:t>2015</w:t>
      </w:r>
      <w:r>
        <w:rPr>
          <w:spacing w:val="-4"/>
        </w:rPr>
        <w:t>年、</w:t>
      </w:r>
      <w:r>
        <w:rPr>
          <w:rFonts w:ascii="宋体" w:hAnsi="宋体" w:cs="宋体" w:eastAsia="宋体" w:hint="default"/>
          <w:spacing w:val="-4"/>
        </w:rPr>
        <w:t>2016</w:t>
      </w:r>
      <w:r>
        <w:rPr>
          <w:rFonts w:ascii="宋体" w:hAnsi="宋体" w:cs="宋体" w:eastAsia="宋体" w:hint="default"/>
        </w:rPr>
        <w:t> </w:t>
      </w:r>
      <w:r>
        <w:rPr>
          <w:spacing w:val="-3"/>
        </w:rPr>
        <w:t>年、</w:t>
      </w:r>
      <w:r>
        <w:rPr>
          <w:rFonts w:ascii="宋体" w:hAnsi="宋体" w:cs="宋体" w:eastAsia="宋体" w:hint="default"/>
          <w:spacing w:val="-3"/>
        </w:rPr>
        <w:t>2017</w:t>
      </w:r>
      <w:r>
        <w:rPr>
          <w:spacing w:val="-3"/>
        </w:rPr>
        <w:t>年实现的净利润扣除非经常性损益后孰低值不低于</w:t>
      </w:r>
      <w:r>
        <w:rPr>
          <w:rFonts w:ascii="宋体" w:hAnsi="宋体" w:cs="宋体" w:eastAsia="宋体" w:hint="default"/>
          <w:spacing w:val="-3"/>
        </w:rPr>
        <w:t>450</w:t>
      </w:r>
      <w:r>
        <w:rPr>
          <w:spacing w:val="-3"/>
        </w:rPr>
        <w:t>万元、</w:t>
      </w:r>
      <w:r>
        <w:rPr>
          <w:rFonts w:ascii="宋体" w:hAnsi="宋体" w:cs="宋体" w:eastAsia="宋体" w:hint="default"/>
          <w:spacing w:val="-3"/>
        </w:rPr>
        <w:t>600</w:t>
      </w:r>
      <w:r>
        <w:rPr>
          <w:spacing w:val="-3"/>
        </w:rPr>
        <w:t>万元、</w:t>
      </w:r>
      <w:r>
        <w:rPr>
          <w:rFonts w:ascii="宋体" w:hAnsi="宋体" w:cs="宋体" w:eastAsia="宋体" w:hint="default"/>
          <w:spacing w:val="-3"/>
        </w:rPr>
        <w:t>750</w:t>
      </w:r>
      <w:r>
        <w:rPr>
          <w:spacing w:val="-3"/>
        </w:rPr>
        <w:t>万元、</w:t>
      </w:r>
      <w:r>
        <w:rPr>
          <w:rFonts w:ascii="宋体" w:hAnsi="宋体" w:cs="宋体" w:eastAsia="宋体" w:hint="default"/>
          <w:spacing w:val="-3"/>
        </w:rPr>
        <w:t>1000</w:t>
      </w:r>
      <w:r>
        <w:rPr>
          <w:spacing w:val="-3"/>
        </w:rPr>
        <w:t>万元，</w:t>
      </w:r>
      <w:r>
        <w:rPr>
          <w:rFonts w:ascii="宋体" w:hAnsi="宋体" w:cs="宋体" w:eastAsia="宋体" w:hint="default"/>
          <w:spacing w:val="-3"/>
        </w:rPr>
        <w:t>2018</w:t>
      </w:r>
      <w:r>
        <w:rPr>
          <w:rFonts w:ascii="宋体" w:hAnsi="宋体" w:cs="宋体" w:eastAsia="宋体" w:hint="default"/>
          <w:spacing w:val="-69"/>
        </w:rPr>
        <w:t> </w:t>
      </w:r>
      <w:r>
        <w:rPr/>
        <w:t>年、</w:t>
      </w:r>
      <w:r>
        <w:rPr>
          <w:rFonts w:ascii="宋体" w:hAnsi="宋体" w:cs="宋体" w:eastAsia="宋体" w:hint="default"/>
        </w:rPr>
        <w:t>2019</w:t>
      </w:r>
      <w:r>
        <w:rPr/>
        <w:t>年分别不低于</w:t>
      </w:r>
      <w:r>
        <w:rPr>
          <w:rFonts w:ascii="宋体" w:hAnsi="宋体" w:cs="宋体" w:eastAsia="宋体" w:hint="default"/>
        </w:rPr>
        <w:t>2017</w:t>
      </w:r>
      <w:r>
        <w:rPr/>
        <w:t>年的承诺水平。</w:t>
      </w:r>
    </w:p>
    <w:p>
      <w:pPr>
        <w:pStyle w:val="BodyText"/>
        <w:spacing w:line="408" w:lineRule="auto"/>
        <w:ind w:left="754" w:right="202"/>
        <w:jc w:val="left"/>
      </w:pPr>
      <w:r>
        <w:rPr>
          <w:rFonts w:ascii="宋体" w:hAnsi="宋体" w:cs="宋体" w:eastAsia="宋体" w:hint="default"/>
        </w:rPr>
        <w:t>2</w:t>
      </w:r>
      <w:r>
        <w:rPr/>
        <w:t>、股份转让承诺事项 陈泽枝、李泽清、高孔兴、芜湖华顺置业投资有限责任公司、许金炉、刘智良、黄开坚承诺：通过</w:t>
      </w:r>
    </w:p>
    <w:p>
      <w:pPr>
        <w:pStyle w:val="BodyText"/>
        <w:spacing w:line="408" w:lineRule="auto"/>
        <w:ind w:right="104"/>
        <w:jc w:val="left"/>
      </w:pPr>
      <w:r>
        <w:rPr>
          <w:rFonts w:ascii="宋体" w:hAnsi="宋体" w:cs="宋体" w:eastAsia="宋体" w:hint="default"/>
          <w:spacing w:val="-1"/>
        </w:rPr>
        <w:t>2014</w:t>
      </w:r>
      <w:r>
        <w:rPr>
          <w:spacing w:val="-1"/>
        </w:rPr>
        <w:t>年汉威电子重大资产重组获得的上市公司股份，自股份发行结束之日起</w:t>
      </w:r>
      <w:r>
        <w:rPr>
          <w:rFonts w:ascii="宋体" w:hAnsi="宋体" w:cs="宋体" w:eastAsia="宋体" w:hint="default"/>
          <w:spacing w:val="-1"/>
        </w:rPr>
        <w:t>12</w:t>
      </w:r>
      <w:r>
        <w:rPr>
          <w:spacing w:val="-1"/>
        </w:rPr>
        <w:t>个月且第一年度利润补偿承</w:t>
      </w:r>
      <w:r>
        <w:rPr>
          <w:spacing w:val="-80"/>
        </w:rPr>
        <w:t> </w:t>
      </w:r>
      <w:r>
        <w:rPr>
          <w:spacing w:val="-80"/>
        </w:rPr>
      </w:r>
      <w:r>
        <w:rPr/>
        <w:t>诺已经履行完毕后，所持股份的</w:t>
      </w:r>
      <w:r>
        <w:rPr>
          <w:rFonts w:ascii="宋体" w:hAnsi="宋体" w:cs="宋体" w:eastAsia="宋体" w:hint="default"/>
        </w:rPr>
        <w:t>40%</w:t>
      </w:r>
      <w:r>
        <w:rPr/>
        <w:t>可以对外转让；在第二年度利润承诺专项审核报告公告且第一、二年 度利润补偿承诺已经履行完毕后，所持股份增加解锁比例</w:t>
      </w:r>
      <w:r>
        <w:rPr>
          <w:rFonts w:ascii="宋体" w:hAnsi="宋体" w:cs="宋体" w:eastAsia="宋体" w:hint="default"/>
        </w:rPr>
        <w:t>30%</w:t>
      </w:r>
      <w:r>
        <w:rPr/>
        <w:t>；在第三年度利润承诺专项审核报告公告、</w:t>
      </w:r>
    </w:p>
    <w:p>
      <w:pPr>
        <w:spacing w:after="0" w:line="408"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0" w:right="210"/>
        <w:jc w:val="right"/>
      </w:pPr>
      <w:r>
        <w:rPr/>
        <w:t>确定承诺期业绩补偿履行完毕后，剩余部分解锁，在此之后按中国证监会及证券交易所的有关规定执行。 尚剑红、叶明、梁一红、缪品章、王锐、李扬、邱宇、刘光江、兴业全球基金管理有限公司、国投 </w:t>
      </w:r>
      <w:r>
        <w:rPr>
          <w:spacing w:val="-1"/>
        </w:rPr>
        <w:t>瑞银资本管理有限公司、北信瑞丰基金管理有限公司、华宝信托有限责任公司、第一创业证券股份有限公</w:t>
      </w:r>
      <w:r>
        <w:rPr/>
        <w:t> </w:t>
      </w:r>
      <w:r>
        <w:rPr>
          <w:spacing w:val="-1"/>
        </w:rPr>
        <w:t>司承诺：因汉威电子</w:t>
      </w:r>
      <w:r>
        <w:rPr>
          <w:rFonts w:ascii="宋体" w:hAnsi="宋体" w:cs="宋体" w:eastAsia="宋体" w:hint="default"/>
          <w:spacing w:val="-1"/>
        </w:rPr>
        <w:t>2014</w:t>
      </w:r>
      <w:r>
        <w:rPr>
          <w:spacing w:val="-1"/>
        </w:rPr>
        <w:t>年重大资产重组所获得的上市公司股份，自发行结束日起</w:t>
      </w:r>
      <w:r>
        <w:rPr>
          <w:rFonts w:ascii="宋体" w:hAnsi="宋体" w:cs="宋体" w:eastAsia="宋体" w:hint="default"/>
          <w:spacing w:val="-1"/>
        </w:rPr>
        <w:t>12</w:t>
      </w:r>
      <w:r>
        <w:rPr>
          <w:spacing w:val="-1"/>
        </w:rPr>
        <w:t>个月内不得转让，在</w:t>
      </w:r>
    </w:p>
    <w:p>
      <w:pPr>
        <w:pStyle w:val="BodyText"/>
        <w:spacing w:line="240" w:lineRule="auto"/>
        <w:ind w:left="214" w:right="2532"/>
        <w:jc w:val="left"/>
      </w:pPr>
      <w:r>
        <w:rPr/>
        <w:t>此之后按中国证监会及深圳证券交易所的有关规定执行。</w:t>
      </w:r>
    </w:p>
    <w:p>
      <w:pPr>
        <w:spacing w:line="240" w:lineRule="auto" w:before="0"/>
        <w:rPr>
          <w:rFonts w:ascii="宋体" w:hAnsi="宋体" w:cs="宋体" w:eastAsia="宋体" w:hint="default"/>
          <w:sz w:val="20"/>
          <w:szCs w:val="20"/>
        </w:rPr>
      </w:pPr>
    </w:p>
    <w:p>
      <w:pPr>
        <w:pStyle w:val="Heading2"/>
        <w:spacing w:line="240" w:lineRule="auto" w:before="131"/>
        <w:ind w:left="214" w:right="2532"/>
        <w:jc w:val="left"/>
        <w:rPr>
          <w:b w:val="0"/>
          <w:bCs w:val="0"/>
        </w:rPr>
      </w:pPr>
      <w:bookmarkStart w:name="十三、资产负债表日后事项" w:id="297"/>
      <w:bookmarkEnd w:id="297"/>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2532"/>
        <w:jc w:val="left"/>
        <w:rPr>
          <w:b w:val="0"/>
          <w:bCs w:val="0"/>
        </w:rPr>
      </w:pPr>
      <w:bookmarkStart w:name="1、重要的非调整事项" w:id="298"/>
      <w:bookmarkEnd w:id="298"/>
      <w:r>
        <w:rPr>
          <w:b w:val="0"/>
          <w:bCs w:val="0"/>
        </w:rPr>
      </w:r>
      <w:r>
        <w:rPr>
          <w:rFonts w:ascii="宋体" w:hAnsi="宋体" w:cs="宋体" w:eastAsia="宋体" w:hint="default"/>
        </w:rPr>
        <w:t>1</w:t>
      </w:r>
      <w:r>
        <w:rPr/>
        <w:t>、重要的非调整事项</w:t>
      </w:r>
      <w:r>
        <w:rPr>
          <w:b w:val="0"/>
          <w:bCs w:val="0"/>
        </w:rPr>
      </w:r>
    </w:p>
    <w:p>
      <w:pPr>
        <w:spacing w:line="240" w:lineRule="auto" w:before="11"/>
        <w:rPr>
          <w:rFonts w:ascii="宋体" w:hAnsi="宋体" w:cs="宋体" w:eastAsia="宋体" w:hint="default"/>
          <w:b/>
          <w:bCs/>
          <w:sz w:val="27"/>
          <w:szCs w:val="27"/>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494"/>
        <w:gridCol w:w="2295"/>
        <w:gridCol w:w="2391"/>
        <w:gridCol w:w="2389"/>
      </w:tblGrid>
      <w:tr>
        <w:trPr>
          <w:trHeight w:val="162"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54"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33"/>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pacing w:val="-10"/>
                <w:sz w:val="18"/>
                <w:szCs w:val="18"/>
              </w:rPr>
              <w:t>日，公司第三</w:t>
            </w:r>
            <w:r>
              <w:rPr>
                <w:rFonts w:ascii="宋体" w:hAnsi="宋体" w:cs="宋体" w:eastAsia="宋体" w:hint="default"/>
                <w:sz w:val="18"/>
                <w:szCs w:val="18"/>
              </w:rPr>
              <w:t> 届董事会第九次会议审议通 过关于投资郑州汉威公用事 业科技有限公司的议案，以 </w:t>
            </w:r>
            <w:r>
              <w:rPr>
                <w:rFonts w:ascii="宋体" w:hAnsi="宋体" w:cs="宋体" w:eastAsia="宋体" w:hint="default"/>
                <w:sz w:val="18"/>
                <w:szCs w:val="18"/>
              </w:rPr>
              <w:t>2.95</w:t>
            </w:r>
            <w:r>
              <w:rPr>
                <w:rFonts w:ascii="宋体" w:hAnsi="宋体" w:cs="宋体" w:eastAsia="宋体" w:hint="default"/>
                <w:spacing w:val="-46"/>
                <w:sz w:val="18"/>
                <w:szCs w:val="18"/>
              </w:rPr>
              <w:t> </w:t>
            </w:r>
            <w:r>
              <w:rPr>
                <w:rFonts w:ascii="宋体" w:hAnsi="宋体" w:cs="宋体" w:eastAsia="宋体" w:hint="default"/>
                <w:sz w:val="18"/>
                <w:szCs w:val="18"/>
              </w:rPr>
              <w:t>亿元自有资金与郑州高 新投资建设集团有限公司共 同新设郑州汉威公用事业科 技有限公司，注册资本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亿 元，汉威电子持有</w:t>
            </w:r>
            <w:r>
              <w:rPr>
                <w:rFonts w:ascii="宋体" w:hAnsi="宋体" w:cs="宋体" w:eastAsia="宋体" w:hint="default"/>
                <w:spacing w:val="-46"/>
                <w:sz w:val="18"/>
                <w:szCs w:val="18"/>
              </w:rPr>
              <w:t> </w:t>
            </w:r>
            <w:r>
              <w:rPr>
                <w:rFonts w:ascii="宋体" w:hAnsi="宋体" w:cs="宋体" w:eastAsia="宋体" w:hint="default"/>
                <w:sz w:val="18"/>
                <w:szCs w:val="18"/>
              </w:rPr>
              <w:t>65%</w:t>
            </w:r>
            <w:r>
              <w:rPr>
                <w:rFonts w:ascii="宋体" w:hAnsi="宋体" w:cs="宋体" w:eastAsia="宋体" w:hint="default"/>
                <w:sz w:val="18"/>
                <w:szCs w:val="18"/>
              </w:rPr>
              <w:t>出资。</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1248" w:lineRule="exact"/>
              <w:ind w:right="-49"/>
              <w:jc w:val="left"/>
              <w:rPr>
                <w:rFonts w:ascii="宋体" w:hAnsi="宋体" w:cs="宋体" w:eastAsia="宋体" w:hint="default"/>
                <w:sz w:val="20"/>
                <w:szCs w:val="20"/>
              </w:rPr>
            </w:pPr>
            <w:r>
              <w:rPr>
                <w:rFonts w:ascii="宋体" w:hAnsi="宋体" w:cs="宋体" w:eastAsia="宋体" w:hint="default"/>
                <w:position w:val="-24"/>
                <w:sz w:val="20"/>
                <w:szCs w:val="20"/>
              </w:rPr>
              <w:pict>
                <v:group style="width:119pt;height:62.45pt;mso-position-horizontal-relative:char;mso-position-vertical-relative:line" coordorigin="0,0" coordsize="2380,1249">
                  <v:group style="position:absolute;left:0;top:0;width:2380;height:1249" coordorigin="0,0" coordsize="2380,1249">
                    <v:shape style="position:absolute;left:0;top:0;width:2380;height:1249" coordorigin="0,0" coordsize="2380,1249" path="m0,1248l2380,1248,2380,0,0,0,0,1248xe" filled="true" fillcolor="#ffffff" stroked="false">
                      <v:path arrowok="t"/>
                      <v:fill type="solid"/>
                    </v:shape>
                  </v:group>
                </v:group>
              </w:pict>
            </w:r>
            <w:r>
              <w:rPr>
                <w:rFonts w:ascii="宋体" w:hAnsi="宋体" w:cs="宋体" w:eastAsia="宋体" w:hint="default"/>
                <w:position w:val="-24"/>
                <w:sz w:val="20"/>
                <w:szCs w:val="20"/>
              </w:rPr>
            </w:r>
          </w:p>
        </w:tc>
        <w:tc>
          <w:tcPr>
            <w:tcW w:w="2389"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254"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14" w:right="2532"/>
        <w:jc w:val="left"/>
        <w:rPr>
          <w:b w:val="0"/>
          <w:bCs w:val="0"/>
        </w:rPr>
      </w:pPr>
      <w:bookmarkStart w:name="2、利润分配情况" w:id="299"/>
      <w:bookmarkEnd w:id="299"/>
      <w:r>
        <w:rPr>
          <w:b w:val="0"/>
          <w:bCs w:val="0"/>
        </w:rPr>
      </w:r>
      <w:r>
        <w:rPr>
          <w:rFonts w:ascii="宋体" w:hAnsi="宋体" w:cs="宋体" w:eastAsia="宋体" w:hint="default"/>
        </w:rPr>
        <w:t>2</w:t>
      </w:r>
      <w:r>
        <w:rPr/>
        <w:t>、利润分配情况</w:t>
      </w:r>
      <w:r>
        <w:rPr>
          <w:b w:val="0"/>
          <w:bCs w:val="0"/>
        </w:rPr>
      </w:r>
    </w:p>
    <w:p>
      <w:pPr>
        <w:spacing w:line="240" w:lineRule="auto" w:before="5"/>
        <w:rPr>
          <w:rFonts w:ascii="宋体" w:hAnsi="宋体" w:cs="宋体" w:eastAsia="宋体" w:hint="default"/>
          <w:b/>
          <w:bCs/>
          <w:sz w:val="24"/>
          <w:szCs w:val="24"/>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7,325,570.15</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7,325,570.15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left="213" w:right="2532"/>
        <w:jc w:val="left"/>
        <w:rPr>
          <w:b w:val="0"/>
          <w:bCs w:val="0"/>
        </w:rPr>
      </w:pPr>
      <w:bookmarkStart w:name="十四、其他重要事项" w:id="300"/>
      <w:bookmarkEnd w:id="300"/>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3" w:right="2532"/>
        <w:jc w:val="left"/>
        <w:rPr>
          <w:b w:val="0"/>
          <w:bCs w:val="0"/>
        </w:rPr>
      </w:pPr>
      <w:bookmarkStart w:name="1、分部信息" w:id="301"/>
      <w:bookmarkEnd w:id="301"/>
      <w:r>
        <w:rPr>
          <w:b w:val="0"/>
          <w:bCs w:val="0"/>
        </w:rPr>
      </w:r>
      <w:r>
        <w:rPr>
          <w:rFonts w:ascii="宋体" w:hAnsi="宋体" w:cs="宋体" w:eastAsia="宋体" w:hint="default"/>
        </w:rPr>
        <w:t>1</w:t>
      </w:r>
      <w:r>
        <w:rPr/>
        <w:t>、分部信息</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13" w:right="2532"/>
        <w:jc w:val="left"/>
        <w:rPr>
          <w:b w:val="0"/>
          <w:bCs w:val="0"/>
        </w:rPr>
      </w:pPr>
      <w:bookmarkStart w:name="（1）报告分部的确定依据与会计政策" w:id="302"/>
      <w:bookmarkEnd w:id="302"/>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left="814" w:right="2532"/>
        <w:jc w:val="left"/>
      </w:pPr>
      <w:r>
        <w:rPr/>
        <w:t>本公司以内部组织结构、管理要求、内部报告制度为依据确定业务分部。 本公司的业务分部是指同时满足下列条件的组成部分： </w:t>
      </w:r>
      <w:r>
        <w:rPr>
          <w:rFonts w:ascii="宋体" w:hAnsi="宋体" w:cs="宋体" w:eastAsia="宋体" w:hint="default"/>
        </w:rPr>
        <w:t>1</w:t>
      </w:r>
      <w:r>
        <w:rPr/>
        <w:t>）该组成部分能够在日常活动中产生收入、发生费用；</w:t>
      </w:r>
    </w:p>
    <w:p>
      <w:pPr>
        <w:spacing w:after="0" w:line="408" w:lineRule="auto"/>
        <w:jc w:val="left"/>
        <w:sectPr>
          <w:pgSz w:w="11910" w:h="16840"/>
          <w:pgMar w:header="747" w:footer="979" w:top="1060" w:bottom="1160" w:left="920" w:right="900"/>
        </w:sectPr>
      </w:pPr>
    </w:p>
    <w:p>
      <w:pPr>
        <w:spacing w:line="240" w:lineRule="auto" w:before="0"/>
        <w:rPr>
          <w:rFonts w:ascii="宋体" w:hAnsi="宋体" w:cs="宋体" w:eastAsia="宋体" w:hint="default"/>
          <w:sz w:val="20"/>
          <w:szCs w:val="20"/>
        </w:rPr>
      </w:pPr>
    </w:p>
    <w:p>
      <w:pPr>
        <w:pStyle w:val="BodyText"/>
        <w:spacing w:line="408" w:lineRule="auto" w:before="174"/>
        <w:ind w:right="104" w:firstLine="600"/>
        <w:jc w:val="left"/>
      </w:pPr>
      <w:r>
        <w:rPr>
          <w:rFonts w:ascii="宋体" w:hAnsi="宋体" w:cs="宋体" w:eastAsia="宋体" w:hint="default"/>
          <w:spacing w:val="-3"/>
        </w:rPr>
        <w:t>2</w:t>
      </w:r>
      <w:r>
        <w:rPr>
          <w:spacing w:val="-3"/>
        </w:rPr>
        <w:t>）管理层能够定期评价该组成部分的经营成果，以决定向其配置资源、评价其业绩；能够取得该组</w:t>
      </w:r>
      <w:r>
        <w:rPr/>
        <w:t> 成部分的财务状况、经营成果和现金流量等有关会计信息。</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2）报告分部的财务信息" w:id="303"/>
      <w:bookmarkEnd w:id="303"/>
      <w:r>
        <w:rPr>
          <w:b w:val="0"/>
          <w:bCs w:val="0"/>
        </w:rPr>
      </w:r>
      <w:r>
        <w:rPr/>
        <w:t>（</w:t>
      </w:r>
      <w:r>
        <w:rPr>
          <w:rFonts w:ascii="宋体" w:hAnsi="宋体" w:cs="宋体" w:eastAsia="宋体" w:hint="default"/>
        </w:rPr>
        <w:t>2</w:t>
      </w:r>
      <w:r>
        <w:rPr/>
        <w:t>）报告分部的财务信息</w:t>
      </w:r>
      <w:r>
        <w:rPr>
          <w:b w:val="0"/>
          <w:bCs w:val="0"/>
        </w:rPr>
      </w:r>
    </w:p>
    <w:p>
      <w:pPr>
        <w:spacing w:line="240" w:lineRule="auto" w:before="1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069"/>
        <w:gridCol w:w="2180"/>
        <w:gridCol w:w="2181"/>
        <w:gridCol w:w="1292"/>
      </w:tblGrid>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环保</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分部间抵销</w:t>
            </w: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324,177,553.58</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59,269,958.50</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152,981,765.56</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40,563,218.22</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三、对联营和合营企业的投资收益</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-472,752.59</w:t>
            </w:r>
          </w:p>
        </w:tc>
        <w:tc>
          <w:tcPr>
            <w:tcW w:w="2181"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5,538,222.97</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1,493,871.93</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21,377,613.61</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3,946,966.10</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56,139,480.50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10,315,836.93</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7,987,195.36</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94,614.08</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48,152,285.14</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10,221,222.85</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1,481,269,184.39</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556,439,911.66</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-217,329,312.0</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r>
      <w:tr>
        <w:trPr>
          <w:trHeight w:val="347" w:hRule="exact"/>
        </w:trPr>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300,370,414.47</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273,783,991.29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宋体"/>
                <w:sz w:val="18"/>
              </w:rPr>
              <w:t>-20,000.00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104"/>
        <w:jc w:val="left"/>
        <w:rPr>
          <w:b w:val="0"/>
          <w:bCs w:val="0"/>
        </w:rPr>
      </w:pPr>
      <w:bookmarkStart w:name="2、其他对投资者决策有影响的重要交易和事项" w:id="304"/>
      <w:bookmarkEnd w:id="304"/>
      <w:r>
        <w:rPr>
          <w:b w:val="0"/>
          <w:bCs w:val="0"/>
        </w:rPr>
      </w:r>
      <w:r>
        <w:rPr>
          <w:rFonts w:ascii="宋体" w:hAnsi="宋体" w:cs="宋体" w:eastAsia="宋体" w:hint="default"/>
        </w:rPr>
        <w:t>2</w:t>
      </w:r>
      <w:r>
        <w:rPr/>
        <w:t>、其他对投资者决策有影响的重要交易和事项</w:t>
      </w:r>
      <w:r>
        <w:rPr>
          <w:b w:val="0"/>
          <w:bCs w:val="0"/>
        </w:rPr>
      </w:r>
    </w:p>
    <w:p>
      <w:pPr>
        <w:spacing w:line="240" w:lineRule="auto" w:before="10"/>
        <w:rPr>
          <w:rFonts w:ascii="宋体" w:hAnsi="宋体" w:cs="宋体" w:eastAsia="宋体" w:hint="default"/>
          <w:b/>
          <w:bCs/>
          <w:sz w:val="25"/>
          <w:szCs w:val="25"/>
        </w:rPr>
      </w:pPr>
    </w:p>
    <w:p>
      <w:pPr>
        <w:pStyle w:val="BodyText"/>
        <w:spacing w:line="340" w:lineRule="auto" w:before="0"/>
        <w:ind w:left="754" w:right="104" w:hanging="181"/>
        <w:jc w:val="left"/>
      </w:pPr>
      <w:r>
        <w:rPr/>
        <w:t>重大资产重组 </w:t>
      </w:r>
      <w:r>
        <w:rPr>
          <w:rFonts w:ascii="宋体" w:hAnsi="宋体" w:cs="宋体" w:eastAsia="宋体" w:hint="default"/>
          <w:spacing w:val="-3"/>
        </w:rPr>
        <w:t>2014</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20</w:t>
      </w:r>
      <w:r>
        <w:rPr>
          <w:spacing w:val="-3"/>
        </w:rPr>
        <w:t>日，公司发行股份及支付现金购买资产并募集配套资金暨关联交易事项经中国证券监督</w:t>
      </w:r>
    </w:p>
    <w:p>
      <w:pPr>
        <w:pStyle w:val="BodyText"/>
        <w:spacing w:line="408" w:lineRule="auto" w:before="105"/>
        <w:ind w:right="104"/>
        <w:jc w:val="left"/>
      </w:pPr>
      <w:r>
        <w:rPr>
          <w:spacing w:val="-1"/>
        </w:rPr>
        <w:t>管理委员会上市公司并购重组审核委员会</w:t>
      </w:r>
      <w:r>
        <w:rPr>
          <w:rFonts w:ascii="宋体" w:hAnsi="宋体" w:cs="宋体" w:eastAsia="宋体" w:hint="default"/>
          <w:spacing w:val="-1"/>
        </w:rPr>
        <w:t>2014</w:t>
      </w:r>
      <w:r>
        <w:rPr>
          <w:spacing w:val="-1"/>
        </w:rPr>
        <w:t>年第</w:t>
      </w:r>
      <w:r>
        <w:rPr>
          <w:rFonts w:ascii="宋体" w:hAnsi="宋体" w:cs="宋体" w:eastAsia="宋体" w:hint="default"/>
          <w:spacing w:val="-1"/>
        </w:rPr>
        <w:t>41</w:t>
      </w:r>
      <w:r>
        <w:rPr>
          <w:spacing w:val="-1"/>
        </w:rPr>
        <w:t>次工作会议审核并获得无条件通过；</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12</w:t>
      </w:r>
      <w:r>
        <w:rPr>
          <w:spacing w:val="-1"/>
        </w:rPr>
        <w:t>日，</w:t>
      </w:r>
      <w:r>
        <w:rPr>
          <w:spacing w:val="-82"/>
        </w:rPr>
        <w:t> </w:t>
      </w:r>
      <w:r>
        <w:rPr/>
        <w:t>公司收到中国证券监督管理委员会证监许可〔</w:t>
      </w:r>
      <w:r>
        <w:rPr>
          <w:rFonts w:ascii="宋体" w:hAnsi="宋体" w:cs="宋体" w:eastAsia="宋体" w:hint="default"/>
        </w:rPr>
        <w:t>2014</w:t>
      </w:r>
      <w:r>
        <w:rPr/>
        <w:t>〕</w:t>
      </w:r>
      <w:r>
        <w:rPr>
          <w:rFonts w:ascii="宋体" w:hAnsi="宋体" w:cs="宋体" w:eastAsia="宋体" w:hint="default"/>
        </w:rPr>
        <w:t>937</w:t>
      </w:r>
      <w:r>
        <w:rPr/>
        <w:t>号《关于核准河南汉威电子股份有限公司向陈泽 枝等发行股份购买资产并募集配套资金的批复》；</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7</w:t>
      </w:r>
      <w:r>
        <w:rPr/>
        <w:t>日，公司刊登了《发行股份及支付现金购买 资产并募集配套资金暨关联交易实施情况暨新增股份上市报告书》，重大资产重组事项实施完成。</w:t>
      </w:r>
    </w:p>
    <w:p>
      <w:pPr>
        <w:spacing w:line="240" w:lineRule="auto" w:before="8"/>
        <w:rPr>
          <w:rFonts w:ascii="宋体" w:hAnsi="宋体" w:cs="宋体" w:eastAsia="宋体" w:hint="default"/>
          <w:sz w:val="20"/>
          <w:szCs w:val="20"/>
        </w:rPr>
      </w:pPr>
    </w:p>
    <w:p>
      <w:pPr>
        <w:pStyle w:val="Heading3"/>
        <w:spacing w:line="240" w:lineRule="auto"/>
        <w:ind w:right="104"/>
        <w:jc w:val="left"/>
        <w:rPr>
          <w:b w:val="0"/>
          <w:bCs w:val="0"/>
        </w:rPr>
      </w:pPr>
      <w:bookmarkStart w:name="3、其他" w:id="305"/>
      <w:bookmarkEnd w:id="305"/>
      <w:r>
        <w:rPr>
          <w:b w:val="0"/>
          <w:bCs w:val="0"/>
        </w:rPr>
      </w:r>
      <w:r>
        <w:rPr>
          <w:rFonts w:ascii="宋体" w:hAnsi="宋体" w:cs="宋体" w:eastAsia="宋体" w:hint="default"/>
        </w:rPr>
        <w:t>3</w:t>
      </w:r>
      <w:r>
        <w:rPr/>
        <w:t>、其他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210" w:firstLine="600"/>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22</w:t>
      </w:r>
      <w:r>
        <w:rPr/>
        <w:t>日，公司第三届董事会第九次会议审议通过了《关于</w:t>
      </w:r>
      <w:r>
        <w:rPr>
          <w:rFonts w:ascii="宋体" w:hAnsi="宋体" w:cs="宋体" w:eastAsia="宋体" w:hint="default"/>
        </w:rPr>
        <w:t>&lt;</w:t>
      </w:r>
      <w:r>
        <w:rPr/>
        <w:t>河南汉威电子股份有限公司第一 期员工持股计划（草案）</w:t>
      </w:r>
      <w:r>
        <w:rPr>
          <w:rFonts w:ascii="宋体" w:hAnsi="宋体" w:cs="宋体" w:eastAsia="宋体" w:hint="default"/>
        </w:rPr>
        <w:t>&gt;</w:t>
      </w:r>
      <w:r>
        <w:rPr/>
        <w:t>及其摘要的议案》，本次员工持股计划的参加人员总人数不超过</w:t>
      </w:r>
      <w:r>
        <w:rPr>
          <w:rFonts w:ascii="宋体" w:hAnsi="宋体" w:cs="宋体" w:eastAsia="宋体" w:hint="default"/>
        </w:rPr>
        <w:t>70</w:t>
      </w:r>
      <w:r>
        <w:rPr/>
        <w:t>人（具体参 </w:t>
      </w:r>
      <w:r>
        <w:rPr>
          <w:spacing w:val="-1"/>
        </w:rPr>
        <w:t>加人数根据员工实际缴款情况确定），本员工持股计划设立后委托汇添富基金管理股份有限公司管理并全</w:t>
      </w:r>
      <w:r>
        <w:rPr>
          <w:spacing w:val="-81"/>
        </w:rPr>
        <w:t> </w:t>
      </w:r>
      <w:r>
        <w:rPr>
          <w:spacing w:val="-81"/>
        </w:rPr>
      </w:r>
      <w:r>
        <w:rPr>
          <w:spacing w:val="-1"/>
        </w:rPr>
        <w:t>额认购汇添富基金管理股份有限公司设立的汇添富</w:t>
      </w:r>
      <w:r>
        <w:rPr>
          <w:rFonts w:ascii="宋体" w:hAnsi="宋体" w:cs="宋体" w:eastAsia="宋体" w:hint="default"/>
          <w:spacing w:val="-1"/>
        </w:rPr>
        <w:t>-</w:t>
      </w:r>
      <w:r>
        <w:rPr>
          <w:spacing w:val="-1"/>
        </w:rPr>
        <w:t>汉威电子</w:t>
      </w:r>
      <w:r>
        <w:rPr>
          <w:rFonts w:ascii="宋体" w:hAnsi="宋体" w:cs="宋体" w:eastAsia="宋体" w:hint="default"/>
          <w:spacing w:val="-1"/>
        </w:rPr>
        <w:t>-</w:t>
      </w:r>
      <w:r>
        <w:rPr>
          <w:spacing w:val="-1"/>
        </w:rPr>
        <w:t>双喜盛世</w:t>
      </w:r>
      <w:r>
        <w:rPr>
          <w:rFonts w:ascii="宋体" w:hAnsi="宋体" w:cs="宋体" w:eastAsia="宋体" w:hint="default"/>
          <w:spacing w:val="-1"/>
        </w:rPr>
        <w:t>51</w:t>
      </w:r>
      <w:r>
        <w:rPr>
          <w:spacing w:val="-1"/>
        </w:rPr>
        <w:t>号资产管理计划（下称“添威</w:t>
      </w:r>
      <w:r>
        <w:rPr>
          <w:rFonts w:ascii="宋体" w:hAnsi="宋体" w:cs="宋体" w:eastAsia="宋体" w:hint="default"/>
          <w:spacing w:val="-1"/>
        </w:rPr>
        <w:t>51</w:t>
      </w:r>
      <w:r>
        <w:rPr>
          <w:rFonts w:ascii="宋体" w:hAnsi="宋体" w:cs="宋体" w:eastAsia="宋体" w:hint="default"/>
          <w:spacing w:val="-84"/>
        </w:rPr>
        <w:t> </w:t>
      </w:r>
      <w:r>
        <w:rPr>
          <w:spacing w:val="-1"/>
        </w:rPr>
        <w:t>号资管计划”）中的次级份额。添威</w:t>
      </w:r>
      <w:r>
        <w:rPr>
          <w:rFonts w:ascii="宋体" w:hAnsi="宋体" w:cs="宋体" w:eastAsia="宋体" w:hint="default"/>
          <w:spacing w:val="-1"/>
        </w:rPr>
        <w:t>51</w:t>
      </w:r>
      <w:r>
        <w:rPr>
          <w:spacing w:val="-1"/>
        </w:rPr>
        <w:t>号资管计划份额上限为</w:t>
      </w:r>
      <w:r>
        <w:rPr>
          <w:rFonts w:ascii="宋体" w:hAnsi="宋体" w:cs="宋体" w:eastAsia="宋体" w:hint="default"/>
          <w:spacing w:val="-1"/>
        </w:rPr>
        <w:t>9000</w:t>
      </w:r>
      <w:r>
        <w:rPr>
          <w:spacing w:val="-1"/>
        </w:rPr>
        <w:t>万份，每份份额为</w:t>
      </w:r>
      <w:r>
        <w:rPr>
          <w:rFonts w:ascii="宋体" w:hAnsi="宋体" w:cs="宋体" w:eastAsia="宋体" w:hint="default"/>
          <w:spacing w:val="-1"/>
        </w:rPr>
        <w:t>1.00</w:t>
      </w:r>
      <w:r>
        <w:rPr>
          <w:spacing w:val="-1"/>
        </w:rPr>
        <w:t>元，按照不超过</w:t>
      </w:r>
      <w:r>
        <w:rPr>
          <w:spacing w:val="-84"/>
        </w:rPr>
        <w:t> </w:t>
      </w:r>
      <w:r>
        <w:rPr>
          <w:spacing w:val="-84"/>
        </w:rPr>
      </w:r>
      <w:r>
        <w:rPr>
          <w:rFonts w:ascii="宋体" w:hAnsi="宋体" w:cs="宋体" w:eastAsia="宋体" w:hint="default"/>
        </w:rPr>
        <w:t>2:1</w:t>
      </w:r>
      <w:r>
        <w:rPr/>
        <w:t>的比例设立优先级</w:t>
      </w:r>
      <w:r>
        <w:rPr>
          <w:rFonts w:ascii="宋体" w:hAnsi="宋体" w:cs="宋体" w:eastAsia="宋体" w:hint="default"/>
        </w:rPr>
        <w:t>A</w:t>
      </w:r>
      <w:r>
        <w:rPr/>
        <w:t>份额和次级份额，次级份额按照</w:t>
      </w:r>
      <w:r>
        <w:rPr>
          <w:rFonts w:ascii="宋体" w:hAnsi="宋体" w:cs="宋体" w:eastAsia="宋体" w:hint="default"/>
        </w:rPr>
        <w:t>2:1</w:t>
      </w:r>
      <w:r>
        <w:rPr/>
        <w:t>的比例设置次级</w:t>
      </w:r>
      <w:r>
        <w:rPr>
          <w:rFonts w:ascii="宋体" w:hAnsi="宋体" w:cs="宋体" w:eastAsia="宋体" w:hint="default"/>
        </w:rPr>
        <w:t>B</w:t>
      </w:r>
      <w:r>
        <w:rPr/>
        <w:t>份额和次级</w:t>
      </w:r>
      <w:r>
        <w:rPr>
          <w:rFonts w:ascii="宋体" w:hAnsi="宋体" w:cs="宋体" w:eastAsia="宋体" w:hint="default"/>
        </w:rPr>
        <w:t>C</w:t>
      </w:r>
      <w:r>
        <w:rPr/>
        <w:t>份额。公司员工</w:t>
      </w:r>
    </w:p>
    <w:p>
      <w:pPr>
        <w:spacing w:after="0" w:line="408"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04"/>
        <w:jc w:val="left"/>
      </w:pPr>
      <w:r>
        <w:rPr/>
        <w:t>出资</w:t>
      </w:r>
      <w:r>
        <w:rPr>
          <w:rFonts w:ascii="宋体" w:hAnsi="宋体" w:cs="宋体" w:eastAsia="宋体" w:hint="default"/>
        </w:rPr>
        <w:t>2000</w:t>
      </w:r>
      <w:r>
        <w:rPr/>
        <w:t>万元全额认购添威</w:t>
      </w:r>
      <w:r>
        <w:rPr>
          <w:rFonts w:ascii="宋体" w:hAnsi="宋体" w:cs="宋体" w:eastAsia="宋体" w:hint="default"/>
        </w:rPr>
        <w:t>51</w:t>
      </w:r>
      <w:r>
        <w:rPr/>
        <w:t>号资管计划的次级</w:t>
      </w:r>
      <w:r>
        <w:rPr>
          <w:rFonts w:ascii="宋体" w:hAnsi="宋体" w:cs="宋体" w:eastAsia="宋体" w:hint="default"/>
        </w:rPr>
        <w:t>B</w:t>
      </w:r>
      <w:r>
        <w:rPr/>
        <w:t>份额，公司股东刘瑞玲、张艳丽、钟克创、肖延岭等</w:t>
      </w:r>
      <w:r>
        <w:rPr>
          <w:rFonts w:ascii="宋体" w:hAnsi="宋体" w:cs="宋体" w:eastAsia="宋体" w:hint="default"/>
        </w:rPr>
        <w:t>4</w:t>
      </w:r>
      <w:r>
        <w:rPr/>
        <w:t>人 总计出资</w:t>
      </w:r>
      <w:r>
        <w:rPr>
          <w:rFonts w:ascii="宋体" w:hAnsi="宋体" w:cs="宋体" w:eastAsia="宋体" w:hint="default"/>
        </w:rPr>
        <w:t>1000</w:t>
      </w:r>
      <w:r>
        <w:rPr/>
        <w:t>万元全额认购添威</w:t>
      </w:r>
      <w:r>
        <w:rPr>
          <w:rFonts w:ascii="宋体" w:hAnsi="宋体" w:cs="宋体" w:eastAsia="宋体" w:hint="default"/>
        </w:rPr>
        <w:t>51</w:t>
      </w:r>
      <w:r>
        <w:rPr/>
        <w:t>号资管计划的次级</w:t>
      </w:r>
      <w:r>
        <w:rPr>
          <w:rFonts w:ascii="宋体" w:hAnsi="宋体" w:cs="宋体" w:eastAsia="宋体" w:hint="default"/>
        </w:rPr>
        <w:t>C</w:t>
      </w:r>
      <w:r>
        <w:rPr/>
        <w:t>份额，添威</w:t>
      </w:r>
      <w:r>
        <w:rPr>
          <w:rFonts w:ascii="宋体" w:hAnsi="宋体" w:cs="宋体" w:eastAsia="宋体" w:hint="default"/>
        </w:rPr>
        <w:t>51</w:t>
      </w:r>
      <w:r>
        <w:rPr/>
        <w:t>号资管计划主要投资范围为购买和持 有汉威电子股票。公司控股股东任红军为添威</w:t>
      </w:r>
      <w:r>
        <w:rPr>
          <w:rFonts w:ascii="宋体" w:hAnsi="宋体" w:cs="宋体" w:eastAsia="宋体" w:hint="default"/>
        </w:rPr>
        <w:t>51</w:t>
      </w:r>
      <w:r>
        <w:rPr/>
        <w:t>号资管计划中优先级</w:t>
      </w:r>
      <w:r>
        <w:rPr>
          <w:rFonts w:ascii="宋体" w:hAnsi="宋体" w:cs="宋体" w:eastAsia="宋体" w:hint="default"/>
        </w:rPr>
        <w:t>A</w:t>
      </w:r>
      <w:r>
        <w:rPr/>
        <w:t>份额的权益实现与次级</w:t>
      </w:r>
      <w:r>
        <w:rPr>
          <w:rFonts w:ascii="宋体" w:hAnsi="宋体" w:cs="宋体" w:eastAsia="宋体" w:hint="default"/>
        </w:rPr>
        <w:t>B</w:t>
      </w:r>
      <w:r>
        <w:rPr/>
        <w:t>份额的本金 </w:t>
      </w:r>
      <w:r>
        <w:rPr>
          <w:spacing w:val="-3"/>
        </w:rPr>
        <w:t>回收提供担保。其中优先级</w:t>
      </w:r>
      <w:r>
        <w:rPr>
          <w:rFonts w:ascii="宋体" w:hAnsi="宋体" w:cs="宋体" w:eastAsia="宋体" w:hint="default"/>
          <w:spacing w:val="-3"/>
        </w:rPr>
        <w:t>A</w:t>
      </w:r>
      <w:r>
        <w:rPr>
          <w:spacing w:val="-3"/>
        </w:rPr>
        <w:t>份额的权益实现包括：（</w:t>
      </w:r>
      <w:r>
        <w:rPr>
          <w:rFonts w:ascii="宋体" w:hAnsi="宋体" w:cs="宋体" w:eastAsia="宋体" w:hint="default"/>
          <w:spacing w:val="-3"/>
        </w:rPr>
        <w:t>1</w:t>
      </w:r>
      <w:r>
        <w:rPr>
          <w:spacing w:val="-3"/>
        </w:rPr>
        <w:t>）添威</w:t>
      </w:r>
      <w:r>
        <w:rPr>
          <w:rFonts w:ascii="宋体" w:hAnsi="宋体" w:cs="宋体" w:eastAsia="宋体" w:hint="default"/>
          <w:spacing w:val="-3"/>
        </w:rPr>
        <w:t>51</w:t>
      </w:r>
      <w:r>
        <w:rPr>
          <w:spacing w:val="-3"/>
        </w:rPr>
        <w:t>号资管计划优先级</w:t>
      </w:r>
      <w:r>
        <w:rPr>
          <w:rFonts w:ascii="宋体" w:hAnsi="宋体" w:cs="宋体" w:eastAsia="宋体" w:hint="default"/>
          <w:spacing w:val="-3"/>
        </w:rPr>
        <w:t>A</w:t>
      </w:r>
      <w:r>
        <w:rPr>
          <w:spacing w:val="-3"/>
        </w:rPr>
        <w:t>份额的本金回收；（</w:t>
      </w:r>
      <w:r>
        <w:rPr>
          <w:rFonts w:ascii="宋体" w:hAnsi="宋体" w:cs="宋体" w:eastAsia="宋体" w:hint="default"/>
          <w:spacing w:val="-3"/>
        </w:rPr>
        <w:t>2</w:t>
      </w:r>
      <w:r>
        <w:rPr>
          <w:spacing w:val="-3"/>
        </w:rPr>
        <w:t>）</w:t>
      </w:r>
      <w:r>
        <w:rPr>
          <w:spacing w:val="-91"/>
        </w:rPr>
        <w:t> </w:t>
      </w:r>
      <w:r>
        <w:rPr/>
        <w:t>添威</w:t>
      </w:r>
      <w:r>
        <w:rPr>
          <w:rFonts w:ascii="宋体" w:hAnsi="宋体" w:cs="宋体" w:eastAsia="宋体" w:hint="default"/>
        </w:rPr>
        <w:t>51</w:t>
      </w:r>
      <w:r>
        <w:rPr/>
        <w:t>号资管计划优先级</w:t>
      </w:r>
      <w:r>
        <w:rPr>
          <w:rFonts w:ascii="宋体" w:hAnsi="宋体" w:cs="宋体" w:eastAsia="宋体" w:hint="default"/>
        </w:rPr>
        <w:t>A</w:t>
      </w:r>
      <w:r>
        <w:rPr/>
        <w:t>份额按照约定的预期年基准收益率获得的收益。截至本报告日，该持股计划正 在准备实施前的工作，但尚未开始购买计划所确定的股份。</w:t>
      </w:r>
    </w:p>
    <w:p>
      <w:pPr>
        <w:spacing w:line="240" w:lineRule="auto" w:before="11"/>
        <w:rPr>
          <w:rFonts w:ascii="宋体" w:hAnsi="宋体" w:cs="宋体" w:eastAsia="宋体" w:hint="default"/>
          <w:sz w:val="18"/>
          <w:szCs w:val="18"/>
        </w:rPr>
      </w:pPr>
    </w:p>
    <w:p>
      <w:pPr>
        <w:pStyle w:val="Heading2"/>
        <w:spacing w:line="240" w:lineRule="auto"/>
        <w:ind w:right="104"/>
        <w:jc w:val="left"/>
        <w:rPr>
          <w:b w:val="0"/>
          <w:bCs w:val="0"/>
        </w:rPr>
      </w:pPr>
      <w:bookmarkStart w:name="十五、母公司财务报表主要项目注释" w:id="306"/>
      <w:bookmarkEnd w:id="306"/>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应收账款" w:id="307"/>
      <w:bookmarkEnd w:id="307"/>
      <w:r>
        <w:rPr>
          <w:b w:val="0"/>
          <w:bCs w:val="0"/>
        </w:rPr>
      </w:r>
      <w:r>
        <w:rPr>
          <w:rFonts w:ascii="宋体" w:hAnsi="宋体" w:cs="宋体" w:eastAsia="宋体" w:hint="default"/>
        </w:rPr>
        <w:t>1</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04"/>
        <w:jc w:val="left"/>
        <w:rPr>
          <w:b w:val="0"/>
          <w:bCs w:val="0"/>
        </w:rPr>
      </w:pPr>
      <w:bookmarkStart w:name="（1）应收账款分类披露" w:id="308"/>
      <w:bookmarkEnd w:id="308"/>
      <w:r>
        <w:rPr>
          <w:b w:val="0"/>
          <w:bCs w:val="0"/>
        </w:rPr>
      </w:r>
      <w:r>
        <w:rPr/>
        <w:t>（</w:t>
      </w:r>
      <w:r>
        <w:rPr>
          <w:rFonts w:ascii="宋体" w:hAnsi="宋体" w:cs="宋体" w:eastAsia="宋体" w:hint="default"/>
        </w:rPr>
        <w:t>1</w:t>
      </w:r>
      <w:r>
        <w:rPr/>
        <w:t>）应收账款分类披露</w:t>
      </w:r>
      <w:r>
        <w:rPr>
          <w:b w:val="0"/>
          <w:bCs w:val="0"/>
        </w:rPr>
      </w:r>
    </w:p>
    <w:p>
      <w:pPr>
        <w:spacing w:line="240" w:lineRule="auto" w:before="11"/>
        <w:rPr>
          <w:rFonts w:ascii="宋体" w:hAnsi="宋体" w:cs="宋体" w:eastAsia="宋体" w:hint="default"/>
          <w:b/>
          <w:bCs/>
          <w:sz w:val="27"/>
          <w:szCs w:val="27"/>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sz w:val="18"/>
              </w:rPr>
              <w:t>100,308</w:t>
            </w:r>
          </w:p>
          <w:p>
            <w:pPr>
              <w:pStyle w:val="TableParagraph"/>
              <w:spacing w:line="240" w:lineRule="auto" w:before="76"/>
              <w:ind w:left="87" w:right="0"/>
              <w:jc w:val="left"/>
              <w:rPr>
                <w:rFonts w:ascii="宋体" w:hAnsi="宋体" w:cs="宋体" w:eastAsia="宋体" w:hint="default"/>
                <w:sz w:val="18"/>
                <w:szCs w:val="18"/>
              </w:rPr>
            </w:pPr>
            <w:r>
              <w:rPr>
                <w:rFonts w:ascii="宋体"/>
                <w:sz w:val="18"/>
              </w:rPr>
              <w:t>,720.44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11,901,</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340.93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11.86%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88,407,3</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79.51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84,683</w:t>
            </w:r>
          </w:p>
          <w:p>
            <w:pPr>
              <w:pStyle w:val="TableParagraph"/>
              <w:spacing w:line="240" w:lineRule="auto" w:before="75"/>
              <w:ind w:right="23"/>
              <w:jc w:val="right"/>
              <w:rPr>
                <w:rFonts w:ascii="宋体" w:hAnsi="宋体" w:cs="宋体" w:eastAsia="宋体" w:hint="default"/>
                <w:sz w:val="18"/>
                <w:szCs w:val="18"/>
              </w:rPr>
            </w:pPr>
            <w:r>
              <w:rPr>
                <w:rFonts w:ascii="宋体"/>
                <w:sz w:val="18"/>
              </w:rPr>
              <w:t>,493.2</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92.96%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8,796,69</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9" w:right="0"/>
              <w:jc w:val="left"/>
              <w:rPr>
                <w:rFonts w:ascii="宋体" w:hAnsi="宋体" w:cs="宋体" w:eastAsia="宋体" w:hint="default"/>
                <w:sz w:val="18"/>
                <w:szCs w:val="18"/>
              </w:rPr>
            </w:pPr>
            <w:r>
              <w:rPr>
                <w:rFonts w:ascii="宋体"/>
                <w:sz w:val="18"/>
              </w:rPr>
              <w:t>10.39%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75,886,79</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7.63</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4,587,2</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76.10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4.37%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4,587,27</w:t>
            </w:r>
          </w:p>
          <w:p>
            <w:pPr>
              <w:pStyle w:val="TableParagraph"/>
              <w:spacing w:line="240" w:lineRule="auto" w:before="76"/>
              <w:ind w:left="397" w:right="0"/>
              <w:jc w:val="left"/>
              <w:rPr>
                <w:rFonts w:ascii="宋体" w:hAnsi="宋体" w:cs="宋体" w:eastAsia="宋体" w:hint="default"/>
                <w:sz w:val="18"/>
                <w:szCs w:val="18"/>
              </w:rPr>
            </w:pPr>
            <w:r>
              <w:rPr>
                <w:rFonts w:ascii="宋体"/>
                <w:sz w:val="18"/>
              </w:rPr>
              <w:t>6.10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6,415,</w:t>
            </w:r>
          </w:p>
          <w:p>
            <w:pPr>
              <w:pStyle w:val="TableParagraph"/>
              <w:spacing w:line="240" w:lineRule="auto" w:before="76"/>
              <w:ind w:left="80" w:right="0"/>
              <w:jc w:val="left"/>
              <w:rPr>
                <w:rFonts w:ascii="宋体" w:hAnsi="宋体" w:cs="宋体" w:eastAsia="宋体" w:hint="default"/>
                <w:sz w:val="18"/>
                <w:szCs w:val="18"/>
              </w:rPr>
            </w:pPr>
            <w:r>
              <w:rPr>
                <w:rFonts w:ascii="宋体"/>
                <w:sz w:val="18"/>
              </w:rPr>
              <w:t>634.30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7.04%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6,415,634</w:t>
            </w:r>
          </w:p>
          <w:p>
            <w:pPr>
              <w:pStyle w:val="TableParagraph"/>
              <w:spacing w:line="240" w:lineRule="auto" w:before="76"/>
              <w:ind w:right="23"/>
              <w:jc w:val="right"/>
              <w:rPr>
                <w:rFonts w:ascii="宋体" w:hAnsi="宋体" w:cs="宋体" w:eastAsia="宋体" w:hint="default"/>
                <w:sz w:val="18"/>
                <w:szCs w:val="18"/>
              </w:rPr>
            </w:pPr>
            <w:r>
              <w:rPr>
                <w:rFonts w:ascii="宋体"/>
                <w:sz w:val="18"/>
              </w:rPr>
              <w:t>.30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sz w:val="18"/>
              </w:rPr>
              <w:t>104,895</w:t>
            </w:r>
          </w:p>
          <w:p>
            <w:pPr>
              <w:pStyle w:val="TableParagraph"/>
              <w:spacing w:line="240" w:lineRule="auto" w:before="76"/>
              <w:ind w:left="93" w:right="0"/>
              <w:jc w:val="left"/>
              <w:rPr>
                <w:rFonts w:ascii="宋体" w:hAnsi="宋体" w:cs="宋体" w:eastAsia="宋体" w:hint="default"/>
                <w:sz w:val="18"/>
                <w:szCs w:val="18"/>
              </w:rPr>
            </w:pPr>
            <w:r>
              <w:rPr>
                <w:rFonts w:ascii="宋体"/>
                <w:sz w:val="18"/>
              </w:rPr>
              <w:t>,996.54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11,901,</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340.93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92,994,6</w:t>
            </w:r>
          </w:p>
          <w:p>
            <w:pPr>
              <w:pStyle w:val="TableParagraph"/>
              <w:spacing w:line="240" w:lineRule="auto" w:before="76"/>
              <w:ind w:left="307" w:right="0"/>
              <w:jc w:val="left"/>
              <w:rPr>
                <w:rFonts w:ascii="宋体" w:hAnsi="宋体" w:cs="宋体" w:eastAsia="宋体" w:hint="default"/>
                <w:sz w:val="18"/>
                <w:szCs w:val="18"/>
              </w:rPr>
            </w:pPr>
            <w:r>
              <w:rPr>
                <w:rFonts w:ascii="宋体"/>
                <w:sz w:val="18"/>
              </w:rPr>
              <w:t>55.61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91,099</w:t>
            </w:r>
          </w:p>
          <w:p>
            <w:pPr>
              <w:pStyle w:val="TableParagraph"/>
              <w:spacing w:line="240" w:lineRule="auto" w:before="75"/>
              <w:ind w:right="23"/>
              <w:jc w:val="right"/>
              <w:rPr>
                <w:rFonts w:ascii="宋体" w:hAnsi="宋体" w:cs="宋体" w:eastAsia="宋体" w:hint="default"/>
                <w:sz w:val="18"/>
                <w:szCs w:val="18"/>
              </w:rPr>
            </w:pPr>
            <w:r>
              <w:rPr>
                <w:rFonts w:ascii="宋体"/>
                <w:sz w:val="18"/>
              </w:rPr>
              <w:t>,127.5</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8,796,69</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5.65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82,302,43</w:t>
            </w:r>
          </w:p>
          <w:p>
            <w:pPr>
              <w:pStyle w:val="TableParagraph"/>
              <w:spacing w:line="240" w:lineRule="auto" w:before="76"/>
              <w:ind w:left="538" w:right="0"/>
              <w:jc w:val="left"/>
              <w:rPr>
                <w:rFonts w:ascii="宋体" w:hAnsi="宋体" w:cs="宋体" w:eastAsia="宋体" w:hint="default"/>
                <w:sz w:val="18"/>
                <w:szCs w:val="18"/>
              </w:rPr>
            </w:pPr>
            <w:r>
              <w:rPr>
                <w:rFonts w:ascii="宋体"/>
                <w:sz w:val="18"/>
              </w:rPr>
              <w:t>1.93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2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4295" w:space="4535"/>
            <w:col w:w="118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65,166,222.35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3,258,311.12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65,166,222.35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3,258,311.12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15,053,948.39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1,505,394.84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11,427,669.17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2,285,533.83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8,660,880.53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4,852,101.14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4,065,772.14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1,219,731.64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1,925,477.79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962,738.90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2,669,630.60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2,669,630.60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100,308,720.44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11,901,340.93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6"/>
        <w:ind w:left="154" w:right="58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本期计提、收回或转回的坏账准备情况" w:id="309"/>
      <w:bookmarkEnd w:id="309"/>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980"/>
        </w:sectPr>
      </w:pPr>
    </w:p>
    <w:p>
      <w:pPr>
        <w:spacing w:line="357"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3,104,645.28</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633" w:space="2197"/>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310"/>
      <w:bookmarkEnd w:id="310"/>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pacing w:val="-46"/>
                <w:sz w:val="18"/>
                <w:szCs w:val="18"/>
              </w:rPr>
              <w:t> </w:t>
            </w:r>
            <w:r>
              <w:rPr>
                <w:rFonts w:ascii="宋体" w:hAnsi="宋体" w:cs="宋体" w:eastAsia="宋体" w:hint="default"/>
                <w:sz w:val="18"/>
                <w:szCs w:val="18"/>
              </w:rPr>
              <w:t>76</w:t>
            </w:r>
            <w:r>
              <w:rPr>
                <w:rFonts w:ascii="宋体" w:hAnsi="宋体" w:cs="宋体" w:eastAsia="宋体" w:hint="default"/>
                <w:spacing w:val="-46"/>
                <w:sz w:val="18"/>
                <w:szCs w:val="18"/>
              </w:rPr>
              <w:t> </w:t>
            </w:r>
            <w:r>
              <w:rPr>
                <w:rFonts w:ascii="宋体" w:hAnsi="宋体" w:cs="宋体" w:eastAsia="宋体" w:hint="default"/>
                <w:sz w:val="18"/>
                <w:szCs w:val="18"/>
              </w:rPr>
              <w:t>户零星账户</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36,637.06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311"/>
      <w:bookmarkEnd w:id="311"/>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7"/>
          <w:szCs w:val="27"/>
        </w:rPr>
      </w:pPr>
    </w:p>
    <w:tbl>
      <w:tblPr>
        <w:tblW w:w="0" w:type="auto"/>
        <w:jc w:val="left"/>
        <w:tblInd w:w="146" w:type="dxa"/>
        <w:tblLayout w:type="fixed"/>
        <w:tblCellMar>
          <w:top w:w="0" w:type="dxa"/>
          <w:left w:w="0" w:type="dxa"/>
          <w:bottom w:w="0" w:type="dxa"/>
          <w:right w:w="0" w:type="dxa"/>
        </w:tblCellMar>
        <w:tblLook w:val="01E0"/>
      </w:tblPr>
      <w:tblGrid>
        <w:gridCol w:w="3526"/>
        <w:gridCol w:w="2171"/>
        <w:gridCol w:w="2015"/>
        <w:gridCol w:w="1820"/>
      </w:tblGrid>
      <w:tr>
        <w:trPr>
          <w:trHeight w:val="970" w:hRule="exact"/>
        </w:trPr>
        <w:tc>
          <w:tcPr>
            <w:tcW w:w="3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7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5"/>
              <w:ind w:left="55" w:right="9" w:hanging="46"/>
              <w:jc w:val="left"/>
              <w:rPr>
                <w:rFonts w:ascii="宋体" w:hAnsi="宋体" w:cs="宋体" w:eastAsia="宋体" w:hint="default"/>
                <w:sz w:val="18"/>
                <w:szCs w:val="18"/>
              </w:rPr>
            </w:pPr>
            <w:r>
              <w:rPr>
                <w:rFonts w:ascii="宋体" w:hAnsi="宋体" w:cs="宋体" w:eastAsia="宋体" w:hint="default"/>
                <w:sz w:val="18"/>
                <w:szCs w:val="18"/>
              </w:rPr>
              <w:t>期末余额及占应收账款期 末余额合计数的比例</w:t>
            </w:r>
            <w:r>
              <w:rPr>
                <w:rFonts w:ascii="宋体" w:hAnsi="宋体" w:cs="宋体" w:eastAsia="宋体" w:hint="default"/>
                <w:sz w:val="18"/>
                <w:szCs w:val="18"/>
              </w:rPr>
              <w:t>(%)</w:t>
            </w:r>
          </w:p>
        </w:tc>
        <w:tc>
          <w:tcPr>
            <w:tcW w:w="1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362"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新疆天智辰业化工有限公司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3,896,891.30</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194,844.57</w:t>
            </w:r>
          </w:p>
        </w:tc>
      </w:tr>
      <w:tr>
        <w:trPr>
          <w:trHeight w:val="34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陕西格润科贸有限责任公司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3,870,587.84</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193,529.39</w:t>
            </w:r>
          </w:p>
        </w:tc>
      </w:tr>
      <w:tr>
        <w:trPr>
          <w:trHeight w:val="34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2,869,489.00</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143,474.45</w:t>
            </w:r>
          </w:p>
        </w:tc>
      </w:tr>
      <w:tr>
        <w:trPr>
          <w:trHeight w:val="349"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2,365,735.16</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118,286.76</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526"/>
        <w:gridCol w:w="2171"/>
        <w:gridCol w:w="2015"/>
        <w:gridCol w:w="1820"/>
      </w:tblGrid>
      <w:tr>
        <w:trPr>
          <w:trHeight w:val="34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宁波中金石化有限公司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2,362,824.00</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118,141.20</w:t>
            </w:r>
          </w:p>
        </w:tc>
      </w:tr>
      <w:tr>
        <w:trPr>
          <w:trHeight w:val="348" w:hRule="exact"/>
        </w:trPr>
        <w:tc>
          <w:tcPr>
            <w:tcW w:w="3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15,365,527.30</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14.65</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768,276.37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2、其他应收款" w:id="312"/>
      <w:bookmarkEnd w:id="312"/>
      <w:r>
        <w:rPr>
          <w:b w:val="0"/>
          <w:bCs w:val="0"/>
        </w:rPr>
      </w: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left="154" w:right="0"/>
        <w:jc w:val="left"/>
        <w:rPr>
          <w:b w:val="0"/>
          <w:bCs w:val="0"/>
        </w:rPr>
      </w:pPr>
      <w:bookmarkStart w:name="（1）其他应收款分类披露" w:id="313"/>
      <w:bookmarkEnd w:id="313"/>
      <w:r>
        <w:rPr>
          <w:b w:val="0"/>
          <w:bCs w:val="0"/>
        </w:rPr>
      </w: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2,964,2</w:t>
            </w:r>
          </w:p>
          <w:p>
            <w:pPr>
              <w:pStyle w:val="TableParagraph"/>
              <w:spacing w:line="240" w:lineRule="auto" w:before="77"/>
              <w:ind w:left="243" w:right="0"/>
              <w:jc w:val="center"/>
              <w:rPr>
                <w:rFonts w:ascii="宋体" w:hAnsi="宋体" w:cs="宋体" w:eastAsia="宋体" w:hint="default"/>
                <w:sz w:val="18"/>
                <w:szCs w:val="18"/>
              </w:rPr>
            </w:pPr>
            <w:r>
              <w:rPr>
                <w:rFonts w:ascii="宋体"/>
                <w:sz w:val="18"/>
              </w:rPr>
              <w:t>51.43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355,869</w:t>
            </w:r>
          </w:p>
          <w:p>
            <w:pPr>
              <w:pStyle w:val="TableParagraph"/>
              <w:spacing w:line="240" w:lineRule="auto" w:before="77"/>
              <w:ind w:left="458" w:right="0"/>
              <w:jc w:val="left"/>
              <w:rPr>
                <w:rFonts w:ascii="宋体" w:hAnsi="宋体" w:cs="宋体" w:eastAsia="宋体" w:hint="default"/>
                <w:sz w:val="18"/>
                <w:szCs w:val="18"/>
              </w:rPr>
            </w:pPr>
            <w:r>
              <w:rPr>
                <w:rFonts w:ascii="宋体"/>
                <w:sz w:val="18"/>
              </w:rPr>
              <w:t>.67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sz w:val="18"/>
              </w:rPr>
              <w:t>12.01%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2,608,38</w:t>
            </w:r>
          </w:p>
          <w:p>
            <w:pPr>
              <w:pStyle w:val="TableParagraph"/>
              <w:spacing w:line="240" w:lineRule="auto" w:before="77"/>
              <w:ind w:left="397" w:right="0"/>
              <w:jc w:val="left"/>
              <w:rPr>
                <w:rFonts w:ascii="宋体" w:hAnsi="宋体" w:cs="宋体" w:eastAsia="宋体" w:hint="default"/>
                <w:sz w:val="18"/>
                <w:szCs w:val="18"/>
              </w:rPr>
            </w:pPr>
            <w:r>
              <w:rPr>
                <w:rFonts w:ascii="宋体"/>
                <w:sz w:val="18"/>
              </w:rPr>
              <w:t>1.76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7,295,</w:t>
            </w:r>
          </w:p>
          <w:p>
            <w:pPr>
              <w:pStyle w:val="TableParagraph"/>
              <w:spacing w:line="240" w:lineRule="auto" w:before="77"/>
              <w:ind w:left="80" w:right="0"/>
              <w:jc w:val="left"/>
              <w:rPr>
                <w:rFonts w:ascii="宋体" w:hAnsi="宋体" w:cs="宋体" w:eastAsia="宋体" w:hint="default"/>
                <w:sz w:val="18"/>
                <w:szCs w:val="18"/>
              </w:rPr>
            </w:pPr>
            <w:r>
              <w:rPr>
                <w:rFonts w:ascii="宋体"/>
                <w:sz w:val="18"/>
              </w:rPr>
              <w:t>285.62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65.11%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512,463.</w:t>
            </w:r>
          </w:p>
          <w:p>
            <w:pPr>
              <w:pStyle w:val="TableParagraph"/>
              <w:spacing w:line="240" w:lineRule="auto" w:before="77"/>
              <w:ind w:right="20"/>
              <w:jc w:val="right"/>
              <w:rPr>
                <w:rFonts w:ascii="宋体" w:hAnsi="宋体" w:cs="宋体" w:eastAsia="宋体" w:hint="default"/>
                <w:sz w:val="18"/>
                <w:szCs w:val="18"/>
              </w:rPr>
            </w:pPr>
            <w:r>
              <w:rPr>
                <w:rFonts w:ascii="宋体"/>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9" w:right="0"/>
              <w:jc w:val="left"/>
              <w:rPr>
                <w:rFonts w:ascii="宋体" w:hAnsi="宋体" w:cs="宋体" w:eastAsia="宋体" w:hint="default"/>
                <w:sz w:val="18"/>
                <w:szCs w:val="18"/>
              </w:rPr>
            </w:pPr>
            <w:r>
              <w:rPr>
                <w:rFonts w:ascii="宋体"/>
                <w:sz w:val="18"/>
              </w:rPr>
              <w:t>7.02%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6,782,821</w:t>
            </w:r>
          </w:p>
          <w:p>
            <w:pPr>
              <w:pStyle w:val="TableParagraph"/>
              <w:spacing w:line="240" w:lineRule="auto" w:before="77"/>
              <w:ind w:right="23"/>
              <w:jc w:val="right"/>
              <w:rPr>
                <w:rFonts w:ascii="宋体" w:hAnsi="宋体" w:cs="宋体" w:eastAsia="宋体" w:hint="default"/>
                <w:sz w:val="18"/>
                <w:szCs w:val="18"/>
              </w:rPr>
            </w:pPr>
            <w:r>
              <w:rPr>
                <w:rFonts w:ascii="宋体"/>
                <w:sz w:val="18"/>
              </w:rPr>
              <w:t>.64</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sz w:val="18"/>
              </w:rPr>
              <w:t>3,908,</w:t>
            </w:r>
          </w:p>
          <w:p>
            <w:pPr>
              <w:pStyle w:val="TableParagraph"/>
              <w:spacing w:line="240" w:lineRule="auto" w:before="77"/>
              <w:ind w:left="80" w:right="0"/>
              <w:jc w:val="left"/>
              <w:rPr>
                <w:rFonts w:ascii="宋体" w:hAnsi="宋体" w:cs="宋体" w:eastAsia="宋体" w:hint="default"/>
                <w:sz w:val="18"/>
                <w:szCs w:val="18"/>
              </w:rPr>
            </w:pPr>
            <w:r>
              <w:rPr>
                <w:rFonts w:ascii="宋体"/>
                <w:sz w:val="18"/>
              </w:rPr>
              <w:t>623.49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34.89%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3,908,623</w:t>
            </w:r>
          </w:p>
          <w:p>
            <w:pPr>
              <w:pStyle w:val="TableParagraph"/>
              <w:spacing w:line="240" w:lineRule="auto" w:before="77"/>
              <w:ind w:right="23"/>
              <w:jc w:val="right"/>
              <w:rPr>
                <w:rFonts w:ascii="宋体" w:hAnsi="宋体" w:cs="宋体" w:eastAsia="宋体" w:hint="default"/>
                <w:sz w:val="18"/>
                <w:szCs w:val="18"/>
              </w:rPr>
            </w:pPr>
            <w:r>
              <w:rPr>
                <w:rFonts w:ascii="宋体"/>
                <w:sz w:val="18"/>
              </w:rPr>
              <w:t>.49</w:t>
            </w:r>
          </w:p>
        </w:tc>
      </w:tr>
      <w:tr>
        <w:trPr>
          <w:trHeight w:val="317"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center"/>
              <w:rPr>
                <w:rFonts w:ascii="宋体" w:hAnsi="宋体" w:cs="宋体" w:eastAsia="宋体" w:hint="default"/>
                <w:sz w:val="18"/>
                <w:szCs w:val="18"/>
              </w:rPr>
            </w:pPr>
            <w:r>
              <w:rPr>
                <w:rFonts w:ascii="宋体"/>
                <w:sz w:val="18"/>
              </w:rPr>
              <w:t>2,964,2</w:t>
            </w:r>
          </w:p>
          <w:p>
            <w:pPr>
              <w:pStyle w:val="TableParagraph"/>
              <w:spacing w:line="240" w:lineRule="auto" w:before="78"/>
              <w:ind w:left="249" w:right="0"/>
              <w:jc w:val="center"/>
              <w:rPr>
                <w:rFonts w:ascii="宋体" w:hAnsi="宋体" w:cs="宋体" w:eastAsia="宋体" w:hint="default"/>
                <w:sz w:val="18"/>
                <w:szCs w:val="18"/>
              </w:rPr>
            </w:pPr>
            <w:r>
              <w:rPr>
                <w:rFonts w:ascii="宋体"/>
                <w:sz w:val="18"/>
              </w:rPr>
              <w:t>51.43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355,869</w:t>
            </w:r>
          </w:p>
          <w:p>
            <w:pPr>
              <w:pStyle w:val="TableParagraph"/>
              <w:spacing w:line="240" w:lineRule="auto" w:before="78"/>
              <w:ind w:left="458" w:right="0"/>
              <w:jc w:val="left"/>
              <w:rPr>
                <w:rFonts w:ascii="宋体" w:hAnsi="宋体" w:cs="宋体" w:eastAsia="宋体" w:hint="default"/>
                <w:sz w:val="18"/>
                <w:szCs w:val="18"/>
              </w:rPr>
            </w:pPr>
            <w:r>
              <w:rPr>
                <w:rFonts w:ascii="宋体"/>
                <w:sz w:val="18"/>
              </w:rPr>
              <w:t>.67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2,608,38</w:t>
            </w:r>
          </w:p>
          <w:p>
            <w:pPr>
              <w:pStyle w:val="TableParagraph"/>
              <w:spacing w:line="240" w:lineRule="auto" w:before="78"/>
              <w:ind w:left="397" w:right="0"/>
              <w:jc w:val="left"/>
              <w:rPr>
                <w:rFonts w:ascii="宋体" w:hAnsi="宋体" w:cs="宋体" w:eastAsia="宋体" w:hint="default"/>
                <w:sz w:val="18"/>
                <w:szCs w:val="18"/>
              </w:rPr>
            </w:pPr>
            <w:r>
              <w:rPr>
                <w:rFonts w:ascii="宋体"/>
                <w:sz w:val="18"/>
              </w:rPr>
              <w:t>1.76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11,203</w:t>
            </w:r>
          </w:p>
          <w:p>
            <w:pPr>
              <w:pStyle w:val="TableParagraph"/>
              <w:spacing w:line="240" w:lineRule="auto" w:before="77"/>
              <w:ind w:right="23"/>
              <w:jc w:val="right"/>
              <w:rPr>
                <w:rFonts w:ascii="宋体" w:hAnsi="宋体" w:cs="宋体" w:eastAsia="宋体" w:hint="default"/>
                <w:sz w:val="18"/>
                <w:szCs w:val="18"/>
              </w:rPr>
            </w:pPr>
            <w:r>
              <w:rPr>
                <w:rFonts w:ascii="宋体"/>
                <w:sz w:val="18"/>
              </w:rPr>
              <w:t>,909.1</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512,463.</w:t>
            </w:r>
          </w:p>
          <w:p>
            <w:pPr>
              <w:pStyle w:val="TableParagraph"/>
              <w:spacing w:line="240" w:lineRule="auto" w:before="78"/>
              <w:ind w:right="20"/>
              <w:jc w:val="right"/>
              <w:rPr>
                <w:rFonts w:ascii="宋体" w:hAnsi="宋体" w:cs="宋体" w:eastAsia="宋体" w:hint="default"/>
                <w:sz w:val="18"/>
                <w:szCs w:val="18"/>
              </w:rPr>
            </w:pPr>
            <w:r>
              <w:rPr>
                <w:rFonts w:ascii="宋体"/>
                <w:sz w:val="18"/>
              </w:rPr>
              <w:t>98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10,691,44</w:t>
            </w:r>
          </w:p>
          <w:p>
            <w:pPr>
              <w:pStyle w:val="TableParagraph"/>
              <w:spacing w:line="240" w:lineRule="auto" w:before="78"/>
              <w:ind w:left="538" w:right="0"/>
              <w:jc w:val="left"/>
              <w:rPr>
                <w:rFonts w:ascii="宋体" w:hAnsi="宋体" w:cs="宋体" w:eastAsia="宋体" w:hint="default"/>
                <w:sz w:val="18"/>
                <w:szCs w:val="18"/>
              </w:rPr>
            </w:pPr>
            <w:r>
              <w:rPr>
                <w:rFonts w:ascii="宋体"/>
                <w:sz w:val="18"/>
              </w:rPr>
              <w:t>5.13</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1,885,897.43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94,294.87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1,885,897.43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94,294.87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451,085.00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45,108.50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334,654.00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66,930.80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292,615.00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149,535.50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108,860.00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32,658.00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133,755.00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66,877.50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84"/>
        <w:gridCol w:w="2307"/>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82" w:right="0"/>
              <w:jc w:val="left"/>
              <w:rPr>
                <w:rFonts w:ascii="宋体" w:hAnsi="宋体" w:cs="宋体" w:eastAsia="宋体" w:hint="default"/>
                <w:sz w:val="18"/>
                <w:szCs w:val="18"/>
              </w:rPr>
            </w:pPr>
            <w:r>
              <w:rPr>
                <w:rFonts w:ascii="宋体"/>
                <w:sz w:val="18"/>
              </w:rPr>
              <w:t>2,964,251.43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6" w:right="0"/>
              <w:jc w:val="left"/>
              <w:rPr>
                <w:rFonts w:ascii="宋体" w:hAnsi="宋体" w:cs="宋体" w:eastAsia="宋体" w:hint="default"/>
                <w:sz w:val="18"/>
                <w:szCs w:val="18"/>
              </w:rPr>
            </w:pPr>
            <w:r>
              <w:rPr>
                <w:rFonts w:ascii="宋体"/>
                <w:sz w:val="18"/>
              </w:rPr>
              <w:t>355,869.67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6"/>
        <w:ind w:left="154" w:right="563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本期计提、收回或转回的坏账准备情况" w:id="314"/>
      <w:bookmarkEnd w:id="314"/>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980"/>
        </w:sectPr>
      </w:pPr>
    </w:p>
    <w:p>
      <w:pPr>
        <w:spacing w:line="357"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z w:val="18"/>
          <w:szCs w:val="18"/>
        </w:rPr>
        <w:t>-156,594.31</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99" w:space="2331"/>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应收款按款项性质分类情况" w:id="315"/>
      <w:bookmarkEnd w:id="315"/>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1,528,634.90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2,565,892.67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560,010.00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2,045,566.00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3,908,623.49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875,606.53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2,683,826.95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2,964,251.43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11,203,909.11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吊的其他应收款情况" w:id="316"/>
      <w:bookmarkEnd w:id="316"/>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967"/>
        <w:gridCol w:w="1552"/>
        <w:gridCol w:w="1553"/>
        <w:gridCol w:w="1614"/>
        <w:gridCol w:w="161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郑州高新区石佛办事处征地 拆迁指挥部</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郑州市公安局</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7,800.00</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河南省煤气（集团）有限责 任公司义马气化厂</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9" w:lineRule="auto" w:before="75"/>
              <w:ind w:left="22" w:right="168"/>
              <w:jc w:val="left"/>
              <w:rPr>
                <w:rFonts w:ascii="宋体" w:hAnsi="宋体" w:cs="宋体" w:eastAsia="宋体" w:hint="default"/>
                <w:sz w:val="18"/>
                <w:szCs w:val="18"/>
              </w:rPr>
            </w:pPr>
            <w:r>
              <w:rPr>
                <w:rFonts w:ascii="宋体" w:hAnsi="宋体" w:cs="宋体" w:eastAsia="宋体" w:hint="default"/>
                <w:sz w:val="18"/>
                <w:szCs w:val="18"/>
              </w:rPr>
              <w:t>100,000.00</w:t>
            </w:r>
            <w:r>
              <w:rPr>
                <w:rFonts w:ascii="宋体" w:hAnsi="宋体" w:cs="宋体" w:eastAsia="宋体" w:hint="default"/>
                <w:sz w:val="18"/>
                <w:szCs w:val="18"/>
              </w:rPr>
              <w:t>；</w:t>
            </w:r>
            <w:r>
              <w:rPr>
                <w:rFonts w:ascii="宋体" w:hAnsi="宋体" w:cs="宋体" w:eastAsia="宋体" w:hint="default"/>
                <w:sz w:val="18"/>
                <w:szCs w:val="18"/>
              </w:rPr>
              <w:t>3-4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32,000.00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北京市大兴区能源办公室</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119,654.00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23,930.80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浙江天猫技术有限公司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109,999.79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54,999.90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825,653.79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133,730.70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长期股权投资" w:id="317"/>
      <w:bookmarkEnd w:id="317"/>
      <w:r>
        <w:rPr>
          <w:b w:val="0"/>
          <w:bCs w:val="0"/>
        </w:rPr>
      </w: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690,797,815.11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690,797,815.11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center"/>
              <w:rPr>
                <w:rFonts w:ascii="宋体" w:hAnsi="宋体" w:cs="宋体" w:eastAsia="宋体" w:hint="default"/>
                <w:sz w:val="18"/>
                <w:szCs w:val="18"/>
              </w:rPr>
            </w:pPr>
            <w:r>
              <w:rPr>
                <w:rFonts w:ascii="宋体"/>
                <w:sz w:val="18"/>
              </w:rPr>
              <w:t>149,683,626.20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149,683,626.20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1,677,247.41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1,677,247.41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692,475,062.52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692,475,062.52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center"/>
              <w:rPr>
                <w:rFonts w:ascii="宋体" w:hAnsi="宋体" w:cs="宋体" w:eastAsia="宋体" w:hint="default"/>
                <w:sz w:val="18"/>
                <w:szCs w:val="18"/>
              </w:rPr>
            </w:pPr>
            <w:r>
              <w:rPr>
                <w:rFonts w:ascii="宋体"/>
                <w:sz w:val="18"/>
              </w:rPr>
              <w:t>149,683,626.20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149,683,626.20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18"/>
      <w:bookmarkEnd w:id="318"/>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41,686,910.38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41,686,910.38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8,238,715.82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8,238,715.82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35,968,000.00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center"/>
              <w:rPr>
                <w:rFonts w:ascii="宋体" w:hAnsi="宋体" w:cs="宋体" w:eastAsia="宋体" w:hint="default"/>
                <w:sz w:val="18"/>
                <w:szCs w:val="18"/>
              </w:rPr>
            </w:pPr>
            <w:r>
              <w:rPr>
                <w:rFonts w:ascii="宋体"/>
                <w:sz w:val="18"/>
              </w:rPr>
              <w:t>64,399,990.51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100,367,990.51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上海英森</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center"/>
              <w:rPr>
                <w:rFonts w:ascii="宋体" w:hAnsi="宋体" w:cs="宋体" w:eastAsia="宋体" w:hint="default"/>
                <w:sz w:val="18"/>
                <w:szCs w:val="18"/>
              </w:rPr>
            </w:pPr>
            <w:r>
              <w:rPr>
                <w:rFonts w:ascii="宋体"/>
                <w:sz w:val="18"/>
              </w:rPr>
              <w:t>10,235,000.00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10,235,000.00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center"/>
              <w:rPr>
                <w:rFonts w:ascii="宋体" w:hAnsi="宋体" w:cs="宋体" w:eastAsia="宋体" w:hint="default"/>
                <w:sz w:val="18"/>
                <w:szCs w:val="18"/>
              </w:rPr>
            </w:pPr>
            <w:r>
              <w:rPr>
                <w:rFonts w:ascii="宋体"/>
                <w:sz w:val="18"/>
              </w:rPr>
              <w:t>26,479,200.00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26,479,200.00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sz w:val="18"/>
              </w:rPr>
              <w:t>439,999,998.40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439,999,998.40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149,683,626.20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sz w:val="18"/>
              </w:rPr>
              <w:t>541,114,188.91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690,797,815.11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319"/>
      <w:bookmarkEnd w:id="319"/>
      <w:r>
        <w:rPr>
          <w:b w:val="0"/>
          <w:bCs w:val="0"/>
        </w:rPr>
      </w:r>
      <w:r>
        <w:rPr/>
        <w:t>（</w:t>
      </w:r>
      <w:r>
        <w:rPr>
          <w:rFonts w:ascii="宋体" w:hAnsi="宋体" w:cs="宋体" w:eastAsia="宋体" w:hint="default"/>
        </w:rPr>
        <w:t>2</w:t>
      </w:r>
      <w:r>
        <w:rPr/>
        <w:t>）对联营、合营企业投资</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苏州能斯 达电子科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-472,752</w:t>
            </w:r>
          </w:p>
          <w:p>
            <w:pPr>
              <w:pStyle w:val="TableParagraph"/>
              <w:spacing w:line="240" w:lineRule="auto" w:before="77"/>
              <w:ind w:left="494" w:right="0"/>
              <w:jc w:val="lef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7.41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-472,752</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2,150,00</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-472,752</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1,677,24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7.41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营业收入和营业成本" w:id="320"/>
      <w:bookmarkEnd w:id="320"/>
      <w:r>
        <w:rPr>
          <w:b w:val="0"/>
          <w:bCs w:val="0"/>
        </w:rPr>
      </w:r>
      <w:r>
        <w:rPr>
          <w:rFonts w:ascii="宋体" w:hAnsi="宋体" w:cs="宋体" w:eastAsia="宋体" w:hint="default"/>
        </w:rPr>
        <w:t>4</w:t>
      </w:r>
      <w:r>
        <w:rPr/>
        <w:t>、营业收入和营业成本</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208,429,915.00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111,526,488.43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188,821,105.36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105,616,583.65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12,589,559.26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5,708,318.49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14,155,679.97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4,425,372.71</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221,019,474.26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117,234,806.92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202,976,785.33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110,041,956.36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321"/>
      <w:bookmarkEnd w:id="321"/>
      <w:r>
        <w:rPr>
          <w:b w:val="0"/>
          <w:bCs w:val="0"/>
        </w:rPr>
      </w:r>
      <w:r>
        <w:rPr>
          <w:rFonts w:ascii="宋体" w:hAnsi="宋体" w:cs="宋体" w:eastAsia="宋体" w:hint="default"/>
        </w:rPr>
        <w:t>5</w:t>
      </w:r>
      <w:r>
        <w:rPr/>
        <w:t>、投资收益</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-472,752.59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3,177,600.00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27,527,247.41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28,177,600.00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22"/>
      <w:bookmarkEnd w:id="322"/>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23"/>
      <w:bookmarkEnd w:id="323"/>
      <w:r>
        <w:rPr>
          <w:b w:val="0"/>
          <w:bCs w:val="0"/>
        </w:rPr>
      </w: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-157,404.03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23,277,695.93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-245,272.13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3,172,843.93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1,266,115.71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18,436,060.13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7"/>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净资产收益率及每股收益" w:id="324"/>
      <w:bookmarkEnd w:id="324"/>
      <w:r>
        <w:rPr>
          <w:b w:val="0"/>
          <w:bCs w:val="0"/>
        </w:rPr>
      </w: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0.47</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0.32</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会计政策变更相关补充资料" w:id="325"/>
      <w:bookmarkEnd w:id="325"/>
      <w:r>
        <w:rPr>
          <w:b w:val="0"/>
          <w:bCs w:val="0"/>
        </w:rPr>
      </w:r>
      <w:r>
        <w:rPr>
          <w:rFonts w:ascii="宋体" w:hAnsi="宋体" w:cs="宋体" w:eastAsia="宋体" w:hint="default"/>
        </w:rPr>
        <w:t>3</w:t>
      </w:r>
      <w:r>
        <w:rPr/>
        <w:t>、会计政策变更相关补充资料</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号——长期股权投资》等八项会计准则变更了相关会计政策并对比较财</w:t>
      </w:r>
    </w:p>
    <w:p>
      <w:pPr>
        <w:spacing w:before="77"/>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日合并资产负债表如下：</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213,337,933.61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260,212,710.79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242,428,256.41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5,175,126.17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5,369,168.50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21,223,146.02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114,402,202.18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123,562,969.57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213,927,884.00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31,398,740.38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14,159,184.91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14,590,266.50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5,606,783.39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9,554,151.64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13,617,350.05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68,630,898.51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69,010,233.12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179,276,609.63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784,781.32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438,551,684.24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481,868,418.53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685,848,293.93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10,992,958.00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1,677,247.41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9,766,096.63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62,099,340.22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84,759,020.43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292,189,941.65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424,625,831.67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137,458,863.69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48,673,444.15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5,135,899.21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68,559,262.07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70,316,984.64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342,012,674.74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1,576,624.47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1,897,779.25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26,018,710.86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271,218,259.12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796,314.11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476,648.15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484,279.98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2,629,730.46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4,922,371.45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9,001,296.83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9"/>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5,507,078.40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296,440,970.01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452,364,197.53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1,134,531,490.05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734,992,654.25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934,232,616.06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1,820,379,783.98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23,571,593.63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51,430,725.15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87,865,105.58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159,665,245.73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14,070,283.03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15,462,869.78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16,437,473.57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4,821,268.00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5,955,942.05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10,128,759.86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-402,557.87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7,659,616.73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23,666,454.08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150,574.99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421,077.04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4,855,565.66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5,003,476.27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31,893,296.62</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5,550,705.41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15,999,550.90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25,312,907.92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90,325,989.38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248,097,136.30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459,596,808.45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42,880,000.00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48,863,867.43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1,496,634.72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1,832,178.59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7,052,534.99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869,937.52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335,320.61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15,741,194.89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2,366,572.24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2,167,499.20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114,537,597.31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92,692,561.62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250,264,635.50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574,134,405.76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146,511,403.00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316,891,142.17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317,376,942.17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745,597,861.95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14,660,387.56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19,039,488.60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23,933,007.99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159,156,060.17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188,647,177.77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235,195,448.72</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608,707,589.90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643,063,608.54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1,151,237,721.66</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33,592,502.73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40,904,372.02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95,007,656.56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642,300,092.63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683,967,980.56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1,246,245,378.22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734,992,654.25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934,232,616.06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1,820,379,783.98</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784"/>
        <w:jc w:val="center"/>
        <w:rPr>
          <w:b w:val="0"/>
          <w:bCs w:val="0"/>
        </w:rPr>
      </w:pPr>
      <w:bookmarkStart w:name="第十节 备查文件目录" w:id="326"/>
      <w:bookmarkEnd w:id="326"/>
      <w:r>
        <w:rPr>
          <w:b w:val="0"/>
          <w:bCs w:val="0"/>
        </w:rPr>
      </w:r>
      <w:bookmarkStart w:name="_bookmark9" w:id="327"/>
      <w:bookmarkEnd w:id="327"/>
      <w:r>
        <w:rPr>
          <w:b w:val="0"/>
          <w:bCs w:val="0"/>
        </w:rPr>
      </w:r>
      <w:r>
        <w:rPr/>
        <w:t>第十节</w:t>
      </w:r>
      <w:r>
        <w:rPr>
          <w:spacing w:val="-7"/>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754" w:right="982"/>
        <w:jc w:val="left"/>
      </w:pPr>
      <w:r>
        <w:rPr/>
        <w:t>一、载有法定代表人、主管会计工作负责人、会计机构负责人签名并盖章的财务报表。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pStyle w:val="BodyText"/>
        <w:spacing w:line="240" w:lineRule="auto"/>
        <w:ind w:left="754" w:right="0"/>
        <w:jc w:val="left"/>
      </w:pPr>
      <w:r>
        <w:rPr/>
        <w:t>以上备查文件的备置地点：公司证券投资部办公室。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7693" w:right="133" w:hanging="420"/>
        <w:jc w:val="left"/>
      </w:pPr>
      <w:r>
        <w:rPr/>
        <w:t>河南汉威电子股份有限公司 法定代表人：任红军</w:t>
      </w:r>
    </w:p>
    <w:p>
      <w:pPr>
        <w:pStyle w:val="BodyText"/>
        <w:spacing w:line="240" w:lineRule="auto"/>
        <w:ind w:left="0" w:right="150"/>
        <w:jc w:val="right"/>
      </w:pPr>
      <w:r>
        <w:rPr/>
        <w:t>二〇一五年三月二十八日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910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10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10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10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910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10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10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49"/>
      <w:ind w:left="153"/>
    </w:pPr>
    <w:rPr>
      <w:rFonts w:ascii="宋体" w:hAnsi="宋体" w:eastAsia="宋体"/>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
      <w:ind w:left="278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nwei.cn/" TargetMode="External"/><Relationship Id="rId10" Type="http://schemas.openxmlformats.org/officeDocument/2006/relationships/hyperlink" Target="mailto:hwdz@hwsensor.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hyperlink" Target="http://www.cninfo.com.cn&#21002;&#30331;&#30340;&#20844;&#21578;/" TargetMode="External"/><Relationship Id="rId19" Type="http://schemas.openxmlformats.org/officeDocument/2006/relationships/image" Target="media/image8.jpeg"/><Relationship Id="rId20" Type="http://schemas.openxmlformats.org/officeDocument/2006/relationships/footer" Target="footer3.xml"/><Relationship Id="rId21" Type="http://schemas.openxmlformats.org/officeDocument/2006/relationships/hyperlink" Target="http://irm.p5w.net/" TargetMode="External"/><Relationship Id="rId22" Type="http://schemas.openxmlformats.org/officeDocument/2006/relationships/hyperlink" Target="http://ircs.p5w.net/ircs/ssgs/index.do" TargetMode="Externa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2020-05-06T18:24:57Z</dcterms:created>
  <dcterms:modified xsi:type="dcterms:W3CDTF">2020-05-06T18:24:57Z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