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2040" w:lineRule="exact"/>
        <w:ind w:left="48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1409700" cy="12954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1295400"/>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10"/>
        <w:rPr>
          <w:rFonts w:ascii="Times New Roman" w:hAnsi="Times New Roman" w:cs="Times New Roman" w:eastAsia="Times New Roman" w:hint="default"/>
          <w:sz w:val="13"/>
          <w:szCs w:val="13"/>
        </w:rPr>
      </w:pPr>
    </w:p>
    <w:p>
      <w:pPr>
        <w:spacing w:line="460" w:lineRule="exact" w:before="0"/>
        <w:ind w:left="3764" w:right="3764" w:firstLine="0"/>
        <w:jc w:val="center"/>
        <w:rPr>
          <w:rFonts w:ascii="宋体" w:hAnsi="宋体" w:cs="宋体" w:eastAsia="宋体" w:hint="default"/>
          <w:sz w:val="36"/>
          <w:szCs w:val="36"/>
        </w:rPr>
      </w:pPr>
      <w:r>
        <w:rPr>
          <w:rFonts w:ascii="宋体" w:hAnsi="宋体" w:cs="宋体" w:eastAsia="宋体" w:hint="default"/>
          <w:b/>
          <w:bCs/>
          <w:sz w:val="36"/>
          <w:szCs w:val="36"/>
        </w:rPr>
        <w:t>河南汉威电子股份有限公司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8"/>
          <w:szCs w:val="48"/>
        </w:rPr>
      </w:pPr>
    </w:p>
    <w:p>
      <w:pPr>
        <w:pStyle w:val="Heading1"/>
        <w:spacing w:line="240" w:lineRule="auto" w:before="0"/>
        <w:ind w:left="3763" w:right="3764"/>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2"/>
        <w:rPr>
          <w:rFonts w:ascii="宋体" w:hAnsi="宋体" w:cs="宋体" w:eastAsia="宋体" w:hint="default"/>
          <w:b/>
          <w:bCs/>
          <w:sz w:val="30"/>
          <w:szCs w:val="30"/>
        </w:rPr>
      </w:pPr>
    </w:p>
    <w:p>
      <w:pPr>
        <w:spacing w:before="0"/>
        <w:ind w:left="376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117"/>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right="1117" w:firstLine="420"/>
        <w:jc w:val="left"/>
      </w:pPr>
      <w:r>
        <w:rPr>
          <w:spacing w:val="-1"/>
        </w:rPr>
        <w:t>本公司董事会、监事会及董事、监事、高级管理人员保证年度报告内容的真实、准确、完整，不存在</w:t>
      </w:r>
      <w:r>
        <w:rPr/>
        <w:t> 虚假记载、误导性陈述或重大遗漏，并承担个别和连带的法律责任。</w:t>
      </w:r>
    </w:p>
    <w:p>
      <w:pPr>
        <w:pStyle w:val="BodyText"/>
        <w:spacing w:line="408" w:lineRule="auto"/>
        <w:ind w:right="1117" w:firstLine="420"/>
        <w:jc w:val="left"/>
      </w:pPr>
      <w:r>
        <w:rPr>
          <w:spacing w:val="-1"/>
        </w:rPr>
        <w:t>公司负责人任红军、主管会计工作负责人刘瑞玲及会计机构负责人</w:t>
      </w:r>
      <w:r>
        <w:rPr>
          <w:rFonts w:ascii="宋体" w:hAnsi="宋体" w:cs="宋体" w:eastAsia="宋体" w:hint="default"/>
          <w:spacing w:val="-1"/>
        </w:rPr>
        <w:t>(</w:t>
      </w:r>
      <w:r>
        <w:rPr>
          <w:spacing w:val="-1"/>
        </w:rPr>
        <w:t>会计主管人员</w:t>
      </w:r>
      <w:r>
        <w:rPr>
          <w:rFonts w:ascii="宋体" w:hAnsi="宋体" w:cs="宋体" w:eastAsia="宋体" w:hint="default"/>
          <w:spacing w:val="-1"/>
        </w:rPr>
        <w:t>)</w:t>
      </w:r>
      <w:r>
        <w:rPr>
          <w:spacing w:val="-1"/>
        </w:rPr>
        <w:t>肖桂华声明：保证</w:t>
      </w:r>
      <w:r>
        <w:rPr/>
        <w:t> 年度报告中财务报告的真实、准确、完整。</w:t>
      </w:r>
    </w:p>
    <w:p>
      <w:pPr>
        <w:pStyle w:val="BodyText"/>
        <w:spacing w:line="408" w:lineRule="auto"/>
        <w:ind w:left="1554" w:right="1117"/>
        <w:jc w:val="left"/>
      </w:pPr>
      <w:r>
        <w:rPr/>
        <w:t>所有董事均已出席了审议本报告的董事会会议。 </w:t>
      </w:r>
      <w:r>
        <w:rPr>
          <w:spacing w:val="-1"/>
        </w:rPr>
        <w:t>本报告中如有涉及未来的计划、业绩预测等方面的内容，均不构成本公司对任何投资者及相关人士的</w:t>
      </w:r>
    </w:p>
    <w:p>
      <w:pPr>
        <w:pStyle w:val="BodyText"/>
        <w:spacing w:line="408" w:lineRule="auto"/>
        <w:ind w:left="1554" w:right="1117" w:hanging="420"/>
        <w:jc w:val="left"/>
      </w:pPr>
      <w:r>
        <w:rPr>
          <w:spacing w:val="-5"/>
        </w:rPr>
        <w:t>实质承诺，投资者及相关人士均应对此保持足够的风险认识，并且应当理解计划、预测与承诺之间的差异。</w:t>
      </w:r>
      <w:r>
        <w:rPr>
          <w:spacing w:val="-101"/>
        </w:rPr>
        <w:t> </w:t>
      </w:r>
      <w:r>
        <w:rPr>
          <w:spacing w:val="-101"/>
        </w:rPr>
      </w:r>
      <w:r>
        <w:rPr/>
        <w:t>本公司请投资者认真阅读本年度报告全文，并特别注意下列风险因素： </w:t>
      </w:r>
      <w:r>
        <w:rPr>
          <w:rFonts w:ascii="宋体" w:hAnsi="宋体" w:cs="宋体" w:eastAsia="宋体" w:hint="default"/>
        </w:rPr>
        <w:t>1</w:t>
      </w:r>
      <w:r>
        <w:rPr/>
        <w:t>、国家产业政策实施低于预期的风险 </w:t>
      </w:r>
      <w:r>
        <w:rPr>
          <w:spacing w:val="-1"/>
        </w:rPr>
        <w:t>国家强调城市宜居、生态、功能、产业的协同发展，大力优化城市地上、地下基础设施建设，建设海</w:t>
      </w:r>
    </w:p>
    <w:p>
      <w:pPr>
        <w:pStyle w:val="BodyText"/>
        <w:spacing w:line="408" w:lineRule="auto"/>
        <w:ind w:left="1134" w:right="1131"/>
        <w:jc w:val="both"/>
      </w:pPr>
      <w:r>
        <w:rPr>
          <w:spacing w:val="-1"/>
        </w:rPr>
        <w:t>绵城市，提升城市管理水平，并且制定了系列的文件、规划以引导社会资源投入。基于对智慧城市业务机</w:t>
      </w:r>
      <w:r>
        <w:rPr>
          <w:spacing w:val="-86"/>
        </w:rPr>
        <w:t> </w:t>
      </w:r>
      <w:r>
        <w:rPr>
          <w:spacing w:val="-86"/>
        </w:rPr>
      </w:r>
      <w:r>
        <w:rPr>
          <w:spacing w:val="-1"/>
        </w:rPr>
        <w:t>会的研判，公司已投入大量资源，打造智慧城市相关产业。如果国家相关政策的实施进度缓慢或者力度弱</w:t>
      </w:r>
      <w:r>
        <w:rPr>
          <w:spacing w:val="-83"/>
        </w:rPr>
        <w:t> </w:t>
      </w:r>
      <w:r>
        <w:rPr>
          <w:spacing w:val="-83"/>
        </w:rPr>
      </w:r>
      <w:r>
        <w:rPr>
          <w:spacing w:val="-1"/>
        </w:rPr>
        <w:t>于预期，公司的业务拓展可能会受到一定影响。为此，公司将积极完善智慧城市业务模式，获取更多市场</w:t>
      </w:r>
      <w:r>
        <w:rPr>
          <w:spacing w:val="-86"/>
        </w:rPr>
        <w:t> </w:t>
      </w:r>
      <w:r>
        <w:rPr>
          <w:spacing w:val="-86"/>
        </w:rPr>
      </w:r>
      <w:r>
        <w:rPr/>
        <w:t>机会。</w:t>
      </w:r>
    </w:p>
    <w:p>
      <w:pPr>
        <w:pStyle w:val="BodyText"/>
        <w:spacing w:line="408" w:lineRule="auto"/>
        <w:ind w:left="1554" w:right="1117"/>
        <w:jc w:val="left"/>
      </w:pPr>
      <w:r>
        <w:rPr>
          <w:rFonts w:ascii="宋体" w:hAnsi="宋体" w:cs="宋体" w:eastAsia="宋体" w:hint="default"/>
        </w:rPr>
        <w:t>2</w:t>
      </w:r>
      <w:r>
        <w:rPr/>
        <w:t>、行业竞争加剧带来的市场风险 </w:t>
      </w:r>
      <w:r>
        <w:rPr>
          <w:spacing w:val="-1"/>
        </w:rPr>
        <w:t>随着物联网、智慧城市、环境保护等产业热度的上升，愈来愈多的企业进入这些领域，力求在行业内</w:t>
      </w:r>
    </w:p>
    <w:p>
      <w:pPr>
        <w:pStyle w:val="BodyText"/>
        <w:spacing w:line="408" w:lineRule="auto"/>
        <w:ind w:left="1134" w:right="1132"/>
        <w:jc w:val="both"/>
      </w:pPr>
      <w:r>
        <w:rPr>
          <w:spacing w:val="-1"/>
        </w:rPr>
        <w:t>占据一席之地，这无疑将进一步加剧行业竞争程度，如果未来公司在战略规划、研发创新、市场拓展、业</w:t>
      </w:r>
      <w:r>
        <w:rPr>
          <w:spacing w:val="-83"/>
        </w:rPr>
        <w:t> </w:t>
      </w:r>
      <w:r>
        <w:rPr>
          <w:spacing w:val="-83"/>
        </w:rPr>
      </w:r>
      <w:r>
        <w:rPr>
          <w:spacing w:val="-5"/>
        </w:rPr>
        <w:t>务创新等方面不能保持快速发展，将面临市场份额下降的风险。为此，公司将加强系统解决方案核心优势，</w:t>
      </w:r>
      <w:r>
        <w:rPr>
          <w:spacing w:val="-103"/>
        </w:rPr>
        <w:t> </w:t>
      </w:r>
      <w:r>
        <w:rPr>
          <w:spacing w:val="-103"/>
        </w:rPr>
      </w:r>
      <w:r>
        <w:rPr/>
        <w:t>完善物联网产业生态平台构建，提升获取项目订单的竞争实力。</w:t>
      </w:r>
    </w:p>
    <w:p>
      <w:pPr>
        <w:pStyle w:val="BodyText"/>
        <w:spacing w:line="408" w:lineRule="auto"/>
        <w:ind w:left="1554" w:right="1117"/>
        <w:jc w:val="left"/>
      </w:pPr>
      <w:r>
        <w:rPr>
          <w:rFonts w:ascii="宋体" w:hAnsi="宋体" w:cs="宋体" w:eastAsia="宋体" w:hint="default"/>
        </w:rPr>
        <w:t>3</w:t>
      </w:r>
      <w:r>
        <w:rPr/>
        <w:t>、经营现金不足的经营风险 </w:t>
      </w:r>
      <w:r>
        <w:rPr>
          <w:spacing w:val="-1"/>
        </w:rPr>
        <w:t>随着外延并购策略成为公司产业整合的重要方式，公司对资金的需求不断加大，同时，公司业务规模</w:t>
      </w:r>
    </w:p>
    <w:p>
      <w:pPr>
        <w:pStyle w:val="BodyText"/>
        <w:spacing w:line="408" w:lineRule="auto"/>
        <w:ind w:left="1134" w:right="1131"/>
        <w:jc w:val="both"/>
      </w:pPr>
      <w:r>
        <w:rPr>
          <w:spacing w:val="-1"/>
        </w:rPr>
        <w:t>及合并报表范围进一步扩大，应收账款的总量相应增加，对公司经营需要的现金流造成一定压力，可能导</w:t>
      </w:r>
      <w:r>
        <w:rPr>
          <w:spacing w:val="-83"/>
        </w:rPr>
        <w:t> </w:t>
      </w:r>
      <w:r>
        <w:rPr>
          <w:spacing w:val="-83"/>
        </w:rPr>
      </w:r>
      <w:r>
        <w:rPr>
          <w:spacing w:val="-1"/>
        </w:rPr>
        <w:t>致经营现金不足的风险。为此，公司将努力探索投资并购多元化支付方式，并将更加注重发展质量，努力</w:t>
      </w:r>
      <w:r>
        <w:rPr>
          <w:spacing w:val="-86"/>
        </w:rPr>
        <w:t> </w:t>
      </w:r>
      <w:r>
        <w:rPr>
          <w:spacing w:val="-86"/>
        </w:rPr>
      </w:r>
      <w:r>
        <w:rPr/>
        <w:t>改善客户结构，开拓大量优质客户，提高应收账款周转率，加强回款力度。</w:t>
      </w:r>
    </w:p>
    <w:p>
      <w:pPr>
        <w:pStyle w:val="BodyText"/>
        <w:spacing w:line="240" w:lineRule="auto"/>
        <w:ind w:left="1554" w:right="1117"/>
        <w:jc w:val="left"/>
      </w:pPr>
      <w:r>
        <w:rPr>
          <w:rFonts w:ascii="宋体" w:hAnsi="宋体" w:cs="宋体" w:eastAsia="宋体" w:hint="default"/>
        </w:rPr>
        <w:t>4</w:t>
      </w:r>
      <w:r>
        <w:rPr/>
        <w:t>、非公开发行股票推进的不确定性风险</w:t>
      </w:r>
    </w:p>
    <w:p>
      <w:pPr>
        <w:spacing w:line="240" w:lineRule="auto" w:before="10"/>
        <w:rPr>
          <w:rFonts w:ascii="宋体" w:hAnsi="宋体" w:cs="宋体" w:eastAsia="宋体" w:hint="default"/>
          <w:sz w:val="14"/>
          <w:szCs w:val="14"/>
        </w:rPr>
      </w:pPr>
    </w:p>
    <w:p>
      <w:pPr>
        <w:pStyle w:val="BodyText"/>
        <w:spacing w:line="240" w:lineRule="auto" w:before="0"/>
        <w:ind w:left="1554" w:right="712"/>
        <w:jc w:val="left"/>
      </w:pPr>
      <w:r>
        <w:rPr>
          <w:rFonts w:ascii="宋体" w:hAnsi="宋体" w:cs="宋体" w:eastAsia="宋体" w:hint="default"/>
        </w:rPr>
        <w:t>2015</w:t>
      </w:r>
      <w:r>
        <w:rPr>
          <w:rFonts w:ascii="宋体" w:hAnsi="宋体" w:cs="宋体" w:eastAsia="宋体" w:hint="default"/>
          <w:spacing w:val="-79"/>
        </w:rPr>
        <w:t> </w:t>
      </w:r>
      <w:r>
        <w:rPr/>
        <w:t>年</w:t>
      </w:r>
      <w:r>
        <w:rPr>
          <w:spacing w:val="-80"/>
        </w:rPr>
        <w:t> </w:t>
      </w:r>
      <w:r>
        <w:rPr>
          <w:rFonts w:ascii="宋体" w:hAnsi="宋体" w:cs="宋体" w:eastAsia="宋体" w:hint="default"/>
        </w:rPr>
        <w:t>8</w:t>
      </w:r>
      <w:r>
        <w:rPr>
          <w:rFonts w:ascii="宋体" w:hAnsi="宋体" w:cs="宋体" w:eastAsia="宋体" w:hint="default"/>
          <w:spacing w:val="-79"/>
        </w:rPr>
        <w:t> </w:t>
      </w:r>
      <w:r>
        <w:rPr/>
        <w:t>月，公司推出非公开发行股票募集资金的方案，募集资金拟用于智慧市政等产业领域，由于</w:t>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408" w:lineRule="auto" w:before="35"/>
        <w:ind w:left="1134" w:right="1131"/>
        <w:jc w:val="both"/>
      </w:pPr>
      <w:r>
        <w:rPr>
          <w:spacing w:val="-1"/>
        </w:rPr>
        <w:t>本次募集资金金额较大，且审核事项涉及面广，能否顺利获得证监会发行批文及最终募集资金金额尚存在</w:t>
      </w:r>
      <w:r>
        <w:rPr>
          <w:spacing w:val="-81"/>
        </w:rPr>
        <w:t> </w:t>
      </w:r>
      <w:r>
        <w:rPr>
          <w:spacing w:val="-81"/>
        </w:rPr>
      </w:r>
      <w:r>
        <w:rPr>
          <w:spacing w:val="-1"/>
        </w:rPr>
        <w:t>不确定性。为此，公司将积极做好资源筹划，使用自有资金等其他资金来源先行推进已经布局的产业，尽</w:t>
      </w:r>
      <w:r>
        <w:rPr>
          <w:spacing w:val="-85"/>
        </w:rPr>
        <w:t> </w:t>
      </w:r>
      <w:r>
        <w:rPr>
          <w:spacing w:val="-85"/>
        </w:rPr>
      </w:r>
      <w:r>
        <w:rPr/>
        <w:t>量降低非公开发行股票事项未能实施或融资金额低于预期对公司未来经营发展的不利影响。</w:t>
      </w:r>
    </w:p>
    <w:p>
      <w:pPr>
        <w:pStyle w:val="BodyText"/>
        <w:spacing w:line="240" w:lineRule="auto"/>
        <w:ind w:left="1553" w:right="712"/>
        <w:jc w:val="left"/>
      </w:pPr>
      <w:r>
        <w:rPr/>
        <w:t>公司经本次董事会审议通过的利润分配预案为：以</w:t>
      </w:r>
      <w:r>
        <w:rPr>
          <w:spacing w:val="-33"/>
        </w:rPr>
        <w:t> </w:t>
      </w:r>
      <w:r>
        <w:rPr>
          <w:rFonts w:ascii="宋体" w:hAnsi="宋体" w:cs="宋体" w:eastAsia="宋体" w:hint="default"/>
        </w:rPr>
        <w:t>293,022,806</w:t>
      </w:r>
      <w:r>
        <w:rPr>
          <w:rFonts w:ascii="宋体" w:hAnsi="宋体" w:cs="宋体" w:eastAsia="宋体" w:hint="default"/>
          <w:spacing w:val="-33"/>
        </w:rPr>
        <w:t> </w:t>
      </w:r>
      <w:r>
        <w:rPr/>
        <w:t>股为基数，向全体股东每</w:t>
      </w:r>
      <w:r>
        <w:rPr>
          <w:spacing w:val="-34"/>
        </w:rPr>
        <w:t> </w:t>
      </w:r>
      <w:r>
        <w:rPr>
          <w:rFonts w:ascii="宋体" w:hAnsi="宋体" w:cs="宋体" w:eastAsia="宋体" w:hint="default"/>
        </w:rPr>
        <w:t>10</w:t>
      </w:r>
      <w:r>
        <w:rPr>
          <w:rFonts w:ascii="宋体" w:hAnsi="宋体" w:cs="宋体" w:eastAsia="宋体" w:hint="default"/>
          <w:spacing w:val="-34"/>
        </w:rPr>
        <w:t> </w:t>
      </w:r>
      <w:r>
        <w:rPr/>
        <w:t>股派发</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现金红利</w:t>
      </w:r>
      <w:r>
        <w:rPr>
          <w:spacing w:val="-52"/>
        </w:rPr>
        <w:t> </w:t>
      </w:r>
      <w:r>
        <w:rPr>
          <w:rFonts w:ascii="宋体" w:hAnsi="宋体" w:cs="宋体" w:eastAsia="宋体" w:hint="default"/>
        </w:rPr>
        <w:t>0.2</w:t>
      </w:r>
      <w:r>
        <w:rPr>
          <w:rFonts w:ascii="宋体" w:hAnsi="宋体" w:cs="宋体" w:eastAsia="宋体" w:hint="default"/>
          <w:spacing w:val="-52"/>
        </w:rPr>
        <w:t> </w:t>
      </w:r>
      <w:r>
        <w:rPr/>
        <w:t>元（含税</w:t>
      </w:r>
      <w:r>
        <w:rPr>
          <w:spacing w:val="-106"/>
        </w:rPr>
        <w:t>）</w:t>
      </w:r>
      <w:r>
        <w:rPr/>
        <w:t>，送红股</w:t>
      </w:r>
      <w:r>
        <w:rPr>
          <w:spacing w:val="-53"/>
        </w:rPr>
        <w:t> </w:t>
      </w:r>
      <w:r>
        <w:rPr>
          <w:rFonts w:ascii="宋体" w:hAnsi="宋体" w:cs="宋体" w:eastAsia="宋体" w:hint="default"/>
        </w:rPr>
        <w:t>0</w:t>
      </w:r>
      <w:r>
        <w:rPr>
          <w:rFonts w:ascii="宋体" w:hAnsi="宋体" w:cs="宋体" w:eastAsia="宋体" w:hint="default"/>
          <w:spacing w:val="-53"/>
        </w:rPr>
        <w:t> </w:t>
      </w:r>
      <w:r>
        <w:rPr/>
        <w:t>股（含税</w:t>
      </w:r>
      <w:r>
        <w:rPr>
          <w:spacing w:val="-105"/>
        </w:rPr>
        <w:t>）</w:t>
      </w:r>
      <w:r>
        <w:rPr>
          <w:spacing w:val="-2"/>
        </w:rPr>
        <w:t>，</w:t>
      </w:r>
      <w:r>
        <w:rPr/>
        <w:t>以资本公积金向全体股东每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转</w:t>
      </w:r>
      <w:r>
        <w:rPr/>
        <w:t>增</w:t>
      </w:r>
      <w:r>
        <w:rPr>
          <w:spacing w:val="-53"/>
        </w:rPr>
        <w:t> </w:t>
      </w:r>
      <w:r>
        <w:rPr>
          <w:rFonts w:ascii="宋体" w:hAnsi="宋体" w:cs="宋体" w:eastAsia="宋体" w:hint="default"/>
        </w:rPr>
        <w:t>0</w:t>
      </w:r>
      <w:r>
        <w:rPr>
          <w:rFonts w:ascii="宋体" w:hAnsi="宋体" w:cs="宋体" w:eastAsia="宋体" w:hint="default"/>
          <w:spacing w:val="-52"/>
        </w:rPr>
        <w:t> </w:t>
      </w:r>
      <w:r>
        <w:rPr/>
        <w:t>股。</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line="460" w:lineRule="exact" w:before="0"/>
        <w:ind w:left="3764" w:right="37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1"/>
        <w:rPr>
          <w:rFonts w:ascii="宋体" w:hAnsi="宋体" w:cs="宋体" w:eastAsia="宋体" w:hint="default"/>
          <w:b/>
          <w:bCs/>
          <w:sz w:val="49"/>
          <w:szCs w:val="49"/>
        </w:rPr>
      </w:pPr>
    </w:p>
    <w:p>
      <w:pPr>
        <w:pStyle w:val="BodyText"/>
        <w:tabs>
          <w:tab w:pos="10371" w:val="left" w:leader="none"/>
          <w:tab w:pos="10475" w:val="left" w:leader="none"/>
        </w:tabs>
        <w:spacing w:line="408" w:lineRule="auto" w:before="0"/>
        <w:ind w:left="1553" w:right="1217"/>
        <w:jc w:val="both"/>
        <w:rPr>
          <w:rFonts w:ascii="宋体" w:hAnsi="宋体" w:cs="宋体" w:eastAsia="宋体" w:hint="default"/>
        </w:rPr>
      </w:pPr>
      <w:r>
        <w:rPr/>
        <w:t>第一节</w:t>
      </w:r>
      <w:r>
        <w:rPr>
          <w:spacing w:val="-1"/>
        </w:rPr>
        <w:t> </w:t>
      </w:r>
      <w:r>
        <w:rPr/>
        <w:t>重要提示、目录和释义</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2 </w:t>
      </w:r>
      <w:r>
        <w:rPr/>
        <w:t>第二节</w:t>
      </w:r>
      <w:r>
        <w:rPr>
          <w:spacing w:val="-1"/>
        </w:rPr>
        <w:t> </w:t>
      </w:r>
      <w:r>
        <w:rPr/>
        <w:t>公司简介和主要财务指标</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7 </w:t>
      </w:r>
      <w:r>
        <w:rPr/>
        <w:t>第三节</w:t>
      </w:r>
      <w:r>
        <w:rPr>
          <w:spacing w:val="-1"/>
        </w:rPr>
        <w:t> </w:t>
      </w:r>
      <w:r>
        <w:rPr/>
        <w:t>公司业务概要</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11 </w:t>
      </w:r>
      <w:r>
        <w:rPr/>
        <w:t>第四节</w:t>
      </w:r>
      <w:r>
        <w:rPr>
          <w:spacing w:val="-1"/>
        </w:rPr>
        <w:t> </w:t>
      </w:r>
      <w:r>
        <w:rPr/>
        <w:t>管理层讨论与分析</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16</w:t>
      </w:r>
      <w:r>
        <w:rPr>
          <w:rFonts w:ascii="宋体" w:hAnsi="宋体" w:cs="宋体" w:eastAsia="宋体" w:hint="default"/>
          <w:spacing w:val="-1"/>
        </w:rPr>
        <w:t> </w:t>
      </w:r>
      <w:r>
        <w:rPr/>
        <w:t>第五节</w:t>
      </w:r>
      <w:r>
        <w:rPr>
          <w:spacing w:val="-1"/>
        </w:rPr>
        <w:t> </w:t>
      </w:r>
      <w:r>
        <w:rPr/>
        <w:t>重要事项</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43 </w:t>
      </w:r>
      <w:r>
        <w:rPr/>
        <w:t>第六节</w:t>
      </w:r>
      <w:r>
        <w:rPr>
          <w:spacing w:val="-1"/>
        </w:rPr>
        <w:t> </w:t>
      </w:r>
      <w:r>
        <w:rPr/>
        <w:t>股份变动及股东情况</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59</w:t>
      </w:r>
      <w:r>
        <w:rPr>
          <w:rFonts w:ascii="宋体" w:hAnsi="宋体" w:cs="宋体" w:eastAsia="宋体" w:hint="default"/>
          <w:spacing w:val="-1"/>
        </w:rPr>
        <w:t> </w:t>
      </w:r>
      <w:r>
        <w:rPr/>
        <w:t>第七节</w:t>
      </w:r>
      <w:r>
        <w:rPr>
          <w:spacing w:val="-1"/>
        </w:rPr>
        <w:t> </w:t>
      </w:r>
      <w:r>
        <w:rPr/>
        <w:t>优先股相关情况</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67 </w:t>
      </w:r>
      <w:r>
        <w:rPr/>
        <w:t>第八节</w:t>
      </w:r>
      <w:r>
        <w:rPr>
          <w:spacing w:val="-1"/>
        </w:rPr>
        <w:t> </w:t>
      </w:r>
      <w:r>
        <w:rPr/>
        <w:t>董事、监事、高级管理人员和员工情况</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68</w:t>
      </w:r>
      <w:r>
        <w:rPr>
          <w:rFonts w:ascii="宋体" w:hAnsi="宋体" w:cs="宋体" w:eastAsia="宋体" w:hint="default"/>
          <w:spacing w:val="-1"/>
        </w:rPr>
        <w:t> </w:t>
      </w:r>
      <w:r>
        <w:rPr/>
        <w:t>第九节</w:t>
      </w:r>
      <w:r>
        <w:rPr>
          <w:spacing w:val="-1"/>
        </w:rPr>
        <w:t> </w:t>
      </w:r>
      <w:r>
        <w:rPr/>
        <w:t>公司治理</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75 </w:t>
      </w:r>
      <w:r>
        <w:rPr/>
        <w:t>第十节</w:t>
      </w:r>
      <w:r>
        <w:rPr>
          <w:spacing w:val="-3"/>
        </w:rPr>
        <w:t> </w:t>
      </w:r>
      <w:r>
        <w:rPr/>
        <w:t>财务报告</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rFonts w:ascii="Times New Roman" w:hAnsi="Times New Roman" w:cs="Times New Roman" w:eastAsia="Times New Roman" w:hint="default"/>
        </w:rPr>
      </w:r>
      <w:r>
        <w:rPr>
          <w:rFonts w:ascii="宋体" w:hAnsi="宋体" w:cs="宋体" w:eastAsia="宋体" w:hint="default"/>
        </w:rPr>
        <w:t>83 </w:t>
      </w:r>
      <w:r>
        <w:rPr/>
        <w:t>第十一节</w:t>
      </w:r>
      <w:r>
        <w:rPr>
          <w:spacing w:val="-1"/>
        </w:rPr>
        <w:t> </w:t>
      </w:r>
      <w:r>
        <w:rPr/>
        <w:t>备查文件目录</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宋体" w:hAnsi="宋体" w:cs="宋体" w:eastAsia="宋体" w:hint="default"/>
        </w:rPr>
        <w:t>163</w:t>
      </w:r>
    </w:p>
    <w:p>
      <w:pPr>
        <w:spacing w:after="0" w:line="408" w:lineRule="auto"/>
        <w:jc w:val="both"/>
        <w:rPr>
          <w:rFonts w:ascii="宋体" w:hAnsi="宋体" w:cs="宋体" w:eastAsia="宋体" w:hint="default"/>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right="3763"/>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3582"/>
        <w:gridCol w:w="605"/>
        <w:gridCol w:w="5508"/>
      </w:tblGrid>
      <w:tr>
        <w:trPr>
          <w:trHeight w:val="402" w:hRule="exact"/>
        </w:trPr>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报告期、上年</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河南汉威电子股份有限公司董事会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河南汉威电子股份有限公司监事会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河南汉威电子股份有限公司股东大会</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汉威电子、公司</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郑州炜盛电子科技有限公司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沈阳金建数字城市软件有限公司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嘉园环保有限公司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郑州汉威智源科技有限公司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郑州高新供水有限责任公司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郑州高新热力有限责任公司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鞍山易兴自动化工程有限公司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广东龙泉科技有限公司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河南雪城软件有限公司</w:t>
            </w:r>
          </w:p>
        </w:tc>
      </w:tr>
      <w:tr>
        <w:trPr>
          <w:trHeight w:val="162" w:hRule="exact"/>
        </w:trPr>
        <w:tc>
          <w:tcPr>
            <w:tcW w:w="358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8"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61"/>
              <w:jc w:val="left"/>
              <w:rPr>
                <w:rFonts w:ascii="宋体" w:hAnsi="宋体" w:cs="宋体" w:eastAsia="宋体" w:hint="default"/>
                <w:sz w:val="18"/>
                <w:szCs w:val="18"/>
              </w:rPr>
            </w:pPr>
            <w:r>
              <w:rPr>
                <w:rFonts w:ascii="宋体" w:hAnsi="宋体" w:cs="宋体" w:eastAsia="宋体" w:hint="default"/>
                <w:sz w:val="18"/>
                <w:szCs w:val="18"/>
              </w:rPr>
              <w:t>河南汉威智慧安全科技有限公司，曾用名“郑州创威煤安科技有限公 司”</w:t>
            </w:r>
          </w:p>
        </w:tc>
      </w:tr>
      <w:tr>
        <w:trPr>
          <w:trHeight w:val="391" w:hRule="exact"/>
        </w:trPr>
        <w:tc>
          <w:tcPr>
            <w:tcW w:w="3582" w:type="dxa"/>
            <w:vMerge/>
            <w:tcBorders>
              <w:left w:val="single" w:sz="4" w:space="0" w:color="000000"/>
              <w:right w:val="single" w:sz="9" w:space="0" w:color="D2D2D2"/>
            </w:tcBorders>
          </w:tcPr>
          <w:p>
            <w:pPr/>
          </w:p>
        </w:tc>
        <w:tc>
          <w:tcPr>
            <w:tcW w:w="6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vMerge/>
            <w:tcBorders>
              <w:left w:val="single" w:sz="9" w:space="0" w:color="D2D2D2"/>
              <w:right w:val="single" w:sz="4" w:space="0" w:color="000000"/>
            </w:tcBorders>
          </w:tcPr>
          <w:p>
            <w:pPr/>
          </w:p>
        </w:tc>
      </w:tr>
      <w:tr>
        <w:trPr>
          <w:trHeight w:val="161" w:hRule="exact"/>
        </w:trPr>
        <w:tc>
          <w:tcPr>
            <w:tcW w:w="3582" w:type="dxa"/>
            <w:vMerge/>
            <w:tcBorders>
              <w:left w:val="single" w:sz="4" w:space="0" w:color="000000"/>
              <w:bottom w:val="single" w:sz="4" w:space="0" w:color="000000"/>
              <w:right w:val="single" w:sz="9" w:space="0" w:color="D2D2D2"/>
            </w:tcBorders>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8" w:type="dxa"/>
            <w:vMerge/>
            <w:tcBorders>
              <w:left w:val="single" w:sz="9" w:space="0" w:color="D2D2D2"/>
              <w:bottom w:val="single" w:sz="4" w:space="0" w:color="000000"/>
              <w:right w:val="single" w:sz="4" w:space="0" w:color="000000"/>
            </w:tcBorders>
          </w:tcPr>
          <w:p>
            <w:pP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沈阳汉威科技有限公司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北京智威宇讯科技有限公司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哈尔滨盈江科技有限公司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上海中威天安公共安全科技有限公司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英森电气系统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北京威果智能科技有限公司</w:t>
            </w:r>
          </w:p>
        </w:tc>
      </w:tr>
      <w:tr>
        <w:trPr>
          <w:trHeight w:val="402" w:hRule="exact"/>
        </w:trPr>
        <w:tc>
          <w:tcPr>
            <w:tcW w:w="35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郑州汉威智能仪表有限公司</w:t>
            </w:r>
          </w:p>
        </w:tc>
      </w:tr>
      <w:tr>
        <w:trPr>
          <w:trHeight w:val="162" w:hRule="exact"/>
        </w:trPr>
        <w:tc>
          <w:tcPr>
            <w:tcW w:w="358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8"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63"/>
              <w:jc w:val="left"/>
              <w:rPr>
                <w:rFonts w:ascii="宋体" w:hAnsi="宋体" w:cs="宋体" w:eastAsia="宋体" w:hint="default"/>
                <w:sz w:val="18"/>
                <w:szCs w:val="18"/>
              </w:rPr>
            </w:pPr>
            <w:r>
              <w:rPr>
                <w:rFonts w:ascii="宋体" w:hAnsi="宋体" w:cs="宋体" w:eastAsia="宋体" w:hint="default"/>
                <w:sz w:val="18"/>
                <w:szCs w:val="18"/>
              </w:rPr>
              <w:t>利用特定气体发生物理或化学变化所释放出的有效信号，从而实现对 该种气体成分、浓度进行感知和测量的元器件</w:t>
            </w:r>
          </w:p>
        </w:tc>
      </w:tr>
      <w:tr>
        <w:trPr>
          <w:trHeight w:val="391" w:hRule="exact"/>
        </w:trPr>
        <w:tc>
          <w:tcPr>
            <w:tcW w:w="3582" w:type="dxa"/>
            <w:vMerge/>
            <w:tcBorders>
              <w:left w:val="single" w:sz="4" w:space="0" w:color="000000"/>
              <w:right w:val="single" w:sz="9" w:space="0" w:color="D2D2D2"/>
            </w:tcBorders>
          </w:tcPr>
          <w:p>
            <w:pPr/>
          </w:p>
        </w:tc>
        <w:tc>
          <w:tcPr>
            <w:tcW w:w="6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08" w:type="dxa"/>
            <w:vMerge/>
            <w:tcBorders>
              <w:left w:val="single" w:sz="9" w:space="0" w:color="D2D2D2"/>
              <w:right w:val="single" w:sz="4" w:space="0" w:color="000000"/>
            </w:tcBorders>
          </w:tcPr>
          <w:p>
            <w:pPr/>
          </w:p>
        </w:tc>
      </w:tr>
      <w:tr>
        <w:trPr>
          <w:trHeight w:val="162" w:hRule="exact"/>
        </w:trPr>
        <w:tc>
          <w:tcPr>
            <w:tcW w:w="3582" w:type="dxa"/>
            <w:vMerge/>
            <w:tcBorders>
              <w:left w:val="single" w:sz="4" w:space="0" w:color="000000"/>
              <w:bottom w:val="single" w:sz="4" w:space="0" w:color="000000"/>
              <w:right w:val="single" w:sz="9" w:space="0" w:color="D2D2D2"/>
            </w:tcBorders>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8"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3570"/>
        <w:gridCol w:w="628"/>
        <w:gridCol w:w="5496"/>
      </w:tblGrid>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半导体类气体传感器</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利用气体在半导体气敏材料表面所进行的吸附或反应而引起元件电信 号的变化来进行检测的气体传感器</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催化燃烧类气体传感器</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利用可燃性气体氧化燃烧放热使电热丝温度升高、电阻值发生变化的 原理进行气体检测的气体传感器</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电化学类气体传感器</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利用气体的电化学效应进行检测的传感器。气体在传感器电极上发生 电化学氧化</w:t>
            </w:r>
            <w:r>
              <w:rPr>
                <w:rFonts w:ascii="宋体" w:hAnsi="宋体" w:cs="宋体" w:eastAsia="宋体" w:hint="default"/>
                <w:sz w:val="18"/>
                <w:szCs w:val="18"/>
              </w:rPr>
              <w:t>-</w:t>
            </w:r>
            <w:r>
              <w:rPr>
                <w:rFonts w:ascii="宋体" w:hAnsi="宋体" w:cs="宋体" w:eastAsia="宋体" w:hint="default"/>
                <w:sz w:val="18"/>
                <w:szCs w:val="18"/>
              </w:rPr>
              <w:t>还原反应并释放出电荷</w:t>
            </w:r>
            <w:r>
              <w:rPr>
                <w:rFonts w:ascii="宋体" w:hAnsi="宋体" w:cs="宋体" w:eastAsia="宋体" w:hint="default"/>
                <w:sz w:val="18"/>
                <w:szCs w:val="18"/>
              </w:rPr>
              <w:t>,</w:t>
            </w:r>
            <w:r>
              <w:rPr>
                <w:rFonts w:ascii="宋体" w:hAnsi="宋体" w:cs="宋体" w:eastAsia="宋体" w:hint="default"/>
                <w:sz w:val="18"/>
                <w:szCs w:val="18"/>
              </w:rPr>
              <w:t>产生电信号</w:t>
            </w:r>
            <w:r>
              <w:rPr>
                <w:rFonts w:ascii="宋体" w:hAnsi="宋体" w:cs="宋体" w:eastAsia="宋体" w:hint="default"/>
                <w:sz w:val="18"/>
                <w:szCs w:val="18"/>
              </w:rPr>
              <w:t>,</w:t>
            </w:r>
            <w:r>
              <w:rPr>
                <w:rFonts w:ascii="宋体" w:hAnsi="宋体" w:cs="宋体" w:eastAsia="宋体" w:hint="default"/>
                <w:sz w:val="18"/>
                <w:szCs w:val="18"/>
              </w:rPr>
              <w:t>电信号的大小与气 体浓度成正比</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红外光学类气体传感器</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利用不同气体对红外线不同波谱段的光谱吸收原理来检测气体的种类 及浓度，利用此种原理工作的气体传感器称为红外光学类气体传感器</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利用气体传感器采集生成的气体浓度信号，由配套电路进行处理，实 现气体探测及控制等各项具体功能的仪器仪表</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SCADA</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Supervisory Control And Data Acquisition</w:t>
            </w:r>
            <w:r>
              <w:rPr>
                <w:rFonts w:ascii="宋体" w:hAnsi="宋体" w:cs="宋体" w:eastAsia="宋体" w:hint="default"/>
                <w:sz w:val="18"/>
                <w:szCs w:val="18"/>
              </w:rPr>
              <w:t>，即数据采集与监视控 制系统</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VOCs</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Volatile Organic Compounds,</w:t>
            </w:r>
            <w:r>
              <w:rPr>
                <w:rFonts w:ascii="宋体" w:hAnsi="宋体" w:cs="宋体" w:eastAsia="宋体" w:hint="default"/>
                <w:sz w:val="18"/>
                <w:szCs w:val="18"/>
              </w:rPr>
              <w:t>即挥发性有机物</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GIS</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Geographic Information System</w:t>
            </w:r>
            <w:r>
              <w:rPr>
                <w:rFonts w:ascii="宋体" w:hAnsi="宋体" w:cs="宋体" w:eastAsia="宋体" w:hint="default"/>
                <w:sz w:val="18"/>
                <w:szCs w:val="18"/>
              </w:rPr>
              <w:t>，即地理信息系统</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before="1"/>
        <w:ind w:left="3624" w:right="1117" w:firstLine="0"/>
        <w:jc w:val="left"/>
        <w:rPr>
          <w:rFonts w:ascii="宋体" w:hAnsi="宋体" w:cs="宋体" w:eastAsia="宋体" w:hint="default"/>
          <w:sz w:val="32"/>
          <w:szCs w:val="32"/>
        </w:rPr>
      </w:pPr>
      <w:bookmarkStart w:name="第二节 公司简介和主要财务指标" w:id="2"/>
      <w:bookmarkEnd w:id="2"/>
      <w:r>
        <w:rPr/>
      </w:r>
      <w:r>
        <w:rPr>
          <w:rFonts w:ascii="宋体" w:hAnsi="宋体" w:cs="宋体" w:eastAsia="宋体" w:hint="default"/>
          <w:b/>
          <w:bCs/>
          <w:sz w:val="32"/>
          <w:szCs w:val="32"/>
        </w:rPr>
        <w:t>第二节</w:t>
      </w:r>
      <w:r>
        <w:rPr>
          <w:rFonts w:ascii="宋体" w:hAnsi="宋体" w:cs="宋体" w:eastAsia="宋体" w:hint="default"/>
          <w:b/>
          <w:bCs/>
          <w:spacing w:val="-11"/>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公司信息" w:id="3"/>
      <w:bookmarkEnd w:id="3"/>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62" w:type="dxa"/>
        <w:tblLayout w:type="fixed"/>
        <w:tblCellMar>
          <w:top w:w="0" w:type="dxa"/>
          <w:left w:w="0" w:type="dxa"/>
          <w:bottom w:w="0" w:type="dxa"/>
          <w:right w:w="0" w:type="dxa"/>
        </w:tblCellMar>
        <w:tblLook w:val="01E0"/>
      </w:tblPr>
      <w:tblGrid>
        <w:gridCol w:w="2285"/>
        <w:gridCol w:w="2954"/>
        <w:gridCol w:w="2144"/>
        <w:gridCol w:w="2188"/>
      </w:tblGrid>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300007</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汉威电子</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Henan Hanwei Electronics Co.,Ltd.</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任红军</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450001</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450001</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9">
              <w:r>
                <w:rPr>
                  <w:rFonts w:ascii="宋体"/>
                  <w:sz w:val="18"/>
                </w:rPr>
                <w:t>www.hanwei.cn</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0">
              <w:r>
                <w:rPr>
                  <w:rFonts w:ascii="宋体"/>
                  <w:sz w:val="18"/>
                </w:rPr>
                <w:t>hwdz@hwsensor.com</w:t>
              </w:r>
            </w:hyperlink>
          </w:p>
        </w:tc>
      </w:tr>
    </w:tbl>
    <w:p>
      <w:pPr>
        <w:spacing w:line="240" w:lineRule="auto" w:before="2"/>
        <w:rPr>
          <w:rFonts w:ascii="宋体" w:hAnsi="宋体" w:cs="宋体" w:eastAsia="宋体" w:hint="default"/>
          <w:b/>
          <w:bCs/>
          <w:sz w:val="18"/>
          <w:szCs w:val="18"/>
        </w:rPr>
      </w:pPr>
    </w:p>
    <w:p>
      <w:pPr>
        <w:spacing w:before="26"/>
        <w:ind w:left="1134" w:right="1117" w:firstLine="0"/>
        <w:jc w:val="left"/>
        <w:rPr>
          <w:rFonts w:ascii="宋体" w:hAnsi="宋体" w:cs="宋体" w:eastAsia="宋体" w:hint="default"/>
          <w:sz w:val="24"/>
          <w:szCs w:val="24"/>
        </w:rPr>
      </w:pPr>
      <w:bookmarkStart w:name="二、联系人和联系方式" w:id="4"/>
      <w:bookmarkEnd w:id="4"/>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7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王威</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0371-67169159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0371-67169159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0371-67169196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0371-67169196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hwdz@hwsensor.com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hwdz@hwsensor.com</w:t>
              </w:r>
            </w:hyperlink>
          </w:p>
        </w:tc>
      </w:tr>
    </w:tbl>
    <w:p>
      <w:pPr>
        <w:spacing w:line="240" w:lineRule="auto" w:before="2"/>
        <w:rPr>
          <w:rFonts w:ascii="宋体" w:hAnsi="宋体" w:cs="宋体" w:eastAsia="宋体" w:hint="default"/>
          <w:b/>
          <w:bCs/>
          <w:sz w:val="18"/>
          <w:szCs w:val="18"/>
        </w:rPr>
      </w:pPr>
    </w:p>
    <w:p>
      <w:pPr>
        <w:spacing w:before="26"/>
        <w:ind w:left="1134" w:right="1117" w:firstLine="0"/>
        <w:jc w:val="left"/>
        <w:rPr>
          <w:rFonts w:ascii="宋体" w:hAnsi="宋体" w:cs="宋体" w:eastAsia="宋体" w:hint="default"/>
          <w:sz w:val="24"/>
          <w:szCs w:val="24"/>
        </w:rPr>
      </w:pPr>
      <w:bookmarkStart w:name="三、信息披露及备置地点" w:id="5"/>
      <w:bookmarkEnd w:id="5"/>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64" w:type="dxa"/>
        <w:tblLayout w:type="fixed"/>
        <w:tblCellMar>
          <w:top w:w="0" w:type="dxa"/>
          <w:left w:w="0" w:type="dxa"/>
          <w:bottom w:w="0" w:type="dxa"/>
          <w:right w:w="0" w:type="dxa"/>
        </w:tblCellMar>
        <w:tblLook w:val="01E0"/>
      </w:tblPr>
      <w:tblGrid>
        <w:gridCol w:w="3993"/>
        <w:gridCol w:w="5577"/>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公司证券投资部办公室</w:t>
            </w:r>
          </w:p>
        </w:tc>
      </w:tr>
    </w:tbl>
    <w:p>
      <w:pPr>
        <w:spacing w:line="240" w:lineRule="auto" w:before="2"/>
        <w:rPr>
          <w:rFonts w:ascii="宋体" w:hAnsi="宋体" w:cs="宋体" w:eastAsia="宋体" w:hint="default"/>
          <w:b/>
          <w:bCs/>
          <w:sz w:val="18"/>
          <w:szCs w:val="18"/>
        </w:rPr>
      </w:pPr>
    </w:p>
    <w:p>
      <w:pPr>
        <w:spacing w:before="26"/>
        <w:ind w:left="1134" w:right="1117" w:firstLine="0"/>
        <w:jc w:val="left"/>
        <w:rPr>
          <w:rFonts w:ascii="宋体" w:hAnsi="宋体" w:cs="宋体" w:eastAsia="宋体" w:hint="default"/>
          <w:sz w:val="24"/>
          <w:szCs w:val="24"/>
        </w:rPr>
      </w:pPr>
      <w:bookmarkStart w:name="四、其他有关资料" w:id="6"/>
      <w:bookmarkEnd w:id="6"/>
      <w:r>
        <w:rPr/>
      </w: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4"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邓小强、王晓玲</w:t>
            </w:r>
          </w:p>
        </w:tc>
      </w:tr>
    </w:tbl>
    <w:p>
      <w:pPr>
        <w:spacing w:line="240" w:lineRule="auto" w:before="6"/>
        <w:rPr>
          <w:rFonts w:ascii="宋体" w:hAnsi="宋体" w:cs="宋体" w:eastAsia="宋体" w:hint="default"/>
          <w:sz w:val="6"/>
          <w:szCs w:val="6"/>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12"/>
        <w:rPr>
          <w:rFonts w:ascii="宋体" w:hAnsi="宋体" w:cs="宋体" w:eastAsia="宋体" w:hint="default"/>
          <w:sz w:val="20"/>
          <w:szCs w:val="20"/>
        </w:rPr>
      </w:pPr>
    </w:p>
    <w:p>
      <w:pPr>
        <w:spacing w:line="489"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86"/>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64"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徐思远、彭博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17</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134" w:right="1117"/>
        <w:jc w:val="left"/>
        <w:rPr>
          <w:b w:val="0"/>
          <w:bCs w:val="0"/>
        </w:rPr>
      </w:pPr>
      <w:bookmarkStart w:name="五、主要会计数据和财务指标" w:id="7"/>
      <w:bookmarkEnd w:id="7"/>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74" w:type="dxa"/>
        <w:tblLayout w:type="fixed"/>
        <w:tblCellMar>
          <w:top w:w="0" w:type="dxa"/>
          <w:left w:w="0" w:type="dxa"/>
          <w:bottom w:w="0" w:type="dxa"/>
          <w:right w:w="0" w:type="dxa"/>
        </w:tblCellMar>
        <w:tblLook w:val="01E0"/>
      </w:tblPr>
      <w:tblGrid>
        <w:gridCol w:w="2598"/>
        <w:gridCol w:w="1750"/>
        <w:gridCol w:w="1736"/>
        <w:gridCol w:w="1738"/>
        <w:gridCol w:w="1736"/>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746,718,624.28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399,306,830.10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302,472,419.55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78,646,513.40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57,341,790.34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39,770,218.64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45,169,315.18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38,905,730.21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24,005,910.06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149,242,489.83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50,930,042.17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193.03%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77,876,415.19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2,810,808,331.11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1,820,379,783.98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934,232,616.06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1,219,496,630.57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1,151,237,721.66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643,063,608.54</w:t>
            </w:r>
          </w:p>
        </w:tc>
      </w:tr>
    </w:tbl>
    <w:p>
      <w:pPr>
        <w:spacing w:line="240" w:lineRule="auto" w:before="2"/>
        <w:rPr>
          <w:rFonts w:ascii="宋体" w:hAnsi="宋体" w:cs="宋体" w:eastAsia="宋体" w:hint="default"/>
          <w:sz w:val="18"/>
          <w:szCs w:val="18"/>
        </w:rPr>
      </w:pPr>
    </w:p>
    <w:p>
      <w:pPr>
        <w:pStyle w:val="Heading2"/>
        <w:spacing w:line="240" w:lineRule="auto" w:before="26"/>
        <w:ind w:left="1134" w:right="1117"/>
        <w:jc w:val="left"/>
        <w:rPr>
          <w:b w:val="0"/>
          <w:bCs w:val="0"/>
        </w:rPr>
      </w:pPr>
      <w:bookmarkStart w:name="六、分季度主要财务指标" w:id="8"/>
      <w:bookmarkEnd w:id="8"/>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74" w:type="dxa"/>
        <w:tblLayout w:type="fixed"/>
        <w:tblCellMar>
          <w:top w:w="0" w:type="dxa"/>
          <w:left w:w="0" w:type="dxa"/>
          <w:bottom w:w="0" w:type="dxa"/>
          <w:right w:w="0" w:type="dxa"/>
        </w:tblCellMar>
        <w:tblLook w:val="01E0"/>
      </w:tblPr>
      <w:tblGrid>
        <w:gridCol w:w="2598"/>
        <w:gridCol w:w="1752"/>
        <w:gridCol w:w="1739"/>
        <w:gridCol w:w="1739"/>
        <w:gridCol w:w="1730"/>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127,564,512.43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sz w:val="18"/>
              </w:rPr>
              <w:t>190,753,733.31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193,963,916.68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234,436,461.86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11,400,565.74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sz w:val="18"/>
              </w:rPr>
              <w:t>21,244,384.50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19,220,966.00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26,780,597.16</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2" w:type="dxa"/>
        <w:tblLayout w:type="fixed"/>
        <w:tblCellMar>
          <w:top w:w="0" w:type="dxa"/>
          <w:left w:w="0" w:type="dxa"/>
          <w:bottom w:w="0" w:type="dxa"/>
          <w:right w:w="0" w:type="dxa"/>
        </w:tblCellMar>
        <w:tblLook w:val="01E0"/>
      </w:tblPr>
      <w:tblGrid>
        <w:gridCol w:w="2622"/>
        <w:gridCol w:w="1741"/>
        <w:gridCol w:w="1739"/>
        <w:gridCol w:w="1739"/>
        <w:gridCol w:w="1730"/>
      </w:tblGrid>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4,052,195.94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14,598,569.49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11,377,035.05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15,141,514.70</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24,210,644.04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1,261,092.86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75,147,693.99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48,623,058.94</w:t>
            </w:r>
          </w:p>
        </w:tc>
      </w:tr>
    </w:tbl>
    <w:p>
      <w:pPr>
        <w:spacing w:line="240" w:lineRule="auto" w:before="7"/>
        <w:rPr>
          <w:rFonts w:ascii="宋体" w:hAnsi="宋体" w:cs="宋体" w:eastAsia="宋体" w:hint="default"/>
          <w:sz w:val="6"/>
          <w:szCs w:val="6"/>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line="240" w:lineRule="auto" w:before="12"/>
        <w:rPr>
          <w:rFonts w:ascii="宋体" w:hAnsi="宋体" w:cs="宋体" w:eastAsia="宋体" w:hint="default"/>
          <w:sz w:val="20"/>
          <w:szCs w:val="20"/>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2"/>
        <w:spacing w:line="240" w:lineRule="auto" w:before="155"/>
        <w:ind w:right="1117"/>
        <w:jc w:val="left"/>
        <w:rPr>
          <w:b w:val="0"/>
          <w:bCs w:val="0"/>
        </w:rPr>
      </w:pPr>
      <w:bookmarkStart w:name="七、境内外会计准则下会计数据差异" w:id="9"/>
      <w:bookmarkEnd w:id="9"/>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同时按照国际会计准则与按照中国会计准则披露的财务报告中净利润和净资产差异情况" w:id="10"/>
      <w:bookmarkEnd w:id="10"/>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133" w:right="1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8"/>
          <w:szCs w:val="18"/>
        </w:rPr>
      </w:pPr>
    </w:p>
    <w:p>
      <w:pPr>
        <w:pStyle w:val="Heading3"/>
        <w:spacing w:line="240" w:lineRule="auto"/>
        <w:ind w:left="1133" w:right="1117"/>
        <w:jc w:val="left"/>
        <w:rPr>
          <w:b w:val="0"/>
          <w:bCs w:val="0"/>
        </w:rPr>
      </w:pPr>
      <w:bookmarkStart w:name="2、同时按照境外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6"/>
          <w:szCs w:val="16"/>
        </w:rPr>
      </w:pPr>
    </w:p>
    <w:p>
      <w:pPr>
        <w:pStyle w:val="Heading2"/>
        <w:spacing w:line="240" w:lineRule="auto"/>
        <w:ind w:right="1117"/>
        <w:jc w:val="left"/>
        <w:rPr>
          <w:b w:val="0"/>
          <w:bCs w:val="0"/>
        </w:rPr>
      </w:pPr>
      <w:bookmarkStart w:name="八、非经常性损益项目及金额" w:id="12"/>
      <w:bookmarkEnd w:id="12"/>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-76,571.08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-157,404.03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-431,068.56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40,297,076.31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23,277,695.93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21,079,757.21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3,357,269.67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129,649.43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-245,272.13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-89,211.08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5,008,738.47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3,172,843.93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2,413,426.07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5,221,487.64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1,266,115.71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2,381,742.92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33,477,198.22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18,436,060.13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15,764,308.58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6"/>
          <w:szCs w:val="6"/>
        </w:rPr>
      </w:pPr>
    </w:p>
    <w:p>
      <w:pPr>
        <w:spacing w:before="44"/>
        <w:ind w:left="1134" w:right="712"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40" w:lineRule="auto" w:before="8"/>
        <w:rPr>
          <w:rFonts w:ascii="宋体" w:hAnsi="宋体" w:cs="宋体" w:eastAsia="宋体" w:hint="default"/>
          <w:sz w:val="16"/>
          <w:szCs w:val="16"/>
        </w:rPr>
      </w:pPr>
    </w:p>
    <w:p>
      <w:pPr>
        <w:spacing w:line="451" w:lineRule="auto" w:before="0"/>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after="0" w:line="451"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451"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三节 公司业务概要" w:id="13"/>
      <w:bookmarkEnd w:id="13"/>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4" w:right="1117"/>
        <w:jc w:val="left"/>
        <w:rPr>
          <w:b w:val="0"/>
          <w:bCs w:val="0"/>
        </w:rPr>
      </w:pPr>
      <w:bookmarkStart w:name="一、报告期内公司从事的主要业务" w:id="14"/>
      <w:bookmarkEnd w:id="14"/>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134" w:right="1129" w:firstLine="420"/>
        <w:jc w:val="both"/>
      </w:pPr>
      <w:r>
        <w:rPr/>
        <w:t>公司以成为“领先的物联网（</w:t>
      </w:r>
      <w:r>
        <w:rPr>
          <w:rFonts w:ascii="宋体" w:hAnsi="宋体" w:cs="宋体" w:eastAsia="宋体" w:hint="default"/>
        </w:rPr>
        <w:t>IOT</w:t>
      </w:r>
      <w:r>
        <w:rPr/>
        <w:t>）解决方案提供商”为产业愿景，通过多年的内生外延发展，构建 了相对完整的物联网（</w:t>
      </w:r>
      <w:r>
        <w:rPr>
          <w:rFonts w:ascii="宋体" w:hAnsi="宋体" w:cs="宋体" w:eastAsia="宋体" w:hint="default"/>
        </w:rPr>
        <w:t>IOT</w:t>
      </w:r>
      <w:r>
        <w:rPr/>
        <w:t>）生态圈，主要是以传感器为核心，将传感技术、智能终端、通讯技术、云计</w:t>
      </w:r>
      <w:r>
        <w:rPr>
          <w:spacing w:val="-34"/>
        </w:rPr>
        <w:t> </w:t>
      </w:r>
      <w:r>
        <w:rPr>
          <w:spacing w:val="-34"/>
        </w:rPr>
      </w:r>
      <w:r>
        <w:rPr/>
        <w:t>算和地理信息等物联网技术紧密结合，形成了“传感器</w:t>
      </w:r>
      <w:r>
        <w:rPr>
          <w:rFonts w:ascii="宋体" w:hAnsi="宋体" w:cs="宋体" w:eastAsia="宋体" w:hint="default"/>
        </w:rPr>
        <w:t>+</w:t>
      </w:r>
      <w:r>
        <w:rPr/>
        <w:t>监测终端</w:t>
      </w:r>
      <w:r>
        <w:rPr>
          <w:rFonts w:ascii="宋体" w:hAnsi="宋体" w:cs="宋体" w:eastAsia="宋体" w:hint="default"/>
        </w:rPr>
        <w:t>+</w:t>
      </w:r>
      <w:r>
        <w:rPr/>
        <w:t>数据采集</w:t>
      </w:r>
      <w:r>
        <w:rPr>
          <w:rFonts w:ascii="宋体" w:hAnsi="宋体" w:cs="宋体" w:eastAsia="宋体" w:hint="default"/>
        </w:rPr>
        <w:t>+GIS+</w:t>
      </w:r>
      <w:r>
        <w:rPr/>
        <w:t>云应用”的系统解决方</w:t>
      </w:r>
      <w:r>
        <w:rPr>
          <w:spacing w:val="-29"/>
        </w:rPr>
        <w:t> </w:t>
      </w:r>
      <w:r>
        <w:rPr>
          <w:spacing w:val="-29"/>
        </w:rPr>
      </w:r>
      <w:r>
        <w:rPr>
          <w:spacing w:val="-1"/>
        </w:rPr>
        <w:t>案，业务应用覆盖智慧城市、智慧安全、智慧环保、居家健康等行业领域，在所涉及的产业领域里形成了</w:t>
      </w:r>
      <w:r>
        <w:rPr>
          <w:spacing w:val="-83"/>
        </w:rPr>
        <w:t> </w:t>
      </w:r>
      <w:r>
        <w:rPr>
          <w:spacing w:val="-83"/>
        </w:rPr>
      </w:r>
      <w:r>
        <w:rPr/>
        <w:t>领先的优势。具体如下：</w:t>
      </w:r>
    </w:p>
    <w:p>
      <w:pPr>
        <w:pStyle w:val="BodyText"/>
        <w:spacing w:line="408" w:lineRule="auto"/>
        <w:ind w:left="1134" w:right="1131" w:firstLine="420"/>
        <w:jc w:val="both"/>
      </w:pPr>
      <w:r>
        <w:rPr>
          <w:rFonts w:ascii="宋体" w:hAnsi="宋体" w:cs="宋体" w:eastAsia="宋体" w:hint="default"/>
        </w:rPr>
        <w:t>1</w:t>
      </w:r>
      <w:r>
        <w:rPr/>
        <w:t>、传感器业务。在构成物联网的三层架构中，传感层处于最底层，是构成物联网的核心基础。在物 </w:t>
      </w:r>
      <w:r>
        <w:rPr>
          <w:spacing w:val="-1"/>
        </w:rPr>
        <w:t>联网运行中，传感器将感知获取到的物理、化学、生物等信息转化为易识别的数字信息传输至后端平台处</w:t>
      </w:r>
      <w:r>
        <w:rPr>
          <w:spacing w:val="-83"/>
        </w:rPr>
        <w:t> </w:t>
      </w:r>
      <w:r>
        <w:rPr>
          <w:spacing w:val="-83"/>
        </w:rPr>
      </w:r>
      <w:r>
        <w:rPr>
          <w:spacing w:val="-5"/>
        </w:rPr>
        <w:t>理、分析、应用。传感器是汉威旗下最具成长性和价值的核心业务板块之一，公司集传感器的研发、生产、</w:t>
      </w:r>
      <w:r>
        <w:rPr/>
        <w:t> </w:t>
      </w:r>
      <w:r>
        <w:rPr>
          <w:spacing w:val="-1"/>
        </w:rPr>
        <w:t>销售为一体，产品覆盖气体、湿度、流量、压力、加速度等门类，该业务板块目前得益于工业、环境、安</w:t>
      </w:r>
      <w:r>
        <w:rPr>
          <w:spacing w:val="-86"/>
        </w:rPr>
        <w:t> </w:t>
      </w:r>
      <w:r>
        <w:rPr>
          <w:spacing w:val="-86"/>
        </w:rPr>
      </w:r>
      <w:r>
        <w:rPr/>
        <w:t>全、健康等领域旺盛需求的推动保持良好发展势头。</w:t>
      </w:r>
    </w:p>
    <w:p>
      <w:pPr>
        <w:pStyle w:val="BodyText"/>
        <w:spacing w:line="408" w:lineRule="auto"/>
        <w:ind w:right="1132" w:firstLine="420"/>
        <w:jc w:val="both"/>
      </w:pPr>
      <w:r>
        <w:rPr>
          <w:rFonts w:ascii="宋体" w:hAnsi="宋体" w:cs="宋体" w:eastAsia="宋体" w:hint="default"/>
        </w:rPr>
        <w:t>2</w:t>
      </w:r>
      <w:r>
        <w:rPr/>
        <w:t>、智慧城市业务。智慧城市业务目前主要面向燃气、供水、排水、供热等市政管理信息化领域，依 </w:t>
      </w:r>
      <w:r>
        <w:rPr>
          <w:spacing w:val="-1"/>
        </w:rPr>
        <w:t>靠“传感器</w:t>
      </w:r>
      <w:r>
        <w:rPr>
          <w:rFonts w:ascii="宋体" w:hAnsi="宋体" w:cs="宋体" w:eastAsia="宋体" w:hint="default"/>
          <w:spacing w:val="-1"/>
        </w:rPr>
        <w:t>+</w:t>
      </w:r>
      <w:r>
        <w:rPr>
          <w:spacing w:val="-1"/>
        </w:rPr>
        <w:t>监测终端</w:t>
      </w:r>
      <w:r>
        <w:rPr>
          <w:rFonts w:ascii="宋体" w:hAnsi="宋体" w:cs="宋体" w:eastAsia="宋体" w:hint="default"/>
          <w:spacing w:val="-1"/>
        </w:rPr>
        <w:t>+</w:t>
      </w:r>
      <w:r>
        <w:rPr>
          <w:spacing w:val="-1"/>
        </w:rPr>
        <w:t>数据采集</w:t>
      </w:r>
      <w:r>
        <w:rPr>
          <w:rFonts w:ascii="宋体" w:hAnsi="宋体" w:cs="宋体" w:eastAsia="宋体" w:hint="default"/>
          <w:spacing w:val="-1"/>
        </w:rPr>
        <w:t>+GIS+</w:t>
      </w:r>
      <w:r>
        <w:rPr>
          <w:spacing w:val="-1"/>
        </w:rPr>
        <w:t>云应用”系统提供集管网</w:t>
      </w:r>
      <w:r>
        <w:rPr>
          <w:rFonts w:ascii="宋体" w:hAnsi="宋体" w:cs="宋体" w:eastAsia="宋体" w:hint="default"/>
          <w:spacing w:val="-1"/>
        </w:rPr>
        <w:t>GIS</w:t>
      </w:r>
      <w:r>
        <w:rPr>
          <w:spacing w:val="-1"/>
        </w:rPr>
        <w:t>、信息采集、运营管理为一体的物联网</w:t>
      </w:r>
      <w:r>
        <w:rPr>
          <w:spacing w:val="-85"/>
        </w:rPr>
        <w:t> </w:t>
      </w:r>
      <w:r>
        <w:rPr>
          <w:spacing w:val="-85"/>
        </w:rPr>
      </w:r>
      <w:r>
        <w:rPr>
          <w:spacing w:val="-1"/>
        </w:rPr>
        <w:t>解决方案，改善燃气、供水、排水、供热事业的运营效率和效益。该业务板块整体上得益于效率驱动的城</w:t>
      </w:r>
      <w:r>
        <w:rPr>
          <w:spacing w:val="-83"/>
        </w:rPr>
        <w:t> </w:t>
      </w:r>
      <w:r>
        <w:rPr>
          <w:spacing w:val="-83"/>
        </w:rPr>
      </w:r>
      <w:r>
        <w:rPr/>
        <w:t>市管理升级，受经济下行的压力相对较小。</w:t>
      </w:r>
    </w:p>
    <w:p>
      <w:pPr>
        <w:pStyle w:val="BodyText"/>
        <w:spacing w:line="408" w:lineRule="auto"/>
        <w:ind w:left="1134" w:right="1131" w:firstLine="420"/>
        <w:jc w:val="both"/>
      </w:pPr>
      <w:r>
        <w:rPr>
          <w:rFonts w:ascii="宋体" w:hAnsi="宋体" w:cs="宋体" w:eastAsia="宋体" w:hint="default"/>
        </w:rPr>
        <w:t>3</w:t>
      </w:r>
      <w:r>
        <w:rPr/>
        <w:t>、智慧安全业务。智慧安全业务主要面向石油、化工、冶金、电力、矿山、制药、食品等领域，致 </w:t>
      </w:r>
      <w:r>
        <w:rPr>
          <w:spacing w:val="-1"/>
        </w:rPr>
        <w:t>力于为各类工业客户提供安全管理监控一体化解决方案，由硬件监控设备和系统软件共同构成完整的安全</w:t>
      </w:r>
      <w:r>
        <w:rPr>
          <w:spacing w:val="-81"/>
        </w:rPr>
        <w:t> </w:t>
      </w:r>
      <w:r>
        <w:rPr>
          <w:spacing w:val="-81"/>
        </w:rPr>
      </w:r>
      <w:r>
        <w:rPr>
          <w:spacing w:val="-1"/>
        </w:rPr>
        <w:t>管理监控平台，是智能制造的重要组成部分。但是由于受到宏观经济下行的影响，行业客户的需求暂时受</w:t>
      </w:r>
      <w:r>
        <w:rPr>
          <w:spacing w:val="-83"/>
        </w:rPr>
        <w:t> </w:t>
      </w:r>
      <w:r>
        <w:rPr>
          <w:spacing w:val="-83"/>
        </w:rPr>
      </w:r>
      <w:r>
        <w:rPr/>
        <w:t>到影响。</w:t>
      </w:r>
    </w:p>
    <w:p>
      <w:pPr>
        <w:pStyle w:val="BodyText"/>
        <w:spacing w:line="408" w:lineRule="auto"/>
        <w:ind w:right="1128" w:firstLine="420"/>
        <w:jc w:val="both"/>
      </w:pPr>
      <w:r>
        <w:rPr>
          <w:rFonts w:ascii="宋体" w:hAnsi="宋体" w:cs="宋体" w:eastAsia="宋体" w:hint="default"/>
        </w:rPr>
        <w:t>4</w:t>
      </w:r>
      <w:r>
        <w:rPr/>
        <w:t>、智慧环保业务。智慧环保致力为客户提供一体化环境保护解决方案，依靠“传感器</w:t>
      </w:r>
      <w:r>
        <w:rPr>
          <w:rFonts w:ascii="宋体" w:hAnsi="宋体" w:cs="宋体" w:eastAsia="宋体" w:hint="default"/>
        </w:rPr>
        <w:t>+</w:t>
      </w:r>
      <w:r>
        <w:rPr/>
        <w:t>监测终端</w:t>
      </w:r>
      <w:r>
        <w:rPr>
          <w:rFonts w:ascii="宋体" w:hAnsi="宋体" w:cs="宋体" w:eastAsia="宋体" w:hint="default"/>
        </w:rPr>
        <w:t>+</w:t>
      </w:r>
      <w:r>
        <w:rPr/>
        <w:t>数 据采集</w:t>
      </w:r>
      <w:r>
        <w:rPr>
          <w:rFonts w:ascii="宋体" w:hAnsi="宋体" w:cs="宋体" w:eastAsia="宋体" w:hint="default"/>
        </w:rPr>
        <w:t>+GIS+</w:t>
      </w:r>
      <w:r>
        <w:rPr/>
        <w:t>云应用</w:t>
      </w:r>
      <w:r>
        <w:rPr>
          <w:rFonts w:ascii="宋体" w:hAnsi="宋体" w:cs="宋体" w:eastAsia="宋体" w:hint="default"/>
        </w:rPr>
        <w:t>+</w:t>
      </w:r>
      <w:r>
        <w:rPr/>
        <w:t>治理</w:t>
      </w:r>
      <w:r>
        <w:rPr>
          <w:rFonts w:ascii="宋体" w:hAnsi="宋体" w:cs="宋体" w:eastAsia="宋体" w:hint="default"/>
        </w:rPr>
        <w:t>+</w:t>
      </w:r>
      <w:r>
        <w:rPr/>
        <w:t>运维服务”整体方案，为企业、政府提供监测、治理、工程、服务一体化的环</w:t>
      </w:r>
      <w:r>
        <w:rPr>
          <w:spacing w:val="-35"/>
        </w:rPr>
        <w:t> </w:t>
      </w:r>
      <w:r>
        <w:rPr>
          <w:spacing w:val="-35"/>
        </w:rPr>
      </w:r>
      <w:r>
        <w:rPr/>
        <w:t>保服务，是近两年积极扩展的业务方向，受益于社会对环保行业的支持，该行业整体发展趋势良好。</w:t>
      </w:r>
    </w:p>
    <w:p>
      <w:pPr>
        <w:pStyle w:val="BodyText"/>
        <w:spacing w:line="408" w:lineRule="auto"/>
        <w:ind w:right="1135" w:firstLine="420"/>
        <w:jc w:val="both"/>
      </w:pPr>
      <w:r>
        <w:rPr>
          <w:rFonts w:ascii="宋体" w:hAnsi="宋体" w:cs="宋体" w:eastAsia="宋体" w:hint="default"/>
        </w:rPr>
        <w:t>5</w:t>
      </w:r>
      <w:r>
        <w:rPr/>
        <w:t>、智能家居业务。智能家居业务通过物联网技术对家中的环境健康、人体健康、智能设备进行有机 联通和管理，为人们提供专业可靠的“检测</w:t>
      </w:r>
      <w:r>
        <w:rPr>
          <w:rFonts w:ascii="宋体" w:hAnsi="宋体" w:cs="宋体" w:eastAsia="宋体" w:hint="default"/>
        </w:rPr>
        <w:t>+</w:t>
      </w:r>
      <w:r>
        <w:rPr/>
        <w:t>治理”家居环境解决方案，是公司产业布局中相对前沿的板</w:t>
      </w:r>
      <w:r>
        <w:rPr>
          <w:spacing w:val="-30"/>
        </w:rPr>
        <w:t> </w:t>
      </w:r>
      <w:r>
        <w:rPr>
          <w:spacing w:val="-30"/>
        </w:rPr>
      </w:r>
      <w:r>
        <w:rPr/>
        <w:t>块，正在开展积极的探索。</w:t>
      </w:r>
    </w:p>
    <w:p>
      <w:pPr>
        <w:pStyle w:val="BodyText"/>
        <w:spacing w:line="240" w:lineRule="auto"/>
        <w:ind w:left="1553" w:right="712"/>
        <w:jc w:val="left"/>
      </w:pPr>
      <w:r>
        <w:rPr/>
        <w:t>报告期内主要业绩驱动因素：传感器、智慧安全业务板块继续保持稳健增长态势；智慧城市、智慧环</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7"/>
        <w:jc w:val="left"/>
      </w:pPr>
      <w:r>
        <w:rPr>
          <w:spacing w:val="-1"/>
        </w:rPr>
        <w:t>保业务板块积极向好，项目订单获取实力较强，成为公司经营业绩贡献的主力军；智能家居业务板块报告</w:t>
      </w:r>
      <w:r>
        <w:rPr>
          <w:spacing w:val="-83"/>
        </w:rPr>
        <w:t> </w:t>
      </w:r>
      <w:r>
        <w:rPr>
          <w:spacing w:val="-83"/>
        </w:rPr>
      </w:r>
      <w:r>
        <w:rPr/>
        <w:t>期内不断满足用户需求，加大研发投入，新产品持续上市，未来市场前景广阔。</w:t>
      </w:r>
    </w:p>
    <w:p>
      <w:pPr>
        <w:spacing w:line="240" w:lineRule="auto" w:before="11"/>
        <w:rPr>
          <w:rFonts w:ascii="宋体" w:hAnsi="宋体" w:cs="宋体" w:eastAsia="宋体" w:hint="default"/>
          <w:sz w:val="18"/>
          <w:szCs w:val="18"/>
        </w:rPr>
      </w:pPr>
    </w:p>
    <w:p>
      <w:pPr>
        <w:pStyle w:val="Heading2"/>
        <w:spacing w:line="240" w:lineRule="auto"/>
        <w:ind w:right="1117"/>
        <w:jc w:val="left"/>
        <w:rPr>
          <w:b w:val="0"/>
          <w:bCs w:val="0"/>
        </w:rPr>
      </w:pPr>
      <w:bookmarkStart w:name="二、主要资产重大变化情况" w:id="15"/>
      <w:bookmarkEnd w:id="15"/>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主要资产重大变化情况" w:id="16"/>
      <w:bookmarkEnd w:id="16"/>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3090"/>
        <w:gridCol w:w="6604"/>
      </w:tblGrid>
      <w:tr>
        <w:trPr>
          <w:trHeight w:val="764" w:hRule="exact"/>
        </w:trPr>
        <w:tc>
          <w:tcPr>
            <w:tcW w:w="3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679.06%</w:t>
            </w:r>
            <w:r>
              <w:rPr>
                <w:rFonts w:ascii="宋体" w:hAnsi="宋体" w:cs="宋体" w:eastAsia="宋体" w:hint="default"/>
                <w:sz w:val="18"/>
                <w:szCs w:val="18"/>
              </w:rPr>
              <w:t>，主要系新并入的汉威公用市政供水管网建设项目所致。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112.59%</w:t>
            </w:r>
            <w:r>
              <w:rPr>
                <w:rFonts w:ascii="宋体" w:hAnsi="宋体" w:cs="宋体" w:eastAsia="宋体" w:hint="default"/>
                <w:sz w:val="18"/>
                <w:szCs w:val="18"/>
              </w:rPr>
              <w:t>，主要系新增的长期借款部分暂未投入使用所致。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宋体" w:hAnsi="宋体" w:cs="宋体" w:eastAsia="宋体" w:hint="default"/>
                <w:sz w:val="18"/>
                <w:szCs w:val="18"/>
              </w:rPr>
              <w:t>58.09%</w:t>
            </w:r>
            <w:r>
              <w:rPr>
                <w:rFonts w:ascii="宋体" w:hAnsi="宋体" w:cs="宋体" w:eastAsia="宋体" w:hint="default"/>
                <w:sz w:val="18"/>
                <w:szCs w:val="18"/>
              </w:rPr>
              <w:t>，主要系加强票据的使用流通，积极降低应收票据库存所致。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88.16%</w:t>
            </w:r>
            <w:r>
              <w:rPr>
                <w:rFonts w:ascii="宋体" w:hAnsi="宋体" w:cs="宋体" w:eastAsia="宋体" w:hint="default"/>
                <w:sz w:val="18"/>
                <w:szCs w:val="18"/>
              </w:rPr>
              <w:t>，主要系汉威公用预付的供水工程款项所致。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752.24%</w:t>
            </w:r>
            <w:r>
              <w:rPr>
                <w:rFonts w:ascii="宋体" w:hAnsi="宋体" w:cs="宋体" w:eastAsia="宋体" w:hint="default"/>
                <w:sz w:val="18"/>
                <w:szCs w:val="18"/>
              </w:rPr>
              <w:t>，主要系合并范围增加所致。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15,076.70%</w:t>
            </w:r>
            <w:r>
              <w:rPr>
                <w:rFonts w:ascii="宋体" w:hAnsi="宋体" w:cs="宋体" w:eastAsia="宋体" w:hint="default"/>
                <w:sz w:val="18"/>
                <w:szCs w:val="18"/>
              </w:rPr>
              <w:t>，主要系利用暂时闲置资金购买银行理财产品所致。</w:t>
            </w:r>
          </w:p>
        </w:tc>
      </w:tr>
      <w:tr>
        <w:trPr>
          <w:trHeight w:val="714"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30,200.00%</w:t>
            </w:r>
            <w:r>
              <w:rPr>
                <w:rFonts w:ascii="宋体" w:hAnsi="宋体" w:cs="宋体" w:eastAsia="宋体" w:hint="default"/>
                <w:sz w:val="18"/>
                <w:szCs w:val="18"/>
              </w:rPr>
              <w:t>，主要系投资河南华夏海纳创业投资集团有限公司、浙江风 向标科技有限公司、泰瑞数创科技（北京）有限公司等所致。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3,089.14%</w:t>
            </w:r>
            <w:r>
              <w:rPr>
                <w:rFonts w:ascii="宋体" w:hAnsi="宋体" w:cs="宋体" w:eastAsia="宋体" w:hint="default"/>
                <w:sz w:val="18"/>
                <w:szCs w:val="18"/>
              </w:rPr>
              <w:t>，主要系合并范围增加所致。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223.19%</w:t>
            </w:r>
            <w:r>
              <w:rPr>
                <w:rFonts w:ascii="宋体" w:hAnsi="宋体" w:cs="宋体" w:eastAsia="宋体" w:hint="default"/>
                <w:sz w:val="18"/>
                <w:szCs w:val="18"/>
              </w:rPr>
              <w:t>，主要系部分闲置房产对外出租所致。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8,344.26%</w:t>
            </w:r>
            <w:r>
              <w:rPr>
                <w:rFonts w:ascii="宋体" w:hAnsi="宋体" w:cs="宋体" w:eastAsia="宋体" w:hint="default"/>
                <w:sz w:val="18"/>
                <w:szCs w:val="18"/>
              </w:rPr>
              <w:t>，主要系新增的长期融资顾问费所致。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167.69%</w:t>
            </w:r>
            <w:r>
              <w:rPr>
                <w:rFonts w:ascii="宋体" w:hAnsi="宋体" w:cs="宋体" w:eastAsia="宋体" w:hint="default"/>
                <w:sz w:val="18"/>
                <w:szCs w:val="18"/>
              </w:rPr>
              <w:t>，主要系合并范围增加所致。</w:t>
            </w:r>
          </w:p>
        </w:tc>
      </w:tr>
      <w:tr>
        <w:trPr>
          <w:trHeight w:val="402"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宋体" w:hAnsi="宋体" w:cs="宋体" w:eastAsia="宋体" w:hint="default"/>
                <w:sz w:val="18"/>
                <w:szCs w:val="18"/>
              </w:rPr>
              <w:t>1,450.93%</w:t>
            </w:r>
            <w:r>
              <w:rPr>
                <w:rFonts w:ascii="宋体" w:hAnsi="宋体" w:cs="宋体" w:eastAsia="宋体" w:hint="default"/>
                <w:sz w:val="18"/>
                <w:szCs w:val="18"/>
              </w:rPr>
              <w:t>，主要系预付房地产购置款所致。</w:t>
            </w:r>
          </w:p>
        </w:tc>
      </w:tr>
    </w:tbl>
    <w:p>
      <w:pPr>
        <w:spacing w:line="240" w:lineRule="auto" w:before="2"/>
        <w:rPr>
          <w:rFonts w:ascii="宋体" w:hAnsi="宋体" w:cs="宋体" w:eastAsia="宋体" w:hint="default"/>
          <w:b/>
          <w:bCs/>
          <w:sz w:val="19"/>
          <w:szCs w:val="19"/>
        </w:rPr>
      </w:pPr>
    </w:p>
    <w:p>
      <w:pPr>
        <w:spacing w:before="35"/>
        <w:ind w:left="1134" w:right="0" w:firstLine="0"/>
        <w:jc w:val="both"/>
        <w:rPr>
          <w:rFonts w:ascii="宋体" w:hAnsi="宋体" w:cs="宋体" w:eastAsia="宋体" w:hint="default"/>
          <w:sz w:val="21"/>
          <w:szCs w:val="21"/>
        </w:rPr>
      </w:pPr>
      <w:bookmarkStart w:name="2、主要境外资产情况" w:id="17"/>
      <w:bookmarkEnd w:id="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18"/>
      <w:bookmarkEnd w:id="18"/>
      <w:r>
        <w:rPr>
          <w:b w:val="0"/>
          <w:bCs w:val="0"/>
        </w:rPr>
      </w:r>
      <w:r>
        <w:rPr/>
        <w:t>三、核心竞争力分析</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53" w:right="1117"/>
        <w:jc w:val="left"/>
      </w:pPr>
      <w:r>
        <w:rPr>
          <w:rFonts w:ascii="宋体" w:hAnsi="宋体" w:cs="宋体" w:eastAsia="宋体" w:hint="default"/>
        </w:rPr>
        <w:t>1</w:t>
      </w:r>
      <w:r>
        <w:rPr/>
        <w:t>、产业生态平台优势 公司通过自主创新与资本并购，形成了“传感器</w:t>
      </w:r>
      <w:r>
        <w:rPr>
          <w:rFonts w:ascii="宋体" w:hAnsi="宋体" w:cs="宋体" w:eastAsia="宋体" w:hint="default"/>
        </w:rPr>
        <w:t>+</w:t>
      </w:r>
      <w:r>
        <w:rPr/>
        <w:t>监测终端</w:t>
      </w:r>
      <w:r>
        <w:rPr>
          <w:rFonts w:ascii="宋体" w:hAnsi="宋体" w:cs="宋体" w:eastAsia="宋体" w:hint="default"/>
        </w:rPr>
        <w:t>+</w:t>
      </w:r>
      <w:r>
        <w:rPr/>
        <w:t>数据采集</w:t>
      </w:r>
      <w:r>
        <w:rPr>
          <w:rFonts w:ascii="宋体" w:hAnsi="宋体" w:cs="宋体" w:eastAsia="宋体" w:hint="default"/>
        </w:rPr>
        <w:t>+GIS+</w:t>
      </w:r>
      <w:r>
        <w:rPr/>
        <w:t>云应用”的完整物联网技</w:t>
      </w:r>
    </w:p>
    <w:p>
      <w:pPr>
        <w:pStyle w:val="BodyText"/>
        <w:spacing w:line="408" w:lineRule="auto"/>
        <w:ind w:right="1131"/>
        <w:jc w:val="both"/>
      </w:pPr>
      <w:r>
        <w:rPr>
          <w:spacing w:val="-1"/>
        </w:rPr>
        <w:t>术平台，并构建了围绕该技术平台及应用的产业生态平台。该平台具备高度的可扩张性，将互联网、物联</w:t>
      </w:r>
      <w:r>
        <w:rPr>
          <w:spacing w:val="-86"/>
        </w:rPr>
        <w:t> </w:t>
      </w:r>
      <w:r>
        <w:rPr>
          <w:spacing w:val="-86"/>
        </w:rPr>
      </w:r>
      <w:r>
        <w:rPr>
          <w:spacing w:val="-1"/>
        </w:rPr>
        <w:t>网技术与应用行业高度融合，真正实现智能、智慧化管理，助推传统产业升级创新。同时，以文化和科学</w:t>
      </w:r>
      <w:r>
        <w:rPr>
          <w:spacing w:val="-83"/>
        </w:rPr>
        <w:t> </w:t>
      </w:r>
      <w:r>
        <w:rPr>
          <w:spacing w:val="-83"/>
        </w:rPr>
      </w:r>
      <w:r>
        <w:rPr/>
        <w:t>管理为基础，基于高度的业务、技术协同，生态圈内的企业成员单位在“互联网</w:t>
      </w:r>
      <w:r>
        <w:rPr>
          <w:rFonts w:ascii="宋体" w:hAnsi="宋体" w:cs="宋体" w:eastAsia="宋体" w:hint="default"/>
        </w:rPr>
        <w:t>+</w:t>
      </w:r>
      <w:r>
        <w:rPr/>
        <w:t>”时代均获得业内领先</w:t>
      </w:r>
      <w:r>
        <w:rPr>
          <w:spacing w:val="-27"/>
        </w:rPr>
        <w:t> </w:t>
      </w:r>
      <w:r>
        <w:rPr>
          <w:spacing w:val="-27"/>
        </w:rPr>
      </w:r>
      <w:r>
        <w:rPr/>
        <w:t>优势。</w:t>
      </w:r>
    </w:p>
    <w:p>
      <w:pPr>
        <w:pStyle w:val="BodyText"/>
        <w:spacing w:line="240" w:lineRule="auto"/>
        <w:ind w:left="1554" w:right="1117"/>
        <w:jc w:val="left"/>
      </w:pPr>
      <w:r>
        <w:rPr>
          <w:rFonts w:ascii="宋体" w:hAnsi="宋体" w:cs="宋体" w:eastAsia="宋体" w:hint="default"/>
        </w:rPr>
        <w:t>2</w:t>
      </w:r>
      <w:r>
        <w:rPr/>
        <w:t>、资本运作优势</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4" w:right="1131" w:firstLine="420"/>
        <w:jc w:val="both"/>
      </w:pPr>
      <w:r>
        <w:rPr>
          <w:spacing w:val="-1"/>
        </w:rPr>
        <w:t>公司于</w:t>
      </w:r>
      <w:r>
        <w:rPr>
          <w:rFonts w:ascii="宋体" w:hAnsi="宋体" w:cs="宋体" w:eastAsia="宋体" w:hint="default"/>
          <w:spacing w:val="-1"/>
        </w:rPr>
        <w:t>2009</w:t>
      </w:r>
      <w:r>
        <w:rPr>
          <w:spacing w:val="-1"/>
        </w:rPr>
        <w:t>年在创业板首批上市，积极运用资本手段，围绕物联网及应用展开资本运作，获得了围绕</w:t>
      </w:r>
      <w:r>
        <w:rPr/>
        <w:t> </w:t>
      </w:r>
      <w:r>
        <w:rPr>
          <w:spacing w:val="-1"/>
        </w:rPr>
        <w:t>战略、基于业务技术高度协同的并购整合经验，并构建了扩展性强的生态平台。以此为基础，公司通过从</w:t>
      </w:r>
      <w:r>
        <w:rPr>
          <w:spacing w:val="-86"/>
        </w:rPr>
        <w:t> </w:t>
      </w:r>
      <w:r>
        <w:rPr>
          <w:spacing w:val="-86"/>
        </w:rPr>
      </w:r>
      <w:r>
        <w:rPr>
          <w:spacing w:val="-1"/>
        </w:rPr>
        <w:t>资本市场募集发展资金、发行股份等多样化的并购支付手段，可以围绕物联网及应用领域展开持续外延扩</w:t>
      </w:r>
      <w:r>
        <w:rPr>
          <w:spacing w:val="-81"/>
        </w:rPr>
        <w:t> </w:t>
      </w:r>
      <w:r>
        <w:rPr>
          <w:spacing w:val="-81"/>
        </w:rPr>
      </w:r>
      <w:r>
        <w:rPr/>
        <w:t>张，形成产融互动的良性结果，与行业竞争对手形成了鲜明的竞争优势。</w:t>
      </w:r>
    </w:p>
    <w:p>
      <w:pPr>
        <w:pStyle w:val="BodyText"/>
        <w:spacing w:line="408" w:lineRule="auto"/>
        <w:ind w:left="1553" w:right="712"/>
        <w:jc w:val="left"/>
      </w:pPr>
      <w:r>
        <w:rPr>
          <w:rFonts w:ascii="宋体" w:hAnsi="宋体" w:cs="宋体" w:eastAsia="宋体" w:hint="default"/>
        </w:rPr>
        <w:t>3</w:t>
      </w:r>
      <w:r>
        <w:rPr/>
        <w:t>、研发创新优势 </w:t>
      </w:r>
      <w:r>
        <w:rPr>
          <w:spacing w:val="-1"/>
        </w:rPr>
        <w:t>公司拥有锐意创新的研发团队，具有独立的设计和开发能力，研发中心获得了“国家级企业技术中心”</w:t>
      </w:r>
    </w:p>
    <w:p>
      <w:pPr>
        <w:pStyle w:val="BodyText"/>
        <w:spacing w:line="408" w:lineRule="auto"/>
        <w:ind w:left="1553" w:right="1117" w:hanging="420"/>
        <w:jc w:val="left"/>
      </w:pPr>
      <w:r>
        <w:rPr/>
        <w:t>认证，在多项应用领域中取得了领先成果，未来经营中将继续加强研发创新能力。 </w:t>
      </w:r>
      <w:r>
        <w:rPr>
          <w:spacing w:val="-3"/>
        </w:rPr>
        <w:t>报告期内，公司及子公司新增专利证书</w:t>
      </w:r>
      <w:r>
        <w:rPr>
          <w:rFonts w:ascii="宋体" w:hAnsi="宋体" w:cs="宋体" w:eastAsia="宋体" w:hint="default"/>
          <w:spacing w:val="-3"/>
        </w:rPr>
        <w:t>46</w:t>
      </w:r>
      <w:r>
        <w:rPr>
          <w:spacing w:val="-3"/>
        </w:rPr>
        <w:t>项，其中发明专利</w:t>
      </w:r>
      <w:r>
        <w:rPr>
          <w:rFonts w:ascii="宋体" w:hAnsi="宋体" w:cs="宋体" w:eastAsia="宋体" w:hint="default"/>
          <w:spacing w:val="-3"/>
        </w:rPr>
        <w:t>15</w:t>
      </w:r>
      <w:r>
        <w:rPr>
          <w:spacing w:val="-3"/>
        </w:rPr>
        <w:t>项，实用新型专利</w:t>
      </w:r>
      <w:r>
        <w:rPr>
          <w:rFonts w:ascii="宋体" w:hAnsi="宋体" w:cs="宋体" w:eastAsia="宋体" w:hint="default"/>
          <w:spacing w:val="-3"/>
        </w:rPr>
        <w:t>26</w:t>
      </w:r>
      <w:r>
        <w:rPr>
          <w:spacing w:val="-3"/>
        </w:rPr>
        <w:t>项，外观设计</w:t>
      </w:r>
      <w:r>
        <w:rPr>
          <w:rFonts w:ascii="宋体" w:hAnsi="宋体" w:cs="宋体" w:eastAsia="宋体" w:hint="default"/>
          <w:spacing w:val="-3"/>
        </w:rPr>
        <w:t>5</w:t>
      </w:r>
      <w:r>
        <w:rPr>
          <w:spacing w:val="-3"/>
        </w:rPr>
        <w:t>项；</w:t>
      </w:r>
    </w:p>
    <w:p>
      <w:pPr>
        <w:pStyle w:val="BodyText"/>
        <w:spacing w:line="240" w:lineRule="auto"/>
        <w:ind w:right="1117"/>
        <w:jc w:val="left"/>
      </w:pPr>
      <w:r>
        <w:rPr/>
        <w:t>新增计算机软件著作权</w:t>
      </w:r>
      <w:r>
        <w:rPr>
          <w:rFonts w:ascii="宋体" w:hAnsi="宋体" w:cs="宋体" w:eastAsia="宋体" w:hint="default"/>
        </w:rPr>
        <w:t>17</w:t>
      </w:r>
      <w:r>
        <w:rPr/>
        <w:t>项。</w:t>
      </w:r>
    </w:p>
    <w:p>
      <w:pPr>
        <w:spacing w:line="240" w:lineRule="auto" w:before="10"/>
        <w:rPr>
          <w:rFonts w:ascii="宋体" w:hAnsi="宋体" w:cs="宋体" w:eastAsia="宋体" w:hint="default"/>
          <w:sz w:val="14"/>
          <w:szCs w:val="14"/>
        </w:rPr>
      </w:pPr>
    </w:p>
    <w:p>
      <w:pPr>
        <w:pStyle w:val="BodyText"/>
        <w:spacing w:line="240" w:lineRule="auto" w:before="0"/>
        <w:ind w:left="1553" w:right="1117"/>
        <w:jc w:val="left"/>
      </w:pPr>
      <w:r>
        <w:rPr/>
        <w:t>（</w:t>
      </w:r>
      <w:r>
        <w:rPr>
          <w:rFonts w:ascii="Times New Roman" w:hAnsi="Times New Roman" w:cs="Times New Roman" w:eastAsia="Times New Roman" w:hint="default"/>
        </w:rPr>
        <w:t>1</w:t>
      </w:r>
      <w:r>
        <w:rPr/>
        <w:t>）报告期内，公司及子公司新增专利证书如下：</w:t>
      </w:r>
    </w:p>
    <w:p>
      <w:pPr>
        <w:spacing w:line="240" w:lineRule="auto" w:before="4"/>
        <w:rPr>
          <w:rFonts w:ascii="宋体" w:hAnsi="宋体" w:cs="宋体" w:eastAsia="宋体" w:hint="default"/>
          <w:sz w:val="10"/>
          <w:szCs w:val="10"/>
        </w:rPr>
      </w:pPr>
    </w:p>
    <w:tbl>
      <w:tblPr>
        <w:tblW w:w="0" w:type="auto"/>
        <w:jc w:val="left"/>
        <w:tblInd w:w="1111" w:type="dxa"/>
        <w:tblLayout w:type="fixed"/>
        <w:tblCellMar>
          <w:top w:w="0" w:type="dxa"/>
          <w:left w:w="0" w:type="dxa"/>
          <w:bottom w:w="0" w:type="dxa"/>
          <w:right w:w="0" w:type="dxa"/>
        </w:tblCellMar>
        <w:tblLook w:val="01E0"/>
      </w:tblPr>
      <w:tblGrid>
        <w:gridCol w:w="532"/>
        <w:gridCol w:w="1609"/>
        <w:gridCol w:w="3543"/>
        <w:gridCol w:w="851"/>
        <w:gridCol w:w="1134"/>
        <w:gridCol w:w="851"/>
        <w:gridCol w:w="1145"/>
      </w:tblGrid>
      <w:tr>
        <w:trPr>
          <w:trHeight w:val="329" w:hRule="exact"/>
        </w:trPr>
        <w:tc>
          <w:tcPr>
            <w:tcW w:w="532" w:type="dxa"/>
            <w:tcBorders>
              <w:top w:val="single" w:sz="8" w:space="0" w:color="000000"/>
              <w:left w:val="single" w:sz="8" w:space="0" w:color="000000"/>
              <w:bottom w:val="single" w:sz="6" w:space="0" w:color="000000"/>
              <w:right w:val="single" w:sz="6" w:space="0" w:color="000000"/>
            </w:tcBorders>
            <w:shd w:val="clear" w:color="auto" w:fill="D9D9D9"/>
          </w:tcPr>
          <w:p>
            <w:pPr>
              <w:pStyle w:val="TableParagraph"/>
              <w:spacing w:line="247" w:lineRule="exact"/>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1609"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专利号</w:t>
            </w:r>
          </w:p>
        </w:tc>
        <w:tc>
          <w:tcPr>
            <w:tcW w:w="3543"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z w:val="20"/>
                <w:szCs w:val="20"/>
              </w:rPr>
              <w:t>专利名称</w:t>
            </w:r>
          </w:p>
        </w:tc>
        <w:tc>
          <w:tcPr>
            <w:tcW w:w="851"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left="1" w:right="0"/>
              <w:jc w:val="center"/>
              <w:rPr>
                <w:rFonts w:ascii="宋体" w:hAnsi="宋体" w:cs="宋体" w:eastAsia="宋体" w:hint="default"/>
                <w:sz w:val="20"/>
                <w:szCs w:val="20"/>
              </w:rPr>
            </w:pPr>
            <w:r>
              <w:rPr>
                <w:rFonts w:ascii="宋体" w:hAnsi="宋体" w:cs="宋体" w:eastAsia="宋体" w:hint="default"/>
                <w:sz w:val="20"/>
                <w:szCs w:val="20"/>
              </w:rPr>
              <w:t>专利类型</w:t>
            </w:r>
          </w:p>
        </w:tc>
        <w:tc>
          <w:tcPr>
            <w:tcW w:w="1134"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left="2" w:right="0"/>
              <w:jc w:val="center"/>
              <w:rPr>
                <w:rFonts w:ascii="宋体" w:hAnsi="宋体" w:cs="宋体" w:eastAsia="宋体" w:hint="default"/>
                <w:sz w:val="20"/>
                <w:szCs w:val="20"/>
              </w:rPr>
            </w:pPr>
            <w:r>
              <w:rPr>
                <w:rFonts w:ascii="宋体" w:hAnsi="宋体" w:cs="宋体" w:eastAsia="宋体" w:hint="default"/>
                <w:sz w:val="20"/>
                <w:szCs w:val="20"/>
              </w:rPr>
              <w:t>申请日</w:t>
            </w:r>
          </w:p>
        </w:tc>
        <w:tc>
          <w:tcPr>
            <w:tcW w:w="851"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7" w:lineRule="exact"/>
              <w:ind w:right="1"/>
              <w:jc w:val="center"/>
              <w:rPr>
                <w:rFonts w:ascii="宋体" w:hAnsi="宋体" w:cs="宋体" w:eastAsia="宋体" w:hint="default"/>
                <w:sz w:val="20"/>
                <w:szCs w:val="20"/>
              </w:rPr>
            </w:pPr>
            <w:r>
              <w:rPr>
                <w:rFonts w:ascii="宋体" w:hAnsi="宋体" w:cs="宋体" w:eastAsia="宋体" w:hint="default"/>
                <w:sz w:val="20"/>
                <w:szCs w:val="20"/>
              </w:rPr>
              <w:t>保护期限</w:t>
            </w:r>
          </w:p>
        </w:tc>
        <w:tc>
          <w:tcPr>
            <w:tcW w:w="1145" w:type="dxa"/>
            <w:tcBorders>
              <w:top w:val="single" w:sz="8" w:space="0" w:color="000000"/>
              <w:left w:val="single" w:sz="6" w:space="0" w:color="000000"/>
              <w:bottom w:val="single" w:sz="6" w:space="0" w:color="000000"/>
              <w:right w:val="single" w:sz="8" w:space="0" w:color="000000"/>
            </w:tcBorders>
            <w:shd w:val="clear" w:color="auto" w:fill="D9D9D9"/>
          </w:tcPr>
          <w:p>
            <w:pPr>
              <w:pStyle w:val="TableParagraph"/>
              <w:spacing w:line="247" w:lineRule="exact"/>
              <w:ind w:left="2" w:right="0"/>
              <w:jc w:val="center"/>
              <w:rPr>
                <w:rFonts w:ascii="宋体" w:hAnsi="宋体" w:cs="宋体" w:eastAsia="宋体" w:hint="default"/>
                <w:sz w:val="20"/>
                <w:szCs w:val="20"/>
              </w:rPr>
            </w:pPr>
            <w:r>
              <w:rPr>
                <w:rFonts w:ascii="宋体" w:hAnsi="宋体" w:cs="宋体" w:eastAsia="宋体" w:hint="default"/>
                <w:sz w:val="20"/>
                <w:szCs w:val="20"/>
              </w:rPr>
              <w:t>专利权人</w:t>
            </w:r>
          </w:p>
        </w:tc>
      </w:tr>
      <w:tr>
        <w:trPr>
          <w:trHeight w:val="347" w:hRule="exact"/>
        </w:trPr>
        <w:tc>
          <w:tcPr>
            <w:tcW w:w="532" w:type="dxa"/>
            <w:tcBorders>
              <w:top w:val="single" w:sz="10" w:space="0" w:color="000000"/>
              <w:left w:val="single" w:sz="8"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w w:val="100"/>
                <w:sz w:val="20"/>
              </w:rPr>
              <w:t>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201110442556.2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新型微处理器电路</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2011-12-27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8"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w w:val="100"/>
                <w:sz w:val="20"/>
              </w:rPr>
              <w:t>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201210102476.7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半双工通讯收发控制装置及其方法</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2012-04-10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w w:val="100"/>
                <w:sz w:val="20"/>
              </w:rPr>
              <w:t>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201210265856.2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一种酒精检测方法及装置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2012-07-30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w w:val="100"/>
                <w:sz w:val="20"/>
              </w:rPr>
              <w:t>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201210276490.9</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一种红外气体传感器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2012-07-31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w w:val="100"/>
                <w:sz w:val="20"/>
              </w:rPr>
              <w:t>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201210267164.1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提高传感器响应时间的方法</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2012-07-31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w w:val="100"/>
                <w:sz w:val="20"/>
              </w:rPr>
              <w:t>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201210268441.0</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二级恒温控制半导体激光器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2012-07-31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659"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w w:val="100"/>
                <w:sz w:val="20"/>
              </w:rPr>
              <w:t>7</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sz w:val="20"/>
              </w:rPr>
              <w:t>201310291027.6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4"/>
              <w:jc w:val="left"/>
              <w:rPr>
                <w:rFonts w:ascii="宋体" w:hAnsi="宋体" w:cs="宋体" w:eastAsia="宋体" w:hint="default"/>
                <w:sz w:val="20"/>
                <w:szCs w:val="20"/>
              </w:rPr>
            </w:pPr>
            <w:r>
              <w:rPr>
                <w:rFonts w:ascii="宋体" w:hAnsi="宋体" w:cs="宋体" w:eastAsia="宋体" w:hint="default"/>
                <w:spacing w:val="6"/>
                <w:sz w:val="20"/>
                <w:szCs w:val="20"/>
              </w:rPr>
              <w:t>可调节激光气体遥测仪及其焦平面调整</w:t>
            </w:r>
            <w:r>
              <w:rPr>
                <w:rFonts w:ascii="宋体" w:hAnsi="宋体" w:cs="宋体" w:eastAsia="宋体" w:hint="default"/>
                <w:spacing w:val="-77"/>
                <w:sz w:val="20"/>
                <w:szCs w:val="20"/>
              </w:rPr>
              <w:t> </w:t>
            </w:r>
            <w:r>
              <w:rPr>
                <w:rFonts w:ascii="宋体" w:hAnsi="宋体" w:cs="宋体" w:eastAsia="宋体" w:hint="default"/>
                <w:sz w:val="20"/>
                <w:szCs w:val="20"/>
              </w:rPr>
              <w:t>方法</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sz w:val="20"/>
              </w:rPr>
              <w:t>2013-07-12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61"/>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660"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w w:val="100"/>
                <w:sz w:val="20"/>
              </w:rPr>
              <w:t>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sz w:val="20"/>
              </w:rPr>
              <w:t>201310291057.7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4"/>
              <w:jc w:val="left"/>
              <w:rPr>
                <w:rFonts w:ascii="宋体" w:hAnsi="宋体" w:cs="宋体" w:eastAsia="宋体" w:hint="default"/>
                <w:sz w:val="20"/>
                <w:szCs w:val="20"/>
              </w:rPr>
            </w:pPr>
            <w:r>
              <w:rPr>
                <w:rFonts w:ascii="宋体" w:hAnsi="宋体" w:cs="宋体" w:eastAsia="宋体" w:hint="default"/>
                <w:spacing w:val="6"/>
                <w:sz w:val="20"/>
                <w:szCs w:val="20"/>
              </w:rPr>
              <w:t>气体传感器自动校准系统及其气体传感</w:t>
            </w:r>
            <w:r>
              <w:rPr>
                <w:rFonts w:ascii="宋体" w:hAnsi="宋体" w:cs="宋体" w:eastAsia="宋体" w:hint="default"/>
                <w:spacing w:val="-77"/>
                <w:sz w:val="20"/>
                <w:szCs w:val="20"/>
              </w:rPr>
              <w:t> </w:t>
            </w:r>
            <w:r>
              <w:rPr>
                <w:rFonts w:ascii="宋体" w:hAnsi="宋体" w:cs="宋体" w:eastAsia="宋体" w:hint="default"/>
                <w:sz w:val="20"/>
                <w:szCs w:val="20"/>
              </w:rPr>
              <w:t>器校准方法</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sz w:val="20"/>
              </w:rPr>
              <w:t>2013-07-12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61"/>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w w:val="100"/>
                <w:sz w:val="20"/>
              </w:rPr>
              <w:t>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201310291029.5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反射式开路激光气体检测系统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2013-07-12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201420371658.9</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标定气路板及气体传感器模块标定装置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2014-07-08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201420510983.9</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微型红外气体传感器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2014-09-05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201420510801.8</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红外气体传感器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2014-09-05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201420515579.0</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一种司法监控用酒精检测系统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2014-09-05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8"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201420510875.1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基于管道泄漏检测的图像信息采集装置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2014-09-05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sz w:val="20"/>
              </w:rPr>
              <w:t>15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201420746899.7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一种气体探测器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2014-12-03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201420747220.6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管道气体泄漏检测装置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2014-12-03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17</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201420746900.6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管道气体泄漏检测装置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2014-12-03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201420834421.X</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气体检测装置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2014-12-25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19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201420862912.5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基于浮标的水面气体监测系统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2014-12-31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8"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201420862554.8</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一种配置保鲜混合气的装置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2014-12-31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sz w:val="20"/>
              </w:rPr>
              <w:t>21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201520141075.1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一种新型粮仓环境综合参数监控系统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2015-03-13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201520409733.0</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流量型管道法兰气体泄漏检测装置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2015-06-15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50" w:hRule="exact"/>
        </w:trPr>
        <w:tc>
          <w:tcPr>
            <w:tcW w:w="532"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23</w:t>
            </w:r>
          </w:p>
        </w:tc>
        <w:tc>
          <w:tcPr>
            <w:tcW w:w="16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201520409711.4</w:t>
            </w:r>
          </w:p>
        </w:tc>
        <w:tc>
          <w:tcPr>
            <w:tcW w:w="35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管道气体泄漏检测装置</w:t>
            </w:r>
          </w:p>
        </w:tc>
        <w:tc>
          <w:tcPr>
            <w:tcW w:w="8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2015-06-15</w:t>
            </w:r>
          </w:p>
        </w:tc>
        <w:tc>
          <w:tcPr>
            <w:tcW w:w="8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bl>
    <w:p>
      <w:pPr>
        <w:spacing w:after="0" w:line="240" w:lineRule="auto"/>
        <w:jc w:val="center"/>
        <w:rPr>
          <w:rFonts w:ascii="宋体" w:hAnsi="宋体" w:cs="宋体" w:eastAsia="宋体" w:hint="default"/>
          <w:sz w:val="20"/>
          <w:szCs w:val="20"/>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38"/>
        <w:ind w:left="0" w:right="1054" w:firstLine="0"/>
        <w:jc w:val="right"/>
        <w:rPr>
          <w:rFonts w:ascii="宋体" w:hAnsi="宋体" w:cs="宋体" w:eastAsia="宋体" w:hint="default"/>
          <w:sz w:val="20"/>
          <w:szCs w:val="20"/>
        </w:rPr>
      </w:pPr>
      <w:r>
        <w:rPr/>
        <w:pict>
          <v:shape style="position:absolute;margin-left:55.560001pt;margin-top:-306.360291pt;width:484.7pt;height:509.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2"/>
                    <w:gridCol w:w="1609"/>
                    <w:gridCol w:w="3543"/>
                    <w:gridCol w:w="851"/>
                    <w:gridCol w:w="1134"/>
                    <w:gridCol w:w="851"/>
                    <w:gridCol w:w="1145"/>
                  </w:tblGrid>
                  <w:tr>
                    <w:trPr>
                      <w:trHeight w:val="349" w:hRule="exact"/>
                    </w:trPr>
                    <w:tc>
                      <w:tcPr>
                        <w:tcW w:w="532"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24</w:t>
                        </w:r>
                      </w:p>
                    </w:tc>
                    <w:tc>
                      <w:tcPr>
                        <w:tcW w:w="1609"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201430329379.1</w:t>
                        </w:r>
                      </w:p>
                    </w:tc>
                    <w:tc>
                      <w:tcPr>
                        <w:tcW w:w="3543"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空气质量检测仪</w:t>
                        </w:r>
                      </w:p>
                    </w:tc>
                    <w:tc>
                      <w:tcPr>
                        <w:tcW w:w="851"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134"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2014-09-05</w:t>
                        </w:r>
                      </w:p>
                    </w:tc>
                    <w:tc>
                      <w:tcPr>
                        <w:tcW w:w="851"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8"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201430354629.7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红外气体传感器（双光源双光路）</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2014-09-23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8"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201430354842.8</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可燃气体探测器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2014-09-23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sz w:val="20"/>
                          </w:rPr>
                          <w:t>27</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0"/>
                            <w:szCs w:val="20"/>
                          </w:rPr>
                        </w:pPr>
                        <w:r>
                          <w:rPr>
                            <w:rFonts w:ascii="宋体"/>
                            <w:spacing w:val="-1"/>
                            <w:sz w:val="20"/>
                          </w:rPr>
                          <w:t>201530172278.2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酒精检测仪（挂饰）</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2015-05-26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汉威电子</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28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201210211902.0</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地沟油快速检测方法</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2012-06-26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659"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0"/>
                            <w:szCs w:val="20"/>
                          </w:rPr>
                        </w:pPr>
                        <w:r>
                          <w:rPr>
                            <w:rFonts w:ascii="宋体"/>
                            <w:sz w:val="20"/>
                          </w:rPr>
                          <w:t>29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6"/>
                          <w:jc w:val="right"/>
                          <w:rPr>
                            <w:rFonts w:ascii="宋体" w:hAnsi="宋体" w:cs="宋体" w:eastAsia="宋体" w:hint="default"/>
                            <w:sz w:val="20"/>
                            <w:szCs w:val="20"/>
                          </w:rPr>
                        </w:pPr>
                        <w:r>
                          <w:rPr>
                            <w:rFonts w:ascii="宋体"/>
                            <w:spacing w:val="-1"/>
                            <w:sz w:val="20"/>
                          </w:rPr>
                          <w:t>201310030245.4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4"/>
                          <w:jc w:val="left"/>
                          <w:rPr>
                            <w:rFonts w:ascii="宋体" w:hAnsi="宋体" w:cs="宋体" w:eastAsia="宋体" w:hint="default"/>
                            <w:sz w:val="20"/>
                            <w:szCs w:val="20"/>
                          </w:rPr>
                        </w:pPr>
                        <w:r>
                          <w:rPr>
                            <w:rFonts w:ascii="宋体" w:hAnsi="宋体" w:cs="宋体" w:eastAsia="宋体" w:hint="default"/>
                            <w:spacing w:val="6"/>
                            <w:sz w:val="20"/>
                            <w:szCs w:val="20"/>
                          </w:rPr>
                          <w:t>人体呼气酒精浓度测试剂及其制备方法</w:t>
                        </w:r>
                        <w:r>
                          <w:rPr>
                            <w:rFonts w:ascii="宋体" w:hAnsi="宋体" w:cs="宋体" w:eastAsia="宋体" w:hint="default"/>
                            <w:spacing w:val="-77"/>
                            <w:sz w:val="20"/>
                            <w:szCs w:val="20"/>
                          </w:rPr>
                          <w:t> </w:t>
                        </w:r>
                        <w:r>
                          <w:rPr>
                            <w:rFonts w:ascii="宋体" w:hAnsi="宋体" w:cs="宋体" w:eastAsia="宋体" w:hint="default"/>
                            <w:sz w:val="20"/>
                            <w:szCs w:val="20"/>
                          </w:rPr>
                          <w:t>和应用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sz w:val="20"/>
                          </w:rPr>
                          <w:t>2013-01-25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61"/>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30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201420384315.6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点检器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2014-07-11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31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201520452532.9</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一种电化学甲醛传感器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2015-06-29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348"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32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201520451675.8</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一种电化学甲醛传感器壳体</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2015-06-29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sz w:val="20"/>
                          </w:rPr>
                          <w:t>33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0"/>
                            <w:szCs w:val="20"/>
                          </w:rPr>
                        </w:pPr>
                        <w:r>
                          <w:rPr>
                            <w:rFonts w:ascii="宋体"/>
                            <w:spacing w:val="-1"/>
                            <w:sz w:val="20"/>
                          </w:rPr>
                          <w:t>201430354647.5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微型红外气体传感器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2014-09-23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34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201520113114.7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MEMS</w:t>
                        </w:r>
                        <w:r>
                          <w:rPr>
                            <w:rFonts w:ascii="宋体" w:hAnsi="宋体" w:cs="宋体" w:eastAsia="宋体" w:hint="default"/>
                            <w:sz w:val="20"/>
                            <w:szCs w:val="20"/>
                          </w:rPr>
                          <w:t>气体传感器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2015-02-16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35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201520239084.4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气敏传感器的数据读出电路和检测装置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2015-04-20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炜盛科技</w:t>
                        </w:r>
                      </w:p>
                    </w:tc>
                  </w:tr>
                  <w:tr>
                    <w:trPr>
                      <w:trHeight w:val="659"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0"/>
                            <w:szCs w:val="20"/>
                          </w:rPr>
                        </w:pPr>
                        <w:r>
                          <w:rPr>
                            <w:rFonts w:ascii="宋体"/>
                            <w:sz w:val="20"/>
                          </w:rPr>
                          <w:t>36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46"/>
                          <w:jc w:val="right"/>
                          <w:rPr>
                            <w:rFonts w:ascii="宋体" w:hAnsi="宋体" w:cs="宋体" w:eastAsia="宋体" w:hint="default"/>
                            <w:sz w:val="20"/>
                            <w:szCs w:val="20"/>
                          </w:rPr>
                        </w:pPr>
                        <w:r>
                          <w:rPr>
                            <w:rFonts w:ascii="宋体"/>
                            <w:spacing w:val="-1"/>
                            <w:sz w:val="20"/>
                          </w:rPr>
                          <w:t>20131052057.3</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
                          <w:jc w:val="left"/>
                          <w:rPr>
                            <w:rFonts w:ascii="宋体" w:hAnsi="宋体" w:cs="宋体" w:eastAsia="宋体" w:hint="default"/>
                            <w:sz w:val="20"/>
                            <w:szCs w:val="20"/>
                          </w:rPr>
                        </w:pPr>
                        <w:r>
                          <w:rPr>
                            <w:rFonts w:ascii="宋体" w:hAnsi="宋体" w:cs="宋体" w:eastAsia="宋体" w:hint="default"/>
                            <w:spacing w:val="-5"/>
                            <w:sz w:val="20"/>
                            <w:szCs w:val="20"/>
                          </w:rPr>
                          <w:t>一种活性炭吸附、</w:t>
                        </w:r>
                        <w:r>
                          <w:rPr>
                            <w:rFonts w:ascii="宋体" w:hAnsi="宋体" w:cs="宋体" w:eastAsia="宋体" w:hint="default"/>
                            <w:spacing w:val="-5"/>
                            <w:sz w:val="20"/>
                            <w:szCs w:val="20"/>
                          </w:rPr>
                          <w:t>N2</w:t>
                        </w:r>
                        <w:r>
                          <w:rPr>
                            <w:rFonts w:ascii="宋体" w:hAnsi="宋体" w:cs="宋体" w:eastAsia="宋体" w:hint="default"/>
                            <w:spacing w:val="-5"/>
                            <w:sz w:val="20"/>
                            <w:szCs w:val="20"/>
                          </w:rPr>
                          <w:t>脱附回收处理有机废</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气的工艺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0"/>
                            <w:szCs w:val="20"/>
                          </w:rPr>
                        </w:pPr>
                        <w:r>
                          <w:rPr>
                            <w:rFonts w:ascii="宋体"/>
                            <w:sz w:val="20"/>
                          </w:rPr>
                          <w:t>2013-10-29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61"/>
                          <w:ind w:left="2" w:right="0"/>
                          <w:jc w:val="center"/>
                          <w:rPr>
                            <w:rFonts w:ascii="宋体" w:hAnsi="宋体" w:cs="宋体" w:eastAsia="宋体" w:hint="default"/>
                            <w:sz w:val="20"/>
                            <w:szCs w:val="20"/>
                          </w:rPr>
                        </w:pPr>
                        <w:r>
                          <w:rPr>
                            <w:rFonts w:ascii="宋体" w:hAnsi="宋体" w:cs="宋体" w:eastAsia="宋体" w:hint="default"/>
                            <w:sz w:val="20"/>
                            <w:szCs w:val="20"/>
                          </w:rPr>
                          <w:t>嘉园环保</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37</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201310655412.4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一种高效节能的冷凝装置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2013-12-06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福建恒嘉</w:t>
                        </w:r>
                      </w:p>
                    </w:tc>
                  </w:tr>
                  <w:tr>
                    <w:trPr>
                      <w:trHeight w:val="348"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38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201410008256.7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溶解氧优化分布脱氮工艺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2014-01-08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嘉园环保</w:t>
                        </w:r>
                      </w:p>
                    </w:tc>
                  </w:tr>
                  <w:tr>
                    <w:trPr>
                      <w:trHeight w:val="190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39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0"/>
                            <w:szCs w:val="20"/>
                          </w:rPr>
                        </w:pPr>
                        <w:r>
                          <w:rPr>
                            <w:rFonts w:ascii="宋体"/>
                            <w:spacing w:val="-1"/>
                            <w:sz w:val="20"/>
                          </w:rPr>
                          <w:t>201410415314.8</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一种阻垢装置及其应用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2014-08-21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85" w:lineRule="auto" w:before="4"/>
                          <w:ind w:left="2" w:right="-1"/>
                          <w:jc w:val="left"/>
                          <w:rPr>
                            <w:rFonts w:ascii="宋体" w:hAnsi="宋体" w:cs="宋体" w:eastAsia="宋体" w:hint="default"/>
                            <w:sz w:val="20"/>
                            <w:szCs w:val="20"/>
                          </w:rPr>
                        </w:pPr>
                        <w:r>
                          <w:rPr>
                            <w:rFonts w:ascii="宋体" w:hAnsi="宋体" w:cs="宋体" w:eastAsia="宋体" w:hint="default"/>
                            <w:sz w:val="20"/>
                            <w:szCs w:val="20"/>
                          </w:rPr>
                          <w:t>浙</w:t>
                        </w:r>
                        <w:r>
                          <w:rPr>
                            <w:rFonts w:ascii="宋体" w:hAnsi="宋体" w:cs="宋体" w:eastAsia="宋体" w:hint="default"/>
                            <w:spacing w:val="-69"/>
                            <w:sz w:val="20"/>
                            <w:szCs w:val="20"/>
                          </w:rPr>
                          <w:t> </w:t>
                        </w:r>
                        <w:r>
                          <w:rPr>
                            <w:rFonts w:ascii="宋体" w:hAnsi="宋体" w:cs="宋体" w:eastAsia="宋体" w:hint="default"/>
                            <w:sz w:val="20"/>
                            <w:szCs w:val="20"/>
                          </w:rPr>
                          <w:t>江</w:t>
                        </w:r>
                        <w:r>
                          <w:rPr>
                            <w:rFonts w:ascii="宋体" w:hAnsi="宋体" w:cs="宋体" w:eastAsia="宋体" w:hint="default"/>
                            <w:spacing w:val="-69"/>
                            <w:sz w:val="20"/>
                            <w:szCs w:val="20"/>
                          </w:rPr>
                          <w:t> </w:t>
                        </w:r>
                        <w:r>
                          <w:rPr>
                            <w:rFonts w:ascii="宋体" w:hAnsi="宋体" w:cs="宋体" w:eastAsia="宋体" w:hint="default"/>
                            <w:sz w:val="20"/>
                            <w:szCs w:val="20"/>
                          </w:rPr>
                          <w:t>清</w:t>
                        </w:r>
                        <w:r>
                          <w:rPr>
                            <w:rFonts w:ascii="宋体" w:hAnsi="宋体" w:cs="宋体" w:eastAsia="宋体" w:hint="default"/>
                            <w:spacing w:val="-69"/>
                            <w:sz w:val="20"/>
                            <w:szCs w:val="20"/>
                          </w:rPr>
                          <w:t> </w:t>
                        </w:r>
                        <w:r>
                          <w:rPr>
                            <w:rFonts w:ascii="宋体" w:hAnsi="宋体" w:cs="宋体" w:eastAsia="宋体" w:hint="default"/>
                            <w:sz w:val="20"/>
                            <w:szCs w:val="20"/>
                          </w:rPr>
                          <w:t>华</w:t>
                        </w:r>
                        <w:r>
                          <w:rPr>
                            <w:rFonts w:ascii="宋体" w:hAnsi="宋体" w:cs="宋体" w:eastAsia="宋体" w:hint="default"/>
                            <w:spacing w:val="-71"/>
                            <w:sz w:val="20"/>
                            <w:szCs w:val="20"/>
                          </w:rPr>
                          <w:t> </w:t>
                        </w:r>
                        <w:r>
                          <w:rPr>
                            <w:rFonts w:ascii="宋体" w:hAnsi="宋体" w:cs="宋体" w:eastAsia="宋体" w:hint="default"/>
                            <w:sz w:val="20"/>
                            <w:szCs w:val="20"/>
                          </w:rPr>
                          <w:t>长</w:t>
                        </w:r>
                        <w:r>
                          <w:rPr>
                            <w:rFonts w:ascii="宋体" w:hAnsi="宋体" w:cs="宋体" w:eastAsia="宋体" w:hint="default"/>
                            <w:w w:val="100"/>
                            <w:sz w:val="20"/>
                            <w:szCs w:val="20"/>
                          </w:rPr>
                          <w:t> </w:t>
                        </w:r>
                        <w:r>
                          <w:rPr>
                            <w:rFonts w:ascii="宋体" w:hAnsi="宋体" w:cs="宋体" w:eastAsia="宋体" w:hint="default"/>
                            <w:sz w:val="20"/>
                            <w:szCs w:val="20"/>
                          </w:rPr>
                          <w:t>三角研究院</w:t>
                        </w:r>
                        <w:r>
                          <w:rPr>
                            <w:rFonts w:ascii="宋体" w:hAnsi="宋体" w:cs="宋体" w:eastAsia="宋体" w:hint="default"/>
                            <w:w w:val="100"/>
                            <w:sz w:val="20"/>
                            <w:szCs w:val="20"/>
                          </w:rPr>
                          <w:t> </w:t>
                        </w:r>
                        <w:r>
                          <w:rPr>
                            <w:rFonts w:ascii="宋体" w:hAnsi="宋体" w:cs="宋体" w:eastAsia="宋体" w:hint="default"/>
                            <w:spacing w:val="-13"/>
                            <w:sz w:val="20"/>
                            <w:szCs w:val="20"/>
                          </w:rPr>
                          <w:t>嘉园环保、浙</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江</w:t>
                        </w:r>
                        <w:r>
                          <w:rPr>
                            <w:rFonts w:ascii="宋体" w:hAnsi="宋体" w:cs="宋体" w:eastAsia="宋体" w:hint="default"/>
                            <w:spacing w:val="-69"/>
                            <w:sz w:val="20"/>
                            <w:szCs w:val="20"/>
                          </w:rPr>
                          <w:t> </w:t>
                        </w:r>
                        <w:r>
                          <w:rPr>
                            <w:rFonts w:ascii="宋体" w:hAnsi="宋体" w:cs="宋体" w:eastAsia="宋体" w:hint="default"/>
                            <w:sz w:val="20"/>
                            <w:szCs w:val="20"/>
                          </w:rPr>
                          <w:t>双</w:t>
                        </w:r>
                        <w:r>
                          <w:rPr>
                            <w:rFonts w:ascii="宋体" w:hAnsi="宋体" w:cs="宋体" w:eastAsia="宋体" w:hint="default"/>
                            <w:spacing w:val="-69"/>
                            <w:sz w:val="20"/>
                            <w:szCs w:val="20"/>
                          </w:rPr>
                          <w:t> </w:t>
                        </w:r>
                        <w:r>
                          <w:rPr>
                            <w:rFonts w:ascii="宋体" w:hAnsi="宋体" w:cs="宋体" w:eastAsia="宋体" w:hint="default"/>
                            <w:sz w:val="20"/>
                            <w:szCs w:val="20"/>
                          </w:rPr>
                          <w:t>益</w:t>
                        </w:r>
                        <w:r>
                          <w:rPr>
                            <w:rFonts w:ascii="宋体" w:hAnsi="宋体" w:cs="宋体" w:eastAsia="宋体" w:hint="default"/>
                            <w:spacing w:val="-69"/>
                            <w:sz w:val="20"/>
                            <w:szCs w:val="20"/>
                          </w:rPr>
                          <w:t> </w:t>
                        </w:r>
                        <w:r>
                          <w:rPr>
                            <w:rFonts w:ascii="宋体" w:hAnsi="宋体" w:cs="宋体" w:eastAsia="宋体" w:hint="default"/>
                            <w:sz w:val="20"/>
                            <w:szCs w:val="20"/>
                          </w:rPr>
                          <w:t>环</w:t>
                        </w:r>
                        <w:r>
                          <w:rPr>
                            <w:rFonts w:ascii="宋体" w:hAnsi="宋体" w:cs="宋体" w:eastAsia="宋体" w:hint="default"/>
                            <w:spacing w:val="-71"/>
                            <w:sz w:val="20"/>
                            <w:szCs w:val="20"/>
                          </w:rPr>
                          <w:t> </w:t>
                        </w:r>
                        <w:r>
                          <w:rPr>
                            <w:rFonts w:ascii="宋体" w:hAnsi="宋体" w:cs="宋体" w:eastAsia="宋体" w:hint="default"/>
                            <w:sz w:val="20"/>
                            <w:szCs w:val="20"/>
                          </w:rPr>
                          <w:t>保</w:t>
                        </w:r>
                        <w:r>
                          <w:rPr>
                            <w:rFonts w:ascii="宋体" w:hAnsi="宋体" w:cs="宋体" w:eastAsia="宋体" w:hint="default"/>
                            <w:w w:val="100"/>
                            <w:sz w:val="20"/>
                            <w:szCs w:val="20"/>
                          </w:rPr>
                          <w:t> </w:t>
                        </w:r>
                        <w:r>
                          <w:rPr>
                            <w:rFonts w:ascii="宋体" w:hAnsi="宋体" w:cs="宋体" w:eastAsia="宋体" w:hint="default"/>
                            <w:sz w:val="20"/>
                            <w:szCs w:val="20"/>
                          </w:rPr>
                          <w:t>科</w:t>
                        </w:r>
                        <w:r>
                          <w:rPr>
                            <w:rFonts w:ascii="宋体" w:hAnsi="宋体" w:cs="宋体" w:eastAsia="宋体" w:hint="default"/>
                            <w:spacing w:val="-69"/>
                            <w:sz w:val="20"/>
                            <w:szCs w:val="20"/>
                          </w:rPr>
                          <w:t> </w:t>
                        </w:r>
                        <w:r>
                          <w:rPr>
                            <w:rFonts w:ascii="宋体" w:hAnsi="宋体" w:cs="宋体" w:eastAsia="宋体" w:hint="default"/>
                            <w:sz w:val="20"/>
                            <w:szCs w:val="20"/>
                          </w:rPr>
                          <w:t>技</w:t>
                        </w:r>
                        <w:r>
                          <w:rPr>
                            <w:rFonts w:ascii="宋体" w:hAnsi="宋体" w:cs="宋体" w:eastAsia="宋体" w:hint="default"/>
                            <w:spacing w:val="-69"/>
                            <w:sz w:val="20"/>
                            <w:szCs w:val="20"/>
                          </w:rPr>
                          <w:t> </w:t>
                        </w:r>
                        <w:r>
                          <w:rPr>
                            <w:rFonts w:ascii="宋体" w:hAnsi="宋体" w:cs="宋体" w:eastAsia="宋体" w:hint="default"/>
                            <w:sz w:val="20"/>
                            <w:szCs w:val="20"/>
                          </w:rPr>
                          <w:t>发</w:t>
                        </w:r>
                        <w:r>
                          <w:rPr>
                            <w:rFonts w:ascii="宋体" w:hAnsi="宋体" w:cs="宋体" w:eastAsia="宋体" w:hint="default"/>
                            <w:spacing w:val="-69"/>
                            <w:sz w:val="20"/>
                            <w:szCs w:val="20"/>
                          </w:rPr>
                          <w:t> </w:t>
                        </w:r>
                        <w:r>
                          <w:rPr>
                            <w:rFonts w:ascii="宋体" w:hAnsi="宋体" w:cs="宋体" w:eastAsia="宋体" w:hint="default"/>
                            <w:sz w:val="20"/>
                            <w:szCs w:val="20"/>
                          </w:rPr>
                          <w:t>展</w:t>
                        </w:r>
                        <w:r>
                          <w:rPr>
                            <w:rFonts w:ascii="宋体" w:hAnsi="宋体" w:cs="宋体" w:eastAsia="宋体" w:hint="default"/>
                            <w:spacing w:val="-71"/>
                            <w:sz w:val="20"/>
                            <w:szCs w:val="20"/>
                          </w:rPr>
                          <w:t> </w:t>
                        </w:r>
                        <w:r>
                          <w:rPr>
                            <w:rFonts w:ascii="宋体" w:hAnsi="宋体" w:cs="宋体" w:eastAsia="宋体" w:hint="default"/>
                            <w:sz w:val="20"/>
                            <w:szCs w:val="20"/>
                          </w:rPr>
                          <w:t>有</w:t>
                        </w:r>
                        <w:r>
                          <w:rPr>
                            <w:rFonts w:ascii="宋体" w:hAnsi="宋体" w:cs="宋体" w:eastAsia="宋体" w:hint="default"/>
                            <w:w w:val="100"/>
                            <w:sz w:val="20"/>
                            <w:szCs w:val="20"/>
                          </w:rPr>
                          <w:t> </w:t>
                        </w:r>
                        <w:r>
                          <w:rPr>
                            <w:rFonts w:ascii="宋体" w:hAnsi="宋体" w:cs="宋体" w:eastAsia="宋体" w:hint="default"/>
                            <w:sz w:val="20"/>
                            <w:szCs w:val="20"/>
                          </w:rPr>
                          <w:t>限公司</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40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201420666596.4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真空脱附回收处理有机废气的装置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2014-11-07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嘉园环保</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41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201420665158.6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一种节能型有机废气焚烧装置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2014-11-07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嘉园环保</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42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201420669850.6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一种垃圾渗滤液浓缩液处理装置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2014-11-11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嘉园环保</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43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201420679231.5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一种用于生化系统的高效冷却装置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2014-11-13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嘉园环保</w:t>
                        </w:r>
                      </w:p>
                    </w:tc>
                  </w:tr>
                  <w:tr>
                    <w:trPr>
                      <w:trHeight w:val="348"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44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201420787811.6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一种化工酸臭废气集成处理设备</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2014-12-12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嘉园环保</w:t>
                        </w:r>
                      </w:p>
                    </w:tc>
                  </w:tr>
                  <w:tr>
                    <w:trPr>
                      <w:trHeight w:val="347" w:hRule="exact"/>
                    </w:trPr>
                    <w:tc>
                      <w:tcPr>
                        <w:tcW w:w="532"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sz w:val="20"/>
                          </w:rPr>
                          <w:t>45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宋体" w:hAnsi="宋体" w:cs="宋体" w:eastAsia="宋体" w:hint="default"/>
                            <w:sz w:val="20"/>
                            <w:szCs w:val="20"/>
                          </w:rPr>
                        </w:pPr>
                        <w:r>
                          <w:rPr>
                            <w:rFonts w:ascii="宋体"/>
                            <w:spacing w:val="-1"/>
                            <w:sz w:val="20"/>
                          </w:rPr>
                          <w:t>201420669362.5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一种垃圾渗滤液处理用酸罐系统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2014-11-11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福建恒嘉</w:t>
                        </w:r>
                      </w:p>
                    </w:tc>
                  </w:tr>
                  <w:tr>
                    <w:trPr>
                      <w:trHeight w:val="350" w:hRule="exact"/>
                    </w:trPr>
                    <w:tc>
                      <w:tcPr>
                        <w:tcW w:w="532"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sz w:val="20"/>
                          </w:rPr>
                          <w:t>46</w:t>
                        </w:r>
                      </w:p>
                    </w:tc>
                    <w:tc>
                      <w:tcPr>
                        <w:tcW w:w="16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96"/>
                          <w:jc w:val="right"/>
                          <w:rPr>
                            <w:rFonts w:ascii="宋体" w:hAnsi="宋体" w:cs="宋体" w:eastAsia="宋体" w:hint="default"/>
                            <w:sz w:val="20"/>
                            <w:szCs w:val="20"/>
                          </w:rPr>
                        </w:pPr>
                        <w:r>
                          <w:rPr>
                            <w:rFonts w:ascii="宋体"/>
                            <w:spacing w:val="-1"/>
                            <w:sz w:val="20"/>
                          </w:rPr>
                          <w:t>201420794085.0</w:t>
                        </w:r>
                      </w:p>
                    </w:tc>
                    <w:tc>
                      <w:tcPr>
                        <w:tcW w:w="35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催化燃烧床装置</w:t>
                        </w:r>
                      </w:p>
                    </w:tc>
                    <w:tc>
                      <w:tcPr>
                        <w:tcW w:w="8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13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2014-12-15</w:t>
                        </w:r>
                      </w:p>
                    </w:tc>
                    <w:tc>
                      <w:tcPr>
                        <w:tcW w:w="8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145"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福建恒嘉</w:t>
                        </w: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35"/>
        <w:ind w:left="1554" w:right="1117"/>
        <w:jc w:val="left"/>
      </w:pPr>
      <w:r>
        <w:rPr/>
        <w:t>（</w:t>
      </w:r>
      <w:r>
        <w:rPr>
          <w:rFonts w:ascii="Times New Roman" w:hAnsi="Times New Roman" w:cs="Times New Roman" w:eastAsia="Times New Roman" w:hint="default"/>
        </w:rPr>
        <w:t>2</w:t>
      </w:r>
      <w:r>
        <w:rPr/>
        <w:t>）报告期内，公司及子公司新增软件著作权情况：</w:t>
      </w:r>
    </w:p>
    <w:p>
      <w:pPr>
        <w:spacing w:line="240" w:lineRule="auto" w:before="9"/>
        <w:rPr>
          <w:rFonts w:ascii="宋体" w:hAnsi="宋体" w:cs="宋体" w:eastAsia="宋体" w:hint="default"/>
          <w:sz w:val="8"/>
          <w:szCs w:val="8"/>
        </w:rPr>
      </w:pPr>
    </w:p>
    <w:tbl>
      <w:tblPr>
        <w:tblW w:w="0" w:type="auto"/>
        <w:jc w:val="left"/>
        <w:tblInd w:w="1114" w:type="dxa"/>
        <w:tblLayout w:type="fixed"/>
        <w:tblCellMar>
          <w:top w:w="0" w:type="dxa"/>
          <w:left w:w="0" w:type="dxa"/>
          <w:bottom w:w="0" w:type="dxa"/>
          <w:right w:w="0" w:type="dxa"/>
        </w:tblCellMar>
        <w:tblLook w:val="01E0"/>
      </w:tblPr>
      <w:tblGrid>
        <w:gridCol w:w="578"/>
        <w:gridCol w:w="4395"/>
        <w:gridCol w:w="1134"/>
        <w:gridCol w:w="993"/>
        <w:gridCol w:w="850"/>
        <w:gridCol w:w="851"/>
        <w:gridCol w:w="859"/>
      </w:tblGrid>
      <w:tr>
        <w:trPr>
          <w:trHeight w:val="352" w:hRule="exact"/>
        </w:trPr>
        <w:tc>
          <w:tcPr>
            <w:tcW w:w="5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3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著作权名称</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著作权号</w:t>
            </w:r>
          </w:p>
        </w:tc>
        <w:tc>
          <w:tcPr>
            <w:tcW w:w="9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申请日</w:t>
            </w:r>
          </w:p>
        </w:tc>
        <w:tc>
          <w:tcPr>
            <w:tcW w:w="8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8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85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所有权人</w:t>
            </w:r>
          </w:p>
        </w:tc>
      </w:tr>
      <w:tr>
        <w:trPr>
          <w:trHeight w:val="664"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pacing w:val="-2"/>
                <w:sz w:val="18"/>
                <w:szCs w:val="18"/>
              </w:rPr>
              <w:t>汉威安全生产综合监管平台</w:t>
            </w:r>
            <w:r>
              <w:rPr>
                <w:rFonts w:ascii="宋体" w:hAnsi="宋体" w:cs="宋体" w:eastAsia="宋体" w:hint="default"/>
                <w:spacing w:val="-2"/>
                <w:sz w:val="18"/>
                <w:szCs w:val="18"/>
              </w:rPr>
              <w:t>[</w:t>
            </w:r>
            <w:r>
              <w:rPr>
                <w:rFonts w:ascii="宋体" w:hAnsi="宋体" w:cs="宋体" w:eastAsia="宋体" w:hint="default"/>
                <w:spacing w:val="-2"/>
                <w:sz w:val="18"/>
                <w:szCs w:val="18"/>
              </w:rPr>
              <w:t>简称：安全生产综合监管平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台</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2015SR005302</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2013-03-30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53"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汉威空气电台系统</w:t>
            </w:r>
            <w:r>
              <w:rPr>
                <w:rFonts w:ascii="宋体" w:hAnsi="宋体" w:cs="宋体" w:eastAsia="宋体" w:hint="default"/>
                <w:sz w:val="18"/>
                <w:szCs w:val="18"/>
              </w:rPr>
              <w:t>[</w:t>
            </w:r>
            <w:r>
              <w:rPr>
                <w:rFonts w:ascii="宋体" w:hAnsi="宋体" w:cs="宋体" w:eastAsia="宋体" w:hint="default"/>
                <w:sz w:val="18"/>
                <w:szCs w:val="18"/>
              </w:rPr>
              <w:t>简称：空气电台系统</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2015SR005294</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2014-07-30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664"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1"/>
              <w:ind w:left="1" w:right="-1"/>
              <w:jc w:val="left"/>
              <w:rPr>
                <w:rFonts w:ascii="宋体" w:hAnsi="宋体" w:cs="宋体" w:eastAsia="宋体" w:hint="default"/>
                <w:sz w:val="18"/>
                <w:szCs w:val="18"/>
              </w:rPr>
            </w:pPr>
            <w:r>
              <w:rPr>
                <w:rFonts w:ascii="宋体" w:hAnsi="宋体" w:cs="宋体" w:eastAsia="宋体" w:hint="default"/>
                <w:spacing w:val="-2"/>
                <w:sz w:val="18"/>
                <w:szCs w:val="18"/>
              </w:rPr>
              <w:t>汉威单机版安全生产监控与管理信息系统</w:t>
            </w:r>
            <w:r>
              <w:rPr>
                <w:rFonts w:ascii="宋体" w:hAnsi="宋体" w:cs="宋体" w:eastAsia="宋体" w:hint="default"/>
                <w:spacing w:val="-2"/>
                <w:sz w:val="18"/>
                <w:szCs w:val="18"/>
              </w:rPr>
              <w:t>[</w:t>
            </w:r>
            <w:r>
              <w:rPr>
                <w:rFonts w:ascii="宋体" w:hAnsi="宋体" w:cs="宋体" w:eastAsia="宋体" w:hint="default"/>
                <w:spacing w:val="-2"/>
                <w:sz w:val="18"/>
                <w:szCs w:val="18"/>
              </w:rPr>
              <w:t>简称：单机版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安全生产监控与管理信息系统</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2015SR004034</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2014-07-31</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664"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pacing w:val="13"/>
                <w:sz w:val="18"/>
                <w:szCs w:val="18"/>
              </w:rPr>
              <w:t>汉威数据同步与共享系统</w:t>
            </w:r>
            <w:r>
              <w:rPr>
                <w:rFonts w:ascii="宋体" w:hAnsi="宋体" w:cs="宋体" w:eastAsia="宋体" w:hint="default"/>
                <w:spacing w:val="13"/>
                <w:sz w:val="18"/>
                <w:szCs w:val="18"/>
              </w:rPr>
              <w:t>[</w:t>
            </w:r>
            <w:r>
              <w:rPr>
                <w:rFonts w:ascii="宋体" w:hAnsi="宋体" w:cs="宋体" w:eastAsia="宋体" w:hint="default"/>
                <w:spacing w:val="-71"/>
                <w:sz w:val="18"/>
                <w:szCs w:val="18"/>
              </w:rPr>
              <w:t> </w:t>
            </w:r>
            <w:r>
              <w:rPr>
                <w:rFonts w:ascii="宋体" w:hAnsi="宋体" w:cs="宋体" w:eastAsia="宋体" w:hint="default"/>
                <w:spacing w:val="12"/>
                <w:sz w:val="18"/>
                <w:szCs w:val="18"/>
              </w:rPr>
              <w:t>简称：数据同步与共享系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统</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2015SR004468</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2012-12-10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53"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汉威在线监测系统</w:t>
            </w:r>
            <w:r>
              <w:rPr>
                <w:rFonts w:ascii="宋体" w:hAnsi="宋体" w:cs="宋体" w:eastAsia="宋体" w:hint="default"/>
                <w:sz w:val="18"/>
                <w:szCs w:val="18"/>
              </w:rPr>
              <w:t>[</w:t>
            </w:r>
            <w:r>
              <w:rPr>
                <w:rFonts w:ascii="宋体" w:hAnsi="宋体" w:cs="宋体" w:eastAsia="宋体" w:hint="default"/>
                <w:sz w:val="18"/>
                <w:szCs w:val="18"/>
              </w:rPr>
              <w:t>简称：在线监测系统</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2015SR005306</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2012-07-13</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578"/>
        <w:gridCol w:w="4395"/>
        <w:gridCol w:w="1134"/>
        <w:gridCol w:w="993"/>
        <w:gridCol w:w="850"/>
        <w:gridCol w:w="851"/>
        <w:gridCol w:w="859"/>
      </w:tblGrid>
      <w:tr>
        <w:trPr>
          <w:trHeight w:val="352"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汉威统一数据采集系统</w:t>
            </w:r>
            <w:r>
              <w:rPr>
                <w:rFonts w:ascii="宋体" w:hAnsi="宋体" w:cs="宋体" w:eastAsia="宋体" w:hint="default"/>
                <w:sz w:val="18"/>
                <w:szCs w:val="18"/>
              </w:rPr>
              <w:t>[</w:t>
            </w:r>
            <w:r>
              <w:rPr>
                <w:rFonts w:ascii="宋体" w:hAnsi="宋体" w:cs="宋体" w:eastAsia="宋体" w:hint="default"/>
                <w:sz w:val="18"/>
                <w:szCs w:val="18"/>
              </w:rPr>
              <w:t>简称：统一数据采集系统</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2015SR033791</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2012-12-10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665"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汉威管网巡检智能终端</w:t>
            </w:r>
            <w:r>
              <w:rPr>
                <w:rFonts w:ascii="宋体" w:hAnsi="宋体" w:cs="宋体" w:eastAsia="宋体" w:hint="default"/>
                <w:sz w:val="18"/>
                <w:szCs w:val="18"/>
              </w:rPr>
              <w:t>Android</w:t>
            </w:r>
            <w:r>
              <w:rPr>
                <w:rFonts w:ascii="宋体" w:hAnsi="宋体" w:cs="宋体" w:eastAsia="宋体" w:hint="default"/>
                <w:sz w:val="18"/>
                <w:szCs w:val="18"/>
              </w:rPr>
              <w:t>系统</w:t>
            </w:r>
            <w:r>
              <w:rPr>
                <w:rFonts w:ascii="宋体" w:hAnsi="宋体" w:cs="宋体" w:eastAsia="宋体" w:hint="default"/>
                <w:sz w:val="18"/>
                <w:szCs w:val="18"/>
              </w:rPr>
              <w:t>[</w:t>
            </w:r>
            <w:r>
              <w:rPr>
                <w:rFonts w:ascii="宋体" w:hAnsi="宋体" w:cs="宋体" w:eastAsia="宋体" w:hint="default"/>
                <w:sz w:val="18"/>
                <w:szCs w:val="18"/>
              </w:rPr>
              <w:t>简称：管网巡检智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能终端</w:t>
            </w:r>
            <w:r>
              <w:rPr>
                <w:rFonts w:ascii="宋体" w:hAnsi="宋体" w:cs="宋体" w:eastAsia="宋体" w:hint="default"/>
                <w:sz w:val="18"/>
                <w:szCs w:val="18"/>
              </w:rPr>
              <w:t>] 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2015SR072607</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2014-03-01</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664"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1"/>
              <w:ind w:left="1" w:right="-1"/>
              <w:jc w:val="left"/>
              <w:rPr>
                <w:rFonts w:ascii="宋体" w:hAnsi="宋体" w:cs="宋体" w:eastAsia="宋体" w:hint="default"/>
                <w:sz w:val="18"/>
                <w:szCs w:val="18"/>
              </w:rPr>
            </w:pPr>
            <w:r>
              <w:rPr>
                <w:rFonts w:ascii="宋体" w:hAnsi="宋体" w:cs="宋体" w:eastAsia="宋体" w:hint="default"/>
                <w:sz w:val="18"/>
                <w:szCs w:val="18"/>
              </w:rPr>
              <w:t>汉威电子数字市政综合信息监管平台</w:t>
            </w:r>
            <w:r>
              <w:rPr>
                <w:rFonts w:ascii="宋体" w:hAnsi="宋体" w:cs="宋体" w:eastAsia="宋体" w:hint="default"/>
                <w:sz w:val="18"/>
                <w:szCs w:val="18"/>
              </w:rPr>
              <w:t>Android</w:t>
            </w:r>
            <w:r>
              <w:rPr>
                <w:rFonts w:ascii="宋体" w:hAnsi="宋体" w:cs="宋体" w:eastAsia="宋体" w:hint="default"/>
                <w:sz w:val="18"/>
                <w:szCs w:val="18"/>
              </w:rPr>
              <w:t>版系统</w:t>
            </w:r>
            <w:r>
              <w:rPr>
                <w:rFonts w:ascii="宋体" w:hAnsi="宋体" w:cs="宋体" w:eastAsia="宋体" w:hint="default"/>
                <w:sz w:val="18"/>
                <w:szCs w:val="18"/>
              </w:rPr>
              <w:t>[</w:t>
            </w:r>
            <w:r>
              <w:rPr>
                <w:rFonts w:ascii="宋体" w:hAnsi="宋体" w:cs="宋体" w:eastAsia="宋体" w:hint="default"/>
                <w:sz w:val="18"/>
                <w:szCs w:val="18"/>
              </w:rPr>
              <w:t>简</w:t>
            </w:r>
            <w:r>
              <w:rPr>
                <w:rFonts w:ascii="宋体" w:hAnsi="宋体" w:cs="宋体" w:eastAsia="宋体" w:hint="default"/>
                <w:spacing w:val="-43"/>
                <w:sz w:val="18"/>
                <w:szCs w:val="18"/>
              </w:rPr>
              <w:t> </w:t>
            </w:r>
            <w:r>
              <w:rPr>
                <w:rFonts w:ascii="宋体" w:hAnsi="宋体" w:cs="宋体" w:eastAsia="宋体" w:hint="default"/>
                <w:sz w:val="18"/>
                <w:szCs w:val="18"/>
              </w:rPr>
              <w:t>称：监管平台手机端</w:t>
            </w:r>
            <w:r>
              <w:rPr>
                <w:rFonts w:ascii="宋体" w:hAnsi="宋体" w:cs="宋体" w:eastAsia="宋体" w:hint="default"/>
                <w:sz w:val="18"/>
                <w:szCs w:val="18"/>
              </w:rPr>
              <w:t>] 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2015SR072602</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2014-10-14</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52"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汉威燃气通</w:t>
            </w:r>
            <w:r>
              <w:rPr>
                <w:rFonts w:ascii="宋体" w:hAnsi="宋体" w:cs="宋体" w:eastAsia="宋体" w:hint="default"/>
                <w:sz w:val="18"/>
                <w:szCs w:val="18"/>
              </w:rPr>
              <w:t>Android</w:t>
            </w:r>
            <w:r>
              <w:rPr>
                <w:rFonts w:ascii="宋体" w:hAnsi="宋体" w:cs="宋体" w:eastAsia="宋体" w:hint="default"/>
                <w:sz w:val="18"/>
                <w:szCs w:val="18"/>
              </w:rPr>
              <w:t>版系统</w:t>
            </w:r>
            <w:r>
              <w:rPr>
                <w:rFonts w:ascii="宋体" w:hAnsi="宋体" w:cs="宋体" w:eastAsia="宋体" w:hint="default"/>
                <w:sz w:val="18"/>
                <w:szCs w:val="18"/>
              </w:rPr>
              <w:t>[</w:t>
            </w:r>
            <w:r>
              <w:rPr>
                <w:rFonts w:ascii="宋体" w:hAnsi="宋体" w:cs="宋体" w:eastAsia="宋体" w:hint="default"/>
                <w:sz w:val="18"/>
                <w:szCs w:val="18"/>
              </w:rPr>
              <w:t>简称：燃气通</w:t>
            </w:r>
            <w:r>
              <w:rPr>
                <w:rFonts w:ascii="宋体" w:hAnsi="宋体" w:cs="宋体" w:eastAsia="宋体" w:hint="default"/>
                <w:sz w:val="18"/>
                <w:szCs w:val="18"/>
              </w:rPr>
              <w:t>] 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2015SR072627</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2014-01-01</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665"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pacing w:val="-2"/>
                <w:sz w:val="18"/>
                <w:szCs w:val="18"/>
              </w:rPr>
              <w:t>汉威电子数字市政综合信息监管平台</w:t>
            </w:r>
            <w:r>
              <w:rPr>
                <w:rFonts w:ascii="宋体" w:hAnsi="宋体" w:cs="宋体" w:eastAsia="宋体" w:hint="default"/>
                <w:spacing w:val="-2"/>
                <w:sz w:val="18"/>
                <w:szCs w:val="18"/>
              </w:rPr>
              <w:t>[</w:t>
            </w:r>
            <w:r>
              <w:rPr>
                <w:rFonts w:ascii="宋体" w:hAnsi="宋体" w:cs="宋体" w:eastAsia="宋体" w:hint="default"/>
                <w:spacing w:val="-2"/>
                <w:sz w:val="18"/>
                <w:szCs w:val="18"/>
              </w:rPr>
              <w:t>简称：市政信息监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管平台</w:t>
            </w:r>
            <w:r>
              <w:rPr>
                <w:rFonts w:ascii="宋体" w:hAnsi="宋体" w:cs="宋体" w:eastAsia="宋体" w:hint="default"/>
                <w:sz w:val="18"/>
                <w:szCs w:val="18"/>
              </w:rPr>
              <w:t>] 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2015SR062080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2014-06-03</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52"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11</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浓缩液处理系统装置电气自动化控制系统软件</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2015SR147114</w:t>
            </w:r>
          </w:p>
        </w:tc>
        <w:tc>
          <w:tcPr>
            <w:tcW w:w="993"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r>
      <w:tr>
        <w:trPr>
          <w:trHeight w:val="352"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甲醇投加系统装置电气自动化控制系统软件</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2015SR151616</w:t>
            </w:r>
          </w:p>
        </w:tc>
        <w:tc>
          <w:tcPr>
            <w:tcW w:w="993"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r>
      <w:tr>
        <w:trPr>
          <w:trHeight w:val="665"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13</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52"/>
              <w:jc w:val="left"/>
              <w:rPr>
                <w:rFonts w:ascii="宋体" w:hAnsi="宋体" w:cs="宋体" w:eastAsia="宋体" w:hint="default"/>
                <w:sz w:val="18"/>
                <w:szCs w:val="18"/>
              </w:rPr>
            </w:pPr>
            <w:r>
              <w:rPr>
                <w:rFonts w:ascii="宋体" w:hAnsi="宋体" w:cs="宋体" w:eastAsia="宋体" w:hint="default"/>
                <w:sz w:val="18"/>
                <w:szCs w:val="18"/>
              </w:rPr>
              <w:t>有机废气净化装置蓄热式热力焚化炉电气自动化控制系 统软件</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2015SR213435</w:t>
            </w:r>
          </w:p>
        </w:tc>
        <w:tc>
          <w:tcPr>
            <w:tcW w:w="993"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r>
      <w:tr>
        <w:trPr>
          <w:trHeight w:val="352"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14</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炜盛智能红外气体传感器软件</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2014SR030420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2013-06-05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352"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15</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炜盛气体传感器智能模组软件</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2014SR073740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2014-01-15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353"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16</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炜盛智能气体流量传感器软件</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2014SR073727</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2013-10-15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353" w:hRule="exact"/>
        </w:trPr>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17</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炜盛传感器测试系统软件</w:t>
            </w:r>
            <w:r>
              <w:rPr>
                <w:rFonts w:ascii="宋体" w:hAnsi="宋体" w:cs="宋体" w:eastAsia="宋体" w:hint="default"/>
                <w:sz w:val="18"/>
                <w:szCs w:val="18"/>
              </w:rPr>
              <w:t>V1.0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7"/>
              <w:jc w:val="right"/>
              <w:rPr>
                <w:rFonts w:ascii="宋体" w:hAnsi="宋体" w:cs="宋体" w:eastAsia="宋体" w:hint="default"/>
                <w:sz w:val="18"/>
                <w:szCs w:val="18"/>
              </w:rPr>
            </w:pPr>
            <w:r>
              <w:rPr>
                <w:rFonts w:ascii="宋体"/>
                <w:sz w:val="18"/>
              </w:rPr>
              <w:t>2014SR073729</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2014-03-15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764"/>
        <w:jc w:val="center"/>
        <w:rPr>
          <w:b w:val="0"/>
          <w:bCs w:val="0"/>
        </w:rPr>
      </w:pPr>
      <w:bookmarkStart w:name="第四节 管理层讨论与分析" w:id="19"/>
      <w:bookmarkEnd w:id="19"/>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概述" w:id="20"/>
      <w:bookmarkEnd w:id="20"/>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0" w:firstLine="420"/>
        <w:jc w:val="both"/>
      </w:pPr>
      <w:r>
        <w:rPr>
          <w:rFonts w:ascii="宋体" w:hAnsi="宋体" w:cs="宋体" w:eastAsia="宋体" w:hint="default"/>
          <w:spacing w:val="-1"/>
        </w:rPr>
        <w:t>2015</w:t>
      </w:r>
      <w:r>
        <w:rPr>
          <w:spacing w:val="-1"/>
        </w:rPr>
        <w:t>年是机遇与挑战并存的一年。一方面，宏观经济下行对公司经营发展造成了一定不利影响；另一</w:t>
      </w:r>
      <w:r>
        <w:rPr/>
        <w:t> </w:t>
      </w:r>
      <w:r>
        <w:rPr>
          <w:spacing w:val="-1"/>
        </w:rPr>
        <w:t>方面，公司紧密关注社会发展趋势，深化落实“以传感器为核心，做领先的物联网解决方案提供商”的发</w:t>
      </w:r>
      <w:r>
        <w:rPr>
          <w:spacing w:val="-81"/>
        </w:rPr>
        <w:t> </w:t>
      </w:r>
      <w:r>
        <w:rPr>
          <w:spacing w:val="-81"/>
        </w:rPr>
      </w:r>
      <w:r>
        <w:rPr>
          <w:spacing w:val="-1"/>
        </w:rPr>
        <w:t>展思路，加强大数据、云平台在各个业务领域的应用，从顶层设计维度加快产业生态圈的构建与完善，总</w:t>
      </w:r>
      <w:r>
        <w:rPr>
          <w:spacing w:val="-85"/>
        </w:rPr>
        <w:t> </w:t>
      </w:r>
      <w:r>
        <w:rPr>
          <w:spacing w:val="-85"/>
        </w:rPr>
      </w:r>
      <w:r>
        <w:rPr/>
        <w:t>体上取得了良好经营成果，公司正在加速成为领先的物联网解决方案与数据服务提供商。</w:t>
      </w:r>
    </w:p>
    <w:p>
      <w:pPr>
        <w:pStyle w:val="BodyText"/>
        <w:spacing w:line="408" w:lineRule="auto"/>
        <w:ind w:right="712" w:firstLine="420"/>
        <w:jc w:val="left"/>
      </w:pPr>
      <w:r>
        <w:rPr>
          <w:spacing w:val="-5"/>
        </w:rPr>
        <w:t>报告期内，公司实现营业收入</w:t>
      </w:r>
      <w:r>
        <w:rPr>
          <w:rFonts w:ascii="宋体" w:hAnsi="宋体" w:cs="宋体" w:eastAsia="宋体" w:hint="default"/>
          <w:spacing w:val="-5"/>
        </w:rPr>
        <w:t>74,671.86</w:t>
      </w:r>
      <w:r>
        <w:rPr>
          <w:spacing w:val="-5"/>
        </w:rPr>
        <w:t>万元，比上年同期增长</w:t>
      </w:r>
      <w:r>
        <w:rPr>
          <w:rFonts w:ascii="宋体" w:hAnsi="宋体" w:cs="宋体" w:eastAsia="宋体" w:hint="default"/>
          <w:spacing w:val="-5"/>
        </w:rPr>
        <w:t>87.00%</w:t>
      </w:r>
      <w:r>
        <w:rPr>
          <w:spacing w:val="-5"/>
        </w:rPr>
        <w:t>；实现利润总额</w:t>
      </w:r>
      <w:r>
        <w:rPr>
          <w:rFonts w:ascii="宋体" w:hAnsi="宋体" w:cs="宋体" w:eastAsia="宋体" w:hint="default"/>
          <w:spacing w:val="-5"/>
        </w:rPr>
        <w:t>11,948.78</w:t>
      </w:r>
      <w:r>
        <w:rPr>
          <w:spacing w:val="-5"/>
        </w:rPr>
        <w:t>万元，</w:t>
      </w:r>
      <w:r>
        <w:rPr/>
        <w:t> 比上年同期增长</w:t>
      </w:r>
      <w:r>
        <w:rPr>
          <w:rFonts w:ascii="宋体" w:hAnsi="宋体" w:cs="宋体" w:eastAsia="宋体" w:hint="default"/>
        </w:rPr>
        <w:t>79.80%</w:t>
      </w:r>
      <w:r>
        <w:rPr/>
        <w:t>；实现归属于上市公司股东的净利润</w:t>
      </w:r>
      <w:r>
        <w:rPr>
          <w:rFonts w:ascii="宋体" w:hAnsi="宋体" w:cs="宋体" w:eastAsia="宋体" w:hint="default"/>
        </w:rPr>
        <w:t>7,864.65</w:t>
      </w:r>
      <w:r>
        <w:rPr/>
        <w:t>万元，比上年同期增长</w:t>
      </w:r>
      <w:r>
        <w:rPr>
          <w:rFonts w:ascii="宋体" w:hAnsi="宋体" w:cs="宋体" w:eastAsia="宋体" w:hint="default"/>
        </w:rPr>
        <w:t>37.15%</w:t>
      </w:r>
      <w:r>
        <w:rPr/>
        <w:t>。公司 </w:t>
      </w:r>
      <w:r>
        <w:rPr>
          <w:spacing w:val="-5"/>
        </w:rPr>
        <w:t>取得上述经营成果的主要原因如下：公司构建了领先的物联网产业生态圈，业务涵盖智慧城市、环境环保、</w:t>
      </w:r>
      <w:r>
        <w:rPr>
          <w:spacing w:val="-101"/>
        </w:rPr>
        <w:t> </w:t>
      </w:r>
      <w:r>
        <w:rPr>
          <w:spacing w:val="-101"/>
        </w:rPr>
      </w:r>
      <w:r>
        <w:rPr/>
        <w:t>安全生产、智能家居等新兴产业，并全力推广系统解决方案在上述行业的应用，取得了较好的经营业绩；</w:t>
      </w:r>
      <w:r>
        <w:rPr>
          <w:spacing w:val="-33"/>
        </w:rPr>
        <w:t> </w:t>
      </w:r>
      <w:r>
        <w:rPr>
          <w:spacing w:val="-33"/>
        </w:rPr>
      </w:r>
      <w:r>
        <w:rPr/>
        <w:t>加大投资并购力度，补全补强产业生态圈，虽然投资并购带来的财务费用增加短期内影响了当期利润，但</w:t>
      </w:r>
      <w:r>
        <w:rPr/>
        <w:t> 却为公司长期良性发展奠定了坚实基础；整合旗下各子公司的资源配置，加强业务协同，增强了获取订单 的竞争实力，市场拓展取得丰硕成果。</w:t>
      </w:r>
    </w:p>
    <w:p>
      <w:pPr>
        <w:pStyle w:val="BodyText"/>
        <w:spacing w:line="408" w:lineRule="auto"/>
        <w:ind w:left="1554" w:right="1117"/>
        <w:jc w:val="left"/>
      </w:pPr>
      <w:r>
        <w:rPr/>
        <w:t>（一）物联网与云平台建设初见成效 </w:t>
      </w:r>
      <w:r>
        <w:rPr>
          <w:spacing w:val="-1"/>
        </w:rPr>
        <w:t>随着互联网快速融合到各个经济领域，公司顺应趋势积极打造了基于行业应用的物联网平台，旨在为</w:t>
      </w:r>
    </w:p>
    <w:p>
      <w:pPr>
        <w:pStyle w:val="BodyText"/>
        <w:spacing w:line="240" w:lineRule="auto" w:before="45"/>
        <w:ind w:left="1134" w:right="1117"/>
        <w:jc w:val="left"/>
      </w:pPr>
      <w:r>
        <w:rPr/>
        <w:t>公司向数据服务商转型奠定坚实基础。物联网平台（图</w:t>
      </w:r>
      <w:r>
        <w:rPr>
          <w:rFonts w:ascii="宋体" w:hAnsi="宋体" w:cs="宋体" w:eastAsia="宋体" w:hint="default"/>
        </w:rPr>
        <w:t>1</w:t>
      </w:r>
      <w:r>
        <w:rPr/>
        <w:t>）的主要功能如下：</w:t>
      </w:r>
    </w:p>
    <w:p>
      <w:pPr>
        <w:spacing w:line="240" w:lineRule="auto" w:before="9"/>
        <w:rPr>
          <w:rFonts w:ascii="宋体" w:hAnsi="宋体" w:cs="宋体" w:eastAsia="宋体" w:hint="default"/>
          <w:sz w:val="18"/>
          <w:szCs w:val="18"/>
        </w:rPr>
      </w:pPr>
    </w:p>
    <w:p>
      <w:pPr>
        <w:spacing w:line="4476" w:lineRule="exact"/>
        <w:ind w:left="2188"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995368" cy="284235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995368" cy="284235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2"/>
        <w:rPr>
          <w:rFonts w:ascii="宋体" w:hAnsi="宋体" w:cs="宋体" w:eastAsia="宋体" w:hint="default"/>
          <w:sz w:val="17"/>
          <w:szCs w:val="17"/>
        </w:rPr>
      </w:pPr>
    </w:p>
    <w:p>
      <w:pPr>
        <w:pStyle w:val="BodyText"/>
        <w:spacing w:line="240" w:lineRule="auto" w:before="0"/>
        <w:ind w:left="3764" w:right="3344"/>
        <w:jc w:val="center"/>
      </w:pPr>
      <w:r>
        <w:rPr/>
        <w:t>图</w:t>
      </w:r>
      <w:r>
        <w:rPr>
          <w:rFonts w:ascii="宋体" w:hAnsi="宋体" w:cs="宋体" w:eastAsia="宋体" w:hint="default"/>
        </w:rPr>
        <w:t>1</w:t>
      </w:r>
      <w:r>
        <w:rPr>
          <w:rFonts w:ascii="宋体" w:hAnsi="宋体" w:cs="宋体" w:eastAsia="宋体" w:hint="default"/>
          <w:spacing w:val="-1"/>
        </w:rPr>
        <w:t> </w:t>
      </w:r>
      <w:r>
        <w:rPr/>
        <w:t>汉威物联网平台</w:t>
      </w:r>
    </w:p>
    <w:p>
      <w:pPr>
        <w:spacing w:after="0" w:line="240" w:lineRule="auto"/>
        <w:jc w:val="cente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物联网平台包括感知层、传输层、应用层，公司充分利用多年来在感知层和应用层培养的核心竞争优</w:t>
      </w:r>
      <w:r>
        <w:rPr/>
        <w:t> </w:t>
      </w:r>
      <w:r>
        <w:rPr>
          <w:spacing w:val="-1"/>
        </w:rPr>
        <w:t>势，实现对各级危险源、工业管线、城市地下管网及及其重点部位的动态监测与管理，使得用户可以运用</w:t>
      </w:r>
      <w:r>
        <w:rPr>
          <w:spacing w:val="-86"/>
        </w:rPr>
        <w:t> </w:t>
      </w:r>
      <w:r>
        <w:rPr>
          <w:spacing w:val="-86"/>
        </w:rPr>
      </w:r>
      <w:r>
        <w:rPr/>
        <w:t>物联网平台（图</w:t>
      </w:r>
      <w:r>
        <w:rPr>
          <w:rFonts w:ascii="宋体" w:hAnsi="宋体" w:cs="宋体" w:eastAsia="宋体" w:hint="default"/>
        </w:rPr>
        <w:t>2</w:t>
      </w:r>
      <w:r>
        <w:rPr/>
        <w:t>）提升经营管理绩效，防范危险事故发生，实现离线管理。</w:t>
      </w:r>
    </w:p>
    <w:p>
      <w:pPr>
        <w:spacing w:line="240" w:lineRule="auto" w:before="6"/>
        <w:rPr>
          <w:rFonts w:ascii="宋体" w:hAnsi="宋体" w:cs="宋体" w:eastAsia="宋体" w:hint="default"/>
          <w:sz w:val="13"/>
          <w:szCs w:val="13"/>
        </w:rPr>
      </w:pPr>
    </w:p>
    <w:p>
      <w:pPr>
        <w:spacing w:line="5278" w:lineRule="exact"/>
        <w:ind w:left="2308"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4871098" cy="335184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4871098" cy="3351847"/>
                    </a:xfrm>
                    <a:prstGeom prst="rect">
                      <a:avLst/>
                    </a:prstGeom>
                  </pic:spPr>
                </pic:pic>
              </a:graphicData>
            </a:graphic>
          </wp:inline>
        </w:drawing>
      </w:r>
      <w:r>
        <w:rPr>
          <w:rFonts w:ascii="宋体" w:hAnsi="宋体" w:cs="宋体" w:eastAsia="宋体" w:hint="default"/>
          <w:position w:val="-105"/>
          <w:sz w:val="20"/>
          <w:szCs w:val="20"/>
        </w:rPr>
      </w:r>
    </w:p>
    <w:p>
      <w:pPr>
        <w:spacing w:line="240" w:lineRule="auto" w:before="3"/>
        <w:rPr>
          <w:rFonts w:ascii="宋体" w:hAnsi="宋体" w:cs="宋体" w:eastAsia="宋体" w:hint="default"/>
          <w:sz w:val="22"/>
          <w:szCs w:val="22"/>
        </w:rPr>
      </w:pPr>
    </w:p>
    <w:p>
      <w:pPr>
        <w:pStyle w:val="BodyText"/>
        <w:spacing w:line="441" w:lineRule="auto" w:before="0"/>
        <w:ind w:left="1554" w:right="1117" w:firstLine="3664"/>
        <w:jc w:val="left"/>
      </w:pPr>
      <w:r>
        <w:rPr/>
        <w:t>图</w:t>
      </w:r>
      <w:r>
        <w:rPr>
          <w:rFonts w:ascii="宋体" w:hAnsi="宋体" w:cs="宋体" w:eastAsia="宋体" w:hint="default"/>
        </w:rPr>
        <w:t>2 </w:t>
      </w:r>
      <w:r>
        <w:rPr/>
        <w:t>汉威物联网应用 </w:t>
      </w:r>
      <w:r>
        <w:rPr>
          <w:spacing w:val="-1"/>
        </w:rPr>
        <w:t>面向行业应用的汉威物联网平台不仅改变了用户的工作模式，也为未来面向智慧市政、智慧安监、智</w:t>
      </w:r>
    </w:p>
    <w:p>
      <w:pPr>
        <w:pStyle w:val="BodyText"/>
        <w:spacing w:line="408" w:lineRule="auto" w:before="16"/>
        <w:ind w:left="1134" w:right="1131"/>
        <w:jc w:val="both"/>
      </w:pPr>
      <w:r>
        <w:rPr>
          <w:spacing w:val="-1"/>
        </w:rPr>
        <w:t>慧化工、智慧电网、智慧水务等领域的汉威云平台建设和数据服务奠定了基础。以物联网平台为基础的汉</w:t>
      </w:r>
      <w:r>
        <w:rPr>
          <w:spacing w:val="-83"/>
        </w:rPr>
        <w:t> </w:t>
      </w:r>
      <w:r>
        <w:rPr>
          <w:spacing w:val="-83"/>
        </w:rPr>
      </w:r>
      <w:r>
        <w:rPr>
          <w:spacing w:val="-1"/>
        </w:rPr>
        <w:t>威云战略的逐步落实是公司未来的一项重要任务，汉威将根据客户需求有序推进，从技术维度促进产业生</w:t>
      </w:r>
      <w:r>
        <w:rPr>
          <w:spacing w:val="-81"/>
        </w:rPr>
        <w:t> </w:t>
      </w:r>
      <w:r>
        <w:rPr>
          <w:spacing w:val="-81"/>
        </w:rPr>
      </w:r>
      <w:r>
        <w:rPr/>
        <w:t>态价值实现倍增。</w:t>
      </w:r>
    </w:p>
    <w:p>
      <w:pPr>
        <w:pStyle w:val="BodyText"/>
        <w:spacing w:line="408" w:lineRule="auto"/>
        <w:ind w:left="1554" w:right="1117"/>
        <w:jc w:val="left"/>
      </w:pPr>
      <w:r>
        <w:rPr/>
        <w:t>（二）产业生态圈建设成效显著 公司通过“内生增长</w:t>
      </w:r>
      <w:r>
        <w:rPr>
          <w:rFonts w:ascii="宋体" w:hAnsi="宋体" w:cs="宋体" w:eastAsia="宋体" w:hint="default"/>
        </w:rPr>
        <w:t>+</w:t>
      </w:r>
      <w:r>
        <w:rPr/>
        <w:t>外延并购”的路径，构建了领先的物联网产业生态集团，旗下子公司数量已将</w:t>
      </w:r>
    </w:p>
    <w:p>
      <w:pPr>
        <w:pStyle w:val="BodyText"/>
        <w:spacing w:line="408" w:lineRule="auto"/>
        <w:ind w:right="1131"/>
        <w:jc w:val="both"/>
      </w:pPr>
      <w:r>
        <w:rPr>
          <w:spacing w:val="-1"/>
        </w:rPr>
        <w:t>近二十家，业务布局涵盖传感器、智慧城市、智慧环保、智慧安全生产和智能家居等新兴产业领域，每一</w:t>
      </w:r>
      <w:r>
        <w:rPr>
          <w:spacing w:val="-83"/>
        </w:rPr>
        <w:t> </w:t>
      </w:r>
      <w:r>
        <w:rPr>
          <w:spacing w:val="-83"/>
        </w:rPr>
      </w:r>
      <w:r>
        <w:rPr>
          <w:spacing w:val="-1"/>
        </w:rPr>
        <w:t>个产业板块都有若干事业部或下属公司组成事业群，市场竞争力显著增强。同时，在产品与服务方面，公</w:t>
      </w:r>
      <w:r>
        <w:rPr>
          <w:spacing w:val="-85"/>
        </w:rPr>
        <w:t> </w:t>
      </w:r>
      <w:r>
        <w:rPr>
          <w:spacing w:val="-85"/>
        </w:rPr>
      </w:r>
      <w:r>
        <w:rPr/>
        <w:t>司打造形成了更加完整、先进的整体解决方案，即“传感器</w:t>
      </w:r>
      <w:r>
        <w:rPr>
          <w:rFonts w:ascii="宋体" w:hAnsi="宋体" w:cs="宋体" w:eastAsia="宋体" w:hint="default"/>
        </w:rPr>
        <w:t>+</w:t>
      </w:r>
      <w:r>
        <w:rPr/>
        <w:t>监测终端</w:t>
      </w:r>
      <w:r>
        <w:rPr>
          <w:rFonts w:ascii="宋体" w:hAnsi="宋体" w:cs="宋体" w:eastAsia="宋体" w:hint="default"/>
        </w:rPr>
        <w:t>+</w:t>
      </w:r>
      <w:r>
        <w:rPr/>
        <w:t>数据采集</w:t>
      </w:r>
      <w:r>
        <w:rPr>
          <w:rFonts w:ascii="宋体" w:hAnsi="宋体" w:cs="宋体" w:eastAsia="宋体" w:hint="default"/>
        </w:rPr>
        <w:t>+GIS+</w:t>
      </w:r>
      <w:r>
        <w:rPr/>
        <w:t>云平台”系统，具</w:t>
      </w:r>
      <w:r>
        <w:rPr>
          <w:spacing w:val="-28"/>
        </w:rPr>
        <w:t> </w:t>
      </w:r>
      <w:r>
        <w:rPr>
          <w:spacing w:val="-28"/>
        </w:rPr>
      </w:r>
      <w:r>
        <w:rPr>
          <w:spacing w:val="-1"/>
        </w:rPr>
        <w:t>备强劲的行业渗透能力和延伸能力，能够为客户提供从感知、数据采集、分析、处理的全产业链解决方案</w:t>
      </w:r>
      <w:r>
        <w:rPr>
          <w:spacing w:val="-84"/>
        </w:rPr>
        <w:t> </w:t>
      </w:r>
      <w:r>
        <w:rPr>
          <w:spacing w:val="-84"/>
        </w:rPr>
      </w:r>
      <w:r>
        <w:rPr/>
        <w:t>和智慧化、云端大数据服务。</w:t>
      </w:r>
    </w:p>
    <w:p>
      <w:pPr>
        <w:pStyle w:val="BodyText"/>
        <w:spacing w:line="408" w:lineRule="auto"/>
        <w:ind w:left="1553" w:right="1117"/>
        <w:jc w:val="left"/>
      </w:pPr>
      <w:r>
        <w:rPr/>
        <w:t>（</w:t>
      </w:r>
      <w:r>
        <w:rPr>
          <w:rFonts w:ascii="宋体" w:hAnsi="宋体" w:cs="宋体" w:eastAsia="宋体" w:hint="default"/>
        </w:rPr>
        <w:t>1</w:t>
      </w:r>
      <w:r>
        <w:rPr/>
        <w:t>）传感器业务 </w:t>
      </w:r>
      <w:r>
        <w:rPr>
          <w:spacing w:val="-1"/>
        </w:rPr>
        <w:t>全资子公司炜盛科技是公司传感器产业的重要发展主体，具有领先的自主知识产权，炜盛科技在保持</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712"/>
        <w:jc w:val="left"/>
      </w:pPr>
      <w:r>
        <w:rPr/>
        <w:t>原有气体传感器稳健增长的基础上，又取得了新的发展成果：受益于社会公众对环境问题的关注，甲醛、</w:t>
      </w:r>
      <w:r>
        <w:rPr>
          <w:spacing w:val="-35"/>
        </w:rPr>
        <w:t> </w:t>
      </w:r>
      <w:r>
        <w:rPr>
          <w:spacing w:val="-35"/>
        </w:rPr>
      </w:r>
      <w:r>
        <w:rPr>
          <w:rFonts w:ascii="宋体" w:hAnsi="宋体" w:cs="宋体" w:eastAsia="宋体" w:hint="default"/>
        </w:rPr>
        <w:t>VOC</w:t>
      </w:r>
      <w:r>
        <w:rPr/>
        <w:t>类传感器品质明显提升，市场销量实现了明显上升；光学产品线继续丰富，气体检测用红外光学技术</w:t>
      </w:r>
      <w:r>
        <w:rPr>
          <w:spacing w:val="-35"/>
        </w:rPr>
        <w:t> </w:t>
      </w:r>
      <w:r>
        <w:rPr>
          <w:spacing w:val="-35"/>
        </w:rPr>
      </w:r>
      <w:r>
        <w:rPr/>
        <w:t>取得突破性进展，低功耗集成化激光</w:t>
      </w:r>
      <w:r>
        <w:rPr>
          <w:rFonts w:ascii="宋体" w:hAnsi="宋体" w:cs="宋体" w:eastAsia="宋体" w:hint="default"/>
        </w:rPr>
        <w:t>PM2.5</w:t>
      </w:r>
      <w:r>
        <w:rPr/>
        <w:t>传感器逐步放量；流量传感器市场取得较快市场销售增长；此</w:t>
      </w:r>
      <w:r>
        <w:rPr>
          <w:spacing w:val="-32"/>
        </w:rPr>
        <w:t> </w:t>
      </w:r>
      <w:r>
        <w:rPr>
          <w:spacing w:val="-32"/>
        </w:rPr>
      </w:r>
      <w:r>
        <w:rPr/>
        <w:t>外，炜盛科技与哈尔滨盈江、苏州能斯达、上海英森等兄弟单位联合开展</w:t>
      </w:r>
      <w:r>
        <w:rPr>
          <w:rFonts w:ascii="宋体" w:hAnsi="宋体" w:cs="宋体" w:eastAsia="宋体" w:hint="default"/>
        </w:rPr>
        <w:t>MEMS</w:t>
      </w:r>
      <w:r>
        <w:rPr/>
        <w:t>研究创新，目前已经取得了 阶段性成果，</w:t>
      </w:r>
      <w:r>
        <w:rPr>
          <w:rFonts w:ascii="宋体" w:hAnsi="宋体" w:cs="宋体" w:eastAsia="宋体" w:hint="default"/>
        </w:rPr>
        <w:t>MEMS</w:t>
      </w:r>
      <w:r>
        <w:rPr/>
        <w:t>气体传感器已经在小批量进行试产，适用于各类气体监测产品、智能穿戴设备等领域。</w:t>
      </w:r>
    </w:p>
    <w:p>
      <w:pPr>
        <w:pStyle w:val="BodyText"/>
        <w:spacing w:line="408" w:lineRule="auto"/>
        <w:ind w:left="1553" w:right="1117"/>
        <w:jc w:val="left"/>
      </w:pPr>
      <w:r>
        <w:rPr/>
        <w:t>（</w:t>
      </w:r>
      <w:r>
        <w:rPr>
          <w:rFonts w:ascii="宋体" w:hAnsi="宋体" w:cs="宋体" w:eastAsia="宋体" w:hint="default"/>
        </w:rPr>
        <w:t>2</w:t>
      </w:r>
      <w:r>
        <w:rPr/>
        <w:t>）智慧城市业务 </w:t>
      </w:r>
      <w:r>
        <w:rPr>
          <w:spacing w:val="-1"/>
        </w:rPr>
        <w:t>公司将市政燃气事业部、智慧水务事业部、沈阳金建、鞍山易兴、广东龙泉等旗下单位组成智慧城市</w:t>
      </w:r>
    </w:p>
    <w:p>
      <w:pPr>
        <w:pStyle w:val="BodyText"/>
        <w:spacing w:line="408" w:lineRule="auto"/>
        <w:ind w:right="1127"/>
        <w:jc w:val="both"/>
      </w:pPr>
      <w:r>
        <w:rPr>
          <w:spacing w:val="-1"/>
        </w:rPr>
        <w:t>事业群，形成了产品布局完善、地域覆盖南北的产业集团军，行业竞争力显著增强，并在报告期内获得了</w:t>
      </w:r>
      <w:r>
        <w:rPr>
          <w:spacing w:val="-86"/>
        </w:rPr>
        <w:t> </w:t>
      </w:r>
      <w:r>
        <w:rPr>
          <w:spacing w:val="-86"/>
        </w:rPr>
      </w:r>
      <w:r>
        <w:rPr>
          <w:spacing w:val="-1"/>
        </w:rPr>
        <w:t>沈阳地下管线、河北省天然气管网、武汉华润燃气、江阴天力燃气、常州钢化燃气等项目订单。此外，在</w:t>
      </w:r>
      <w:r>
        <w:rPr>
          <w:spacing w:val="-83"/>
        </w:rPr>
        <w:t> </w:t>
      </w:r>
      <w:r>
        <w:rPr>
          <w:spacing w:val="-83"/>
        </w:rPr>
      </w:r>
      <w:r>
        <w:rPr/>
        <w:t>既有的市政信息化、智慧化业务外，公司先后通过</w:t>
      </w:r>
      <w:r>
        <w:rPr>
          <w:rFonts w:ascii="宋体" w:hAnsi="宋体" w:cs="宋体" w:eastAsia="宋体" w:hint="default"/>
        </w:rPr>
        <w:t>PPP</w:t>
      </w:r>
      <w:r>
        <w:rPr/>
        <w:t>模式投资汉威公用、汉威智源，进入了公用事业领</w:t>
      </w:r>
      <w:r>
        <w:rPr>
          <w:spacing w:val="-31"/>
        </w:rPr>
        <w:t> </w:t>
      </w:r>
      <w:r>
        <w:rPr>
          <w:spacing w:val="-31"/>
        </w:rPr>
      </w:r>
      <w:r>
        <w:rPr/>
        <w:t>域，并以郑州高新供水有限责任公司为主体，建立起了成熟的“智慧水务管控一体化平台”（图</w:t>
      </w:r>
      <w:r>
        <w:rPr>
          <w:rFonts w:ascii="宋体" w:hAnsi="宋体" w:cs="宋体" w:eastAsia="宋体" w:hint="default"/>
        </w:rPr>
        <w:t>3</w:t>
      </w:r>
      <w:r>
        <w:rPr/>
        <w:t>）示范</w:t>
      </w:r>
      <w:r>
        <w:rPr>
          <w:spacing w:val="-22"/>
        </w:rPr>
        <w:t> </w:t>
      </w:r>
      <w:r>
        <w:rPr/>
        <w:t>性应用标杆。</w:t>
      </w:r>
    </w:p>
    <w:p>
      <w:pPr>
        <w:spacing w:line="240" w:lineRule="auto" w:before="2"/>
        <w:rPr>
          <w:rFonts w:ascii="宋体" w:hAnsi="宋体" w:cs="宋体" w:eastAsia="宋体" w:hint="default"/>
          <w:sz w:val="13"/>
          <w:szCs w:val="13"/>
        </w:rPr>
      </w:pPr>
    </w:p>
    <w:p>
      <w:pPr>
        <w:spacing w:line="4365" w:lineRule="exact"/>
        <w:ind w:left="289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153756" cy="277234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4153756" cy="2772346"/>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0"/>
        <w:rPr>
          <w:rFonts w:ascii="宋体" w:hAnsi="宋体" w:cs="宋体" w:eastAsia="宋体" w:hint="default"/>
          <w:sz w:val="14"/>
          <w:szCs w:val="14"/>
        </w:rPr>
      </w:pPr>
    </w:p>
    <w:p>
      <w:pPr>
        <w:pStyle w:val="BodyText"/>
        <w:spacing w:line="374" w:lineRule="auto" w:before="0"/>
        <w:ind w:left="1554" w:right="1117" w:firstLine="3244"/>
        <w:jc w:val="left"/>
      </w:pPr>
      <w:r>
        <w:rPr/>
        <w:t>图</w:t>
      </w:r>
      <w:r>
        <w:rPr>
          <w:rFonts w:ascii="宋体" w:hAnsi="宋体" w:cs="宋体" w:eastAsia="宋体" w:hint="default"/>
        </w:rPr>
        <w:t>3 </w:t>
      </w:r>
      <w:r>
        <w:rPr/>
        <w:t>智慧水务管控一体化平台 </w:t>
      </w:r>
      <w:r>
        <w:rPr>
          <w:spacing w:val="-1"/>
        </w:rPr>
        <w:t>“智慧水务管控一体化平台”是以综合管理信息平台为核心，实现办公自动化、数据一体化、流程整</w:t>
      </w:r>
    </w:p>
    <w:p>
      <w:pPr>
        <w:pStyle w:val="BodyText"/>
        <w:spacing w:line="408" w:lineRule="auto" w:before="75"/>
        <w:ind w:left="1134" w:right="1130"/>
        <w:jc w:val="both"/>
      </w:pPr>
      <w:r>
        <w:rPr>
          <w:spacing w:val="-5"/>
        </w:rPr>
        <w:t>合化、决策科学化，涵盖营销、服务、生产信息共享、项目管理、优化调度、高效化生产、日常运营维护、</w:t>
      </w:r>
      <w:r>
        <w:rPr>
          <w:spacing w:val="-102"/>
        </w:rPr>
        <w:t> </w:t>
      </w:r>
      <w:r>
        <w:rPr>
          <w:spacing w:val="-102"/>
        </w:rPr>
      </w:r>
      <w:r>
        <w:rPr>
          <w:spacing w:val="-1"/>
        </w:rPr>
        <w:t>风险和事件的监控预警、决策支持等诸多内容，能够大幅降低自来水管道运输过程中漏失，降低人工与能</w:t>
      </w:r>
      <w:r>
        <w:rPr>
          <w:spacing w:val="-83"/>
        </w:rPr>
        <w:t> </w:t>
      </w:r>
      <w:r>
        <w:rPr>
          <w:spacing w:val="-83"/>
        </w:rPr>
      </w:r>
      <w:r>
        <w:rPr>
          <w:spacing w:val="-1"/>
        </w:rPr>
        <w:t>耗成本，显著提升管理成效。目前，该智慧水务应用系统得到了供水行业客户的高度认可，部分项目已经</w:t>
      </w:r>
      <w:r>
        <w:rPr>
          <w:spacing w:val="-85"/>
        </w:rPr>
        <w:t> </w:t>
      </w:r>
      <w:r>
        <w:rPr>
          <w:spacing w:val="-85"/>
        </w:rPr>
      </w:r>
      <w:r>
        <w:rPr>
          <w:spacing w:val="-5"/>
        </w:rPr>
        <w:t>启动。此外，公司正在积极组织力量，将在智慧水务行业取得的成功经验萃取、复制到城市智慧供热领域，</w:t>
      </w:r>
      <w:r>
        <w:rPr>
          <w:spacing w:val="-103"/>
        </w:rPr>
        <w:t> </w:t>
      </w:r>
      <w:r>
        <w:rPr>
          <w:spacing w:val="-103"/>
        </w:rPr>
      </w:r>
      <w:r>
        <w:rPr/>
        <w:t>打造完善的智慧热力系统平台，全力开拓智慧城市业务市场。</w:t>
      </w:r>
    </w:p>
    <w:p>
      <w:pPr>
        <w:pStyle w:val="BodyText"/>
        <w:spacing w:line="240" w:lineRule="auto"/>
        <w:ind w:left="1553" w:right="1117"/>
        <w:jc w:val="left"/>
      </w:pPr>
      <w:r>
        <w:rPr/>
        <w:t>（</w:t>
      </w:r>
      <w:r>
        <w:rPr>
          <w:rFonts w:ascii="宋体" w:hAnsi="宋体" w:cs="宋体" w:eastAsia="宋体" w:hint="default"/>
        </w:rPr>
        <w:t>3</w:t>
      </w:r>
      <w:r>
        <w:rPr/>
        <w:t>）智慧安全业务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6"/>
        </w:rPr>
        <w:t>安全生产监测是公司的传统优势业务，主要面向化工、冶金、油气等涉及危险生产领域的企事业用户。</w:t>
      </w:r>
      <w:r>
        <w:rPr/>
        <w:t> </w:t>
      </w:r>
      <w:r>
        <w:rPr>
          <w:spacing w:val="-1"/>
        </w:rPr>
        <w:t>公司依托在传感器、物联网方面的技术优势，开发了安全生产综合监管、重大危险源在线监测预警、汉威</w:t>
      </w:r>
      <w:r>
        <w:rPr>
          <w:spacing w:val="-86"/>
        </w:rPr>
        <w:t> </w:t>
      </w:r>
      <w:r>
        <w:rPr>
          <w:spacing w:val="-86"/>
        </w:rPr>
      </w:r>
      <w:r>
        <w:rPr>
          <w:spacing w:val="-1"/>
        </w:rPr>
        <w:t>安全云平台、火气一体化消防监测等系统，实现对安全生产、消防安全的信息化、智慧化管理。为积极把</w:t>
      </w:r>
      <w:r>
        <w:rPr>
          <w:spacing w:val="-83"/>
        </w:rPr>
        <w:t> </w:t>
      </w:r>
      <w:r>
        <w:rPr>
          <w:spacing w:val="-83"/>
        </w:rPr>
      </w:r>
      <w:r>
        <w:rPr>
          <w:spacing w:val="-1"/>
        </w:rPr>
        <w:t>握市场机会，公司整合石油炼化事业部、化工冶金事业部及其他业务板块成立“河南汉威智慧安全科技有</w:t>
      </w:r>
      <w:r>
        <w:rPr>
          <w:spacing w:val="-84"/>
        </w:rPr>
        <w:t> </w:t>
      </w:r>
      <w:r>
        <w:rPr>
          <w:spacing w:val="-84"/>
        </w:rPr>
      </w:r>
      <w:r>
        <w:rPr>
          <w:spacing w:val="-1"/>
        </w:rPr>
        <w:t>限公司”，并与英森电气等兄弟单位组成智慧安全生产事业群，全力开拓工业安全监测的市场，努力打造</w:t>
      </w:r>
      <w:r>
        <w:rPr>
          <w:spacing w:val="-85"/>
        </w:rPr>
        <w:t> </w:t>
      </w:r>
      <w:r>
        <w:rPr>
          <w:spacing w:val="-85"/>
        </w:rPr>
      </w:r>
      <w:r>
        <w:rPr>
          <w:spacing w:val="-1"/>
        </w:rPr>
        <w:t>从工厂到园区、政府的智慧安全管理业务平台，并在报告期内获得了中石油、中石化、新疆广汇等项目订</w:t>
      </w:r>
      <w:r>
        <w:rPr>
          <w:spacing w:val="-86"/>
        </w:rPr>
        <w:t> </w:t>
      </w:r>
      <w:r>
        <w:rPr>
          <w:spacing w:val="-86"/>
        </w:rPr>
      </w:r>
      <w:r>
        <w:rPr/>
        <w:t>单。</w:t>
      </w:r>
    </w:p>
    <w:p>
      <w:pPr>
        <w:pStyle w:val="BodyText"/>
        <w:spacing w:line="408" w:lineRule="auto"/>
        <w:ind w:left="1554" w:right="1117"/>
        <w:jc w:val="left"/>
      </w:pPr>
      <w:r>
        <w:rPr/>
        <w:t>（</w:t>
      </w:r>
      <w:r>
        <w:rPr>
          <w:rFonts w:ascii="宋体" w:hAnsi="宋体" w:cs="宋体" w:eastAsia="宋体" w:hint="default"/>
        </w:rPr>
        <w:t>4</w:t>
      </w:r>
      <w:r>
        <w:rPr/>
        <w:t>）智慧环保业务 </w:t>
      </w:r>
      <w:r>
        <w:rPr>
          <w:spacing w:val="-1"/>
        </w:rPr>
        <w:t>环保产业是公司重点开拓的领域，已经形成了从检测到治理的环保整体解决方案。在监测环节，公司</w:t>
      </w:r>
    </w:p>
    <w:p>
      <w:pPr>
        <w:pStyle w:val="BodyText"/>
        <w:spacing w:line="408" w:lineRule="auto"/>
        <w:ind w:right="1131"/>
        <w:jc w:val="both"/>
      </w:pPr>
      <w:r>
        <w:rPr>
          <w:spacing w:val="-1"/>
        </w:rPr>
        <w:t>环保事业部全力开拓大气污染源网格化监测监管业务，开发了“分布式大气环境监测系统”，该系统采用</w:t>
      </w:r>
      <w:r>
        <w:rPr>
          <w:spacing w:val="-86"/>
        </w:rPr>
        <w:t> </w:t>
      </w:r>
      <w:r>
        <w:rPr>
          <w:spacing w:val="-86"/>
        </w:rPr>
      </w:r>
      <w:r>
        <w:rPr>
          <w:spacing w:val="-1"/>
        </w:rPr>
        <w:t>了物联网平台技术，可以实现大范围、适时监测大气环境，已经在郑州部分区域成功进行推广，获得了环</w:t>
      </w:r>
      <w:r>
        <w:rPr>
          <w:spacing w:val="-86"/>
        </w:rPr>
        <w:t> </w:t>
      </w:r>
      <w:r>
        <w:rPr>
          <w:spacing w:val="-86"/>
        </w:rPr>
      </w:r>
      <w:r>
        <w:rPr>
          <w:spacing w:val="-1"/>
        </w:rPr>
        <w:t>保监管部门的认可，未来将与雪城软件等公司继续拓展环境监测领域的机会。在治理环节，嘉园环保将重</w:t>
      </w:r>
      <w:r>
        <w:rPr>
          <w:spacing w:val="-83"/>
        </w:rPr>
        <w:t> </w:t>
      </w:r>
      <w:r>
        <w:rPr>
          <w:spacing w:val="-83"/>
        </w:rPr>
      </w:r>
      <w:r>
        <w:rPr>
          <w:spacing w:val="-1"/>
        </w:rPr>
        <w:t>点拓展</w:t>
      </w:r>
      <w:r>
        <w:rPr>
          <w:rFonts w:ascii="宋体" w:hAnsi="宋体" w:cs="宋体" w:eastAsia="宋体" w:hint="default"/>
          <w:spacing w:val="-1"/>
        </w:rPr>
        <w:t>VOCs</w:t>
      </w:r>
      <w:r>
        <w:rPr>
          <w:spacing w:val="-1"/>
        </w:rPr>
        <w:t>、垃圾渗滤液等方面的市场机会，市政污水和工业污水处理业务也取得新的突破，已在广州等</w:t>
      </w:r>
      <w:r>
        <w:rPr>
          <w:spacing w:val="-81"/>
        </w:rPr>
        <w:t> </w:t>
      </w:r>
      <w:r>
        <w:rPr>
          <w:spacing w:val="-81"/>
        </w:rPr>
      </w:r>
      <w:r>
        <w:rPr/>
        <w:t>地获得了项目订单，例如广州热力电厂污水项目、淮滨污水项目、比亚迪有机废气等项目。</w:t>
      </w:r>
    </w:p>
    <w:p>
      <w:pPr>
        <w:pStyle w:val="BodyText"/>
        <w:spacing w:line="408" w:lineRule="auto"/>
        <w:ind w:left="1553" w:right="1117"/>
        <w:jc w:val="left"/>
      </w:pPr>
      <w:r>
        <w:rPr/>
        <w:t>（</w:t>
      </w:r>
      <w:r>
        <w:rPr>
          <w:rFonts w:ascii="宋体" w:hAnsi="宋体" w:cs="宋体" w:eastAsia="宋体" w:hint="default"/>
        </w:rPr>
        <w:t>5</w:t>
      </w:r>
      <w:r>
        <w:rPr/>
        <w:t>）智能家居 </w:t>
      </w:r>
      <w:r>
        <w:rPr>
          <w:spacing w:val="-1"/>
        </w:rPr>
        <w:t>公司以北京威果为主体，不断升级家居及公共区域空气检测产品，丰富大屏显示方案，完善检测治理</w:t>
      </w:r>
    </w:p>
    <w:p>
      <w:pPr>
        <w:pStyle w:val="BodyText"/>
        <w:spacing w:line="408" w:lineRule="auto"/>
        <w:ind w:right="1130"/>
        <w:jc w:val="both"/>
      </w:pPr>
      <w:r>
        <w:rPr>
          <w:spacing w:val="-1"/>
        </w:rPr>
        <w:t>一体化方案，同时加强与浙江风向标科技有限公司（以下简称“浙江风向标”）、河南开云信息技术有限</w:t>
      </w:r>
      <w:r>
        <w:rPr>
          <w:spacing w:val="-83"/>
        </w:rPr>
        <w:t> </w:t>
      </w:r>
      <w:r>
        <w:rPr>
          <w:spacing w:val="-83"/>
        </w:rPr>
      </w:r>
      <w:r>
        <w:rPr>
          <w:spacing w:val="-1"/>
        </w:rPr>
        <w:t>公司（以下简称“开云信息”）、德煦智能（上海）科技有限公司开展资本合作，共同探索智能家居领域</w:t>
      </w:r>
      <w:r>
        <w:rPr>
          <w:spacing w:val="-84"/>
        </w:rPr>
        <w:t> </w:t>
      </w:r>
      <w:r>
        <w:rPr>
          <w:spacing w:val="-84"/>
        </w:rPr>
      </w:r>
      <w:r>
        <w:rPr/>
        <w:t>的市场机遇，构建智能家庭生态的解决方案。</w:t>
      </w:r>
    </w:p>
    <w:p>
      <w:pPr>
        <w:pStyle w:val="BodyText"/>
        <w:spacing w:line="408" w:lineRule="auto"/>
        <w:ind w:left="1554" w:right="1117"/>
        <w:jc w:val="left"/>
      </w:pPr>
      <w:r>
        <w:rPr/>
        <w:t>（二）研发创新获得多项重磅突破 </w:t>
      </w:r>
      <w:r>
        <w:rPr>
          <w:spacing w:val="-1"/>
        </w:rPr>
        <w:t>持续创新是企业发展的永动机。为巩固领先的竞争实力，公司在产品服务、团队、行业标准等多维度</w:t>
      </w:r>
    </w:p>
    <w:p>
      <w:pPr>
        <w:pStyle w:val="BodyText"/>
        <w:spacing w:line="408" w:lineRule="auto"/>
        <w:ind w:right="1131"/>
        <w:jc w:val="both"/>
      </w:pPr>
      <w:r>
        <w:rPr>
          <w:spacing w:val="-1"/>
        </w:rPr>
        <w:t>取得了丰富成果。在产品研发方面，研发部门锐意创新，相继开发完成了甲醛、</w:t>
      </w:r>
      <w:r>
        <w:rPr>
          <w:rFonts w:ascii="宋体" w:hAnsi="宋体" w:cs="宋体" w:eastAsia="宋体" w:hint="default"/>
          <w:spacing w:val="-1"/>
        </w:rPr>
        <w:t>VOC</w:t>
      </w:r>
      <w:r>
        <w:rPr>
          <w:spacing w:val="-1"/>
        </w:rPr>
        <w:t>、</w:t>
      </w:r>
      <w:r>
        <w:rPr>
          <w:rFonts w:ascii="宋体" w:hAnsi="宋体" w:cs="宋体" w:eastAsia="宋体" w:hint="default"/>
          <w:spacing w:val="-1"/>
        </w:rPr>
        <w:t>PM2.5</w:t>
      </w:r>
      <w:r>
        <w:rPr>
          <w:spacing w:val="-1"/>
        </w:rPr>
        <w:t>等环境传感器</w:t>
      </w:r>
      <w:r>
        <w:rPr>
          <w:spacing w:val="-81"/>
        </w:rPr>
        <w:t> </w:t>
      </w:r>
      <w:r>
        <w:rPr>
          <w:spacing w:val="-81"/>
        </w:rPr>
      </w:r>
      <w:r>
        <w:rPr>
          <w:spacing w:val="-1"/>
        </w:rPr>
        <w:t>以及“分布式大气环境监测系统平台”、“气相色谱仪”、“激光巡检仪”、“汉威安全云平台”等十多</w:t>
      </w:r>
      <w:r>
        <w:rPr>
          <w:spacing w:val="-86"/>
        </w:rPr>
        <w:t> </w:t>
      </w:r>
      <w:r>
        <w:rPr>
          <w:spacing w:val="-86"/>
        </w:rPr>
      </w:r>
      <w:r>
        <w:rPr>
          <w:spacing w:val="-1"/>
        </w:rPr>
        <w:t>项创新产品与技术，达到了行业领先或者国际领先水准，取得了良好的市场反馈；在团队方面，公司企业</w:t>
      </w:r>
      <w:r>
        <w:rPr>
          <w:spacing w:val="-86"/>
        </w:rPr>
        <w:t> </w:t>
      </w:r>
      <w:r>
        <w:rPr>
          <w:spacing w:val="-86"/>
        </w:rPr>
      </w:r>
      <w:r>
        <w:rPr>
          <w:spacing w:val="-1"/>
        </w:rPr>
        <w:t>研发中心获得了“国家级企业技术中心”认定，研发实力获得官方认可；在行业标准方面，公司负责起草</w:t>
      </w:r>
      <w:r>
        <w:rPr>
          <w:spacing w:val="-83"/>
        </w:rPr>
        <w:t> </w:t>
      </w:r>
      <w:r>
        <w:rPr>
          <w:spacing w:val="-83"/>
        </w:rPr>
      </w:r>
      <w:r>
        <w:rPr>
          <w:spacing w:val="-1"/>
        </w:rPr>
        <w:t>的</w:t>
      </w:r>
      <w:r>
        <w:rPr>
          <w:rFonts w:ascii="宋体" w:hAnsi="宋体" w:cs="宋体" w:eastAsia="宋体" w:hint="default"/>
          <w:spacing w:val="-1"/>
        </w:rPr>
        <w:t>GB/T32209-2015</w:t>
      </w:r>
      <w:r>
        <w:rPr>
          <w:spacing w:val="-1"/>
        </w:rPr>
        <w:t>《多组分有害气体检测报警器》已经国家质量监督检验检疫总局、国家标准化管理委员</w:t>
      </w:r>
      <w:r>
        <w:rPr>
          <w:spacing w:val="-79"/>
        </w:rPr>
        <w:t> </w:t>
      </w:r>
      <w:r>
        <w:rPr>
          <w:spacing w:val="-79"/>
        </w:rPr>
      </w:r>
      <w:r>
        <w:rPr/>
        <w:t>会批准发布，将于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w:t>
      </w:r>
      <w:r>
        <w:rPr/>
        <w:t>日实施，这将对公司部分储备产品和技术构成市场先发优势。</w:t>
      </w:r>
    </w:p>
    <w:p>
      <w:pPr>
        <w:pStyle w:val="BodyText"/>
        <w:spacing w:line="408" w:lineRule="auto"/>
        <w:ind w:left="1553" w:right="1117"/>
        <w:jc w:val="left"/>
      </w:pPr>
      <w:r>
        <w:rPr/>
        <w:t>（</w:t>
      </w:r>
      <w:r>
        <w:rPr>
          <w:rFonts w:ascii="宋体" w:hAnsi="宋体" w:cs="宋体" w:eastAsia="宋体" w:hint="default"/>
        </w:rPr>
        <w:t>1</w:t>
      </w:r>
      <w:r>
        <w:rPr/>
        <w:t>）双光路红外探测器 根据市场需求，公司研发了“双光路红外探测器”（图</w:t>
      </w:r>
      <w:r>
        <w:rPr>
          <w:rFonts w:ascii="宋体" w:hAnsi="宋体" w:cs="宋体" w:eastAsia="宋体" w:hint="default"/>
        </w:rPr>
        <w:t>4</w:t>
      </w:r>
      <w:r>
        <w:rPr/>
        <w:t>），该产品从原理上抑制红外光源发光率及</w:t>
      </w:r>
    </w:p>
    <w:p>
      <w:pPr>
        <w:pStyle w:val="BodyText"/>
        <w:spacing w:line="240" w:lineRule="auto"/>
        <w:ind w:right="0"/>
        <w:jc w:val="both"/>
      </w:pPr>
      <w:r>
        <w:rPr>
          <w:spacing w:val="-5"/>
        </w:rPr>
        <w:t>驱动电路衰减、敏感体灵敏度漂移、少量水汽和灰尘、光路污染等如上不稳定因素的影响，具有性能稳定、</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测量准确、响应快速、环境适应性强、生命周期长、“零”维护等特点，可广泛应用于石油炼化、冶金化</w:t>
      </w:r>
      <w:r>
        <w:rPr>
          <w:spacing w:val="-84"/>
        </w:rPr>
        <w:t> </w:t>
      </w:r>
      <w:r>
        <w:rPr>
          <w:spacing w:val="-84"/>
        </w:rPr>
      </w:r>
      <w:r>
        <w:rPr>
          <w:spacing w:val="-1"/>
        </w:rPr>
        <w:t>工、燃气现场等气体检测领域。公司是目前国内唯一一家突破该项技术并成功产业化的企业，处于国内领</w:t>
      </w:r>
      <w:r>
        <w:rPr>
          <w:spacing w:val="-83"/>
        </w:rPr>
        <w:t> </w:t>
      </w:r>
      <w:r>
        <w:rPr>
          <w:spacing w:val="-83"/>
        </w:rPr>
      </w:r>
      <w:r>
        <w:rPr/>
        <w:t>先地位。</w:t>
      </w:r>
    </w:p>
    <w:p>
      <w:pPr>
        <w:spacing w:line="240" w:lineRule="auto" w:before="3"/>
        <w:rPr>
          <w:rFonts w:ascii="宋体" w:hAnsi="宋体" w:cs="宋体" w:eastAsia="宋体" w:hint="default"/>
          <w:sz w:val="17"/>
          <w:szCs w:val="17"/>
        </w:rPr>
      </w:pPr>
    </w:p>
    <w:p>
      <w:pPr>
        <w:tabs>
          <w:tab w:pos="6442" w:val="left" w:leader="none"/>
        </w:tabs>
        <w:spacing w:line="2754" w:lineRule="exact"/>
        <w:ind w:left="1771" w:right="0" w:firstLine="0"/>
        <w:rPr>
          <w:rFonts w:ascii="宋体" w:hAnsi="宋体" w:cs="宋体" w:eastAsia="宋体" w:hint="default"/>
          <w:sz w:val="20"/>
          <w:szCs w:val="20"/>
        </w:rPr>
      </w:pPr>
      <w:r>
        <w:rPr>
          <w:rFonts w:ascii="宋体"/>
          <w:position w:val="-50"/>
          <w:sz w:val="20"/>
        </w:rPr>
        <w:drawing>
          <wp:inline distT="0" distB="0" distL="0" distR="0">
            <wp:extent cx="2504118" cy="1722501"/>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2504118" cy="1722501"/>
                    </a:xfrm>
                    <a:prstGeom prst="rect">
                      <a:avLst/>
                    </a:prstGeom>
                  </pic:spPr>
                </pic:pic>
              </a:graphicData>
            </a:graphic>
          </wp:inline>
        </w:drawing>
      </w:r>
      <w:r>
        <w:rPr>
          <w:rFonts w:ascii="宋体"/>
          <w:position w:val="-50"/>
          <w:sz w:val="20"/>
        </w:rPr>
      </w:r>
      <w:r>
        <w:rPr>
          <w:rFonts w:ascii="宋体"/>
          <w:position w:val="-50"/>
          <w:sz w:val="20"/>
        </w:rPr>
        <w:tab/>
      </w:r>
      <w:r>
        <w:rPr>
          <w:rFonts w:ascii="宋体"/>
          <w:position w:val="-54"/>
          <w:sz w:val="20"/>
        </w:rPr>
        <w:drawing>
          <wp:inline distT="0" distB="0" distL="0" distR="0">
            <wp:extent cx="2534983" cy="1748789"/>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6" cstate="print"/>
                    <a:stretch>
                      <a:fillRect/>
                    </a:stretch>
                  </pic:blipFill>
                  <pic:spPr>
                    <a:xfrm>
                      <a:off x="0" y="0"/>
                      <a:ext cx="2534983" cy="1748789"/>
                    </a:xfrm>
                    <a:prstGeom prst="rect">
                      <a:avLst/>
                    </a:prstGeom>
                  </pic:spPr>
                </pic:pic>
              </a:graphicData>
            </a:graphic>
          </wp:inline>
        </w:drawing>
      </w:r>
      <w:r>
        <w:rPr>
          <w:rFonts w:ascii="宋体"/>
          <w:position w:val="-54"/>
          <w:sz w:val="20"/>
        </w:rPr>
      </w:r>
    </w:p>
    <w:p>
      <w:pPr>
        <w:spacing w:line="240" w:lineRule="auto" w:before="5"/>
        <w:rPr>
          <w:rFonts w:ascii="宋体" w:hAnsi="宋体" w:cs="宋体" w:eastAsia="宋体" w:hint="default"/>
          <w:sz w:val="29"/>
          <w:szCs w:val="29"/>
        </w:rPr>
      </w:pPr>
    </w:p>
    <w:p>
      <w:pPr>
        <w:pStyle w:val="BodyText"/>
        <w:tabs>
          <w:tab w:pos="6594" w:val="left" w:leader="none"/>
        </w:tabs>
        <w:spacing w:line="240" w:lineRule="auto" w:before="0"/>
        <w:ind w:left="3024" w:right="1117"/>
        <w:jc w:val="left"/>
      </w:pPr>
      <w:r>
        <w:rPr/>
        <w:t>图</w:t>
      </w:r>
      <w:r>
        <w:rPr>
          <w:rFonts w:ascii="宋体" w:hAnsi="宋体" w:cs="宋体" w:eastAsia="宋体" w:hint="default"/>
        </w:rPr>
        <w:t>4</w:t>
      </w:r>
      <w:r>
        <w:rPr>
          <w:rFonts w:ascii="宋体" w:hAnsi="宋体" w:cs="宋体" w:eastAsia="宋体" w:hint="default"/>
          <w:spacing w:val="-1"/>
        </w:rPr>
        <w:t> </w:t>
      </w:r>
      <w:r>
        <w:rPr/>
        <w:t>双光路红外探测器</w:t>
        <w:tab/>
        <w:t>图</w:t>
      </w:r>
      <w:r>
        <w:rPr>
          <w:rFonts w:ascii="宋体" w:hAnsi="宋体" w:cs="宋体" w:eastAsia="宋体" w:hint="default"/>
        </w:rPr>
        <w:t>5</w:t>
      </w:r>
      <w:r>
        <w:rPr>
          <w:rFonts w:ascii="宋体" w:hAnsi="宋体" w:cs="宋体" w:eastAsia="宋体" w:hint="default"/>
          <w:spacing w:val="-3"/>
        </w:rPr>
        <w:t> </w:t>
      </w:r>
      <w:r>
        <w:rPr/>
        <w:t>智慧市政一体化监管平台综合系统</w:t>
      </w:r>
    </w:p>
    <w:p>
      <w:pPr>
        <w:spacing w:line="240" w:lineRule="auto" w:before="10"/>
        <w:rPr>
          <w:rFonts w:ascii="宋体" w:hAnsi="宋体" w:cs="宋体" w:eastAsia="宋体" w:hint="default"/>
          <w:sz w:val="17"/>
          <w:szCs w:val="17"/>
        </w:rPr>
      </w:pPr>
    </w:p>
    <w:p>
      <w:pPr>
        <w:pStyle w:val="BodyText"/>
        <w:spacing w:line="408" w:lineRule="auto" w:before="0"/>
        <w:ind w:left="1554" w:right="1117"/>
        <w:jc w:val="left"/>
      </w:pPr>
      <w:r>
        <w:rPr/>
        <w:t>（</w:t>
      </w:r>
      <w:r>
        <w:rPr>
          <w:rFonts w:ascii="宋体" w:hAnsi="宋体" w:cs="宋体" w:eastAsia="宋体" w:hint="default"/>
        </w:rPr>
        <w:t>2</w:t>
      </w:r>
      <w:r>
        <w:rPr/>
        <w:t>）智慧市政一体化监管平台综合系统 </w:t>
      </w:r>
      <w:r>
        <w:rPr>
          <w:spacing w:val="-1"/>
        </w:rPr>
        <w:t>随着社会城市的快速发展，城市管理部门亟需更加完善的智慧城市系统应用平台，基于在智慧城市的</w:t>
      </w:r>
    </w:p>
    <w:p>
      <w:pPr>
        <w:pStyle w:val="BodyText"/>
        <w:spacing w:line="408" w:lineRule="auto"/>
        <w:ind w:right="712"/>
        <w:jc w:val="left"/>
      </w:pPr>
      <w:r>
        <w:rPr>
          <w:spacing w:val="-12"/>
        </w:rPr>
        <w:t>领先优势，公司开发了“智慧市政一体化监管平台综合系统”（图</w:t>
      </w:r>
      <w:r>
        <w:rPr>
          <w:rFonts w:ascii="宋体" w:hAnsi="宋体" w:cs="宋体" w:eastAsia="宋体" w:hint="default"/>
          <w:spacing w:val="-12"/>
        </w:rPr>
        <w:t>5</w:t>
      </w:r>
      <w:r>
        <w:rPr>
          <w:spacing w:val="-12"/>
        </w:rPr>
        <w:t>）。该平台运用</w:t>
      </w:r>
      <w:r>
        <w:rPr>
          <w:rFonts w:ascii="宋体" w:hAnsi="宋体" w:cs="宋体" w:eastAsia="宋体" w:hint="default"/>
          <w:spacing w:val="-12"/>
        </w:rPr>
        <w:t>3S</w:t>
      </w:r>
      <w:r>
        <w:rPr>
          <w:spacing w:val="-12"/>
        </w:rPr>
        <w:t>技术（</w:t>
      </w:r>
      <w:r>
        <w:rPr>
          <w:rFonts w:ascii="宋体" w:hAnsi="宋体" w:cs="宋体" w:eastAsia="宋体" w:hint="default"/>
          <w:spacing w:val="-12"/>
        </w:rPr>
        <w:t>GIS</w:t>
      </w:r>
      <w:r>
        <w:rPr>
          <w:spacing w:val="-12"/>
        </w:rPr>
        <w:t>、</w:t>
      </w:r>
      <w:r>
        <w:rPr>
          <w:rFonts w:ascii="宋体" w:hAnsi="宋体" w:cs="宋体" w:eastAsia="宋体" w:hint="default"/>
          <w:spacing w:val="-12"/>
        </w:rPr>
        <w:t>RS</w:t>
      </w:r>
      <w:r>
        <w:rPr>
          <w:spacing w:val="-12"/>
        </w:rPr>
        <w:t>、</w:t>
      </w:r>
      <w:r>
        <w:rPr>
          <w:rFonts w:ascii="宋体" w:hAnsi="宋体" w:cs="宋体" w:eastAsia="宋体" w:hint="default"/>
          <w:spacing w:val="-12"/>
        </w:rPr>
        <w:t>GPS</w:t>
      </w:r>
      <w:r>
        <w:rPr>
          <w:spacing w:val="-12"/>
        </w:rPr>
        <w:t>）、</w:t>
      </w:r>
      <w:r>
        <w:rPr>
          <w:spacing w:val="-73"/>
        </w:rPr>
        <w:t> </w:t>
      </w:r>
      <w:r>
        <w:rPr/>
        <w:t>空间信息、网络通讯、数据仓库、数据挖掘等现代信息技术，对市政设施基本信息及运行参数进行数字化</w:t>
      </w:r>
      <w:r>
        <w:rPr/>
        <w:t> 采集、整合和充分利用，建立市政设施资源数据库和市政综合管理体系，全面提高市政设施的运行效能，</w:t>
      </w:r>
      <w:r>
        <w:rPr>
          <w:spacing w:val="-35"/>
        </w:rPr>
        <w:t> </w:t>
      </w:r>
      <w:r>
        <w:rPr>
          <w:spacing w:val="-35"/>
        </w:rPr>
      </w:r>
      <w:r>
        <w:rPr/>
        <w:t>保障市政公用事业的安全运行、科学调度、有效管理，提高快速处置能力，提高公众服务水平，辅助科学</w:t>
      </w:r>
      <w:r>
        <w:rPr/>
        <w:t> 决策，促进市政公用事业的统一协调发展。</w:t>
      </w:r>
    </w:p>
    <w:p>
      <w:pPr>
        <w:pStyle w:val="BodyText"/>
        <w:spacing w:line="441" w:lineRule="auto" w:before="87"/>
        <w:ind w:left="1554" w:right="1117"/>
        <w:jc w:val="left"/>
      </w:pPr>
      <w:r>
        <w:rPr/>
        <w:t>（</w:t>
      </w:r>
      <w:r>
        <w:rPr>
          <w:rFonts w:ascii="宋体" w:hAnsi="宋体" w:cs="宋体" w:eastAsia="宋体" w:hint="default"/>
        </w:rPr>
        <w:t>3</w:t>
      </w:r>
      <w:r>
        <w:rPr/>
        <w:t>）汉威云服务与应用平台 </w:t>
      </w:r>
      <w:r>
        <w:rPr>
          <w:spacing w:val="-1"/>
        </w:rPr>
        <w:t>随着互联网正加速从</w:t>
      </w:r>
      <w:r>
        <w:rPr>
          <w:rFonts w:ascii="宋体" w:hAnsi="宋体" w:cs="宋体" w:eastAsia="宋体" w:hint="default"/>
          <w:spacing w:val="-1"/>
        </w:rPr>
        <w:t>IT</w:t>
      </w:r>
      <w:r>
        <w:rPr>
          <w:spacing w:val="-1"/>
        </w:rPr>
        <w:t>时代向</w:t>
      </w:r>
      <w:r>
        <w:rPr>
          <w:rFonts w:ascii="宋体" w:hAnsi="宋体" w:cs="宋体" w:eastAsia="宋体" w:hint="default"/>
          <w:spacing w:val="-1"/>
        </w:rPr>
        <w:t>DT</w:t>
      </w:r>
      <w:r>
        <w:rPr>
          <w:spacing w:val="-1"/>
        </w:rPr>
        <w:t>时代演进，云计算、大数据已经成为众多企业重视的焦点领域，公司</w:t>
      </w:r>
    </w:p>
    <w:p>
      <w:pPr>
        <w:pStyle w:val="BodyText"/>
        <w:spacing w:line="408" w:lineRule="auto" w:before="16"/>
        <w:ind w:right="1128"/>
        <w:jc w:val="both"/>
      </w:pPr>
      <w:r>
        <w:rPr>
          <w:spacing w:val="-1"/>
        </w:rPr>
        <w:t>作为领先的物联网企业，已经在云平台的构建与应用方面进行前瞻性投入，并取得了初步进展。建立了分</w:t>
      </w:r>
      <w:r>
        <w:rPr>
          <w:spacing w:val="-84"/>
        </w:rPr>
        <w:t> </w:t>
      </w:r>
      <w:r>
        <w:rPr>
          <w:spacing w:val="-84"/>
        </w:rPr>
      </w:r>
      <w:r>
        <w:rPr/>
        <w:t>布式大数据框架</w:t>
      </w:r>
      <w:r>
        <w:rPr>
          <w:rFonts w:ascii="宋体" w:hAnsi="宋体" w:cs="宋体" w:eastAsia="宋体" w:hint="default"/>
        </w:rPr>
        <w:t>Hadoop</w:t>
      </w:r>
      <w:r>
        <w:rPr/>
        <w:t>、</w:t>
      </w:r>
      <w:r>
        <w:rPr>
          <w:rFonts w:ascii="宋体" w:hAnsi="宋体" w:cs="宋体" w:eastAsia="宋体" w:hint="default"/>
        </w:rPr>
        <w:t>NoSQL</w:t>
      </w:r>
      <w:r>
        <w:rPr/>
        <w:t>数据库、</w:t>
      </w:r>
      <w:r>
        <w:rPr>
          <w:rFonts w:ascii="宋体" w:hAnsi="宋体" w:cs="宋体" w:eastAsia="宋体" w:hint="default"/>
        </w:rPr>
        <w:t>MongoDB</w:t>
      </w:r>
      <w:r>
        <w:rPr/>
        <w:t>集群和</w:t>
      </w:r>
      <w:r>
        <w:rPr>
          <w:rFonts w:ascii="宋体" w:hAnsi="宋体" w:cs="宋体" w:eastAsia="宋体" w:hint="default"/>
        </w:rPr>
        <w:t>Redis</w:t>
      </w:r>
      <w:r>
        <w:rPr/>
        <w:t>集群、集成</w:t>
      </w:r>
      <w:r>
        <w:rPr>
          <w:rFonts w:ascii="宋体" w:hAnsi="宋体" w:cs="宋体" w:eastAsia="宋体" w:hint="default"/>
        </w:rPr>
        <w:t>SOA</w:t>
      </w:r>
      <w:r>
        <w:rPr/>
        <w:t>框架、</w:t>
      </w:r>
      <w:r>
        <w:rPr>
          <w:rFonts w:ascii="宋体" w:hAnsi="宋体" w:cs="宋体" w:eastAsia="宋体" w:hint="default"/>
        </w:rPr>
        <w:t>SOA</w:t>
      </w:r>
      <w:r>
        <w:rPr/>
        <w:t>服务监控、日志分</w:t>
      </w:r>
      <w:r>
        <w:rPr>
          <w:spacing w:val="-33"/>
        </w:rPr>
        <w:t> </w:t>
      </w:r>
      <w:r>
        <w:rPr/>
        <w:t>析系统、定时任务调度系统，平台的搭建主要从</w:t>
      </w:r>
      <w:r>
        <w:rPr>
          <w:rFonts w:ascii="宋体" w:hAnsi="宋体" w:cs="宋体" w:eastAsia="宋体" w:hint="default"/>
        </w:rPr>
        <w:t>IaaS</w:t>
      </w:r>
      <w:r>
        <w:rPr/>
        <w:t>、</w:t>
      </w:r>
      <w:r>
        <w:rPr>
          <w:rFonts w:ascii="宋体" w:hAnsi="宋体" w:cs="宋体" w:eastAsia="宋体" w:hint="default"/>
        </w:rPr>
        <w:t>PaaS</w:t>
      </w:r>
      <w:r>
        <w:rPr/>
        <w:t>、</w:t>
      </w:r>
      <w:r>
        <w:rPr>
          <w:rFonts w:ascii="宋体" w:hAnsi="宋体" w:cs="宋体" w:eastAsia="宋体" w:hint="default"/>
        </w:rPr>
        <w:t>SaaS</w:t>
      </w:r>
      <w:r>
        <w:rPr/>
        <w:t>三层开展（如图</w:t>
      </w:r>
      <w:r>
        <w:rPr>
          <w:rFonts w:ascii="宋体" w:hAnsi="宋体" w:cs="宋体" w:eastAsia="宋体" w:hint="default"/>
        </w:rPr>
        <w:t>6</w:t>
      </w:r>
      <w:r>
        <w:rPr/>
        <w:t>）。公司未来将根据</w:t>
      </w:r>
      <w:r>
        <w:rPr>
          <w:spacing w:val="-29"/>
        </w:rPr>
        <w:t> </w:t>
      </w:r>
      <w:r>
        <w:rPr>
          <w:spacing w:val="-29"/>
        </w:rPr>
      </w:r>
      <w:r>
        <w:rPr/>
        <w:t>市场需求逐步投入资源进行云平台的构建与升级，为未来向客户提供数据服务奠定基础。</w:t>
      </w:r>
    </w:p>
    <w:p>
      <w:pPr>
        <w:pStyle w:val="BodyText"/>
        <w:spacing w:line="441" w:lineRule="auto" w:before="87"/>
        <w:ind w:left="1553" w:right="1117"/>
        <w:jc w:val="left"/>
      </w:pPr>
      <w:r>
        <w:rPr/>
        <w:t>（三）资本运作构建长期增长动力 </w:t>
      </w:r>
      <w:r>
        <w:rPr>
          <w:spacing w:val="-1"/>
        </w:rPr>
        <w:t>资本运作已经成为助力公司产业发展的加速器，遵循产业并购、协同发展的理念，先后投资设立或并</w:t>
      </w:r>
    </w:p>
    <w:p>
      <w:pPr>
        <w:pStyle w:val="BodyText"/>
        <w:spacing w:line="410" w:lineRule="auto" w:before="17"/>
        <w:ind w:right="1132"/>
        <w:jc w:val="both"/>
      </w:pPr>
      <w:r>
        <w:rPr>
          <w:spacing w:val="-1"/>
        </w:rPr>
        <w:t>购了汉威公用、汉威智源、汉威智能仪表、广东龙泉、雪城软件，参股了浙江风向标、开云信息、德煦智</w:t>
      </w:r>
      <w:r>
        <w:rPr>
          <w:spacing w:val="-85"/>
        </w:rPr>
        <w:t> </w:t>
      </w:r>
      <w:r>
        <w:rPr>
          <w:spacing w:val="-85"/>
        </w:rPr>
      </w:r>
      <w:r>
        <w:rPr>
          <w:spacing w:val="-1"/>
        </w:rPr>
        <w:t>能（上海）科技有限公司、河南华夏海纳创业投资集团有限公司，基本构建形成了领先的物联网产业生态</w:t>
      </w:r>
    </w:p>
    <w:p>
      <w:pPr>
        <w:spacing w:after="0" w:line="410" w:lineRule="auto"/>
        <w:jc w:val="both"/>
        <w:sectPr>
          <w:pgSz w:w="11910" w:h="16840"/>
          <w:pgMar w:header="747" w:footer="979" w:top="1060" w:bottom="1160" w:left="0" w:right="0"/>
        </w:sectPr>
      </w:pPr>
    </w:p>
    <w:p>
      <w:pPr>
        <w:spacing w:line="240" w:lineRule="auto" w:before="8"/>
        <w:rPr>
          <w:rFonts w:ascii="宋体" w:hAnsi="宋体" w:cs="宋体" w:eastAsia="宋体" w:hint="default"/>
          <w:sz w:val="21"/>
          <w:szCs w:val="21"/>
        </w:rPr>
      </w:pPr>
    </w:p>
    <w:p>
      <w:pPr>
        <w:spacing w:line="4188" w:lineRule="exact"/>
        <w:ind w:left="2775"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136256" cy="265957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7" cstate="print"/>
                    <a:stretch>
                      <a:fillRect/>
                    </a:stretch>
                  </pic:blipFill>
                  <pic:spPr>
                    <a:xfrm>
                      <a:off x="0" y="0"/>
                      <a:ext cx="4136256" cy="2659570"/>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427" w:lineRule="auto" w:before="35"/>
        <w:ind w:right="1117" w:firstLine="3770"/>
        <w:jc w:val="left"/>
      </w:pPr>
      <w:r>
        <w:rPr/>
        <w:t>图</w:t>
      </w:r>
      <w:r>
        <w:rPr>
          <w:rFonts w:ascii="宋体" w:hAnsi="宋体" w:cs="宋体" w:eastAsia="宋体" w:hint="default"/>
        </w:rPr>
        <w:t>6 </w:t>
      </w:r>
      <w:r>
        <w:rPr/>
        <w:t>汉威云平台架构示意图 圈。公司在</w:t>
      </w:r>
      <w:r>
        <w:rPr>
          <w:rFonts w:ascii="宋体" w:hAnsi="宋体" w:cs="宋体" w:eastAsia="宋体" w:hint="default"/>
        </w:rPr>
        <w:t>2015</w:t>
      </w:r>
      <w:r>
        <w:rPr/>
        <w:t>年</w:t>
      </w:r>
      <w:r>
        <w:rPr>
          <w:rFonts w:ascii="宋体" w:hAnsi="宋体" w:cs="宋体" w:eastAsia="宋体" w:hint="default"/>
        </w:rPr>
        <w:t>8</w:t>
      </w:r>
      <w:r>
        <w:rPr/>
        <w:t>月推出了再融资方案，募集资金重点开拓智慧城市的业务，并在上海设立研发运营中</w:t>
      </w:r>
      <w:r>
        <w:rPr>
          <w:spacing w:val="-35"/>
        </w:rPr>
        <w:t> </w:t>
      </w:r>
      <w:r>
        <w:rPr>
          <w:spacing w:val="-35"/>
        </w:rPr>
      </w:r>
      <w:r>
        <w:rPr/>
        <w:t>心，将显著提高公司资本实力，提升盈利水平和抗风险能力。目前，再融资方案已经报证监会审核。</w:t>
      </w:r>
    </w:p>
    <w:p>
      <w:pPr>
        <w:pStyle w:val="BodyText"/>
        <w:spacing w:line="410" w:lineRule="auto" w:before="69"/>
        <w:ind w:right="1131" w:firstLine="420"/>
        <w:jc w:val="both"/>
      </w:pPr>
      <w:r>
        <w:rPr>
          <w:spacing w:val="-1"/>
        </w:rPr>
        <w:t>公司资本运作着眼于长远发展，一系列并购整合使公司平台化布局、生态圈建设初具规模，为公司储</w:t>
      </w:r>
      <w:r>
        <w:rPr/>
        <w:t> 蓄了未来发展的强劲动力，也为公司锐变成为行业领军地位的物联网（</w:t>
      </w:r>
      <w:r>
        <w:rPr>
          <w:rFonts w:ascii="宋体" w:hAnsi="宋体" w:cs="宋体" w:eastAsia="宋体" w:hint="default"/>
        </w:rPr>
        <w:t>IOT</w:t>
      </w:r>
      <w:r>
        <w:rPr/>
        <w:t>）与数据服务提供商奠定了坚</w:t>
      </w:r>
      <w:r>
        <w:rPr>
          <w:spacing w:val="-29"/>
        </w:rPr>
        <w:t> </w:t>
      </w:r>
      <w:r>
        <w:rPr>
          <w:spacing w:val="-29"/>
        </w:rPr>
      </w:r>
      <w:r>
        <w:rPr/>
        <w:t>实基础。</w:t>
      </w:r>
    </w:p>
    <w:p>
      <w:pPr>
        <w:pStyle w:val="BodyText"/>
        <w:spacing w:line="441" w:lineRule="auto" w:before="83"/>
        <w:ind w:left="1554" w:right="1117"/>
        <w:jc w:val="left"/>
      </w:pPr>
      <w:r>
        <w:rPr/>
        <w:t>（四）基础管理彰显成效 </w:t>
      </w:r>
      <w:r>
        <w:rPr>
          <w:spacing w:val="-1"/>
        </w:rPr>
        <w:t>卓有成效的基础管理是公司得以平稳运行的保障，在基础管理方面公司做了以下努力：坚定不移地推</w:t>
      </w:r>
    </w:p>
    <w:p>
      <w:pPr>
        <w:pStyle w:val="BodyText"/>
        <w:spacing w:line="408" w:lineRule="auto" w:before="16"/>
        <w:ind w:right="1131"/>
        <w:jc w:val="both"/>
      </w:pPr>
      <w:r>
        <w:rPr/>
        <w:t>行“集团管控</w:t>
      </w:r>
      <w:r>
        <w:rPr>
          <w:rFonts w:ascii="宋体" w:hAnsi="宋体" w:cs="宋体" w:eastAsia="宋体" w:hint="default"/>
        </w:rPr>
        <w:t>+</w:t>
      </w:r>
      <w:r>
        <w:rPr/>
        <w:t>事业部”的管理体制，加大对控股子公司、参股公司管控力度；重新优化了组织架构，完</w:t>
      </w:r>
      <w:r>
        <w:rPr>
          <w:spacing w:val="-34"/>
        </w:rPr>
        <w:t> </w:t>
      </w:r>
      <w:r>
        <w:rPr>
          <w:spacing w:val="-34"/>
        </w:rPr>
      </w:r>
      <w:r>
        <w:rPr>
          <w:spacing w:val="-1"/>
        </w:rPr>
        <w:t>善了机构设置；发布了十多项管理制度，优化完善了中高层管理人员考核制度；信息化建设卓有成效，汉</w:t>
      </w:r>
      <w:r>
        <w:rPr>
          <w:spacing w:val="-85"/>
        </w:rPr>
        <w:t> </w:t>
      </w:r>
      <w:r>
        <w:rPr>
          <w:spacing w:val="-85"/>
        </w:rPr>
      </w:r>
      <w:r>
        <w:rPr>
          <w:spacing w:val="-1"/>
        </w:rPr>
        <w:t>威云平台得以升级及推广，实施多项信息化项目；开展减员增效，产能和产值同比实现增长，生产效率显</w:t>
      </w:r>
      <w:r>
        <w:rPr>
          <w:spacing w:val="-86"/>
        </w:rPr>
        <w:t> </w:t>
      </w:r>
      <w:r>
        <w:rPr>
          <w:spacing w:val="-86"/>
        </w:rPr>
      </w:r>
      <w:r>
        <w:rPr>
          <w:spacing w:val="-7"/>
        </w:rPr>
        <w:t>著提升；公司</w:t>
      </w:r>
      <w:r>
        <w:rPr>
          <w:rFonts w:ascii="宋体" w:hAnsi="宋体" w:cs="宋体" w:eastAsia="宋体" w:hint="default"/>
          <w:spacing w:val="-7"/>
        </w:rPr>
        <w:t>2014</w:t>
      </w:r>
      <w:r>
        <w:rPr>
          <w:spacing w:val="-7"/>
        </w:rPr>
        <w:t>年度信息披露考核继续获得</w:t>
      </w:r>
      <w:r>
        <w:rPr>
          <w:rFonts w:ascii="宋体" w:hAnsi="宋体" w:cs="宋体" w:eastAsia="宋体" w:hint="default"/>
          <w:spacing w:val="-7"/>
        </w:rPr>
        <w:t>A</w:t>
      </w:r>
      <w:r>
        <w:rPr>
          <w:spacing w:val="-7"/>
        </w:rPr>
        <w:t>评级，同时荣获“中国最受投资者尊重的上市公司入围奖”，</w:t>
      </w:r>
      <w:r>
        <w:rPr>
          <w:spacing w:val="-94"/>
        </w:rPr>
        <w:t> </w:t>
      </w:r>
      <w:r>
        <w:rPr>
          <w:spacing w:val="-94"/>
        </w:rPr>
      </w:r>
      <w:r>
        <w:rPr>
          <w:spacing w:val="-1"/>
        </w:rPr>
        <w:t>董事会秘书荣获“</w:t>
      </w:r>
      <w:r>
        <w:rPr>
          <w:rFonts w:ascii="宋体" w:hAnsi="宋体" w:cs="宋体" w:eastAsia="宋体" w:hint="default"/>
          <w:spacing w:val="-1"/>
        </w:rPr>
        <w:t>2015</w:t>
      </w:r>
      <w:r>
        <w:rPr>
          <w:spacing w:val="-1"/>
        </w:rPr>
        <w:t>中国最受投资者欢迎的上市公司董秘”奖项，投资者关系管理工作得到了监管部门</w:t>
      </w:r>
      <w:r>
        <w:rPr>
          <w:spacing w:val="-81"/>
        </w:rPr>
        <w:t> </w:t>
      </w:r>
      <w:r>
        <w:rPr>
          <w:spacing w:val="-81"/>
        </w:rPr>
      </w:r>
      <w:r>
        <w:rPr/>
        <w:t>及投资者的高度认可。</w:t>
      </w:r>
    </w:p>
    <w:p>
      <w:pPr>
        <w:pStyle w:val="BodyText"/>
        <w:spacing w:line="410" w:lineRule="auto" w:before="85"/>
        <w:ind w:left="1134" w:right="1133" w:firstLine="420"/>
        <w:jc w:val="both"/>
      </w:pPr>
      <w:r>
        <w:rPr>
          <w:spacing w:val="-1"/>
        </w:rPr>
        <w:t>回望</w:t>
      </w:r>
      <w:r>
        <w:rPr>
          <w:rFonts w:ascii="宋体" w:hAnsi="宋体" w:cs="宋体" w:eastAsia="宋体" w:hint="default"/>
          <w:spacing w:val="-1"/>
        </w:rPr>
        <w:t>2015</w:t>
      </w:r>
      <w:r>
        <w:rPr>
          <w:spacing w:val="-1"/>
        </w:rPr>
        <w:t>年，全体汉威人务实拼搏，内生与外延发展兼修，产业与资本双轮驱动，在整体经济环境不</w:t>
      </w:r>
      <w:r>
        <w:rPr/>
        <w:t> 佳的情况下取得了良好的经营成果，为汉威电子继续推进转型升级发挥了承前启后的重要作用。</w:t>
      </w:r>
    </w:p>
    <w:p>
      <w:pPr>
        <w:spacing w:after="0" w:line="410" w:lineRule="auto"/>
        <w:jc w:val="both"/>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二、主营业务分析" w:id="21"/>
      <w:bookmarkEnd w:id="21"/>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概述" w:id="22"/>
      <w:bookmarkEnd w:id="22"/>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1117"/>
        <w:jc w:val="left"/>
      </w:pPr>
      <w:r>
        <w:rPr/>
        <w:t>一、报告期内公司总体经营情况分析 </w:t>
      </w:r>
      <w:r>
        <w:rPr>
          <w:spacing w:val="-5"/>
        </w:rPr>
        <w:t>报告期内，公司实现营业收入</w:t>
      </w:r>
      <w:r>
        <w:rPr>
          <w:rFonts w:ascii="宋体" w:hAnsi="宋体" w:cs="宋体" w:eastAsia="宋体" w:hint="default"/>
          <w:spacing w:val="-5"/>
        </w:rPr>
        <w:t>74,671.86</w:t>
      </w:r>
      <w:r>
        <w:rPr>
          <w:spacing w:val="-5"/>
        </w:rPr>
        <w:t>万元，较上年同期增长</w:t>
      </w:r>
      <w:r>
        <w:rPr>
          <w:rFonts w:ascii="宋体" w:hAnsi="宋体" w:cs="宋体" w:eastAsia="宋体" w:hint="default"/>
          <w:spacing w:val="-5"/>
        </w:rPr>
        <w:t>87.00%</w:t>
      </w:r>
      <w:r>
        <w:rPr>
          <w:spacing w:val="-5"/>
        </w:rPr>
        <w:t>；实现利润总额</w:t>
      </w:r>
      <w:r>
        <w:rPr>
          <w:rFonts w:ascii="宋体" w:hAnsi="宋体" w:cs="宋体" w:eastAsia="宋体" w:hint="default"/>
          <w:spacing w:val="-5"/>
        </w:rPr>
        <w:t>11,948.78</w:t>
      </w:r>
      <w:r>
        <w:rPr>
          <w:spacing w:val="-5"/>
        </w:rPr>
        <w:t>万元，</w:t>
      </w:r>
    </w:p>
    <w:p>
      <w:pPr>
        <w:pStyle w:val="BodyText"/>
        <w:spacing w:line="408" w:lineRule="auto"/>
        <w:ind w:left="1134" w:right="1117"/>
        <w:jc w:val="left"/>
      </w:pPr>
      <w:r>
        <w:rPr>
          <w:spacing w:val="-1"/>
        </w:rPr>
        <w:t>较上年同期增长</w:t>
      </w:r>
      <w:r>
        <w:rPr>
          <w:rFonts w:ascii="宋体" w:hAnsi="宋体" w:cs="宋体" w:eastAsia="宋体" w:hint="default"/>
          <w:spacing w:val="-1"/>
        </w:rPr>
        <w:t>79.80%</w:t>
      </w:r>
      <w:r>
        <w:rPr>
          <w:spacing w:val="-1"/>
        </w:rPr>
        <w:t>；实现归属于上市公司股东的净利润</w:t>
      </w:r>
      <w:r>
        <w:rPr>
          <w:rFonts w:ascii="宋体" w:hAnsi="宋体" w:cs="宋体" w:eastAsia="宋体" w:hint="default"/>
          <w:spacing w:val="-1"/>
        </w:rPr>
        <w:t>7,864.65</w:t>
      </w:r>
      <w:r>
        <w:rPr>
          <w:spacing w:val="-1"/>
        </w:rPr>
        <w:t>万元，较上年同期增长</w:t>
      </w:r>
      <w:r>
        <w:rPr>
          <w:rFonts w:ascii="宋体" w:hAnsi="宋体" w:cs="宋体" w:eastAsia="宋体" w:hint="default"/>
          <w:spacing w:val="-1"/>
        </w:rPr>
        <w:t>37.15%</w:t>
      </w:r>
      <w:r>
        <w:rPr>
          <w:spacing w:val="-1"/>
        </w:rPr>
        <w:t>。公司</w:t>
      </w:r>
      <w:r>
        <w:rPr>
          <w:spacing w:val="-73"/>
        </w:rPr>
        <w:t> </w:t>
      </w:r>
      <w:r>
        <w:rPr>
          <w:spacing w:val="-73"/>
        </w:rPr>
      </w:r>
      <w:r>
        <w:rPr/>
        <w:t>取得上述经营成果的主要原因如下：</w:t>
      </w:r>
    </w:p>
    <w:p>
      <w:pPr>
        <w:pStyle w:val="BodyText"/>
        <w:spacing w:line="408" w:lineRule="auto"/>
        <w:ind w:right="1130" w:firstLine="420"/>
        <w:jc w:val="both"/>
      </w:pPr>
      <w:r>
        <w:rPr>
          <w:spacing w:val="-1"/>
        </w:rPr>
        <w:t>（一）报告期内传感器业务板块继续保持稳健增长态势，全资子公司炜盛科技实现净利润</w:t>
      </w:r>
      <w:r>
        <w:rPr>
          <w:rFonts w:ascii="宋体" w:hAnsi="宋体" w:cs="宋体" w:eastAsia="宋体" w:hint="default"/>
          <w:spacing w:val="-1"/>
        </w:rPr>
        <w:t>1,688.96</w:t>
      </w:r>
      <w:r>
        <w:rPr>
          <w:spacing w:val="-1"/>
        </w:rPr>
        <w:t>万</w:t>
      </w:r>
      <w:r>
        <w:rPr/>
        <w:t> </w:t>
      </w:r>
      <w:r>
        <w:rPr>
          <w:spacing w:val="-1"/>
        </w:rPr>
        <w:t>元，位于国内气体传感器市场之首，行业领军地位稳固；智慧城市、智慧环保业务板块积极向好，项目订</w:t>
      </w:r>
      <w:r>
        <w:rPr>
          <w:spacing w:val="-83"/>
        </w:rPr>
        <w:t> </w:t>
      </w:r>
      <w:r>
        <w:rPr>
          <w:spacing w:val="-83"/>
        </w:rPr>
      </w:r>
      <w:r>
        <w:rPr>
          <w:spacing w:val="-1"/>
        </w:rPr>
        <w:t>单获取实力增强，成为贡献公司经营业绩的主力军；智能家居业务版块不断满足用户需求，持续提升活跃</w:t>
      </w:r>
      <w:r>
        <w:rPr>
          <w:spacing w:val="-83"/>
        </w:rPr>
        <w:t> </w:t>
      </w:r>
      <w:r>
        <w:rPr>
          <w:spacing w:val="-83"/>
        </w:rPr>
      </w:r>
      <w:r>
        <w:rPr/>
        <w:t>用户数量，同时加大研发投入推出新产品，未来市场前景广阔。</w:t>
      </w:r>
    </w:p>
    <w:p>
      <w:pPr>
        <w:pStyle w:val="BodyText"/>
        <w:spacing w:line="408" w:lineRule="auto"/>
        <w:ind w:right="1131" w:firstLine="420"/>
        <w:jc w:val="both"/>
      </w:pPr>
      <w:r>
        <w:rPr>
          <w:spacing w:val="-1"/>
        </w:rPr>
        <w:t>（二）报告期内公司对外投资汉威公用等子公司，合并报表范围增加，控股子公司嘉园环保实现完整</w:t>
      </w:r>
      <w:r>
        <w:rPr/>
        <w:t> </w:t>
      </w:r>
      <w:r>
        <w:rPr>
          <w:spacing w:val="13"/>
        </w:rPr>
        <w:t>会计年度合并，沈阳金建实现</w:t>
      </w:r>
      <w:r>
        <w:rPr>
          <w:rFonts w:ascii="宋体" w:hAnsi="宋体" w:cs="宋体" w:eastAsia="宋体" w:hint="default"/>
          <w:spacing w:val="13"/>
        </w:rPr>
        <w:t>100%</w:t>
      </w:r>
      <w:r>
        <w:rPr>
          <w:spacing w:val="13"/>
        </w:rPr>
        <w:t>权益合并，三大业务主体实现归属于上市公司普通股净利润合计</w:t>
      </w:r>
      <w:r>
        <w:rPr>
          <w:spacing w:val="-102"/>
        </w:rPr>
        <w:t> </w:t>
      </w:r>
      <w:r>
        <w:rPr>
          <w:spacing w:val="-102"/>
        </w:rPr>
      </w:r>
      <w:r>
        <w:rPr>
          <w:rFonts w:ascii="宋体" w:hAnsi="宋体" w:cs="宋体" w:eastAsia="宋体" w:hint="default"/>
        </w:rPr>
        <w:t>6,884.06</w:t>
      </w:r>
      <w:r>
        <w:rPr/>
        <w:t>万元。</w:t>
      </w:r>
    </w:p>
    <w:p>
      <w:pPr>
        <w:pStyle w:val="BodyText"/>
        <w:spacing w:line="408" w:lineRule="auto"/>
        <w:ind w:right="1117" w:firstLine="420"/>
        <w:jc w:val="left"/>
      </w:pPr>
      <w:r>
        <w:rPr>
          <w:spacing w:val="-1"/>
        </w:rPr>
        <w:t>（三）报告期内因投资并购业务进一步扩大，财务费用较上年同期增长等因素影响，归属于上市公司</w:t>
      </w:r>
      <w:r>
        <w:rPr/>
        <w:t> 股东净利润较上年同期增幅低于营业收入增幅。</w:t>
      </w:r>
    </w:p>
    <w:p>
      <w:pPr>
        <w:pStyle w:val="BodyText"/>
        <w:spacing w:line="240" w:lineRule="auto"/>
        <w:ind w:left="1553" w:right="1117"/>
        <w:jc w:val="left"/>
      </w:pPr>
      <w:r>
        <w:rPr/>
        <w:t>二、报告期主营业务具体分析</w:t>
      </w:r>
    </w:p>
    <w:p>
      <w:pPr>
        <w:spacing w:line="240" w:lineRule="auto" w:before="10"/>
        <w:rPr>
          <w:rFonts w:ascii="宋体" w:hAnsi="宋体" w:cs="宋体" w:eastAsia="宋体" w:hint="default"/>
          <w:sz w:val="14"/>
          <w:szCs w:val="14"/>
        </w:rPr>
      </w:pPr>
    </w:p>
    <w:p>
      <w:pPr>
        <w:pStyle w:val="BodyText"/>
        <w:spacing w:line="408" w:lineRule="auto" w:before="0"/>
        <w:ind w:right="1117" w:firstLine="420"/>
        <w:jc w:val="left"/>
      </w:pPr>
      <w:r>
        <w:rPr/>
        <w:t>（一）报告期内公司实现营业收入</w:t>
      </w:r>
      <w:r>
        <w:rPr>
          <w:rFonts w:ascii="宋体" w:hAnsi="宋体" w:cs="宋体" w:eastAsia="宋体" w:hint="default"/>
        </w:rPr>
        <w:t>74,671.86</w:t>
      </w:r>
      <w:r>
        <w:rPr/>
        <w:t>万元，较上年同期增长</w:t>
      </w:r>
      <w:r>
        <w:rPr>
          <w:rFonts w:ascii="宋体" w:hAnsi="宋体" w:cs="宋体" w:eastAsia="宋体" w:hint="default"/>
        </w:rPr>
        <w:t>87.00%</w:t>
      </w:r>
      <w:r>
        <w:rPr/>
        <w:t>，主要系合并报表范围增 加及主要业务板块实现大力发展所致。具体分析如下：</w:t>
      </w:r>
    </w:p>
    <w:p>
      <w:pPr>
        <w:pStyle w:val="BodyText"/>
        <w:spacing w:line="408" w:lineRule="auto"/>
        <w:ind w:right="1117" w:firstLine="420"/>
        <w:jc w:val="left"/>
      </w:pPr>
      <w:r>
        <w:rPr>
          <w:rFonts w:ascii="宋体" w:hAnsi="宋体" w:cs="宋体" w:eastAsia="宋体" w:hint="default"/>
        </w:rPr>
        <w:t>1</w:t>
      </w:r>
      <w:r>
        <w:rPr/>
        <w:t>、报告期内传感器业务版块销售规模趋于稳定，旗下全资子公司炜盛科技实现营业收入</w:t>
      </w:r>
      <w:r>
        <w:rPr>
          <w:rFonts w:ascii="宋体" w:hAnsi="宋体" w:cs="宋体" w:eastAsia="宋体" w:hint="default"/>
        </w:rPr>
        <w:t>6,620.91</w:t>
      </w:r>
      <w:r>
        <w:rPr/>
        <w:t>万 元，行业龙头地位稳固。</w:t>
      </w:r>
    </w:p>
    <w:p>
      <w:pPr>
        <w:pStyle w:val="BodyText"/>
        <w:spacing w:line="408" w:lineRule="auto"/>
        <w:ind w:right="712" w:firstLine="420"/>
        <w:jc w:val="left"/>
      </w:pPr>
      <w:r>
        <w:rPr>
          <w:rFonts w:ascii="宋体" w:hAnsi="宋体" w:cs="宋体" w:eastAsia="宋体" w:hint="default"/>
        </w:rPr>
        <w:t>2</w:t>
      </w:r>
      <w:r>
        <w:rPr/>
        <w:t>、报告期内智慧城市业务版块通过“内生增长</w:t>
      </w:r>
      <w:r>
        <w:rPr>
          <w:rFonts w:ascii="宋体" w:hAnsi="宋体" w:cs="宋体" w:eastAsia="宋体" w:hint="default"/>
        </w:rPr>
        <w:t>+</w:t>
      </w:r>
      <w:r>
        <w:rPr/>
        <w:t>外延并购”的途径，实现良好的产业协同效用，旗下 控股子公司汉威公用实现营业收入</w:t>
      </w:r>
      <w:r>
        <w:rPr>
          <w:rFonts w:ascii="宋体" w:hAnsi="宋体" w:cs="宋体" w:eastAsia="宋体" w:hint="default"/>
        </w:rPr>
        <w:t>16,181.39</w:t>
      </w:r>
      <w:r>
        <w:rPr/>
        <w:t>万元，主要系下属责任主体高新供水经营郑州市高新区日常</w:t>
      </w:r>
      <w:r>
        <w:rPr>
          <w:spacing w:val="-32"/>
        </w:rPr>
        <w:t> </w:t>
      </w:r>
      <w:r>
        <w:rPr>
          <w:spacing w:val="-32"/>
        </w:rPr>
      </w:r>
      <w:r>
        <w:rPr/>
        <w:t>居民及工业用水销售业务，报告期内水费收入持续稳定，同时承接高新区内新建供水管网建设施工项目，</w:t>
      </w:r>
      <w:r>
        <w:rPr>
          <w:spacing w:val="-35"/>
        </w:rPr>
        <w:t> </w:t>
      </w:r>
      <w:r>
        <w:rPr>
          <w:spacing w:val="-35"/>
        </w:rPr>
      </w:r>
      <w:r>
        <w:rPr/>
        <w:t>工程收入持续增长；控股子公司沈阳金建、鞍山易兴、广东龙泉等在燃气、水务等行业积极应用“传感器</w:t>
      </w:r>
    </w:p>
    <w:p>
      <w:pPr>
        <w:pStyle w:val="BodyText"/>
        <w:spacing w:line="408" w:lineRule="auto"/>
        <w:ind w:left="1134" w:right="1117"/>
        <w:jc w:val="left"/>
      </w:pPr>
      <w:r>
        <w:rPr>
          <w:rFonts w:ascii="宋体" w:hAnsi="宋体" w:cs="宋体" w:eastAsia="宋体" w:hint="default"/>
        </w:rPr>
        <w:t>+</w:t>
      </w:r>
      <w:r>
        <w:rPr/>
        <w:t>监测终端</w:t>
      </w:r>
      <w:r>
        <w:rPr>
          <w:rFonts w:ascii="宋体" w:hAnsi="宋体" w:cs="宋体" w:eastAsia="宋体" w:hint="default"/>
        </w:rPr>
        <w:t>+</w:t>
      </w:r>
      <w:r>
        <w:rPr/>
        <w:t>数据采集</w:t>
      </w:r>
      <w:r>
        <w:rPr>
          <w:rFonts w:ascii="宋体" w:hAnsi="宋体" w:cs="宋体" w:eastAsia="宋体" w:hint="default"/>
        </w:rPr>
        <w:t>+GIS+</w:t>
      </w:r>
      <w:r>
        <w:rPr/>
        <w:t>云应用”的整体解决方案，报告期内项目订单情况良好，实现营业收入分别为</w:t>
      </w:r>
      <w:r>
        <w:rPr>
          <w:spacing w:val="-34"/>
        </w:rPr>
        <w:t> </w:t>
      </w:r>
      <w:r>
        <w:rPr>
          <w:spacing w:val="-34"/>
        </w:rPr>
      </w:r>
      <w:r>
        <w:rPr>
          <w:rFonts w:ascii="宋体" w:hAnsi="宋体" w:cs="宋体" w:eastAsia="宋体" w:hint="default"/>
        </w:rPr>
        <w:t>3,625.71</w:t>
      </w:r>
      <w:r>
        <w:rPr/>
        <w:t>万元、</w:t>
      </w:r>
      <w:r>
        <w:rPr>
          <w:rFonts w:ascii="宋体" w:hAnsi="宋体" w:cs="宋体" w:eastAsia="宋体" w:hint="default"/>
        </w:rPr>
        <w:t>2,209.19</w:t>
      </w:r>
      <w:r>
        <w:rPr/>
        <w:t>万元、</w:t>
      </w:r>
      <w:r>
        <w:rPr>
          <w:rFonts w:ascii="宋体" w:hAnsi="宋体" w:cs="宋体" w:eastAsia="宋体" w:hint="default"/>
        </w:rPr>
        <w:t>1,281.42</w:t>
      </w:r>
      <w:r>
        <w:rPr/>
        <w:t>万元。</w:t>
      </w:r>
    </w:p>
    <w:p>
      <w:pPr>
        <w:pStyle w:val="BodyText"/>
        <w:spacing w:line="408" w:lineRule="auto"/>
        <w:ind w:right="712" w:firstLine="420"/>
        <w:jc w:val="left"/>
      </w:pPr>
      <w:r>
        <w:rPr>
          <w:rFonts w:ascii="宋体" w:hAnsi="宋体" w:cs="宋体" w:eastAsia="宋体" w:hint="default"/>
        </w:rPr>
        <w:t>3</w:t>
      </w:r>
      <w:r>
        <w:rPr/>
        <w:t>、报告期内智慧环保业务版块中嘉园环保重点拓展</w:t>
      </w:r>
      <w:r>
        <w:rPr>
          <w:rFonts w:ascii="宋体" w:hAnsi="宋体" w:cs="宋体" w:eastAsia="宋体" w:hint="default"/>
        </w:rPr>
        <w:t>VOCs</w:t>
      </w:r>
      <w:r>
        <w:rPr/>
        <w:t>、垃圾渗滤液、市政项目污水处理等市场机 会，并承接各污水及垃圾渗滤液项目的日常运营业务，完成临海市垃圾填埋场渗滤液处理项目、惠州新华 </w:t>
      </w:r>
      <w:r>
        <w:rPr>
          <w:spacing w:val="-3"/>
        </w:rPr>
        <w:t>昌运输设备有限公司废气回收改造等大型环保项目，实现营业收入</w:t>
      </w:r>
      <w:r>
        <w:rPr>
          <w:rFonts w:ascii="宋体" w:hAnsi="宋体" w:cs="宋体" w:eastAsia="宋体" w:hint="default"/>
          <w:spacing w:val="-3"/>
        </w:rPr>
        <w:t>23,197.60</w:t>
      </w:r>
      <w:r>
        <w:rPr>
          <w:spacing w:val="-3"/>
        </w:rPr>
        <w:t>万元，较上年同期增长</w:t>
      </w:r>
      <w:r>
        <w:rPr>
          <w:rFonts w:ascii="宋体" w:hAnsi="宋体" w:cs="宋体" w:eastAsia="宋体" w:hint="default"/>
          <w:spacing w:val="-3"/>
        </w:rPr>
        <w:t>19.81%</w:t>
      </w:r>
      <w:r>
        <w:rPr>
          <w:spacing w:val="-3"/>
        </w:rPr>
        <w:t>。</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2" w:firstLine="420"/>
        <w:jc w:val="both"/>
      </w:pPr>
      <w:r>
        <w:rPr>
          <w:spacing w:val="-1"/>
        </w:rPr>
        <w:t>（二）报告期内营业成本为</w:t>
      </w:r>
      <w:r>
        <w:rPr>
          <w:rFonts w:ascii="宋体" w:hAnsi="宋体" w:cs="宋体" w:eastAsia="宋体" w:hint="default"/>
          <w:spacing w:val="-1"/>
        </w:rPr>
        <w:t>42,701.63</w:t>
      </w:r>
      <w:r>
        <w:rPr>
          <w:spacing w:val="-1"/>
        </w:rPr>
        <w:t>万元，较上年同期增加</w:t>
      </w:r>
      <w:r>
        <w:rPr>
          <w:rFonts w:ascii="宋体" w:hAnsi="宋体" w:cs="宋体" w:eastAsia="宋体" w:hint="default"/>
          <w:spacing w:val="-1"/>
        </w:rPr>
        <w:t>112.48%</w:t>
      </w:r>
      <w:r>
        <w:rPr>
          <w:spacing w:val="-1"/>
        </w:rPr>
        <w:t>，主要系营业收入大幅增长及产</w:t>
      </w:r>
      <w:r>
        <w:rPr/>
        <w:t> 品销售结构、产能利用率等影响所致。</w:t>
      </w:r>
    </w:p>
    <w:p>
      <w:pPr>
        <w:pStyle w:val="BodyText"/>
        <w:spacing w:line="408" w:lineRule="auto"/>
        <w:ind w:right="1134" w:firstLine="420"/>
        <w:jc w:val="both"/>
      </w:pPr>
      <w:r>
        <w:rPr/>
        <w:t>（三）报告期内管理费用发生额为</w:t>
      </w:r>
      <w:r>
        <w:rPr>
          <w:rFonts w:ascii="宋体" w:hAnsi="宋体" w:cs="宋体" w:eastAsia="宋体" w:hint="default"/>
        </w:rPr>
        <w:t>13,827.84</w:t>
      </w:r>
      <w:r>
        <w:rPr/>
        <w:t>万元，较上年同期增加</w:t>
      </w:r>
      <w:r>
        <w:rPr>
          <w:rFonts w:ascii="宋体" w:hAnsi="宋体" w:cs="宋体" w:eastAsia="宋体" w:hint="default"/>
        </w:rPr>
        <w:t>55.64%</w:t>
      </w:r>
      <w:r>
        <w:rPr/>
        <w:t>，主要系合并范围增加、 研发投入力度加大、固定资产折旧费用增加及人员工资增长所致。</w:t>
      </w:r>
    </w:p>
    <w:p>
      <w:pPr>
        <w:pStyle w:val="BodyText"/>
        <w:spacing w:line="408" w:lineRule="auto"/>
        <w:ind w:right="1131" w:firstLine="420"/>
        <w:jc w:val="both"/>
      </w:pPr>
      <w:r>
        <w:rPr/>
        <w:t>（四）报告期内财务费用发生额为</w:t>
      </w:r>
      <w:r>
        <w:rPr>
          <w:rFonts w:ascii="宋体" w:hAnsi="宋体" w:cs="宋体" w:eastAsia="宋体" w:hint="default"/>
        </w:rPr>
        <w:t>2,634.20</w:t>
      </w:r>
      <w:r>
        <w:rPr/>
        <w:t>万元，较上年同期增长</w:t>
      </w:r>
      <w:r>
        <w:rPr>
          <w:rFonts w:ascii="宋体" w:hAnsi="宋体" w:cs="宋体" w:eastAsia="宋体" w:hint="default"/>
        </w:rPr>
        <w:t>357.82%</w:t>
      </w:r>
      <w:r>
        <w:rPr/>
        <w:t>，主要系公司实现资本结 </w:t>
      </w:r>
      <w:r>
        <w:rPr>
          <w:spacing w:val="-1"/>
        </w:rPr>
        <w:t>构优化，银行借款规模较上年有所增加，用于投资并购业务及进一步扩大经营规模，导致产生较大金额利</w:t>
      </w:r>
      <w:r>
        <w:rPr>
          <w:spacing w:val="-83"/>
        </w:rPr>
        <w:t> </w:t>
      </w:r>
      <w:r>
        <w:rPr>
          <w:spacing w:val="-83"/>
        </w:rPr>
      </w:r>
      <w:r>
        <w:rPr/>
        <w:t>息支出</w:t>
      </w:r>
      <w:r>
        <w:rPr>
          <w:rFonts w:ascii="宋体" w:hAnsi="宋体" w:cs="宋体" w:eastAsia="宋体" w:hint="default"/>
        </w:rPr>
        <w:t>3,012.49</w:t>
      </w:r>
      <w:r>
        <w:rPr/>
        <w:t>万元，较上年同期增长</w:t>
      </w:r>
      <w:r>
        <w:rPr>
          <w:rFonts w:ascii="宋体" w:hAnsi="宋体" w:cs="宋体" w:eastAsia="宋体" w:hint="default"/>
        </w:rPr>
        <w:t>288.64%</w:t>
      </w:r>
      <w:r>
        <w:rPr/>
        <w:t>。</w:t>
      </w:r>
    </w:p>
    <w:p>
      <w:pPr>
        <w:pStyle w:val="BodyText"/>
        <w:spacing w:line="408" w:lineRule="auto"/>
        <w:ind w:right="1132" w:firstLine="420"/>
        <w:jc w:val="both"/>
      </w:pPr>
      <w:r>
        <w:rPr>
          <w:spacing w:val="-1"/>
        </w:rPr>
        <w:t>（五）报告期内研发投入</w:t>
      </w:r>
      <w:r>
        <w:rPr>
          <w:rFonts w:ascii="宋体" w:hAnsi="宋体" w:cs="宋体" w:eastAsia="宋体" w:hint="default"/>
          <w:spacing w:val="-1"/>
        </w:rPr>
        <w:t>4,791.48</w:t>
      </w:r>
      <w:r>
        <w:rPr>
          <w:spacing w:val="-1"/>
        </w:rPr>
        <w:t>万元，较上年同期增长</w:t>
      </w:r>
      <w:r>
        <w:rPr>
          <w:rFonts w:ascii="宋体" w:hAnsi="宋体" w:cs="宋体" w:eastAsia="宋体" w:hint="default"/>
          <w:spacing w:val="-1"/>
        </w:rPr>
        <w:t>30.22%</w:t>
      </w:r>
      <w:r>
        <w:rPr>
          <w:spacing w:val="-1"/>
        </w:rPr>
        <w:t>，主要系公司加大新产品的研发投入</w:t>
      </w:r>
      <w:r>
        <w:rPr/>
        <w:t> 所致。</w:t>
      </w:r>
    </w:p>
    <w:p>
      <w:pPr>
        <w:pStyle w:val="BodyText"/>
        <w:spacing w:line="240" w:lineRule="auto"/>
        <w:ind w:left="1553" w:right="1117"/>
        <w:jc w:val="left"/>
      </w:pPr>
      <w:r>
        <w:rPr/>
        <w:t>（六）报告期内所得税费用为</w:t>
      </w:r>
      <w:r>
        <w:rPr>
          <w:rFonts w:ascii="宋体" w:hAnsi="宋体" w:cs="宋体" w:eastAsia="宋体" w:hint="default"/>
        </w:rPr>
        <w:t>2,032.50</w:t>
      </w:r>
      <w:r>
        <w:rPr/>
        <w:t>万元，较上年同期增长</w:t>
      </w:r>
      <w:r>
        <w:rPr>
          <w:rFonts w:ascii="宋体" w:hAnsi="宋体" w:cs="宋体" w:eastAsia="宋体" w:hint="default"/>
        </w:rPr>
        <w:t>151.49%</w:t>
      </w:r>
      <w:r>
        <w:rPr/>
        <w:t>，主要系利润增长所致。</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spacing w:val="-1"/>
        </w:rPr>
        <w:t>（七）报告期内经营活动产生的现金流量净额为</w:t>
      </w:r>
      <w:r>
        <w:rPr>
          <w:rFonts w:ascii="宋体" w:hAnsi="宋体" w:cs="宋体" w:eastAsia="宋体" w:hint="default"/>
          <w:spacing w:val="-1"/>
        </w:rPr>
        <w:t>14,924.25</w:t>
      </w:r>
      <w:r>
        <w:rPr>
          <w:spacing w:val="-1"/>
        </w:rPr>
        <w:t>万元，较上年同期增长</w:t>
      </w:r>
      <w:r>
        <w:rPr>
          <w:rFonts w:ascii="宋体" w:hAnsi="宋体" w:cs="宋体" w:eastAsia="宋体" w:hint="default"/>
          <w:spacing w:val="-1"/>
        </w:rPr>
        <w:t>193.03%</w:t>
      </w:r>
      <w:r>
        <w:rPr>
          <w:spacing w:val="-1"/>
        </w:rPr>
        <w:t>，主要系合</w:t>
      </w:r>
      <w:r>
        <w:rPr/>
        <w:t> 并报表范围增加及收到的政府补助较上年同期增长所致。</w:t>
      </w:r>
    </w:p>
    <w:p>
      <w:pPr>
        <w:pStyle w:val="BodyText"/>
        <w:spacing w:line="408" w:lineRule="auto"/>
        <w:ind w:right="1132" w:firstLine="420"/>
        <w:jc w:val="both"/>
      </w:pPr>
      <w:r>
        <w:rPr>
          <w:spacing w:val="-1"/>
        </w:rPr>
        <w:t>（八）报告期内筹资活动产生的现金流量净额为</w:t>
      </w:r>
      <w:r>
        <w:rPr>
          <w:rFonts w:ascii="宋体" w:hAnsi="宋体" w:cs="宋体" w:eastAsia="宋体" w:hint="default"/>
          <w:spacing w:val="-1"/>
        </w:rPr>
        <w:t>38,615.76</w:t>
      </w:r>
      <w:r>
        <w:rPr>
          <w:spacing w:val="-1"/>
        </w:rPr>
        <w:t>万元，较上年同期增长</w:t>
      </w:r>
      <w:r>
        <w:rPr>
          <w:rFonts w:ascii="宋体" w:hAnsi="宋体" w:cs="宋体" w:eastAsia="宋体" w:hint="default"/>
          <w:spacing w:val="-1"/>
        </w:rPr>
        <w:t>184.38%</w:t>
      </w:r>
      <w:r>
        <w:rPr>
          <w:spacing w:val="-1"/>
        </w:rPr>
        <w:t>，主要系银</w:t>
      </w:r>
      <w:r>
        <w:rPr/>
        <w:t> 行借款增加所致。</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2、收入与成本" w:id="23"/>
      <w:bookmarkEnd w:id="23"/>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营业收入构成" w:id="24"/>
      <w:bookmarkEnd w:id="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65"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2"/>
              <w:jc w:val="right"/>
              <w:rPr>
                <w:rFonts w:ascii="宋体" w:hAnsi="宋体" w:cs="宋体" w:eastAsia="宋体" w:hint="default"/>
                <w:sz w:val="18"/>
                <w:szCs w:val="18"/>
              </w:rPr>
            </w:pPr>
            <w:r>
              <w:rPr>
                <w:rFonts w:ascii="宋体"/>
                <w:sz w:val="18"/>
              </w:rPr>
              <w:t>746,718,624.28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t>399,306,830.10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8"/>
              <w:jc w:val="right"/>
              <w:rPr>
                <w:rFonts w:ascii="宋体" w:hAnsi="宋体" w:cs="宋体" w:eastAsia="宋体" w:hint="default"/>
                <w:sz w:val="18"/>
                <w:szCs w:val="18"/>
              </w:rPr>
            </w:pPr>
            <w:r>
              <w:rPr>
                <w:rFonts w:ascii="宋体"/>
                <w:sz w:val="18"/>
              </w:rPr>
              <w:t>100%</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87.00%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352,928,732.20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339,989,771.60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231,976,039.17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59,317,058.50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291.08%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公用事业行业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161,813,852.91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21.67%</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59,927,194.24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43,399,611.43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178,645,678.20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192,717,483.87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87,476,522.32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11.71%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78,868,552.44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废水污水治理</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150,164,664.46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36,178,296.68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315.07%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有毒有害废气处理</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74,455,115.61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17,283,374.67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330.79%</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5"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技术服务及软件开 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4,436,521.09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1,911,286.96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132.12%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供水工程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134,869,529.92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26,944,322.99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29,799,075.45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28,948,224.05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712,022,882.43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359,736,613.09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34,695,741.85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39,570,217.01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-12.32%</w:t>
            </w:r>
          </w:p>
        </w:tc>
      </w:tr>
    </w:tbl>
    <w:p>
      <w:pPr>
        <w:pStyle w:val="BodyText"/>
        <w:spacing w:line="408" w:lineRule="auto" w:before="63"/>
        <w:ind w:right="1132" w:firstLine="420"/>
        <w:jc w:val="both"/>
      </w:pPr>
      <w:r>
        <w:rPr>
          <w:spacing w:val="-1"/>
        </w:rPr>
        <w:t>注：公司</w:t>
      </w:r>
      <w:r>
        <w:rPr>
          <w:rFonts w:ascii="宋体" w:hAnsi="宋体" w:cs="宋体" w:eastAsia="宋体" w:hint="default"/>
          <w:spacing w:val="-1"/>
        </w:rPr>
        <w:t>GIS</w:t>
      </w:r>
      <w:r>
        <w:rPr>
          <w:spacing w:val="-1"/>
        </w:rPr>
        <w:t>、</w:t>
      </w:r>
      <w:r>
        <w:rPr>
          <w:rFonts w:ascii="宋体" w:hAnsi="宋体" w:cs="宋体" w:eastAsia="宋体" w:hint="default"/>
          <w:spacing w:val="-1"/>
        </w:rPr>
        <w:t>SCADA</w:t>
      </w:r>
      <w:r>
        <w:rPr>
          <w:spacing w:val="-1"/>
        </w:rPr>
        <w:t>等系统集成业务主要以技术服务及开发为主，搭配少量系统运行必须的硬件，根</w:t>
      </w:r>
      <w:r>
        <w:rPr/>
        <w:t> </w:t>
      </w:r>
      <w:r>
        <w:rPr>
          <w:spacing w:val="-1"/>
        </w:rPr>
        <w:t>据其技术服务为主的特点，</w:t>
      </w:r>
      <w:r>
        <w:rPr>
          <w:rFonts w:ascii="宋体" w:hAnsi="宋体" w:cs="宋体" w:eastAsia="宋体" w:hint="default"/>
          <w:spacing w:val="-1"/>
        </w:rPr>
        <w:t>2014</w:t>
      </w:r>
      <w:r>
        <w:rPr>
          <w:spacing w:val="-1"/>
        </w:rPr>
        <w:t>年将该类业务分类为“技术服务及软件开发”。随着公司业务的发展，该</w:t>
      </w:r>
      <w:r>
        <w:rPr>
          <w:spacing w:val="-82"/>
        </w:rPr>
        <w:t> </w:t>
      </w:r>
      <w:r>
        <w:rPr>
          <w:spacing w:val="-82"/>
        </w:rPr>
      </w:r>
      <w:r>
        <w:rPr>
          <w:spacing w:val="-1"/>
        </w:rPr>
        <w:t>类业务以技术服务为主逐渐发展到为客户提供软硬件一体化解决方案，硬件销售占比较以前年度有较大的</w:t>
      </w:r>
      <w:r>
        <w:rPr>
          <w:spacing w:val="-81"/>
        </w:rPr>
        <w:t> </w:t>
      </w:r>
      <w:r>
        <w:rPr>
          <w:spacing w:val="-81"/>
        </w:rPr>
      </w:r>
      <w:r>
        <w:rPr>
          <w:spacing w:val="-1"/>
        </w:rPr>
        <w:t>上升，为更合理反映营业收入类别情况，</w:t>
      </w:r>
      <w:r>
        <w:rPr>
          <w:rFonts w:ascii="宋体" w:hAnsi="宋体" w:cs="宋体" w:eastAsia="宋体" w:hint="default"/>
          <w:spacing w:val="-1"/>
        </w:rPr>
        <w:t>2015</w:t>
      </w:r>
      <w:r>
        <w:rPr>
          <w:spacing w:val="-1"/>
        </w:rPr>
        <w:t>年将该项收入分类到“监控系统”，为了保持业务数据统计</w:t>
      </w:r>
      <w:r>
        <w:rPr>
          <w:spacing w:val="-81"/>
        </w:rPr>
        <w:t> </w:t>
      </w:r>
      <w:r>
        <w:rPr>
          <w:spacing w:val="-81"/>
        </w:rPr>
      </w:r>
      <w:r>
        <w:rPr/>
        <w:t>口径的一致性、可比性，对</w:t>
      </w:r>
      <w:r>
        <w:rPr>
          <w:rFonts w:ascii="宋体" w:hAnsi="宋体" w:cs="宋体" w:eastAsia="宋体" w:hint="default"/>
        </w:rPr>
        <w:t>2014</w:t>
      </w:r>
      <w:r>
        <w:rPr/>
        <w:t>年同比数据按照相同口径进行调整。</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2）占公司营业收入或营业利润10%以上的行业、产品或地区情况" w:id="25"/>
      <w:bookmarkEnd w:id="25"/>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1367"/>
        <w:gridCol w:w="1366"/>
        <w:gridCol w:w="1366"/>
        <w:gridCol w:w="1368"/>
        <w:gridCol w:w="1367"/>
        <w:gridCol w:w="1367"/>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352,928,732.20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167,319,579.60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231,976,039.17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149,761,869.64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公用事业行业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161,813,852.91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109,934,895.57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178,645,678.20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91,489,547.05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87,476,522.32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37,344,370.11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废水污水治理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150,164,664.46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104,017,399.25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供水工程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134,869,529.92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79,744,865.85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712,022,882.43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406,657,868.26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-7.65%</w:t>
            </w:r>
          </w:p>
        </w:tc>
      </w:tr>
    </w:tbl>
    <w:p>
      <w:pPr>
        <w:spacing w:line="240" w:lineRule="auto" w:before="7"/>
        <w:rPr>
          <w:rFonts w:ascii="宋体" w:hAnsi="宋体" w:cs="宋体" w:eastAsia="宋体" w:hint="default"/>
          <w:sz w:val="6"/>
          <w:szCs w:val="6"/>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年按报告期末口径调整后的主营业务数据</w:t>
      </w:r>
    </w:p>
    <w:p>
      <w:pPr>
        <w:spacing w:line="240" w:lineRule="auto" w:before="12"/>
        <w:rPr>
          <w:rFonts w:ascii="宋体" w:hAnsi="宋体" w:cs="宋体" w:eastAsia="宋体" w:hint="default"/>
          <w:sz w:val="20"/>
          <w:szCs w:val="20"/>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117"/>
        <w:jc w:val="left"/>
        <w:rPr>
          <w:b w:val="0"/>
          <w:bCs w:val="0"/>
        </w:rPr>
      </w:pPr>
      <w:bookmarkStart w:name="（3）公司实物销售收入是否大于劳务收入" w:id="26"/>
      <w:bookmarkEnd w:id="26"/>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4）公司已签订的重大销售合同截至本报告期的履行情况" w:id="27"/>
      <w:bookmarkEnd w:id="27"/>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5）营业成本构成" w:id="28"/>
      <w:bookmarkEnd w:id="28"/>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6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138,955,652.44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131,011,981.97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28,363,927.16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28,927,730.24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100,198,134.08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27,561,156.09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37,329,654.77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10,277,218.56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劳务费用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12,234,080.79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3,191,994.33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公用事业行业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36,216,273.94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公用事业行业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8,571,207.11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公用事业行业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劳务费用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65,147,414.52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6）报告期内合并范围是否发生变动" w:id="29"/>
      <w:bookmarkEnd w:id="29"/>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408" w:lineRule="auto" w:before="155"/>
        <w:ind w:left="1134" w:right="1197" w:firstLine="420"/>
        <w:jc w:val="left"/>
      </w:pPr>
      <w:r>
        <w:rPr/>
        <w:t>较</w:t>
      </w:r>
      <w:r>
        <w:rPr>
          <w:rFonts w:ascii="宋体" w:hAnsi="宋体" w:cs="宋体" w:eastAsia="宋体" w:hint="default"/>
        </w:rPr>
        <w:t>2014</w:t>
      </w:r>
      <w:r>
        <w:rPr/>
        <w:t>年度财务报表相比，公司</w:t>
      </w:r>
      <w:r>
        <w:rPr>
          <w:rFonts w:ascii="宋体" w:hAnsi="宋体" w:cs="宋体" w:eastAsia="宋体" w:hint="default"/>
        </w:rPr>
        <w:t>2015</w:t>
      </w:r>
      <w:r>
        <w:rPr/>
        <w:t>年财务报表合并范围新增</w:t>
      </w:r>
      <w:r>
        <w:rPr>
          <w:rFonts w:ascii="宋体" w:hAnsi="宋体" w:cs="宋体" w:eastAsia="宋体" w:hint="default"/>
        </w:rPr>
        <w:t>4</w:t>
      </w:r>
      <w:r>
        <w:rPr/>
        <w:t>家，分别是汉威公用、北京威果、汉 威智能仪表、广东龙泉。</w:t>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7）公司报告期内业务、产品或服务发生重大变化或调整有关情况" w:id="30"/>
      <w:bookmarkEnd w:id="30"/>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98" w:firstLine="420"/>
        <w:jc w:val="left"/>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1</w:t>
      </w:r>
      <w:r>
        <w:rPr/>
        <w:t>月，公司通过</w:t>
      </w:r>
      <w:r>
        <w:rPr>
          <w:rFonts w:ascii="宋体" w:hAnsi="宋体" w:cs="宋体" w:eastAsia="宋体" w:hint="default"/>
        </w:rPr>
        <w:t>PPP</w:t>
      </w:r>
      <w:r>
        <w:rPr/>
        <w:t>模式投资设立汉威公用，报告期内营业收入新增供水工程、自来水销售 业务，实现营业收入共计</w:t>
      </w:r>
      <w:r>
        <w:rPr>
          <w:rFonts w:ascii="宋体" w:hAnsi="宋体" w:cs="宋体" w:eastAsia="宋体" w:hint="default"/>
        </w:rPr>
        <w:t>16,181.39</w:t>
      </w:r>
      <w:r>
        <w:rPr/>
        <w:t>万元，占比</w:t>
      </w:r>
      <w:r>
        <w:rPr>
          <w:rFonts w:ascii="宋体" w:hAnsi="宋体" w:cs="宋体" w:eastAsia="宋体" w:hint="default"/>
        </w:rPr>
        <w:t>21.67%</w:t>
      </w:r>
      <w:r>
        <w:rPr/>
        <w:t>。</w:t>
      </w:r>
    </w:p>
    <w:p>
      <w:pPr>
        <w:pStyle w:val="BodyText"/>
        <w:spacing w:line="408" w:lineRule="auto"/>
        <w:ind w:right="1198" w:firstLine="420"/>
        <w:jc w:val="left"/>
      </w:pPr>
      <w:r>
        <w:rPr>
          <w:rFonts w:ascii="宋体" w:hAnsi="宋体" w:cs="宋体" w:eastAsia="宋体" w:hint="default"/>
        </w:rPr>
        <w:t>2</w:t>
      </w:r>
      <w:r>
        <w:rPr/>
        <w:t>、报告期内智慧城市、智慧环保业务板块实现大力发展，营业收入较上年同期实现显著增长，成为 贡献公司经营业绩的主力军。</w:t>
      </w:r>
    </w:p>
    <w:p>
      <w:pPr>
        <w:spacing w:after="0" w:line="40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117"/>
        <w:jc w:val="left"/>
        <w:rPr>
          <w:b w:val="0"/>
          <w:bCs w:val="0"/>
        </w:rPr>
      </w:pPr>
      <w:bookmarkStart w:name="（8）主要销售客户和主要供应商情况" w:id="31"/>
      <w:bookmarkEnd w:id="31"/>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64" w:type="dxa"/>
        <w:tblLayout w:type="fixed"/>
        <w:tblCellMar>
          <w:top w:w="0" w:type="dxa"/>
          <w:left w:w="0" w:type="dxa"/>
          <w:bottom w:w="0" w:type="dxa"/>
          <w:right w:w="0" w:type="dxa"/>
        </w:tblCellMar>
        <w:tblLook w:val="01E0"/>
      </w:tblPr>
      <w:tblGrid>
        <w:gridCol w:w="4258"/>
        <w:gridCol w:w="5312"/>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111,905,450.33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14.99%</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175" w:type="dxa"/>
        <w:tblLayout w:type="fixed"/>
        <w:tblCellMar>
          <w:top w:w="0" w:type="dxa"/>
          <w:left w:w="0" w:type="dxa"/>
          <w:bottom w:w="0" w:type="dxa"/>
          <w:right w:w="0" w:type="dxa"/>
        </w:tblCellMar>
        <w:tblLook w:val="01E0"/>
      </w:tblPr>
      <w:tblGrid>
        <w:gridCol w:w="780"/>
        <w:gridCol w:w="3312"/>
        <w:gridCol w:w="2322"/>
        <w:gridCol w:w="3144"/>
      </w:tblGrid>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1</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惠州新华昌运输设备有限公司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24,800,000.00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2</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郑州祝福房地产开发有限公司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24,625,906.00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3</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河南新合鑫置业有限公司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21,600,000.00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2.90%</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4</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合肥市生活废弃物管理中心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21,529,335.12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5</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宜宾市投资集团有限责任公司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19,350,209.21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2.59%</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111,905,450.33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14.99%</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164" w:type="dxa"/>
        <w:tblLayout w:type="fixed"/>
        <w:tblCellMar>
          <w:top w:w="0" w:type="dxa"/>
          <w:left w:w="0" w:type="dxa"/>
          <w:bottom w:w="0" w:type="dxa"/>
          <w:right w:w="0" w:type="dxa"/>
        </w:tblCellMar>
        <w:tblLook w:val="01E0"/>
      </w:tblPr>
      <w:tblGrid>
        <w:gridCol w:w="4258"/>
        <w:gridCol w:w="5312"/>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98,626,541.65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28.09%</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河南省百隆建筑工程有限公司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32,930,055.00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21,188,530.50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江苏贞一环保科技有限公司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19,176,760.38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濮阳市中信建设工程有限公司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16,600,000.00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4.73%</w:t>
            </w:r>
          </w:p>
        </w:tc>
      </w:tr>
      <w:tr>
        <w:trPr>
          <w:trHeight w:val="162" w:hRule="exact"/>
        </w:trPr>
        <w:tc>
          <w:tcPr>
            <w:tcW w:w="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0"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75"/>
              <w:jc w:val="left"/>
              <w:rPr>
                <w:rFonts w:ascii="宋体" w:hAnsi="宋体" w:cs="宋体" w:eastAsia="宋体" w:hint="default"/>
                <w:sz w:val="18"/>
                <w:szCs w:val="18"/>
              </w:rPr>
            </w:pPr>
            <w:r>
              <w:rPr>
                <w:rFonts w:ascii="宋体" w:hAnsi="宋体" w:cs="宋体" w:eastAsia="宋体" w:hint="default"/>
                <w:sz w:val="18"/>
                <w:szCs w:val="18"/>
              </w:rPr>
              <w:t>欧好光电控制技术（上海）股份有限公 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8" w:right="0"/>
              <w:jc w:val="left"/>
              <w:rPr>
                <w:rFonts w:ascii="宋体" w:hAnsi="宋体" w:cs="宋体" w:eastAsia="宋体" w:hint="default"/>
                <w:sz w:val="18"/>
                <w:szCs w:val="18"/>
              </w:rPr>
            </w:pPr>
            <w:r>
              <w:rPr>
                <w:rFonts w:ascii="宋体"/>
                <w:sz w:val="18"/>
              </w:rPr>
              <w:t>8,731,195.77</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2.49%</w:t>
            </w:r>
          </w:p>
        </w:tc>
      </w:tr>
      <w:tr>
        <w:trPr>
          <w:trHeight w:val="391" w:hRule="exact"/>
        </w:trPr>
        <w:tc>
          <w:tcPr>
            <w:tcW w:w="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180"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0"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98,626,541.65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28.09%</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费用" w:id="32"/>
      <w:bookmarkEnd w:id="32"/>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60,509,229.50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58,277,574.38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7" w:right="0"/>
              <w:jc w:val="left"/>
              <w:rPr>
                <w:rFonts w:ascii="宋体" w:hAnsi="宋体" w:cs="宋体" w:eastAsia="宋体" w:hint="default"/>
                <w:sz w:val="18"/>
                <w:szCs w:val="18"/>
              </w:rPr>
            </w:pPr>
            <w:r>
              <w:rPr>
                <w:rFonts w:ascii="宋体"/>
                <w:sz w:val="18"/>
              </w:rPr>
              <w:t>138,278,414.52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4" w:right="0"/>
              <w:jc w:val="left"/>
              <w:rPr>
                <w:rFonts w:ascii="宋体" w:hAnsi="宋体" w:cs="宋体" w:eastAsia="宋体" w:hint="default"/>
                <w:sz w:val="18"/>
                <w:szCs w:val="18"/>
              </w:rPr>
            </w:pPr>
            <w:r>
              <w:rPr>
                <w:rFonts w:ascii="宋体"/>
                <w:sz w:val="18"/>
              </w:rPr>
              <w:t>88,842,573.33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7" w:right="0"/>
              <w:jc w:val="left"/>
              <w:rPr>
                <w:rFonts w:ascii="宋体" w:hAnsi="宋体" w:cs="宋体" w:eastAsia="宋体" w:hint="default"/>
                <w:sz w:val="18"/>
                <w:szCs w:val="18"/>
              </w:rPr>
            </w:pPr>
            <w:r>
              <w:rPr>
                <w:rFonts w:ascii="宋体"/>
                <w:sz w:val="18"/>
              </w:rPr>
              <w:t>55.64%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主要系合并范围增加、研发投入力度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加大、固定资产折旧费用增加及人员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工资增长所致。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26,342,003.88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5,753,834.41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主要系银行借款增加所致。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117"/>
        <w:jc w:val="left"/>
        <w:rPr>
          <w:b w:val="0"/>
          <w:bCs w:val="0"/>
        </w:rPr>
      </w:pPr>
      <w:bookmarkStart w:name="4、研发投入" w:id="33"/>
      <w:bookmarkEnd w:id="33"/>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7" w:type="dxa"/>
        <w:tblLayout w:type="fixed"/>
        <w:tblCellMar>
          <w:top w:w="0" w:type="dxa"/>
          <w:left w:w="0" w:type="dxa"/>
          <w:bottom w:w="0" w:type="dxa"/>
          <w:right w:w="0" w:type="dxa"/>
        </w:tblCellMar>
        <w:tblLook w:val="01E0"/>
      </w:tblPr>
      <w:tblGrid>
        <w:gridCol w:w="462"/>
        <w:gridCol w:w="3518"/>
        <w:gridCol w:w="998"/>
        <w:gridCol w:w="2265"/>
        <w:gridCol w:w="2416"/>
      </w:tblGrid>
      <w:tr>
        <w:trPr>
          <w:trHeight w:val="347" w:hRule="exact"/>
        </w:trPr>
        <w:tc>
          <w:tcPr>
            <w:tcW w:w="462" w:type="dxa"/>
            <w:tcBorders>
              <w:top w:val="single" w:sz="8" w:space="0" w:color="000000"/>
              <w:left w:val="single" w:sz="6" w:space="0" w:color="000000"/>
              <w:bottom w:val="single" w:sz="8" w:space="0" w:color="000000"/>
              <w:right w:val="single" w:sz="8" w:space="0" w:color="000000"/>
            </w:tcBorders>
            <w:shd w:val="clear" w:color="auto" w:fill="BEBEB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9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进展情况</w:t>
            </w:r>
          </w:p>
        </w:tc>
        <w:tc>
          <w:tcPr>
            <w:tcW w:w="226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582"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24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完成情况</w:t>
            </w:r>
          </w:p>
        </w:tc>
      </w:tr>
      <w:tr>
        <w:trPr>
          <w:trHeight w:val="357" w:hRule="exact"/>
        </w:trPr>
        <w:tc>
          <w:tcPr>
            <w:tcW w:w="462" w:type="dxa"/>
            <w:tcBorders>
              <w:top w:val="single" w:sz="12"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w:t>
            </w:r>
          </w:p>
        </w:tc>
        <w:tc>
          <w:tcPr>
            <w:tcW w:w="35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分布式大气环境监控系统</w:t>
            </w:r>
          </w:p>
        </w:tc>
        <w:tc>
          <w:tcPr>
            <w:tcW w:w="99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年底具备生产能力</w:t>
            </w:r>
          </w:p>
        </w:tc>
        <w:tc>
          <w:tcPr>
            <w:tcW w:w="241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小批量完成，已验收</w:t>
            </w:r>
          </w:p>
        </w:tc>
      </w:tr>
      <w:tr>
        <w:trPr>
          <w:trHeight w:val="352"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危险化学品泄漏事故救援保护设备</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月完成正式样机</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已完成正式样机</w:t>
            </w:r>
          </w:p>
        </w:tc>
      </w:tr>
      <w:tr>
        <w:trPr>
          <w:trHeight w:val="353"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智能型远传终端</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月完成正式样机</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已完成正式样机</w:t>
            </w:r>
          </w:p>
        </w:tc>
      </w:tr>
      <w:tr>
        <w:trPr>
          <w:trHeight w:val="352"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028" w:right="0"/>
              <w:jc w:val="left"/>
              <w:rPr>
                <w:rFonts w:ascii="宋体" w:hAnsi="宋体" w:cs="宋体" w:eastAsia="宋体" w:hint="default"/>
                <w:sz w:val="18"/>
                <w:szCs w:val="18"/>
              </w:rPr>
            </w:pPr>
            <w:r>
              <w:rPr>
                <w:rFonts w:ascii="宋体" w:hAnsi="宋体" w:cs="宋体" w:eastAsia="宋体" w:hint="default"/>
                <w:sz w:val="18"/>
                <w:szCs w:val="18"/>
              </w:rPr>
              <w:t>汉威空气质量管家</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月完成样机</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已完成正式样机，已形成销售</w:t>
            </w:r>
          </w:p>
        </w:tc>
      </w:tr>
      <w:tr>
        <w:trPr>
          <w:trHeight w:val="352"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大气环境质量分析及应急设备</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月完成样机</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已完成样机</w:t>
            </w:r>
          </w:p>
        </w:tc>
      </w:tr>
      <w:tr>
        <w:trPr>
          <w:trHeight w:val="353"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工业安全综合监管平台</w:t>
            </w:r>
            <w:r>
              <w:rPr>
                <w:rFonts w:ascii="宋体" w:hAnsi="宋体" w:cs="宋体" w:eastAsia="宋体" w:hint="default"/>
                <w:sz w:val="18"/>
                <w:szCs w:val="18"/>
              </w:rPr>
              <w:t>-IAP</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设计开发</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月可以试运行</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主体工作完成</w:t>
            </w:r>
          </w:p>
        </w:tc>
      </w:tr>
      <w:tr>
        <w:trPr>
          <w:trHeight w:val="352"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数据采集中间件</w:t>
            </w:r>
            <w:r>
              <w:rPr>
                <w:rFonts w:ascii="宋体" w:hAnsi="宋体" w:cs="宋体" w:eastAsia="宋体" w:hint="default"/>
                <w:sz w:val="18"/>
                <w:szCs w:val="18"/>
              </w:rPr>
              <w:t>UDA</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月完成验证</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已完成验证</w:t>
            </w:r>
          </w:p>
        </w:tc>
      </w:tr>
      <w:tr>
        <w:trPr>
          <w:trHeight w:val="352"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应用于大气环境分析的便携型气象色谱仪</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设计开发</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年年底完成样机</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53"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Ⅱ型激光粉尘传感器</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设计开发</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月完成样品</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52"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安全生产气体环境实时监控系统</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年年底完成正式样机</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已完成正式样机</w:t>
            </w:r>
          </w:p>
        </w:tc>
      </w:tr>
      <w:tr>
        <w:trPr>
          <w:trHeight w:val="352"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11</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微型电化学传感器</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年底具备生产能力</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已进行验收，可批量生产</w:t>
            </w:r>
          </w:p>
        </w:tc>
      </w:tr>
      <w:tr>
        <w:trPr>
          <w:trHeight w:val="353" w:hRule="exact"/>
        </w:trPr>
        <w:tc>
          <w:tcPr>
            <w:tcW w:w="462"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12</w:t>
            </w:r>
          </w:p>
        </w:tc>
        <w:tc>
          <w:tcPr>
            <w:tcW w:w="3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抗中毒型半导体元件开发</w:t>
            </w:r>
          </w:p>
        </w:tc>
        <w:tc>
          <w:tcPr>
            <w:tcW w:w="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年底具备生产能力</w:t>
            </w:r>
          </w:p>
        </w:tc>
        <w:tc>
          <w:tcPr>
            <w:tcW w:w="2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已进行验收，可批量生产</w:t>
            </w:r>
          </w:p>
        </w:tc>
      </w:tr>
    </w:tbl>
    <w:p>
      <w:pPr>
        <w:spacing w:line="240" w:lineRule="auto" w:before="6"/>
        <w:rPr>
          <w:rFonts w:ascii="宋体" w:hAnsi="宋体" w:cs="宋体" w:eastAsia="宋体" w:hint="default"/>
          <w:sz w:val="6"/>
          <w:szCs w:val="6"/>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113" w:type="dxa"/>
        <w:tblLayout w:type="fixed"/>
        <w:tblCellMar>
          <w:top w:w="0" w:type="dxa"/>
          <w:left w:w="0" w:type="dxa"/>
          <w:bottom w:w="0" w:type="dxa"/>
          <w:right w:w="0" w:type="dxa"/>
        </w:tblCellMar>
        <w:tblLook w:val="01E0"/>
      </w:tblPr>
      <w:tblGrid>
        <w:gridCol w:w="2400"/>
        <w:gridCol w:w="2435"/>
        <w:gridCol w:w="2424"/>
        <w:gridCol w:w="2424"/>
      </w:tblGrid>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16.26%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21.60%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30.60%</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47,914,829.07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36,795,231.27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27,798,980.37</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9.21%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9.19%</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2,686.28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r>
      <w:tr>
        <w:trPr>
          <w:trHeight w:val="714"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7"/>
              <w:jc w:val="left"/>
              <w:rPr>
                <w:rFonts w:ascii="宋体" w:hAnsi="宋体" w:cs="宋体" w:eastAsia="宋体" w:hint="default"/>
                <w:sz w:val="18"/>
                <w:szCs w:val="18"/>
              </w:rPr>
            </w:pPr>
            <w:r>
              <w:rPr>
                <w:rFonts w:ascii="宋体" w:hAnsi="宋体" w:cs="宋体" w:eastAsia="宋体" w:hint="default"/>
                <w:sz w:val="18"/>
                <w:szCs w:val="18"/>
              </w:rPr>
              <w:t>资本化研发支出占研发投入的 比例</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715"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7"/>
              <w:jc w:val="left"/>
              <w:rPr>
                <w:rFonts w:ascii="宋体" w:hAnsi="宋体" w:cs="宋体" w:eastAsia="宋体" w:hint="default"/>
                <w:sz w:val="18"/>
                <w:szCs w:val="18"/>
              </w:rPr>
            </w:pPr>
            <w:r>
              <w:rPr>
                <w:rFonts w:ascii="宋体" w:hAnsi="宋体" w:cs="宋体" w:eastAsia="宋体" w:hint="default"/>
                <w:sz w:val="18"/>
                <w:szCs w:val="18"/>
              </w:rPr>
              <w:t>资本化研发支出占当期净利润 的比重</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line="338" w:lineRule="auto" w:before="40"/>
        <w:ind w:left="1133" w:right="9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近两年专利数情况</w:t>
      </w:r>
    </w:p>
    <w:p>
      <w:pPr>
        <w:spacing w:before="43"/>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74" w:type="dxa"/>
        <w:tblLayout w:type="fixed"/>
        <w:tblCellMar>
          <w:top w:w="0" w:type="dxa"/>
          <w:left w:w="0" w:type="dxa"/>
          <w:bottom w:w="0" w:type="dxa"/>
          <w:right w:w="0" w:type="dxa"/>
        </w:tblCellMar>
        <w:tblLook w:val="01E0"/>
      </w:tblPr>
      <w:tblGrid>
        <w:gridCol w:w="3196"/>
        <w:gridCol w:w="2115"/>
        <w:gridCol w:w="2225"/>
        <w:gridCol w:w="2023"/>
      </w:tblGrid>
      <w:tr>
        <w:trPr>
          <w:trHeight w:val="402" w:hRule="exact"/>
        </w:trPr>
        <w:tc>
          <w:tcPr>
            <w:tcW w:w="3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w:t>
            </w:r>
          </w:p>
        </w:tc>
      </w:tr>
      <w:tr>
        <w:trPr>
          <w:trHeight w:val="402" w:hRule="exact"/>
        </w:trPr>
        <w:tc>
          <w:tcPr>
            <w:tcW w:w="3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2" w:type="dxa"/>
        <w:tblLayout w:type="fixed"/>
        <w:tblCellMar>
          <w:top w:w="0" w:type="dxa"/>
          <w:left w:w="0" w:type="dxa"/>
          <w:bottom w:w="0" w:type="dxa"/>
          <w:right w:w="0" w:type="dxa"/>
        </w:tblCellMar>
        <w:tblLook w:val="01E0"/>
      </w:tblPr>
      <w:tblGrid>
        <w:gridCol w:w="3220"/>
        <w:gridCol w:w="2103"/>
        <w:gridCol w:w="2225"/>
        <w:gridCol w:w="2023"/>
      </w:tblGrid>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w:t>
            </w:r>
          </w:p>
        </w:tc>
      </w:tr>
      <w:tr>
        <w:trPr>
          <w:trHeight w:val="714"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24"/>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5、现金流" w:id="34"/>
      <w:bookmarkEnd w:id="34"/>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75" w:type="dxa"/>
        <w:tblLayout w:type="fixed"/>
        <w:tblCellMar>
          <w:top w:w="0" w:type="dxa"/>
          <w:left w:w="0" w:type="dxa"/>
          <w:bottom w:w="0" w:type="dxa"/>
          <w:right w:w="0" w:type="dxa"/>
        </w:tblCellMar>
        <w:tblLook w:val="01E0"/>
      </w:tblPr>
      <w:tblGrid>
        <w:gridCol w:w="2370"/>
        <w:gridCol w:w="2404"/>
        <w:gridCol w:w="2392"/>
        <w:gridCol w:w="2393"/>
      </w:tblGrid>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751,872,854.23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379,868,693.41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97.93%</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602,630,364.40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328,938,651.24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83.20%</w:t>
            </w:r>
          </w:p>
        </w:tc>
      </w:tr>
      <w:tr>
        <w:trPr>
          <w:trHeight w:val="71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149,242,489.83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50,930,042.17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193.03%</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430,670,962.12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1,722,583.85%</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691,355,189.46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219,186,211.26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215.42%</w:t>
            </w:r>
          </w:p>
        </w:tc>
      </w:tr>
      <w:tr>
        <w:trPr>
          <w:trHeight w:val="71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-260,684,227.34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-219,161,211.26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-18.95%</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647,655,000.00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284,999,973.12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127.25%</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261,497,396.70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149,209,499.80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75.26%</w:t>
            </w:r>
          </w:p>
        </w:tc>
      </w:tr>
      <w:tr>
        <w:trPr>
          <w:trHeight w:val="71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386,157,603.30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135,790,473.32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184.38%</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275,213,293.91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-32,365,022.87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950.34%</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17" w:firstLine="420"/>
        <w:jc w:val="left"/>
      </w:pPr>
      <w:r>
        <w:rPr/>
        <w:t>经营活动产生的现金流量净额较上年同期增加</w:t>
      </w:r>
      <w:r>
        <w:rPr>
          <w:rFonts w:ascii="宋体" w:hAnsi="宋体" w:cs="宋体" w:eastAsia="宋体" w:hint="default"/>
        </w:rPr>
        <w:t>193.03%</w:t>
      </w:r>
      <w:r>
        <w:rPr/>
        <w:t>，主要系合并范围增加及本期收到的政府补助 较上年同期增加所致。</w:t>
      </w:r>
    </w:p>
    <w:p>
      <w:pPr>
        <w:pStyle w:val="BodyText"/>
        <w:spacing w:line="240" w:lineRule="auto"/>
        <w:ind w:left="1553" w:right="1117"/>
        <w:jc w:val="left"/>
      </w:pPr>
      <w:r>
        <w:rPr/>
        <w:t>筹资活动产生的现金流量净额较上年同期增加</w:t>
      </w:r>
      <w:r>
        <w:rPr>
          <w:rFonts w:ascii="宋体" w:hAnsi="宋体" w:cs="宋体" w:eastAsia="宋体" w:hint="default"/>
        </w:rPr>
        <w:t>184.38%</w:t>
      </w:r>
      <w:r>
        <w:rPr/>
        <w:t>，主要系银行借款增加所致。</w:t>
      </w:r>
    </w:p>
    <w:p>
      <w:pPr>
        <w:spacing w:line="240" w:lineRule="auto" w:before="11"/>
        <w:rPr>
          <w:rFonts w:ascii="宋体" w:hAnsi="宋体" w:cs="宋体" w:eastAsia="宋体" w:hint="default"/>
          <w:sz w:val="13"/>
          <w:szCs w:val="13"/>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17" w:firstLine="420"/>
        <w:jc w:val="left"/>
      </w:pPr>
      <w:r>
        <w:rPr>
          <w:spacing w:val="-1"/>
        </w:rPr>
        <w:t>经营活动产生的现金流量净额与本年度净利润的差额为</w:t>
      </w:r>
      <w:r>
        <w:rPr>
          <w:rFonts w:ascii="宋体" w:hAnsi="宋体" w:cs="宋体" w:eastAsia="宋体" w:hint="default"/>
          <w:spacing w:val="-1"/>
        </w:rPr>
        <w:t>5,007.97</w:t>
      </w:r>
      <w:r>
        <w:rPr>
          <w:spacing w:val="-1"/>
        </w:rPr>
        <w:t>万元，主要差异系固定资产折旧、无</w:t>
      </w:r>
      <w:r>
        <w:rPr/>
        <w:t> 形资产摊销及财务费用的影响。</w:t>
      </w:r>
    </w:p>
    <w:p>
      <w:pPr>
        <w:spacing w:line="240" w:lineRule="auto" w:before="11"/>
        <w:rPr>
          <w:rFonts w:ascii="宋体" w:hAnsi="宋体" w:cs="宋体" w:eastAsia="宋体" w:hint="default"/>
          <w:sz w:val="18"/>
          <w:szCs w:val="18"/>
        </w:rPr>
      </w:pPr>
    </w:p>
    <w:p>
      <w:pPr>
        <w:pStyle w:val="Heading2"/>
        <w:spacing w:line="240" w:lineRule="auto"/>
        <w:ind w:right="1117"/>
        <w:jc w:val="left"/>
        <w:rPr>
          <w:b w:val="0"/>
          <w:bCs w:val="0"/>
        </w:rPr>
      </w:pPr>
      <w:bookmarkStart w:name="三、非主营业务情况" w:id="35"/>
      <w:bookmarkEnd w:id="35"/>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74" w:type="dxa"/>
        <w:tblLayout w:type="fixed"/>
        <w:tblCellMar>
          <w:top w:w="0" w:type="dxa"/>
          <w:left w:w="0" w:type="dxa"/>
          <w:bottom w:w="0" w:type="dxa"/>
          <w:right w:w="0" w:type="dxa"/>
        </w:tblCellMar>
        <w:tblLook w:val="01E0"/>
      </w:tblPr>
      <w:tblGrid>
        <w:gridCol w:w="1500"/>
        <w:gridCol w:w="1927"/>
        <w:gridCol w:w="1624"/>
        <w:gridCol w:w="2253"/>
        <w:gridCol w:w="2255"/>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12" w:right="0"/>
              <w:jc w:val="left"/>
              <w:rPr>
                <w:rFonts w:ascii="宋体" w:hAnsi="宋体" w:cs="宋体" w:eastAsia="宋体" w:hint="default"/>
                <w:sz w:val="18"/>
                <w:szCs w:val="18"/>
              </w:rPr>
            </w:pPr>
            <w:r>
              <w:rPr>
                <w:rFonts w:ascii="宋体"/>
                <w:sz w:val="18"/>
              </w:rPr>
              <w:t>44,090,369.42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0" w:right="0"/>
              <w:jc w:val="left"/>
              <w:rPr>
                <w:rFonts w:ascii="宋体" w:hAnsi="宋体" w:cs="宋体" w:eastAsia="宋体" w:hint="default"/>
                <w:sz w:val="18"/>
                <w:szCs w:val="18"/>
              </w:rPr>
            </w:pPr>
            <w:r>
              <w:rPr>
                <w:rFonts w:ascii="宋体"/>
                <w:sz w:val="18"/>
              </w:rPr>
              <w:t>36.90%</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主要为政府补助</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134" w:right="1117"/>
        <w:jc w:val="left"/>
        <w:rPr>
          <w:b w:val="0"/>
          <w:bCs w:val="0"/>
        </w:rPr>
      </w:pPr>
      <w:bookmarkStart w:name="四、资产及负债状况" w:id="36"/>
      <w:bookmarkEnd w:id="36"/>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资产构成重大变动情况" w:id="37"/>
      <w:bookmarkEnd w:id="37"/>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1314"/>
        <w:gridCol w:w="1328"/>
        <w:gridCol w:w="1028"/>
        <w:gridCol w:w="1317"/>
        <w:gridCol w:w="1028"/>
        <w:gridCol w:w="761"/>
        <w:gridCol w:w="2907"/>
      </w:tblGrid>
      <w:tr>
        <w:trPr>
          <w:trHeight w:val="206" w:hRule="exact"/>
        </w:trPr>
        <w:tc>
          <w:tcPr>
            <w:tcW w:w="1314" w:type="dxa"/>
            <w:vMerge w:val="restart"/>
            <w:tcBorders>
              <w:top w:val="single" w:sz="4" w:space="0" w:color="000000"/>
              <w:left w:val="single" w:sz="4" w:space="0" w:color="000000"/>
              <w:right w:val="single" w:sz="4" w:space="0" w:color="000000"/>
            </w:tcBorders>
            <w:shd w:val="clear" w:color="auto" w:fill="D2D2D2"/>
          </w:tcPr>
          <w:p>
            <w:pPr/>
          </w:p>
        </w:tc>
        <w:tc>
          <w:tcPr>
            <w:tcW w:w="23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14" w:type="dxa"/>
            <w:vMerge/>
            <w:tcBorders>
              <w:left w:val="single" w:sz="4" w:space="0" w:color="000000"/>
              <w:bottom w:val="nil" w:sz="6" w:space="0" w:color="auto"/>
              <w:right w:val="single" w:sz="4" w:space="0" w:color="000000"/>
            </w:tcBorders>
            <w:shd w:val="clear" w:color="auto" w:fill="D2D2D2"/>
          </w:tcPr>
          <w:p>
            <w:pPr/>
          </w:p>
        </w:tc>
        <w:tc>
          <w:tcPr>
            <w:tcW w:w="2356" w:type="dxa"/>
            <w:gridSpan w:val="2"/>
            <w:vMerge/>
            <w:tcBorders>
              <w:left w:val="single" w:sz="4" w:space="0" w:color="000000"/>
              <w:bottom w:val="single" w:sz="4" w:space="0" w:color="000000"/>
              <w:right w:val="single" w:sz="4" w:space="0" w:color="000000"/>
            </w:tcBorders>
            <w:shd w:val="clear" w:color="auto" w:fill="D2D2D2"/>
          </w:tcPr>
          <w:p>
            <w:pPr/>
          </w:p>
        </w:tc>
        <w:tc>
          <w:tcPr>
            <w:tcW w:w="2345"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4" w:right="10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314"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61" w:type="dxa"/>
            <w:vMerge/>
            <w:tcBorders>
              <w:left w:val="single" w:sz="4" w:space="0" w:color="000000"/>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0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14"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14"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14"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515,378,816.65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242,428,256.41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276,224,326.03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213,927,884.00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176,993,702.65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179,276,609.63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200,699,104.69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62,099,340.22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3.73%</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53,489,834.57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1,677,247.41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373,759,072.34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424,625,831.67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-10.03%</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40,011,734.67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5,135,899.21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285,300,000.00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168,500,000.00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0.89%</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468,560,000.00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42,880,000.00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14.31%</w:t>
            </w:r>
          </w:p>
        </w:tc>
        <w:tc>
          <w:tcPr>
            <w:tcW w:w="29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以公允价值计量的资产和负债" w:id="38"/>
      <w:bookmarkEnd w:id="38"/>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五、投资状况分析" w:id="39"/>
      <w:bookmarkEnd w:id="39"/>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总体情况" w:id="40"/>
      <w:bookmarkEnd w:id="40"/>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40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7" w:right="0"/>
              <w:jc w:val="left"/>
              <w:rPr>
                <w:rFonts w:ascii="宋体" w:hAnsi="宋体" w:cs="宋体" w:eastAsia="宋体" w:hint="default"/>
                <w:sz w:val="18"/>
                <w:szCs w:val="18"/>
              </w:rPr>
            </w:pPr>
            <w:r>
              <w:rPr>
                <w:rFonts w:ascii="宋体"/>
                <w:sz w:val="18"/>
              </w:rPr>
              <w:t>154,712,861.00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0" w:right="0"/>
              <w:jc w:val="left"/>
              <w:rPr>
                <w:rFonts w:ascii="宋体" w:hAnsi="宋体" w:cs="宋体" w:eastAsia="宋体" w:hint="default"/>
                <w:sz w:val="18"/>
                <w:szCs w:val="18"/>
              </w:rPr>
            </w:pPr>
            <w:r>
              <w:rPr>
                <w:rFonts w:ascii="宋体"/>
                <w:sz w:val="18"/>
              </w:rPr>
              <w:t>541,114,188.91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-71.41%</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报告期内获取的重大的股权投资情况" w:id="41"/>
      <w:bookmarkEnd w:id="41"/>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466"/>
        <w:gridCol w:w="466"/>
        <w:gridCol w:w="464"/>
        <w:gridCol w:w="1316"/>
        <w:gridCol w:w="685"/>
        <w:gridCol w:w="245"/>
        <w:gridCol w:w="465"/>
        <w:gridCol w:w="466"/>
        <w:gridCol w:w="464"/>
        <w:gridCol w:w="466"/>
        <w:gridCol w:w="1225"/>
        <w:gridCol w:w="466"/>
        <w:gridCol w:w="464"/>
        <w:gridCol w:w="2036"/>
      </w:tblGrid>
      <w:tr>
        <w:trPr>
          <w:trHeight w:val="704" w:hRule="exact"/>
        </w:trPr>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48" w:right="47"/>
              <w:jc w:val="left"/>
              <w:rPr>
                <w:rFonts w:ascii="宋体" w:hAnsi="宋体" w:cs="宋体" w:eastAsia="宋体" w:hint="default"/>
                <w:sz w:val="18"/>
                <w:szCs w:val="18"/>
              </w:rPr>
            </w:pPr>
            <w:r>
              <w:rPr>
                <w:rFonts w:ascii="宋体" w:hAnsi="宋体" w:cs="宋体" w:eastAsia="宋体" w:hint="default"/>
                <w:sz w:val="18"/>
                <w:szCs w:val="18"/>
              </w:rPr>
              <w:t>被投 资公</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47" w:right="47"/>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46" w:right="4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47" w:right="66"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7" w:right="25"/>
              <w:jc w:val="left"/>
              <w:rPr>
                <w:rFonts w:ascii="宋体" w:hAnsi="宋体" w:cs="宋体" w:eastAsia="宋体" w:hint="default"/>
                <w:sz w:val="18"/>
                <w:szCs w:val="18"/>
              </w:rPr>
            </w:pPr>
            <w:r>
              <w:rPr>
                <w:rFonts w:ascii="宋体" w:hAnsi="宋体" w:cs="宋体" w:eastAsia="宋体" w:hint="default"/>
                <w:sz w:val="18"/>
                <w:szCs w:val="18"/>
              </w:rPr>
              <w:t>资 金</w:t>
            </w:r>
          </w:p>
        </w:tc>
        <w:tc>
          <w:tcPr>
            <w:tcW w:w="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37" w:right="46" w:hanging="91"/>
              <w:jc w:val="left"/>
              <w:rPr>
                <w:rFonts w:ascii="宋体" w:hAnsi="宋体" w:cs="宋体" w:eastAsia="宋体" w:hint="default"/>
                <w:sz w:val="18"/>
                <w:szCs w:val="18"/>
              </w:rPr>
            </w:pPr>
            <w:r>
              <w:rPr>
                <w:rFonts w:ascii="宋体" w:hAnsi="宋体" w:cs="宋体" w:eastAsia="宋体" w:hint="default"/>
                <w:sz w:val="18"/>
                <w:szCs w:val="18"/>
              </w:rPr>
              <w:t>合作 方</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46" w:right="47"/>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46" w:right="4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46" w:right="4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47" w:right="4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46" w:right="47"/>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466"/>
        <w:gridCol w:w="466"/>
        <w:gridCol w:w="464"/>
        <w:gridCol w:w="1316"/>
        <w:gridCol w:w="685"/>
        <w:gridCol w:w="245"/>
        <w:gridCol w:w="465"/>
        <w:gridCol w:w="466"/>
        <w:gridCol w:w="464"/>
        <w:gridCol w:w="466"/>
        <w:gridCol w:w="1225"/>
        <w:gridCol w:w="466"/>
        <w:gridCol w:w="464"/>
        <w:gridCol w:w="2036"/>
      </w:tblGrid>
      <w:tr>
        <w:trPr>
          <w:trHeight w:val="674" w:hRule="exact"/>
        </w:trPr>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38" w:right="47" w:hanging="90"/>
              <w:jc w:val="left"/>
              <w:rPr>
                <w:rFonts w:ascii="宋体" w:hAnsi="宋体" w:cs="宋体" w:eastAsia="宋体" w:hint="default"/>
                <w:sz w:val="18"/>
                <w:szCs w:val="18"/>
              </w:rPr>
            </w:pPr>
            <w:r>
              <w:rPr>
                <w:rFonts w:ascii="宋体" w:hAnsi="宋体" w:cs="宋体" w:eastAsia="宋体" w:hint="default"/>
                <w:sz w:val="18"/>
                <w:szCs w:val="18"/>
              </w:rPr>
              <w:t>司名 称</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 w:right="25"/>
              <w:jc w:val="left"/>
              <w:rPr>
                <w:rFonts w:ascii="宋体" w:hAnsi="宋体" w:cs="宋体" w:eastAsia="宋体" w:hint="default"/>
                <w:sz w:val="18"/>
                <w:szCs w:val="18"/>
              </w:rPr>
            </w:pPr>
            <w:r>
              <w:rPr>
                <w:rFonts w:ascii="宋体" w:hAnsi="宋体" w:cs="宋体" w:eastAsia="宋体" w:hint="default"/>
                <w:sz w:val="18"/>
                <w:szCs w:val="18"/>
              </w:rPr>
              <w:t>来 源</w:t>
            </w:r>
          </w:p>
        </w:tc>
        <w:tc>
          <w:tcPr>
            <w:tcW w:w="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6" w:right="47"/>
              <w:jc w:val="left"/>
              <w:rPr>
                <w:rFonts w:ascii="宋体" w:hAnsi="宋体" w:cs="宋体" w:eastAsia="宋体" w:hint="default"/>
                <w:sz w:val="18"/>
                <w:szCs w:val="18"/>
              </w:rPr>
            </w:pPr>
            <w:r>
              <w:rPr>
                <w:rFonts w:ascii="宋体" w:hAnsi="宋体" w:cs="宋体" w:eastAsia="宋体" w:hint="default"/>
                <w:sz w:val="18"/>
                <w:szCs w:val="18"/>
              </w:rPr>
              <w:t>（如 有）</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郑州 汉威 公用 事业 科技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71"/>
              <w:jc w:val="both"/>
              <w:rPr>
                <w:rFonts w:ascii="宋体" w:hAnsi="宋体" w:cs="宋体" w:eastAsia="宋体" w:hint="default"/>
                <w:sz w:val="18"/>
                <w:szCs w:val="18"/>
              </w:rPr>
            </w:pPr>
            <w:r>
              <w:rPr>
                <w:rFonts w:ascii="宋体" w:hAnsi="宋体" w:cs="宋体" w:eastAsia="宋体" w:hint="default"/>
                <w:sz w:val="18"/>
                <w:szCs w:val="18"/>
              </w:rPr>
              <w:t>市政 公用 事业 建设</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7"/>
              <w:jc w:val="right"/>
              <w:rPr>
                <w:rFonts w:ascii="宋体" w:hAnsi="宋体" w:cs="宋体" w:eastAsia="宋体" w:hint="default"/>
                <w:sz w:val="18"/>
                <w:szCs w:val="18"/>
              </w:rPr>
            </w:pPr>
            <w:r>
              <w:rPr>
                <w:rFonts w:ascii="宋体" w:hAnsi="宋体" w:cs="宋体" w:eastAsia="宋体" w:hint="default"/>
                <w:sz w:val="18"/>
                <w:szCs w:val="18"/>
              </w:rPr>
              <w:t>新设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sz w:val="18"/>
              </w:rPr>
              <w:t>65,000,000.00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sz w:val="18"/>
              </w:rPr>
              <w:t>65.00%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郑州 高新 投资 建设 集团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sz w:val="18"/>
              </w:rPr>
              <w:t>25,210,921.48</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www.cninfo.com.cn,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2015-004</w:t>
            </w:r>
          </w:p>
        </w:tc>
      </w:tr>
      <w:tr>
        <w:trPr>
          <w:trHeight w:val="3834"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71"/>
              <w:jc w:val="both"/>
              <w:rPr>
                <w:rFonts w:ascii="宋体" w:hAnsi="宋体" w:cs="宋体" w:eastAsia="宋体" w:hint="default"/>
                <w:sz w:val="18"/>
                <w:szCs w:val="18"/>
              </w:rPr>
            </w:pPr>
            <w:r>
              <w:rPr>
                <w:rFonts w:ascii="宋体" w:hAnsi="宋体" w:cs="宋体" w:eastAsia="宋体" w:hint="default"/>
                <w:sz w:val="18"/>
                <w:szCs w:val="18"/>
              </w:rPr>
              <w:t>河南 开云 信息 技术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移动 互联 健康 平台</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47"/>
              <w:jc w:val="right"/>
              <w:rPr>
                <w:rFonts w:ascii="宋体" w:hAnsi="宋体" w:cs="宋体" w:eastAsia="宋体" w:hint="default"/>
                <w:sz w:val="18"/>
                <w:szCs w:val="18"/>
              </w:rPr>
            </w:pPr>
            <w:r>
              <w:rPr>
                <w:rFonts w:ascii="宋体" w:hAnsi="宋体" w:cs="宋体" w:eastAsia="宋体" w:hint="default"/>
                <w:sz w:val="18"/>
                <w:szCs w:val="18"/>
              </w:rPr>
              <w:t>增资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宋体" w:hAnsi="宋体" w:cs="宋体" w:eastAsia="宋体" w:hint="default"/>
                <w:sz w:val="18"/>
                <w:szCs w:val="18"/>
              </w:rPr>
            </w:pPr>
            <w:r>
              <w:rPr>
                <w:rFonts w:ascii="宋体"/>
                <w:sz w:val="18"/>
              </w:rPr>
              <w:t>5,000,000.00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宋体" w:hAnsi="宋体" w:cs="宋体" w:eastAsia="宋体" w:hint="default"/>
                <w:sz w:val="18"/>
                <w:szCs w:val="18"/>
              </w:rPr>
            </w:pPr>
            <w:r>
              <w:rPr>
                <w:rFonts w:ascii="宋体"/>
                <w:sz w:val="18"/>
              </w:rPr>
              <w:t>10.00%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河南 开云 信息 技术 有限 公司 原股 东周 涛、 夏 玉、 白静</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www.cninfo.com.cn,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2015-017</w:t>
            </w:r>
          </w:p>
        </w:tc>
      </w:tr>
      <w:tr>
        <w:trPr>
          <w:trHeight w:val="2898"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71"/>
              <w:jc w:val="both"/>
              <w:rPr>
                <w:rFonts w:ascii="宋体" w:hAnsi="宋体" w:cs="宋体" w:eastAsia="宋体" w:hint="default"/>
                <w:sz w:val="18"/>
                <w:szCs w:val="18"/>
              </w:rPr>
            </w:pPr>
            <w:r>
              <w:rPr>
                <w:rFonts w:ascii="宋体" w:hAnsi="宋体" w:cs="宋体" w:eastAsia="宋体" w:hint="default"/>
                <w:sz w:val="18"/>
                <w:szCs w:val="18"/>
              </w:rPr>
              <w:t>郑州 易度 传感 技术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71"/>
              <w:jc w:val="both"/>
              <w:rPr>
                <w:rFonts w:ascii="宋体" w:hAnsi="宋体" w:cs="宋体" w:eastAsia="宋体" w:hint="default"/>
                <w:sz w:val="18"/>
                <w:szCs w:val="18"/>
              </w:rPr>
            </w:pPr>
            <w:r>
              <w:rPr>
                <w:rFonts w:ascii="宋体" w:hAnsi="宋体" w:cs="宋体" w:eastAsia="宋体" w:hint="default"/>
                <w:sz w:val="18"/>
                <w:szCs w:val="18"/>
              </w:rPr>
              <w:t>传感 器研 发</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新设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100,000.00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20.00%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河南 汉威 电子 股份 有限 公 司、 薛永 亮等</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www.cninfc.com.cn,2015 </w:t>
            </w:r>
            <w:r>
              <w:rPr>
                <w:rFonts w:ascii="宋体" w:hAnsi="宋体" w:cs="宋体" w:eastAsia="宋体" w:hint="default"/>
                <w:sz w:val="18"/>
                <w:szCs w:val="18"/>
              </w:rPr>
              <w:t>年半年度报告</w:t>
            </w:r>
          </w:p>
        </w:tc>
      </w:tr>
      <w:tr>
        <w:trPr>
          <w:trHeight w:val="2898"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1"/>
              <w:jc w:val="both"/>
              <w:rPr>
                <w:rFonts w:ascii="宋体" w:hAnsi="宋体" w:cs="宋体" w:eastAsia="宋体" w:hint="default"/>
                <w:sz w:val="18"/>
                <w:szCs w:val="18"/>
              </w:rPr>
            </w:pPr>
            <w:r>
              <w:rPr>
                <w:rFonts w:ascii="宋体" w:hAnsi="宋体" w:cs="宋体" w:eastAsia="宋体" w:hint="default"/>
                <w:sz w:val="18"/>
                <w:szCs w:val="18"/>
              </w:rPr>
              <w:t>浙江 风向 标科 技有 限公 司</w:t>
            </w:r>
          </w:p>
        </w:tc>
        <w:tc>
          <w:tcPr>
            <w:tcW w:w="4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2"/>
              <w:jc w:val="left"/>
              <w:rPr>
                <w:rFonts w:ascii="宋体" w:hAnsi="宋体" w:cs="宋体" w:eastAsia="宋体" w:hint="default"/>
                <w:sz w:val="18"/>
                <w:szCs w:val="18"/>
              </w:rPr>
            </w:pPr>
            <w:r>
              <w:rPr>
                <w:rFonts w:ascii="宋体" w:hAnsi="宋体" w:cs="宋体" w:eastAsia="宋体" w:hint="default"/>
                <w:spacing w:val="24"/>
                <w:sz w:val="18"/>
                <w:szCs w:val="18"/>
              </w:rPr>
              <w:t>智能</w:t>
            </w:r>
            <w:r>
              <w:rPr>
                <w:rFonts w:ascii="宋体" w:hAnsi="宋体" w:cs="宋体" w:eastAsia="宋体" w:hint="default"/>
                <w:spacing w:val="-41"/>
                <w:sz w:val="18"/>
                <w:szCs w:val="18"/>
              </w:rPr>
              <w:t> </w:t>
            </w:r>
            <w:r>
              <w:rPr>
                <w:rFonts w:ascii="宋体" w:hAnsi="宋体" w:cs="宋体" w:eastAsia="宋体" w:hint="default"/>
                <w:spacing w:val="24"/>
                <w:sz w:val="18"/>
                <w:szCs w:val="18"/>
              </w:rPr>
              <w:t>家居</w:t>
            </w:r>
            <w:r>
              <w:rPr>
                <w:rFonts w:ascii="宋体" w:hAnsi="宋体" w:cs="宋体" w:eastAsia="宋体" w:hint="default"/>
                <w:spacing w:val="-41"/>
                <w:sz w:val="18"/>
                <w:szCs w:val="18"/>
              </w:rPr>
              <w:t> </w:t>
            </w:r>
            <w:r>
              <w:rPr>
                <w:rFonts w:ascii="宋体" w:hAnsi="宋体" w:cs="宋体" w:eastAsia="宋体" w:hint="default"/>
                <w:spacing w:val="24"/>
                <w:sz w:val="18"/>
                <w:szCs w:val="18"/>
              </w:rPr>
              <w:t>产品</w:t>
            </w:r>
            <w:r>
              <w:rPr>
                <w:rFonts w:ascii="宋体" w:hAnsi="宋体" w:cs="宋体" w:eastAsia="宋体" w:hint="default"/>
                <w:spacing w:val="-41"/>
                <w:sz w:val="18"/>
                <w:szCs w:val="18"/>
              </w:rPr>
              <w:t> </w:t>
            </w:r>
            <w:r>
              <w:rPr>
                <w:rFonts w:ascii="宋体" w:hAnsi="宋体" w:cs="宋体" w:eastAsia="宋体" w:hint="default"/>
                <w:sz w:val="18"/>
                <w:szCs w:val="18"/>
              </w:rPr>
              <w:t>研</w:t>
            </w:r>
            <w:r>
              <w:rPr>
                <w:rFonts w:ascii="宋体" w:hAnsi="宋体" w:cs="宋体" w:eastAsia="宋体" w:hint="default"/>
                <w:sz w:val="18"/>
                <w:szCs w:val="18"/>
              </w:rPr>
              <w:t> </w:t>
            </w:r>
            <w:r>
              <w:rPr>
                <w:rFonts w:ascii="宋体" w:hAnsi="宋体" w:cs="宋体" w:eastAsia="宋体" w:hint="default"/>
                <w:spacing w:val="24"/>
                <w:sz w:val="18"/>
                <w:szCs w:val="18"/>
              </w:rPr>
              <w:t>发、</w:t>
            </w:r>
            <w:r>
              <w:rPr>
                <w:rFonts w:ascii="宋体" w:hAnsi="宋体" w:cs="宋体" w:eastAsia="宋体" w:hint="default"/>
                <w:spacing w:val="-41"/>
                <w:sz w:val="18"/>
                <w:szCs w:val="18"/>
              </w:rPr>
              <w:t> </w:t>
            </w:r>
            <w:r>
              <w:rPr>
                <w:rFonts w:ascii="宋体" w:hAnsi="宋体" w:cs="宋体" w:eastAsia="宋体" w:hint="default"/>
                <w:sz w:val="18"/>
                <w:szCs w:val="18"/>
              </w:rPr>
              <w:t>生</w:t>
            </w:r>
            <w:r>
              <w:rPr>
                <w:rFonts w:ascii="宋体" w:hAnsi="宋体" w:cs="宋体" w:eastAsia="宋体" w:hint="default"/>
                <w:sz w:val="18"/>
                <w:szCs w:val="18"/>
              </w:rPr>
              <w:t> </w:t>
            </w:r>
            <w:r>
              <w:rPr>
                <w:rFonts w:ascii="宋体" w:hAnsi="宋体" w:cs="宋体" w:eastAsia="宋体" w:hint="default"/>
                <w:spacing w:val="24"/>
                <w:sz w:val="18"/>
                <w:szCs w:val="18"/>
              </w:rPr>
              <w:t>产、</w:t>
            </w:r>
            <w:r>
              <w:rPr>
                <w:rFonts w:ascii="宋体" w:hAnsi="宋体" w:cs="宋体" w:eastAsia="宋体" w:hint="default"/>
                <w:spacing w:val="-41"/>
                <w:sz w:val="18"/>
                <w:szCs w:val="18"/>
              </w:rPr>
              <w:t> </w:t>
            </w:r>
            <w:r>
              <w:rPr>
                <w:rFonts w:ascii="宋体" w:hAnsi="宋体" w:cs="宋体" w:eastAsia="宋体" w:hint="default"/>
                <w:sz w:val="18"/>
                <w:szCs w:val="18"/>
              </w:rPr>
              <w:t>销售</w:t>
            </w:r>
          </w:p>
        </w:tc>
        <w:tc>
          <w:tcPr>
            <w:tcW w:w="46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增资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15,000,000.00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13.04%</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浙江 风向 标科 技有 限公 司原 股东 马延 文等</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www.cninfo.com.cn,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2015-017</w:t>
            </w:r>
          </w:p>
        </w:tc>
      </w:tr>
      <w:tr>
        <w:trPr>
          <w:trHeight w:val="1338"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1"/>
              <w:jc w:val="both"/>
              <w:rPr>
                <w:rFonts w:ascii="宋体" w:hAnsi="宋体" w:cs="宋体" w:eastAsia="宋体" w:hint="default"/>
                <w:sz w:val="18"/>
                <w:szCs w:val="18"/>
              </w:rPr>
            </w:pPr>
            <w:r>
              <w:rPr>
                <w:rFonts w:ascii="宋体" w:hAnsi="宋体" w:cs="宋体" w:eastAsia="宋体" w:hint="default"/>
                <w:sz w:val="18"/>
                <w:szCs w:val="18"/>
              </w:rPr>
              <w:t>郑州 汉威 智能 仪表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1"/>
              <w:jc w:val="left"/>
              <w:rPr>
                <w:rFonts w:ascii="宋体" w:hAnsi="宋体" w:cs="宋体" w:eastAsia="宋体" w:hint="default"/>
                <w:sz w:val="18"/>
                <w:szCs w:val="18"/>
              </w:rPr>
            </w:pPr>
            <w:r>
              <w:rPr>
                <w:rFonts w:ascii="宋体" w:hAnsi="宋体" w:cs="宋体" w:eastAsia="宋体" w:hint="default"/>
                <w:sz w:val="18"/>
                <w:szCs w:val="18"/>
              </w:rPr>
              <w:t>电子 远传 水 表、</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7"/>
              <w:jc w:val="right"/>
              <w:rPr>
                <w:rFonts w:ascii="宋体" w:hAnsi="宋体" w:cs="宋体" w:eastAsia="宋体" w:hint="default"/>
                <w:sz w:val="18"/>
                <w:szCs w:val="18"/>
              </w:rPr>
            </w:pPr>
            <w:r>
              <w:rPr>
                <w:rFonts w:ascii="宋体" w:hAnsi="宋体" w:cs="宋体" w:eastAsia="宋体" w:hint="default"/>
                <w:sz w:val="18"/>
                <w:szCs w:val="18"/>
              </w:rPr>
              <w:t>新设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2,550,000.00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51.00%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0"/>
              <w:jc w:val="both"/>
              <w:rPr>
                <w:rFonts w:ascii="宋体" w:hAnsi="宋体" w:cs="宋体" w:eastAsia="宋体" w:hint="default"/>
                <w:sz w:val="18"/>
                <w:szCs w:val="18"/>
              </w:rPr>
            </w:pPr>
            <w:r>
              <w:rPr>
                <w:rFonts w:ascii="宋体" w:hAnsi="宋体" w:cs="宋体" w:eastAsia="宋体" w:hint="default"/>
                <w:sz w:val="18"/>
                <w:szCs w:val="18"/>
              </w:rPr>
              <w:t>青岛 积成 电子 有限</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sz w:val="18"/>
              </w:rPr>
              <w:t>-559,434.27</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www.cninfc.com.cn,2015 </w:t>
            </w:r>
            <w:r>
              <w:rPr>
                <w:rFonts w:ascii="宋体" w:hAnsi="宋体" w:cs="宋体" w:eastAsia="宋体" w:hint="default"/>
                <w:sz w:val="18"/>
                <w:szCs w:val="18"/>
              </w:rPr>
              <w:t>年第一季度报告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466"/>
        <w:gridCol w:w="466"/>
        <w:gridCol w:w="464"/>
        <w:gridCol w:w="1316"/>
        <w:gridCol w:w="685"/>
        <w:gridCol w:w="245"/>
        <w:gridCol w:w="465"/>
        <w:gridCol w:w="466"/>
        <w:gridCol w:w="464"/>
        <w:gridCol w:w="466"/>
        <w:gridCol w:w="1225"/>
        <w:gridCol w:w="466"/>
        <w:gridCol w:w="464"/>
        <w:gridCol w:w="2036"/>
      </w:tblGrid>
      <w:tr>
        <w:trPr>
          <w:trHeight w:val="4107"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抄表 智能 终 端、 抄表 收费 软件 系统 的研 究、 开 发、 销售</w:t>
            </w:r>
          </w:p>
        </w:tc>
        <w:tc>
          <w:tcPr>
            <w:tcW w:w="46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德煦 智能 科技</w:t>
            </w:r>
          </w:p>
          <w:p>
            <w:pPr>
              <w:pStyle w:val="TableParagraph"/>
              <w:spacing w:line="319" w:lineRule="auto" w:before="19"/>
              <w:ind w:left="22" w:right="71"/>
              <w:jc w:val="both"/>
              <w:rPr>
                <w:rFonts w:ascii="宋体" w:hAnsi="宋体" w:cs="宋体" w:eastAsia="宋体" w:hint="default"/>
                <w:sz w:val="18"/>
                <w:szCs w:val="18"/>
              </w:rPr>
            </w:pPr>
            <w:r>
              <w:rPr>
                <w:rFonts w:ascii="宋体" w:hAnsi="宋体" w:cs="宋体" w:eastAsia="宋体" w:hint="default"/>
                <w:sz w:val="18"/>
                <w:szCs w:val="18"/>
              </w:rPr>
              <w:t>（上 海）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both"/>
              <w:rPr>
                <w:rFonts w:ascii="宋体" w:hAnsi="宋体" w:cs="宋体" w:eastAsia="宋体" w:hint="default"/>
                <w:sz w:val="18"/>
                <w:szCs w:val="18"/>
              </w:rPr>
            </w:pPr>
            <w:r>
              <w:rPr>
                <w:rFonts w:ascii="宋体" w:hAnsi="宋体" w:cs="宋体" w:eastAsia="宋体" w:hint="default"/>
                <w:sz w:val="18"/>
                <w:szCs w:val="18"/>
              </w:rPr>
              <w:t>智能 家居 生活 室内 空气 质量 综合 解决 方案</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增资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300,000.00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15.00%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德煦 智能 科技</w:t>
            </w:r>
          </w:p>
          <w:p>
            <w:pPr>
              <w:pStyle w:val="TableParagraph"/>
              <w:spacing w:line="319" w:lineRule="auto" w:before="19"/>
              <w:ind w:left="22" w:right="70"/>
              <w:jc w:val="both"/>
              <w:rPr>
                <w:rFonts w:ascii="宋体" w:hAnsi="宋体" w:cs="宋体" w:eastAsia="宋体" w:hint="default"/>
                <w:sz w:val="18"/>
                <w:szCs w:val="18"/>
              </w:rPr>
            </w:pPr>
            <w:r>
              <w:rPr>
                <w:rFonts w:ascii="宋体" w:hAnsi="宋体" w:cs="宋体" w:eastAsia="宋体" w:hint="default"/>
                <w:sz w:val="18"/>
                <w:szCs w:val="18"/>
              </w:rPr>
              <w:t>（上 海） 有限 公司 原股 东徐 军毅 等</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www.cninfc.com.cn,2014 </w:t>
            </w:r>
            <w:r>
              <w:rPr>
                <w:rFonts w:ascii="宋体" w:hAnsi="宋体" w:cs="宋体" w:eastAsia="宋体" w:hint="default"/>
                <w:sz w:val="18"/>
                <w:szCs w:val="18"/>
              </w:rPr>
              <w:t>年年度报告</w:t>
            </w:r>
          </w:p>
        </w:tc>
      </w:tr>
      <w:tr>
        <w:trPr>
          <w:trHeight w:val="3522"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英森 电气 系统</w:t>
            </w:r>
          </w:p>
          <w:p>
            <w:pPr>
              <w:pStyle w:val="TableParagraph"/>
              <w:spacing w:line="319" w:lineRule="auto" w:before="19"/>
              <w:ind w:left="22" w:right="71"/>
              <w:jc w:val="both"/>
              <w:rPr>
                <w:rFonts w:ascii="宋体" w:hAnsi="宋体" w:cs="宋体" w:eastAsia="宋体" w:hint="default"/>
                <w:sz w:val="18"/>
                <w:szCs w:val="18"/>
              </w:rPr>
            </w:pPr>
            <w:r>
              <w:rPr>
                <w:rFonts w:ascii="宋体" w:hAnsi="宋体" w:cs="宋体" w:eastAsia="宋体" w:hint="default"/>
                <w:sz w:val="18"/>
                <w:szCs w:val="18"/>
              </w:rPr>
              <w:t>（上 海）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工业 消防 及气 体安 全领 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收购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7,030,900.00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33.89%</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英森 电气 系统</w:t>
            </w:r>
          </w:p>
          <w:p>
            <w:pPr>
              <w:pStyle w:val="TableParagraph"/>
              <w:spacing w:line="319" w:lineRule="auto" w:before="19"/>
              <w:ind w:left="22" w:right="70"/>
              <w:jc w:val="both"/>
              <w:rPr>
                <w:rFonts w:ascii="宋体" w:hAnsi="宋体" w:cs="宋体" w:eastAsia="宋体" w:hint="default"/>
                <w:sz w:val="18"/>
                <w:szCs w:val="18"/>
              </w:rPr>
            </w:pPr>
            <w:r>
              <w:rPr>
                <w:rFonts w:ascii="宋体" w:hAnsi="宋体" w:cs="宋体" w:eastAsia="宋体" w:hint="default"/>
                <w:sz w:val="18"/>
                <w:szCs w:val="18"/>
              </w:rPr>
              <w:t>（上 海） 有限 公司 原股 东李 鑫、 李菁</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417,583.92</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www.cninfc.com.cn,2015 </w:t>
            </w:r>
            <w:r>
              <w:rPr>
                <w:rFonts w:ascii="宋体" w:hAnsi="宋体" w:cs="宋体" w:eastAsia="宋体" w:hint="default"/>
                <w:sz w:val="18"/>
                <w:szCs w:val="18"/>
              </w:rPr>
              <w:t>年半年度报告</w:t>
            </w:r>
          </w:p>
        </w:tc>
      </w:tr>
      <w:tr>
        <w:trPr>
          <w:trHeight w:val="2586"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河南 华夏 海纳 创业 投资 集团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创业 项目 天使 投资 及新 三板 项目 投资</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7"/>
              <w:jc w:val="right"/>
              <w:rPr>
                <w:rFonts w:ascii="宋体" w:hAnsi="宋体" w:cs="宋体" w:eastAsia="宋体" w:hint="default"/>
                <w:sz w:val="18"/>
                <w:szCs w:val="18"/>
              </w:rPr>
            </w:pPr>
            <w:r>
              <w:rPr>
                <w:rFonts w:ascii="宋体" w:hAnsi="宋体" w:cs="宋体" w:eastAsia="宋体" w:hint="default"/>
                <w:sz w:val="18"/>
                <w:szCs w:val="18"/>
              </w:rPr>
              <w:t>增资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30,000,000.00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5.45%</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0"/>
              <w:jc w:val="both"/>
              <w:rPr>
                <w:rFonts w:ascii="宋体" w:hAnsi="宋体" w:cs="宋体" w:eastAsia="宋体" w:hint="default"/>
                <w:sz w:val="18"/>
                <w:szCs w:val="18"/>
              </w:rPr>
            </w:pPr>
            <w:r>
              <w:rPr>
                <w:rFonts w:ascii="宋体" w:hAnsi="宋体" w:cs="宋体" w:eastAsia="宋体" w:hint="default"/>
                <w:sz w:val="18"/>
                <w:szCs w:val="18"/>
              </w:rPr>
              <w:t>河南 华夏 海纳 创业 投资 集团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319" w:lineRule="auto" w:before="77"/>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2015-058</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466"/>
        <w:gridCol w:w="466"/>
        <w:gridCol w:w="464"/>
        <w:gridCol w:w="1316"/>
        <w:gridCol w:w="685"/>
        <w:gridCol w:w="245"/>
        <w:gridCol w:w="465"/>
        <w:gridCol w:w="466"/>
        <w:gridCol w:w="464"/>
        <w:gridCol w:w="466"/>
        <w:gridCol w:w="1225"/>
        <w:gridCol w:w="466"/>
        <w:gridCol w:w="464"/>
        <w:gridCol w:w="2036"/>
      </w:tblGrid>
      <w:tr>
        <w:trPr>
          <w:trHeight w:val="1611" w:hRule="exact"/>
        </w:trPr>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0"/>
              <w:jc w:val="both"/>
              <w:rPr>
                <w:rFonts w:ascii="宋体" w:hAnsi="宋体" w:cs="宋体" w:eastAsia="宋体" w:hint="default"/>
                <w:sz w:val="18"/>
                <w:szCs w:val="18"/>
              </w:rPr>
            </w:pPr>
            <w:r>
              <w:rPr>
                <w:rFonts w:ascii="宋体" w:hAnsi="宋体" w:cs="宋体" w:eastAsia="宋体" w:hint="default"/>
                <w:sz w:val="18"/>
                <w:szCs w:val="18"/>
              </w:rPr>
              <w:t>原股 东李 祺、 李明 等</w:t>
            </w: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郑州 汉威 智源 科技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智慧 热力 建设</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47"/>
              <w:jc w:val="right"/>
              <w:rPr>
                <w:rFonts w:ascii="宋体" w:hAnsi="宋体" w:cs="宋体" w:eastAsia="宋体" w:hint="default"/>
                <w:sz w:val="18"/>
                <w:szCs w:val="18"/>
              </w:rPr>
            </w:pPr>
            <w:r>
              <w:rPr>
                <w:rFonts w:ascii="宋体" w:hAnsi="宋体" w:cs="宋体" w:eastAsia="宋体" w:hint="default"/>
                <w:sz w:val="18"/>
                <w:szCs w:val="18"/>
              </w:rPr>
              <w:t>新设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sz w:val="18"/>
              </w:rPr>
              <w:t>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sz w:val="18"/>
              </w:rPr>
              <w:t>65.00%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郑州 高新 投资 建设 集团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2015-064</w:t>
            </w:r>
          </w:p>
        </w:tc>
      </w:tr>
      <w:tr>
        <w:trPr>
          <w:trHeight w:val="4146"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广东 龙泉 科技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地理 信息 系统 工 程、 系统 集成 工程 及相 关技 术咨 询服 务</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收购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20,981,961.00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51.00%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0"/>
              <w:jc w:val="both"/>
              <w:rPr>
                <w:rFonts w:ascii="宋体" w:hAnsi="宋体" w:cs="宋体" w:eastAsia="宋体" w:hint="default"/>
                <w:sz w:val="18"/>
                <w:szCs w:val="18"/>
              </w:rPr>
            </w:pPr>
            <w:r>
              <w:rPr>
                <w:rFonts w:ascii="宋体" w:hAnsi="宋体" w:cs="宋体" w:eastAsia="宋体" w:hint="default"/>
                <w:sz w:val="18"/>
                <w:szCs w:val="18"/>
              </w:rPr>
              <w:t>广东 龙泉 科技 有限 公司 周志 刚、 王家 豪</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1,486,260.10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2015-079</w:t>
            </w:r>
          </w:p>
        </w:tc>
      </w:tr>
      <w:tr>
        <w:trPr>
          <w:trHeight w:val="4458"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71"/>
              <w:jc w:val="both"/>
              <w:rPr>
                <w:rFonts w:ascii="宋体" w:hAnsi="宋体" w:cs="宋体" w:eastAsia="宋体" w:hint="default"/>
                <w:sz w:val="18"/>
                <w:szCs w:val="18"/>
              </w:rPr>
            </w:pPr>
            <w:r>
              <w:rPr>
                <w:rFonts w:ascii="宋体" w:hAnsi="宋体" w:cs="宋体" w:eastAsia="宋体" w:hint="default"/>
                <w:sz w:val="18"/>
                <w:szCs w:val="18"/>
              </w:rPr>
              <w:t>上海 中威 天安 公共 安全 科技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71"/>
              <w:jc w:val="left"/>
              <w:rPr>
                <w:rFonts w:ascii="宋体" w:hAnsi="宋体" w:cs="宋体" w:eastAsia="宋体" w:hint="default"/>
                <w:sz w:val="18"/>
                <w:szCs w:val="18"/>
              </w:rPr>
            </w:pPr>
            <w:r>
              <w:rPr>
                <w:rFonts w:ascii="宋体" w:hAnsi="宋体" w:cs="宋体" w:eastAsia="宋体" w:hint="default"/>
                <w:sz w:val="18"/>
                <w:szCs w:val="18"/>
              </w:rPr>
              <w:t>公共 安全 设备 及器 材的 研 发、 销售</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收购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8,750,000.00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15.00%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上海 中威 天安 公共 安全 科技 有限 公司 原股 东魏 建 明、 詹自 力</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www.cninfc.com.cn,2015 </w:t>
            </w:r>
            <w:r>
              <w:rPr>
                <w:rFonts w:ascii="宋体" w:hAnsi="宋体" w:cs="宋体" w:eastAsia="宋体" w:hint="default"/>
                <w:sz w:val="18"/>
                <w:szCs w:val="18"/>
              </w:rPr>
              <w:t>年第三季度报告</w:t>
            </w:r>
          </w:p>
        </w:tc>
      </w:tr>
      <w:tr>
        <w:trPr>
          <w:trHeight w:val="1338"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71"/>
              <w:jc w:val="both"/>
              <w:rPr>
                <w:rFonts w:ascii="宋体" w:hAnsi="宋体" w:cs="宋体" w:eastAsia="宋体" w:hint="default"/>
                <w:sz w:val="18"/>
                <w:szCs w:val="18"/>
              </w:rPr>
            </w:pPr>
            <w:r>
              <w:rPr>
                <w:rFonts w:ascii="宋体" w:hAnsi="宋体" w:cs="宋体" w:eastAsia="宋体" w:hint="default"/>
                <w:sz w:val="18"/>
                <w:szCs w:val="18"/>
              </w:rPr>
              <w:t>河南 雪城 软件 有限</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71"/>
              <w:jc w:val="both"/>
              <w:rPr>
                <w:rFonts w:ascii="宋体" w:hAnsi="宋体" w:cs="宋体" w:eastAsia="宋体" w:hint="default"/>
                <w:sz w:val="18"/>
                <w:szCs w:val="18"/>
              </w:rPr>
            </w:pPr>
            <w:r>
              <w:rPr>
                <w:rFonts w:ascii="宋体" w:hAnsi="宋体" w:cs="宋体" w:eastAsia="宋体" w:hint="default"/>
                <w:sz w:val="18"/>
                <w:szCs w:val="18"/>
              </w:rPr>
              <w:t>环保 信息 化软 件研</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7"/>
              <w:jc w:val="right"/>
              <w:rPr>
                <w:rFonts w:ascii="宋体" w:hAnsi="宋体" w:cs="宋体" w:eastAsia="宋体" w:hint="default"/>
                <w:sz w:val="18"/>
                <w:szCs w:val="18"/>
              </w:rPr>
            </w:pPr>
            <w:r>
              <w:rPr>
                <w:rFonts w:ascii="宋体" w:hAnsi="宋体" w:cs="宋体" w:eastAsia="宋体" w:hint="default"/>
                <w:sz w:val="18"/>
                <w:szCs w:val="18"/>
              </w:rPr>
              <w:t>收购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sz w:val="18"/>
              </w:rPr>
              <w:t>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sz w:val="18"/>
              </w:rPr>
              <w:t>26.00%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70"/>
              <w:jc w:val="both"/>
              <w:rPr>
                <w:rFonts w:ascii="宋体" w:hAnsi="宋体" w:cs="宋体" w:eastAsia="宋体" w:hint="default"/>
                <w:sz w:val="18"/>
                <w:szCs w:val="18"/>
              </w:rPr>
            </w:pPr>
            <w:r>
              <w:rPr>
                <w:rFonts w:ascii="宋体" w:hAnsi="宋体" w:cs="宋体" w:eastAsia="宋体" w:hint="default"/>
                <w:sz w:val="18"/>
                <w:szCs w:val="18"/>
              </w:rPr>
              <w:t>河南 雪城 软件 有限</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2015-102</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466"/>
        <w:gridCol w:w="466"/>
        <w:gridCol w:w="464"/>
        <w:gridCol w:w="1316"/>
        <w:gridCol w:w="685"/>
        <w:gridCol w:w="245"/>
        <w:gridCol w:w="465"/>
        <w:gridCol w:w="466"/>
        <w:gridCol w:w="464"/>
        <w:gridCol w:w="466"/>
        <w:gridCol w:w="1225"/>
        <w:gridCol w:w="466"/>
        <w:gridCol w:w="464"/>
        <w:gridCol w:w="2036"/>
      </w:tblGrid>
      <w:tr>
        <w:trPr>
          <w:trHeight w:val="2235"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1"/>
              <w:jc w:val="both"/>
              <w:rPr>
                <w:rFonts w:ascii="宋体" w:hAnsi="宋体" w:cs="宋体" w:eastAsia="宋体" w:hint="default"/>
                <w:sz w:val="18"/>
                <w:szCs w:val="18"/>
              </w:rPr>
            </w:pPr>
            <w:r>
              <w:rPr>
                <w:rFonts w:ascii="宋体" w:hAnsi="宋体" w:cs="宋体" w:eastAsia="宋体" w:hint="default"/>
                <w:sz w:val="18"/>
                <w:szCs w:val="18"/>
              </w:rPr>
              <w:t>发和 数据 采集 服务</w:t>
            </w:r>
          </w:p>
        </w:tc>
        <w:tc>
          <w:tcPr>
            <w:tcW w:w="46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0"/>
              <w:jc w:val="left"/>
              <w:rPr>
                <w:rFonts w:ascii="宋体" w:hAnsi="宋体" w:cs="宋体" w:eastAsia="宋体" w:hint="default"/>
                <w:sz w:val="18"/>
                <w:szCs w:val="18"/>
              </w:rPr>
            </w:pPr>
            <w:r>
              <w:rPr>
                <w:rFonts w:ascii="宋体" w:hAnsi="宋体" w:cs="宋体" w:eastAsia="宋体" w:hint="default"/>
                <w:sz w:val="18"/>
                <w:szCs w:val="18"/>
              </w:rPr>
              <w:t>公司 原股 东路 宝 山、 施晓 雯</w:t>
            </w: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1"/>
              <w:jc w:val="both"/>
              <w:rPr>
                <w:rFonts w:ascii="宋体" w:hAnsi="宋体" w:cs="宋体" w:eastAsia="宋体" w:hint="default"/>
                <w:sz w:val="18"/>
                <w:szCs w:val="18"/>
              </w:rPr>
            </w:pPr>
            <w:r>
              <w:rPr>
                <w:rFonts w:ascii="宋体" w:hAnsi="宋体" w:cs="宋体" w:eastAsia="宋体" w:hint="default"/>
                <w:sz w:val="18"/>
                <w:szCs w:val="18"/>
              </w:rPr>
              <w:t>河南 雪城 软件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环保 信息 化软 件研 发和 数据 采集 服务</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增资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25.00%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0"/>
              <w:jc w:val="both"/>
              <w:rPr>
                <w:rFonts w:ascii="宋体" w:hAnsi="宋体" w:cs="宋体" w:eastAsia="宋体" w:hint="default"/>
                <w:sz w:val="18"/>
                <w:szCs w:val="18"/>
              </w:rPr>
            </w:pPr>
            <w:r>
              <w:rPr>
                <w:rFonts w:ascii="宋体" w:hAnsi="宋体" w:cs="宋体" w:eastAsia="宋体" w:hint="default"/>
                <w:sz w:val="18"/>
                <w:szCs w:val="18"/>
              </w:rPr>
              <w:t>河南 汉威 电子 股份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2015-102</w:t>
            </w:r>
          </w:p>
        </w:tc>
      </w:tr>
      <w:tr>
        <w:trPr>
          <w:trHeight w:val="1962" w:hRule="exact"/>
        </w:trPr>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上海 威研 融创 实业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传感 器技 术研 发与 进出 口</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河南 汉威 电子 股份 有限 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36" w:right="4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6"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0"/>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www.cninfc.com.cn,</w:t>
            </w:r>
            <w:r>
              <w:rPr>
                <w:rFonts w:ascii="宋体" w:hAnsi="宋体" w:cs="宋体" w:eastAsia="宋体" w:hint="default"/>
                <w:sz w:val="18"/>
                <w:szCs w:val="18"/>
              </w:rPr>
              <w:t>公告 编号为</w:t>
            </w:r>
            <w:r>
              <w:rPr>
                <w:rFonts w:ascii="宋体" w:hAnsi="宋体" w:cs="宋体" w:eastAsia="宋体" w:hint="default"/>
                <w:spacing w:val="-46"/>
                <w:sz w:val="18"/>
                <w:szCs w:val="18"/>
              </w:rPr>
              <w:t> </w:t>
            </w:r>
            <w:r>
              <w:rPr>
                <w:rFonts w:ascii="宋体" w:hAnsi="宋体" w:cs="宋体" w:eastAsia="宋体" w:hint="default"/>
                <w:sz w:val="18"/>
                <w:szCs w:val="18"/>
              </w:rPr>
              <w:t>2015-105</w:t>
            </w:r>
          </w:p>
        </w:tc>
      </w:tr>
      <w:tr>
        <w:trPr>
          <w:trHeight w:val="402" w:hRule="exact"/>
        </w:trPr>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sz w:val="18"/>
              </w:rPr>
              <w:t>--</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154,712,861.00</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sz w:val="18"/>
              </w:rPr>
              <w:t>--</w:t>
            </w:r>
          </w:p>
        </w:tc>
        <w:tc>
          <w:tcPr>
            <w:tcW w:w="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sz w:val="18"/>
              </w:rPr>
              <w:t>--</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sz w:val="18"/>
              </w:rPr>
              <w:t>--</w:t>
            </w:r>
          </w:p>
        </w:tc>
        <w:tc>
          <w:tcPr>
            <w:tcW w:w="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26,555,331.23</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sz w:val="18"/>
              </w:rPr>
              <w:t>--</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7"/>
        <w:jc w:val="left"/>
        <w:rPr>
          <w:b w:val="0"/>
          <w:bCs w:val="0"/>
        </w:rPr>
      </w:pPr>
      <w:bookmarkStart w:name="3、报告期内正在进行的重大的非股权投资情况" w:id="42"/>
      <w:bookmarkEnd w:id="42"/>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4、以公允价值计量的金融资产" w:id="43"/>
      <w:bookmarkEnd w:id="43"/>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5、募集资金使用情况" w:id="44"/>
      <w:bookmarkEnd w:id="44"/>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3" w:right="1117"/>
        <w:jc w:val="left"/>
        <w:rPr>
          <w:b w:val="0"/>
          <w:bCs w:val="0"/>
        </w:rPr>
      </w:pPr>
      <w:bookmarkStart w:name="（1）募集资金总体使用情况" w:id="45"/>
      <w:bookmarkEnd w:id="45"/>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66"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6"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首次公开 发行股票 并在创业 板上市</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37,363.95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1,578.04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38,914.79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已永久补 充流动资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重大资产 重组配套 融资</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15,500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178.15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15,403.04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已永久补 充流动资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52,863.95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1,756.19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54,317.83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年，公司在通过</w:t>
            </w:r>
            <w:r>
              <w:rPr>
                <w:rFonts w:ascii="宋体" w:hAnsi="宋体" w:cs="宋体" w:eastAsia="宋体" w:hint="default"/>
                <w:spacing w:val="-46"/>
                <w:sz w:val="18"/>
                <w:szCs w:val="18"/>
              </w:rPr>
              <w:t> </w:t>
            </w:r>
            <w:r>
              <w:rPr>
                <w:rFonts w:ascii="宋体" w:hAnsi="宋体" w:cs="宋体" w:eastAsia="宋体" w:hint="default"/>
                <w:sz w:val="18"/>
                <w:szCs w:val="18"/>
              </w:rPr>
              <w:t>IPO</w:t>
            </w:r>
            <w:r>
              <w:rPr>
                <w:rFonts w:ascii="宋体" w:hAnsi="宋体" w:cs="宋体" w:eastAsia="宋体" w:hint="default"/>
                <w:spacing w:val="-45"/>
                <w:sz w:val="18"/>
                <w:szCs w:val="18"/>
              </w:rPr>
              <w:t> </w:t>
            </w:r>
            <w:r>
              <w:rPr>
                <w:rFonts w:ascii="宋体" w:hAnsi="宋体" w:cs="宋体" w:eastAsia="宋体" w:hint="default"/>
                <w:sz w:val="18"/>
                <w:szCs w:val="18"/>
              </w:rPr>
              <w:t>发行股份募集资金</w:t>
            </w:r>
            <w:r>
              <w:rPr>
                <w:rFonts w:ascii="宋体" w:hAnsi="宋体" w:cs="宋体" w:eastAsia="宋体" w:hint="default"/>
                <w:spacing w:val="-46"/>
                <w:sz w:val="18"/>
                <w:szCs w:val="18"/>
              </w:rPr>
              <w:t> </w:t>
            </w:r>
            <w:r>
              <w:rPr>
                <w:rFonts w:ascii="宋体" w:hAnsi="宋体" w:cs="宋体" w:eastAsia="宋体" w:hint="default"/>
                <w:sz w:val="18"/>
                <w:szCs w:val="18"/>
              </w:rPr>
              <w:t>37,363.95</w:t>
            </w:r>
            <w:r>
              <w:rPr>
                <w:rFonts w:ascii="宋体" w:hAnsi="宋体" w:cs="宋体" w:eastAsia="宋体" w:hint="default"/>
                <w:spacing w:val="-46"/>
                <w:sz w:val="18"/>
                <w:szCs w:val="18"/>
              </w:rPr>
              <w:t> </w:t>
            </w:r>
            <w:r>
              <w:rPr>
                <w:rFonts w:ascii="宋体" w:hAnsi="宋体" w:cs="宋体" w:eastAsia="宋体" w:hint="default"/>
                <w:sz w:val="18"/>
                <w:szCs w:val="18"/>
              </w:rPr>
              <w:t>万元，具体使用情况请见下表。</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年，公司进行重大资 产重组，通过发行股票募集配套资金</w:t>
            </w:r>
            <w:r>
              <w:rPr>
                <w:rFonts w:ascii="宋体" w:hAnsi="宋体" w:cs="宋体" w:eastAsia="宋体" w:hint="default"/>
                <w:spacing w:val="-46"/>
                <w:sz w:val="18"/>
                <w:szCs w:val="18"/>
              </w:rPr>
              <w:t> </w:t>
            </w:r>
            <w:r>
              <w:rPr>
                <w:rFonts w:ascii="宋体" w:hAnsi="宋体" w:cs="宋体" w:eastAsia="宋体" w:hint="default"/>
                <w:sz w:val="18"/>
                <w:szCs w:val="18"/>
              </w:rPr>
              <w:t>15,500</w:t>
            </w:r>
            <w:r>
              <w:rPr>
                <w:rFonts w:ascii="宋体" w:hAnsi="宋体" w:cs="宋体" w:eastAsia="宋体" w:hint="default"/>
                <w:spacing w:val="-46"/>
                <w:sz w:val="18"/>
                <w:szCs w:val="18"/>
              </w:rPr>
              <w:t> </w:t>
            </w:r>
            <w:r>
              <w:rPr>
                <w:rFonts w:ascii="宋体" w:hAnsi="宋体" w:cs="宋体" w:eastAsia="宋体" w:hint="default"/>
                <w:sz w:val="18"/>
                <w:szCs w:val="18"/>
              </w:rPr>
              <w:t>万元，具体使用情况请见下表。</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募集资金承诺项目情况" w:id="46"/>
      <w:bookmarkEnd w:id="46"/>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589"/>
        <w:gridCol w:w="664"/>
        <w:gridCol w:w="649"/>
        <w:gridCol w:w="868"/>
        <w:gridCol w:w="778"/>
        <w:gridCol w:w="907"/>
        <w:gridCol w:w="710"/>
        <w:gridCol w:w="600"/>
        <w:gridCol w:w="777"/>
        <w:gridCol w:w="868"/>
        <w:gridCol w:w="648"/>
        <w:gridCol w:w="636"/>
      </w:tblGrid>
      <w:tr>
        <w:trPr>
          <w:trHeight w:val="1650"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8" w:right="6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55"/>
              <w:jc w:val="center"/>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 部分变 更</w:t>
            </w:r>
            <w:r>
              <w:rPr>
                <w:rFonts w:ascii="宋体" w:hAnsi="宋体" w:cs="宋体" w:eastAsia="宋体" w:hint="default"/>
                <w:sz w:val="18"/>
                <w:szCs w:val="18"/>
              </w:rPr>
              <w:t>)</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 w:right="5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0" w:right="25" w:firstLine="44"/>
              <w:jc w:val="left"/>
              <w:rPr>
                <w:rFonts w:ascii="宋体" w:hAnsi="宋体" w:cs="宋体" w:eastAsia="宋体" w:hint="default"/>
                <w:sz w:val="18"/>
                <w:szCs w:val="18"/>
              </w:rPr>
            </w:pPr>
            <w:r>
              <w:rPr>
                <w:rFonts w:ascii="宋体" w:hAnsi="宋体" w:cs="宋体" w:eastAsia="宋体" w:hint="default"/>
                <w:sz w:val="18"/>
                <w:szCs w:val="18"/>
              </w:rPr>
              <w:t>调整后投 资总额</w:t>
            </w:r>
            <w:r>
              <w:rPr>
                <w:rFonts w:ascii="宋体" w:hAnsi="宋体" w:cs="宋体" w:eastAsia="宋体"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0" w:right="2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6" w:right="79"/>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 w:right="26" w:firstLine="44"/>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41" w:right="26" w:firstLine="22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2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5" w:right="71"/>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8" w:right="4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 w:right="42"/>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万支红外气</w:t>
            </w:r>
          </w:p>
          <w:p>
            <w:pPr>
              <w:pStyle w:val="TableParagraph"/>
              <w:spacing w:line="319" w:lineRule="auto" w:before="76"/>
              <w:ind w:left="22" w:right="114"/>
              <w:jc w:val="both"/>
              <w:rPr>
                <w:rFonts w:ascii="宋体" w:hAnsi="宋体" w:cs="宋体" w:eastAsia="宋体" w:hint="default"/>
                <w:sz w:val="18"/>
                <w:szCs w:val="18"/>
              </w:rPr>
            </w:pPr>
            <w:r>
              <w:rPr>
                <w:rFonts w:ascii="宋体" w:hAnsi="宋体" w:cs="宋体" w:eastAsia="宋体" w:hint="default"/>
                <w:sz w:val="18"/>
                <w:szCs w:val="18"/>
              </w:rPr>
              <w:t>体传感器及</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pacing w:val="-46"/>
                <w:sz w:val="18"/>
                <w:szCs w:val="18"/>
              </w:rPr>
              <w:t> </w:t>
            </w:r>
            <w:r>
              <w:rPr>
                <w:rFonts w:ascii="宋体" w:hAnsi="宋体" w:cs="宋体" w:eastAsia="宋体" w:hint="default"/>
                <w:sz w:val="18"/>
                <w:szCs w:val="18"/>
              </w:rPr>
              <w:t>万 台红外气体检测仪 器仪表项目</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
              <w:jc w:val="right"/>
              <w:rPr>
                <w:rFonts w:ascii="新宋体" w:hAnsi="新宋体" w:cs="新宋体" w:eastAsia="新宋体" w:hint="default"/>
                <w:sz w:val="18"/>
                <w:szCs w:val="18"/>
              </w:rPr>
            </w:pPr>
            <w:r>
              <w:rPr>
                <w:rFonts w:ascii="新宋体"/>
                <w:sz w:val="18"/>
              </w:rPr>
              <w:t>7,020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新宋体" w:hAnsi="新宋体" w:cs="新宋体" w:eastAsia="新宋体" w:hint="default"/>
                <w:sz w:val="18"/>
                <w:szCs w:val="18"/>
              </w:rPr>
            </w:pPr>
            <w:r>
              <w:rPr>
                <w:rFonts w:ascii="新宋体"/>
                <w:sz w:val="18"/>
              </w:rPr>
              <w:t>7,079.63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right"/>
              <w:rPr>
                <w:rFonts w:ascii="新宋体" w:hAnsi="新宋体" w:cs="新宋体" w:eastAsia="新宋体" w:hint="default"/>
                <w:sz w:val="18"/>
                <w:szCs w:val="18"/>
              </w:rPr>
            </w:pPr>
            <w:r>
              <w:rPr>
                <w:rFonts w:ascii="新宋体"/>
                <w:sz w:val="18"/>
              </w:rPr>
              <w:t>12.64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
              <w:jc w:val="right"/>
              <w:rPr>
                <w:rFonts w:ascii="新宋体" w:hAnsi="新宋体" w:cs="新宋体" w:eastAsia="新宋体" w:hint="default"/>
                <w:sz w:val="18"/>
                <w:szCs w:val="18"/>
              </w:rPr>
            </w:pPr>
            <w:r>
              <w:rPr>
                <w:rFonts w:ascii="新宋体"/>
                <w:sz w:val="18"/>
              </w:rPr>
              <w:t>7,015.33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99.09%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7" w:right="15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606.85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1,949.36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万台电化学 气体检测仪器仪表 项目</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
              <w:jc w:val="right"/>
              <w:rPr>
                <w:rFonts w:ascii="新宋体" w:hAnsi="新宋体" w:cs="新宋体" w:eastAsia="新宋体" w:hint="default"/>
                <w:sz w:val="18"/>
                <w:szCs w:val="18"/>
              </w:rPr>
            </w:pPr>
            <w:r>
              <w:rPr>
                <w:rFonts w:ascii="新宋体"/>
                <w:sz w:val="18"/>
              </w:rPr>
              <w:t>8,560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新宋体" w:hAnsi="新宋体" w:cs="新宋体" w:eastAsia="新宋体" w:hint="default"/>
                <w:sz w:val="18"/>
                <w:szCs w:val="18"/>
              </w:rPr>
            </w:pPr>
            <w:r>
              <w:rPr>
                <w:rFonts w:ascii="新宋体"/>
                <w:sz w:val="18"/>
              </w:rPr>
              <w:t>10,378.85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right"/>
              <w:rPr>
                <w:rFonts w:ascii="新宋体" w:hAnsi="新宋体" w:cs="新宋体" w:eastAsia="新宋体" w:hint="default"/>
                <w:sz w:val="18"/>
                <w:szCs w:val="18"/>
              </w:rPr>
            </w:pPr>
            <w:r>
              <w:rPr>
                <w:rFonts w:ascii="新宋体"/>
                <w:sz w:val="18"/>
              </w:rPr>
              <w:t>896.25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
              <w:jc w:val="right"/>
              <w:rPr>
                <w:rFonts w:ascii="新宋体" w:hAnsi="新宋体" w:cs="新宋体" w:eastAsia="新宋体" w:hint="default"/>
                <w:sz w:val="18"/>
                <w:szCs w:val="18"/>
              </w:rPr>
            </w:pPr>
            <w:r>
              <w:rPr>
                <w:rFonts w:ascii="新宋体"/>
                <w:sz w:val="18"/>
              </w:rPr>
              <w:t>9,843.13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94.84%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7" w:right="15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1,803.87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6,017.87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4"/>
              <w:jc w:val="left"/>
              <w:rPr>
                <w:rFonts w:ascii="宋体" w:hAnsi="宋体" w:cs="宋体" w:eastAsia="宋体" w:hint="default"/>
                <w:sz w:val="18"/>
                <w:szCs w:val="18"/>
              </w:rPr>
            </w:pPr>
            <w:r>
              <w:rPr>
                <w:rFonts w:ascii="宋体" w:hAnsi="宋体" w:cs="宋体" w:eastAsia="宋体" w:hint="default"/>
                <w:sz w:val="18"/>
                <w:szCs w:val="18"/>
              </w:rPr>
              <w:t>客户营销服务网络 建设项目</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
              <w:jc w:val="right"/>
              <w:rPr>
                <w:rFonts w:ascii="新宋体" w:hAnsi="新宋体" w:cs="新宋体" w:eastAsia="新宋体" w:hint="default"/>
                <w:sz w:val="18"/>
                <w:szCs w:val="18"/>
              </w:rPr>
            </w:pPr>
            <w:r>
              <w:rPr>
                <w:rFonts w:ascii="新宋体"/>
                <w:sz w:val="18"/>
              </w:rPr>
              <w:t>2,577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新宋体" w:hAnsi="新宋体" w:cs="新宋体" w:eastAsia="新宋体" w:hint="default"/>
                <w:sz w:val="18"/>
                <w:szCs w:val="18"/>
              </w:rPr>
            </w:pPr>
            <w:r>
              <w:rPr>
                <w:rFonts w:ascii="新宋体"/>
                <w:sz w:val="18"/>
              </w:rPr>
              <w:t>2,500.66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right"/>
              <w:rPr>
                <w:rFonts w:ascii="新宋体" w:hAnsi="新宋体" w:cs="新宋体" w:eastAsia="新宋体" w:hint="default"/>
                <w:sz w:val="18"/>
                <w:szCs w:val="18"/>
              </w:rPr>
            </w:pPr>
            <w:r>
              <w:rPr>
                <w:rFonts w:ascii="新宋体"/>
                <w:sz w:val="18"/>
              </w:rPr>
              <w:t>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
              <w:jc w:val="right"/>
              <w:rPr>
                <w:rFonts w:ascii="新宋体" w:hAnsi="新宋体" w:cs="新宋体" w:eastAsia="新宋体" w:hint="default"/>
                <w:sz w:val="18"/>
                <w:szCs w:val="18"/>
              </w:rPr>
            </w:pPr>
            <w:r>
              <w:rPr>
                <w:rFonts w:ascii="新宋体"/>
                <w:sz w:val="18"/>
              </w:rPr>
              <w:t>2,500.66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2011</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319" w:lineRule="auto" w:before="76"/>
              <w:ind w:left="27" w:right="15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年重大资产重 组配套融资</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新宋体" w:hAnsi="新宋体" w:cs="新宋体" w:eastAsia="新宋体" w:hint="default"/>
                <w:sz w:val="18"/>
                <w:szCs w:val="18"/>
              </w:rPr>
            </w:pPr>
            <w:r>
              <w:rPr>
                <w:rFonts w:ascii="新宋体"/>
                <w:sz w:val="18"/>
              </w:rPr>
              <w:t>15,500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新宋体" w:hAnsi="新宋体" w:cs="新宋体" w:eastAsia="新宋体" w:hint="default"/>
                <w:sz w:val="18"/>
                <w:szCs w:val="18"/>
              </w:rPr>
            </w:pPr>
            <w:r>
              <w:rPr>
                <w:rFonts w:ascii="新宋体"/>
                <w:sz w:val="18"/>
              </w:rPr>
              <w:t>15,500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新宋体" w:hAnsi="新宋体" w:cs="新宋体" w:eastAsia="新宋体" w:hint="default"/>
                <w:sz w:val="18"/>
                <w:szCs w:val="18"/>
              </w:rPr>
            </w:pPr>
            <w:r>
              <w:rPr>
                <w:rFonts w:ascii="新宋体"/>
                <w:sz w:val="18"/>
              </w:rPr>
              <w:t>80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right"/>
              <w:rPr>
                <w:rFonts w:ascii="新宋体" w:hAnsi="新宋体" w:cs="新宋体" w:eastAsia="新宋体" w:hint="default"/>
                <w:sz w:val="18"/>
                <w:szCs w:val="18"/>
              </w:rPr>
            </w:pPr>
            <w:r>
              <w:rPr>
                <w:rFonts w:ascii="新宋体"/>
                <w:sz w:val="18"/>
              </w:rPr>
              <w:t>15,403.04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99.37%</w:t>
            </w:r>
          </w:p>
        </w:tc>
        <w:tc>
          <w:tcPr>
            <w:tcW w:w="600"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5,838.11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10,381.99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新宋体" w:hAnsi="新宋体" w:cs="新宋体" w:eastAsia="新宋体" w:hint="default"/>
                <w:sz w:val="18"/>
                <w:szCs w:val="18"/>
              </w:rPr>
            </w:pPr>
            <w:r>
              <w:rPr>
                <w:rFonts w:ascii="新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新宋体" w:hAnsi="新宋体" w:cs="新宋体" w:eastAsia="新宋体" w:hint="default"/>
                <w:sz w:val="18"/>
                <w:szCs w:val="18"/>
              </w:rPr>
            </w:pPr>
            <w:r>
              <w:rPr>
                <w:rFonts w:ascii="新宋体"/>
                <w:sz w:val="18"/>
              </w:rPr>
              <w:t>767.3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right"/>
              <w:rPr>
                <w:rFonts w:ascii="新宋体" w:hAnsi="新宋体" w:cs="新宋体" w:eastAsia="新宋体" w:hint="default"/>
                <w:sz w:val="18"/>
                <w:szCs w:val="18"/>
              </w:rPr>
            </w:pPr>
            <w:r>
              <w:rPr>
                <w:rFonts w:ascii="新宋体"/>
                <w:sz w:val="18"/>
              </w:rPr>
              <w:t>767.3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新宋体" w:hAnsi="新宋体" w:cs="新宋体" w:eastAsia="新宋体" w:hint="default"/>
                <w:sz w:val="18"/>
                <w:szCs w:val="18"/>
              </w:rPr>
            </w:pPr>
            <w:r>
              <w:rPr>
                <w:rFonts w:ascii="新宋体"/>
                <w:sz w:val="18"/>
              </w:rPr>
              <w:t>767.3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5"/>
              <w:jc w:val="right"/>
              <w:rPr>
                <w:rFonts w:ascii="新宋体" w:hAnsi="新宋体" w:cs="新宋体" w:eastAsia="新宋体" w:hint="default"/>
                <w:sz w:val="18"/>
                <w:szCs w:val="18"/>
              </w:rPr>
            </w:pPr>
            <w:r>
              <w:rPr>
                <w:rFonts w:ascii="新宋体"/>
                <w:sz w:val="18"/>
              </w:rPr>
              <w:t>33,657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新宋体" w:hAnsi="新宋体" w:cs="新宋体" w:eastAsia="新宋体" w:hint="default"/>
                <w:sz w:val="18"/>
                <w:szCs w:val="18"/>
              </w:rPr>
            </w:pPr>
            <w:r>
              <w:rPr>
                <w:rFonts w:ascii="新宋体"/>
                <w:sz w:val="18"/>
              </w:rPr>
              <w:t>36,226.44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right"/>
              <w:rPr>
                <w:rFonts w:ascii="新宋体" w:hAnsi="新宋体" w:cs="新宋体" w:eastAsia="新宋体" w:hint="default"/>
                <w:sz w:val="18"/>
                <w:szCs w:val="18"/>
              </w:rPr>
            </w:pPr>
            <w:r>
              <w:rPr>
                <w:rFonts w:ascii="新宋体"/>
                <w:sz w:val="18"/>
              </w:rPr>
              <w:t>1,756.19</w:t>
            </w:r>
          </w:p>
        </w:tc>
        <w:tc>
          <w:tcPr>
            <w:tcW w:w="90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z w:val="18"/>
              </w:rPr>
              <w:t>35,529.46</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宋体"/>
                <w:sz w:val="18"/>
              </w:rPr>
              <w:t>--</w:t>
            </w:r>
          </w:p>
        </w:tc>
        <w:tc>
          <w:tcPr>
            <w:tcW w:w="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8,248.83</w:t>
            </w:r>
          </w:p>
        </w:tc>
        <w:tc>
          <w:tcPr>
            <w:tcW w:w="86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18,349.22</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397"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超募资金投向</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投资设立智威宇讯</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新宋体" w:hAnsi="新宋体" w:cs="新宋体" w:eastAsia="新宋体" w:hint="default"/>
                <w:sz w:val="18"/>
                <w:szCs w:val="18"/>
              </w:rPr>
            </w:pPr>
            <w:r>
              <w:rPr>
                <w:rFonts w:ascii="新宋体"/>
                <w:sz w:val="18"/>
              </w:rPr>
              <w:t>4,900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新宋体" w:hAnsi="新宋体" w:cs="新宋体" w:eastAsia="新宋体" w:hint="default"/>
                <w:sz w:val="18"/>
                <w:szCs w:val="18"/>
              </w:rPr>
            </w:pPr>
            <w:r>
              <w:rPr>
                <w:rFonts w:ascii="新宋体"/>
                <w:sz w:val="18"/>
              </w:rPr>
              <w:t>4,900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新宋体" w:hAnsi="新宋体" w:cs="新宋体" w:eastAsia="新宋体" w:hint="default"/>
                <w:sz w:val="18"/>
                <w:szCs w:val="18"/>
              </w:rPr>
            </w:pPr>
            <w:r>
              <w:rPr>
                <w:rFonts w:ascii="新宋体"/>
                <w:sz w:val="18"/>
              </w:rPr>
              <w:t>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新宋体" w:hAnsi="新宋体" w:cs="新宋体" w:eastAsia="新宋体" w:hint="default"/>
                <w:sz w:val="18"/>
                <w:szCs w:val="18"/>
              </w:rPr>
            </w:pPr>
            <w:r>
              <w:rPr>
                <w:rFonts w:ascii="新宋体"/>
                <w:sz w:val="18"/>
              </w:rPr>
              <w:t>4,900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9"/>
              <w:jc w:val="right"/>
              <w:rPr>
                <w:rFonts w:ascii="宋体" w:hAnsi="宋体" w:cs="宋体" w:eastAsia="宋体" w:hint="default"/>
                <w:sz w:val="18"/>
                <w:szCs w:val="18"/>
              </w:rPr>
            </w:pPr>
            <w:r>
              <w:rPr>
                <w:rFonts w:ascii="宋体"/>
                <w:sz w:val="18"/>
              </w:rPr>
              <w:t>2010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-140.44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5.080002pt;margin-top:71.999985pt;width:485.5pt;height:684.5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9"/>
                    <w:gridCol w:w="664"/>
                    <w:gridCol w:w="646"/>
                    <w:gridCol w:w="868"/>
                    <w:gridCol w:w="778"/>
                    <w:gridCol w:w="868"/>
                    <w:gridCol w:w="751"/>
                    <w:gridCol w:w="600"/>
                    <w:gridCol w:w="777"/>
                    <w:gridCol w:w="869"/>
                    <w:gridCol w:w="650"/>
                    <w:gridCol w:w="636"/>
                  </w:tblGrid>
                  <w:tr>
                    <w:trPr>
                      <w:trHeight w:val="986" w:hRule="exact"/>
                    </w:trPr>
                    <w:tc>
                      <w:tcPr>
                        <w:tcW w:w="158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319" w:lineRule="auto" w:before="76"/>
                          <w:ind w:left="22" w:right="16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4"/>
                          <w:jc w:val="left"/>
                          <w:rPr>
                            <w:rFonts w:ascii="宋体" w:hAnsi="宋体" w:cs="宋体" w:eastAsia="宋体" w:hint="default"/>
                            <w:sz w:val="18"/>
                            <w:szCs w:val="18"/>
                          </w:rPr>
                        </w:pPr>
                        <w:r>
                          <w:rPr>
                            <w:rFonts w:ascii="宋体" w:hAnsi="宋体" w:cs="宋体" w:eastAsia="宋体" w:hint="default"/>
                            <w:sz w:val="18"/>
                            <w:szCs w:val="18"/>
                          </w:rPr>
                          <w:t>增资子公司创威煤 安</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新宋体" w:hAnsi="新宋体" w:cs="新宋体" w:eastAsia="新宋体" w:hint="default"/>
                            <w:sz w:val="18"/>
                            <w:szCs w:val="18"/>
                          </w:rPr>
                        </w:pPr>
                        <w:r>
                          <w:rPr>
                            <w:rFonts w:ascii="新宋体"/>
                            <w:sz w:val="18"/>
                          </w:rPr>
                          <w:t>3,000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3,000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3,000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3" w:right="0"/>
                          <w:jc w:val="center"/>
                          <w:rPr>
                            <w:rFonts w:ascii="宋体" w:hAnsi="宋体" w:cs="宋体" w:eastAsia="宋体" w:hint="default"/>
                            <w:sz w:val="18"/>
                            <w:szCs w:val="18"/>
                          </w:rPr>
                        </w:pPr>
                        <w:r>
                          <w:rPr>
                            <w:rFonts w:ascii="宋体"/>
                            <w:sz w:val="18"/>
                          </w:rPr>
                          <w:t>100.00%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2011</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319" w:lineRule="auto" w:before="76"/>
                          <w:ind w:left="22" w:right="16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-168.1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1,704.42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扩建研发中心</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新宋体" w:hAnsi="新宋体" w:cs="新宋体" w:eastAsia="新宋体" w:hint="default"/>
                            <w:sz w:val="18"/>
                            <w:szCs w:val="18"/>
                          </w:rPr>
                        </w:pPr>
                        <w:r>
                          <w:rPr>
                            <w:rFonts w:ascii="新宋体"/>
                            <w:sz w:val="18"/>
                          </w:rPr>
                          <w:t>4,500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4,500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4,556.99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3" w:right="0"/>
                          <w:jc w:val="center"/>
                          <w:rPr>
                            <w:rFonts w:ascii="宋体" w:hAnsi="宋体" w:cs="宋体" w:eastAsia="宋体" w:hint="default"/>
                            <w:sz w:val="18"/>
                            <w:szCs w:val="18"/>
                          </w:rPr>
                        </w:pPr>
                        <w:r>
                          <w:rPr>
                            <w:rFonts w:ascii="宋体"/>
                            <w:sz w:val="18"/>
                          </w:rPr>
                          <w:t>101.27%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2012</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9" w:lineRule="auto" w:before="76"/>
                          <w:ind w:left="22" w:right="16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购置物联网产业园 土地</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新宋体" w:hAnsi="新宋体" w:cs="新宋体" w:eastAsia="新宋体" w:hint="default"/>
                            <w:sz w:val="18"/>
                            <w:szCs w:val="18"/>
                          </w:rPr>
                        </w:pPr>
                        <w:r>
                          <w:rPr>
                            <w:rFonts w:ascii="新宋体"/>
                            <w:sz w:val="18"/>
                          </w:rPr>
                          <w:t>5,000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2,623.25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2,623.25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center"/>
                          <w:rPr>
                            <w:rFonts w:ascii="宋体" w:hAnsi="宋体" w:cs="宋体" w:eastAsia="宋体" w:hint="default"/>
                            <w:sz w:val="18"/>
                            <w:szCs w:val="18"/>
                          </w:rPr>
                        </w:pPr>
                        <w:r>
                          <w:rPr>
                            <w:rFonts w:ascii="宋体"/>
                            <w:sz w:val="18"/>
                          </w:rPr>
                          <w:t>100.00%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新宋体" w:hAnsi="新宋体" w:cs="新宋体" w:eastAsia="新宋体" w:hint="default"/>
                            <w:sz w:val="18"/>
                            <w:szCs w:val="18"/>
                          </w:rPr>
                        </w:pPr>
                        <w:r>
                          <w:rPr>
                            <w:rFonts w:ascii="新宋体"/>
                            <w:sz w:val="18"/>
                          </w:rPr>
                          <w:t>1,000</w:t>
                        </w:r>
                      </w:p>
                    </w:tc>
                    <w:tc>
                      <w:tcPr>
                        <w:tcW w:w="8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新宋体" w:hAnsi="新宋体" w:cs="新宋体" w:eastAsia="新宋体" w:hint="default"/>
                            <w:sz w:val="18"/>
                            <w:szCs w:val="18"/>
                          </w:rPr>
                        </w:pPr>
                        <w:r>
                          <w:rPr>
                            <w:rFonts w:ascii="新宋体"/>
                            <w:sz w:val="18"/>
                          </w:rPr>
                          <w:t>1,000</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0</w:t>
                        </w:r>
                      </w:p>
                    </w:tc>
                    <w:tc>
                      <w:tcPr>
                        <w:tcW w:w="8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新宋体" w:hAnsi="新宋体" w:cs="新宋体" w:eastAsia="新宋体" w:hint="default"/>
                            <w:sz w:val="18"/>
                            <w:szCs w:val="18"/>
                          </w:rPr>
                        </w:pPr>
                        <w:r>
                          <w:rPr>
                            <w:rFonts w:ascii="新宋体"/>
                            <w:sz w:val="18"/>
                          </w:rPr>
                          <w:t>1,000</w:t>
                        </w:r>
                      </w:p>
                    </w:tc>
                    <w:tc>
                      <w:tcPr>
                        <w:tcW w:w="751"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100.00%</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9" w:type="dxa"/>
                        <w:vMerge/>
                        <w:tcBorders>
                          <w:left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5"/>
                          <w:jc w:val="right"/>
                          <w:rPr>
                            <w:rFonts w:ascii="宋体" w:hAnsi="宋体" w:cs="宋体" w:eastAsia="宋体" w:hint="default"/>
                            <w:sz w:val="18"/>
                            <w:szCs w:val="18"/>
                          </w:rPr>
                        </w:pPr>
                        <w:r>
                          <w:rPr>
                            <w:rFonts w:ascii="宋体"/>
                            <w:sz w:val="18"/>
                          </w:rPr>
                          <w:t>--</w:t>
                        </w:r>
                      </w:p>
                    </w:tc>
                    <w:tc>
                      <w:tcPr>
                        <w:tcW w:w="646" w:type="dxa"/>
                        <w:vMerge/>
                        <w:tcBorders>
                          <w:left w:val="single" w:sz="9" w:space="0" w:color="D2D2D2"/>
                          <w:right w:val="single" w:sz="4" w:space="0" w:color="000000"/>
                        </w:tcBorders>
                      </w:tcPr>
                      <w:p>
                        <w:pPr/>
                      </w:p>
                    </w:tc>
                    <w:tc>
                      <w:tcPr>
                        <w:tcW w:w="868"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751" w:type="dxa"/>
                        <w:vMerge/>
                        <w:tcBorders>
                          <w:left w:val="single" w:sz="4" w:space="0" w:color="000000"/>
                          <w:right w:val="single" w:sz="9"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8"/>
                          <w:jc w:val="right"/>
                          <w:rPr>
                            <w:rFonts w:ascii="宋体" w:hAnsi="宋体" w:cs="宋体" w:eastAsia="宋体" w:hint="default"/>
                            <w:sz w:val="18"/>
                            <w:szCs w:val="18"/>
                          </w:rPr>
                        </w:pPr>
                        <w:r>
                          <w:rPr>
                            <w:rFonts w:ascii="宋体"/>
                            <w:sz w:val="18"/>
                          </w:rPr>
                          <w:t>--</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宋体"/>
                            <w:sz w:val="18"/>
                          </w:rPr>
                          <w:t>--</w:t>
                        </w:r>
                      </w:p>
                    </w:tc>
                  </w:tr>
                  <w:tr>
                    <w:trPr>
                      <w:trHeight w:val="161"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9" w:space="0" w:color="D2D2D2"/>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9"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新宋体" w:hAnsi="新宋体" w:cs="新宋体" w:eastAsia="新宋体" w:hint="default"/>
                            <w:sz w:val="18"/>
                            <w:szCs w:val="18"/>
                          </w:rPr>
                        </w:pPr>
                        <w:r>
                          <w:rPr>
                            <w:rFonts w:ascii="新宋体"/>
                            <w:sz w:val="18"/>
                          </w:rPr>
                          <w:t>0</w:t>
                        </w:r>
                      </w:p>
                    </w:tc>
                    <w:tc>
                      <w:tcPr>
                        <w:tcW w:w="8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新宋体" w:hAnsi="新宋体" w:cs="新宋体" w:eastAsia="新宋体" w:hint="default"/>
                            <w:sz w:val="18"/>
                            <w:szCs w:val="18"/>
                          </w:rPr>
                        </w:pPr>
                        <w:r>
                          <w:rPr>
                            <w:rFonts w:ascii="新宋体"/>
                            <w:sz w:val="18"/>
                          </w:rPr>
                          <w:t>2,708.13</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新宋体" w:hAnsi="新宋体" w:cs="新宋体" w:eastAsia="新宋体" w:hint="default"/>
                            <w:sz w:val="18"/>
                            <w:szCs w:val="18"/>
                          </w:rPr>
                        </w:pPr>
                        <w:r>
                          <w:rPr>
                            <w:rFonts w:ascii="新宋体"/>
                            <w:sz w:val="18"/>
                          </w:rPr>
                          <w:t>0</w:t>
                        </w:r>
                      </w:p>
                    </w:tc>
                    <w:tc>
                      <w:tcPr>
                        <w:tcW w:w="8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新宋体" w:hAnsi="新宋体" w:cs="新宋体" w:eastAsia="新宋体" w:hint="default"/>
                            <w:sz w:val="18"/>
                            <w:szCs w:val="18"/>
                          </w:rPr>
                        </w:pPr>
                        <w:r>
                          <w:rPr>
                            <w:rFonts w:ascii="新宋体"/>
                            <w:sz w:val="18"/>
                          </w:rPr>
                          <w:t>2,708.13</w:t>
                        </w:r>
                      </w:p>
                    </w:tc>
                    <w:tc>
                      <w:tcPr>
                        <w:tcW w:w="751"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100.00%</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9" w:type="dxa"/>
                        <w:vMerge/>
                        <w:tcBorders>
                          <w:left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5"/>
                          <w:jc w:val="right"/>
                          <w:rPr>
                            <w:rFonts w:ascii="宋体" w:hAnsi="宋体" w:cs="宋体" w:eastAsia="宋体" w:hint="default"/>
                            <w:sz w:val="18"/>
                            <w:szCs w:val="18"/>
                          </w:rPr>
                        </w:pPr>
                        <w:r>
                          <w:rPr>
                            <w:rFonts w:ascii="宋体"/>
                            <w:sz w:val="18"/>
                          </w:rPr>
                          <w:t>--</w:t>
                        </w:r>
                      </w:p>
                    </w:tc>
                    <w:tc>
                      <w:tcPr>
                        <w:tcW w:w="646" w:type="dxa"/>
                        <w:vMerge/>
                        <w:tcBorders>
                          <w:left w:val="single" w:sz="9" w:space="0" w:color="D2D2D2"/>
                          <w:right w:val="single" w:sz="4" w:space="0" w:color="000000"/>
                        </w:tcBorders>
                      </w:tcPr>
                      <w:p>
                        <w:pPr/>
                      </w:p>
                    </w:tc>
                    <w:tc>
                      <w:tcPr>
                        <w:tcW w:w="868"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751" w:type="dxa"/>
                        <w:vMerge/>
                        <w:tcBorders>
                          <w:left w:val="single" w:sz="4" w:space="0" w:color="000000"/>
                          <w:right w:val="single" w:sz="9"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8"/>
                          <w:jc w:val="right"/>
                          <w:rPr>
                            <w:rFonts w:ascii="宋体" w:hAnsi="宋体" w:cs="宋体" w:eastAsia="宋体" w:hint="default"/>
                            <w:sz w:val="18"/>
                            <w:szCs w:val="18"/>
                          </w:rPr>
                        </w:pPr>
                        <w:r>
                          <w:rPr>
                            <w:rFonts w:ascii="宋体"/>
                            <w:sz w:val="18"/>
                          </w:rPr>
                          <w:t>--</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宋体"/>
                            <w:sz w:val="18"/>
                          </w:rPr>
                          <w:t>--</w:t>
                        </w:r>
                      </w:p>
                    </w:tc>
                  </w:tr>
                  <w:tr>
                    <w:trPr>
                      <w:trHeight w:val="161"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9" w:space="0" w:color="D2D2D2"/>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9"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5"/>
                          <w:jc w:val="right"/>
                          <w:rPr>
                            <w:rFonts w:ascii="宋体" w:hAnsi="宋体" w:cs="宋体" w:eastAsia="宋体" w:hint="default"/>
                            <w:sz w:val="18"/>
                            <w:szCs w:val="18"/>
                          </w:rPr>
                        </w:pPr>
                        <w:r>
                          <w:rPr>
                            <w:rFonts w:ascii="宋体"/>
                            <w:sz w:val="18"/>
                          </w:rPr>
                          <w:t>--</w:t>
                        </w:r>
                      </w:p>
                    </w:tc>
                    <w:tc>
                      <w:tcPr>
                        <w:tcW w:w="6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新宋体" w:hAnsi="新宋体" w:cs="新宋体" w:eastAsia="新宋体" w:hint="default"/>
                            <w:sz w:val="18"/>
                            <w:szCs w:val="18"/>
                          </w:rPr>
                        </w:pPr>
                        <w:r>
                          <w:rPr>
                            <w:rFonts w:ascii="新宋体"/>
                            <w:sz w:val="18"/>
                          </w:rPr>
                          <w:t>18,400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新宋体" w:hAnsi="新宋体" w:cs="新宋体" w:eastAsia="新宋体" w:hint="default"/>
                            <w:sz w:val="18"/>
                            <w:szCs w:val="18"/>
                          </w:rPr>
                        </w:pPr>
                        <w:r>
                          <w:rPr>
                            <w:rFonts w:ascii="新宋体"/>
                            <w:sz w:val="18"/>
                          </w:rPr>
                          <w:t>18,731.38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新宋体" w:hAnsi="新宋体" w:cs="新宋体" w:eastAsia="新宋体" w:hint="default"/>
                            <w:sz w:val="18"/>
                            <w:szCs w:val="18"/>
                          </w:rPr>
                        </w:pPr>
                        <w:r>
                          <w:rPr>
                            <w:rFonts w:ascii="新宋体"/>
                            <w:sz w:val="18"/>
                          </w:rPr>
                          <w:t>0</w:t>
                        </w:r>
                      </w:p>
                    </w:tc>
                    <w:tc>
                      <w:tcPr>
                        <w:tcW w:w="86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新宋体" w:hAnsi="新宋体" w:cs="新宋体" w:eastAsia="新宋体" w:hint="default"/>
                            <w:sz w:val="18"/>
                            <w:szCs w:val="18"/>
                          </w:rPr>
                        </w:pPr>
                        <w:r>
                          <w:rPr>
                            <w:rFonts w:ascii="新宋体"/>
                            <w:sz w:val="18"/>
                          </w:rPr>
                          <w:t>18,788.37</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-151.18</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1,563.98</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right"/>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宋体"/>
                            <w:sz w:val="18"/>
                          </w:rPr>
                          <w:t>--</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5"/>
                          <w:jc w:val="right"/>
                          <w:rPr>
                            <w:rFonts w:ascii="宋体" w:hAnsi="宋体" w:cs="宋体" w:eastAsia="宋体" w:hint="default"/>
                            <w:sz w:val="18"/>
                            <w:szCs w:val="18"/>
                          </w:rPr>
                        </w:pPr>
                        <w:r>
                          <w:rPr>
                            <w:rFonts w:ascii="宋体"/>
                            <w:sz w:val="18"/>
                          </w:rPr>
                          <w:t>--</w:t>
                        </w:r>
                      </w:p>
                    </w:tc>
                    <w:tc>
                      <w:tcPr>
                        <w:tcW w:w="6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新宋体" w:hAnsi="新宋体" w:cs="新宋体" w:eastAsia="新宋体" w:hint="default"/>
                            <w:sz w:val="18"/>
                            <w:szCs w:val="18"/>
                          </w:rPr>
                        </w:pPr>
                        <w:r>
                          <w:rPr>
                            <w:rFonts w:ascii="新宋体"/>
                            <w:sz w:val="18"/>
                          </w:rPr>
                          <w:t>52,057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新宋体" w:hAnsi="新宋体" w:cs="新宋体" w:eastAsia="新宋体" w:hint="default"/>
                            <w:sz w:val="18"/>
                            <w:szCs w:val="18"/>
                          </w:rPr>
                        </w:pPr>
                        <w:r>
                          <w:rPr>
                            <w:rFonts w:ascii="新宋体"/>
                            <w:sz w:val="18"/>
                          </w:rPr>
                          <w:t>54,957.82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新宋体" w:hAnsi="新宋体" w:cs="新宋体" w:eastAsia="新宋体" w:hint="default"/>
                            <w:sz w:val="18"/>
                            <w:szCs w:val="18"/>
                          </w:rPr>
                        </w:pPr>
                        <w:r>
                          <w:rPr>
                            <w:rFonts w:ascii="新宋体"/>
                            <w:sz w:val="18"/>
                          </w:rPr>
                          <w:t>1,756.19</w:t>
                        </w:r>
                      </w:p>
                    </w:tc>
                    <w:tc>
                      <w:tcPr>
                        <w:tcW w:w="86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新宋体" w:hAnsi="新宋体" w:cs="新宋体" w:eastAsia="新宋体" w:hint="default"/>
                            <w:sz w:val="18"/>
                            <w:szCs w:val="18"/>
                          </w:rPr>
                        </w:pPr>
                        <w:r>
                          <w:rPr>
                            <w:rFonts w:ascii="新宋体"/>
                            <w:sz w:val="18"/>
                          </w:rPr>
                          <w:t>54,317.83</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8,097.65</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19,913.2</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right"/>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宋体"/>
                            <w:sz w:val="18"/>
                          </w:rPr>
                          <w:t>--</w:t>
                        </w:r>
                      </w:p>
                    </w:tc>
                  </w:tr>
                  <w:tr>
                    <w:trPr>
                      <w:trHeight w:val="1026" w:hRule="exact"/>
                    </w:trPr>
                    <w:tc>
                      <w:tcPr>
                        <w:tcW w:w="158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4"/>
                            <w:sz w:val="18"/>
                            <w:szCs w:val="18"/>
                          </w:rPr>
                          <w:t>原因（分具体项目）</w:t>
                        </w:r>
                        <w:r>
                          <w:rPr>
                            <w:rFonts w:ascii="宋体" w:hAnsi="宋体" w:cs="宋体" w:eastAsia="宋体" w:hint="default"/>
                            <w:sz w:val="18"/>
                            <w:szCs w:val="18"/>
                          </w:rPr>
                        </w:r>
                      </w:p>
                    </w:tc>
                    <w:tc>
                      <w:tcPr>
                        <w:tcW w:w="8106" w:type="dxa"/>
                        <w:gridSpan w:val="11"/>
                        <w:tcBorders>
                          <w:top w:val="single" w:sz="4" w:space="0" w:color="000000"/>
                          <w:left w:val="single" w:sz="23" w:space="0" w:color="FFFFFF"/>
                          <w:bottom w:val="single" w:sz="4" w:space="0" w:color="000000"/>
                          <w:right w:val="single" w:sz="4" w:space="0" w:color="000000"/>
                        </w:tcBorders>
                      </w:tcPr>
                      <w:p>
                        <w:pPr>
                          <w:pStyle w:val="TableParagraph"/>
                          <w:spacing w:line="319" w:lineRule="auto" w:before="51"/>
                          <w:ind w:left="-1" w:right="2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7"/>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万支红外气体传感器及</w:t>
                        </w:r>
                        <w:r>
                          <w:rPr>
                            <w:rFonts w:ascii="宋体" w:hAnsi="宋体" w:cs="宋体" w:eastAsia="宋体" w:hint="default"/>
                            <w:spacing w:val="-57"/>
                            <w:sz w:val="18"/>
                            <w:szCs w:val="18"/>
                          </w:rPr>
                          <w:t> </w:t>
                        </w:r>
                        <w:r>
                          <w:rPr>
                            <w:rFonts w:ascii="宋体" w:hAnsi="宋体" w:cs="宋体" w:eastAsia="宋体" w:hint="default"/>
                            <w:sz w:val="18"/>
                            <w:szCs w:val="18"/>
                          </w:rPr>
                          <w:t>7.5</w:t>
                        </w:r>
                        <w:r>
                          <w:rPr>
                            <w:rFonts w:ascii="宋体" w:hAnsi="宋体" w:cs="宋体" w:eastAsia="宋体" w:hint="default"/>
                            <w:spacing w:val="-57"/>
                            <w:sz w:val="18"/>
                            <w:szCs w:val="18"/>
                          </w:rPr>
                          <w:t> </w:t>
                        </w:r>
                        <w:r>
                          <w:rPr>
                            <w:rFonts w:ascii="宋体" w:hAnsi="宋体" w:cs="宋体" w:eastAsia="宋体" w:hint="default"/>
                            <w:sz w:val="18"/>
                            <w:szCs w:val="18"/>
                          </w:rPr>
                          <w:t>万台红外气体检测仪器仪表项目”未达到预期收益，主要原因是受近 </w:t>
                        </w:r>
                        <w:r>
                          <w:rPr>
                            <w:rFonts w:ascii="宋体" w:hAnsi="宋体" w:cs="宋体" w:eastAsia="宋体" w:hint="default"/>
                            <w:spacing w:val="-2"/>
                            <w:sz w:val="18"/>
                            <w:szCs w:val="18"/>
                          </w:rPr>
                          <w:t>两年经济下行影响导致相关行业需求暂时减弱，以及国外产品价格降低致使进口替代的进程减慢，造成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产能未能完全释放和销售收入低于预期，从而未能实现预期收益。</w:t>
                        </w:r>
                      </w:p>
                    </w:tc>
                  </w:tr>
                  <w:tr>
                    <w:trPr>
                      <w:trHeight w:val="714"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106"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报告期内，公司募集资金投资项目可行性未发生重大变化。</w:t>
                        </w:r>
                      </w:p>
                    </w:tc>
                  </w:tr>
                  <w:tr>
                    <w:trPr>
                      <w:trHeight w:val="402" w:hRule="exact"/>
                    </w:trPr>
                    <w:tc>
                      <w:tcPr>
                        <w:tcW w:w="1589" w:type="dxa"/>
                        <w:vMerge w:val="restart"/>
                        <w:tcBorders>
                          <w:top w:val="single" w:sz="4" w:space="0" w:color="000000"/>
                          <w:left w:val="single" w:sz="4" w:space="0" w:color="000000"/>
                          <w:right w:val="single" w:sz="4" w:space="0" w:color="000000"/>
                        </w:tcBorders>
                        <w:shd w:val="clear" w:color="auto" w:fill="D2D2D2"/>
                      </w:tcPr>
                      <w:p>
                        <w:pPr/>
                      </w:p>
                    </w:tc>
                    <w:tc>
                      <w:tcPr>
                        <w:tcW w:w="810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12" w:hRule="exact"/>
                    </w:trPr>
                    <w:tc>
                      <w:tcPr>
                        <w:tcW w:w="1589" w:type="dxa"/>
                        <w:vMerge/>
                        <w:tcBorders>
                          <w:left w:val="single" w:sz="4" w:space="0" w:color="000000"/>
                          <w:bottom w:val="nil" w:sz="6" w:space="0" w:color="auto"/>
                          <w:right w:val="single" w:sz="4" w:space="0" w:color="000000"/>
                        </w:tcBorders>
                        <w:shd w:val="clear" w:color="auto" w:fill="D2D2D2"/>
                      </w:tcPr>
                      <w:p>
                        <w:pPr/>
                      </w:p>
                    </w:tc>
                    <w:tc>
                      <w:tcPr>
                        <w:tcW w:w="8106"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公司共取得超募资金</w:t>
                        </w:r>
                        <w:r>
                          <w:rPr>
                            <w:rFonts w:ascii="宋体" w:hAnsi="宋体" w:cs="宋体" w:eastAsia="宋体" w:hint="default"/>
                            <w:spacing w:val="-46"/>
                            <w:sz w:val="18"/>
                            <w:szCs w:val="18"/>
                          </w:rPr>
                          <w:t> </w:t>
                        </w:r>
                        <w:r>
                          <w:rPr>
                            <w:rFonts w:ascii="宋体" w:hAnsi="宋体" w:cs="宋体" w:eastAsia="宋体" w:hint="default"/>
                            <w:sz w:val="18"/>
                            <w:szCs w:val="18"/>
                          </w:rPr>
                          <w:t>19,206.95</w:t>
                        </w:r>
                        <w:r>
                          <w:rPr>
                            <w:rFonts w:ascii="宋体" w:hAnsi="宋体" w:cs="宋体" w:eastAsia="宋体" w:hint="default"/>
                            <w:spacing w:val="-46"/>
                            <w:sz w:val="18"/>
                            <w:szCs w:val="18"/>
                          </w:rPr>
                          <w:t> </w:t>
                        </w:r>
                        <w:r>
                          <w:rPr>
                            <w:rFonts w:ascii="宋体" w:hAnsi="宋体" w:cs="宋体" w:eastAsia="宋体" w:hint="default"/>
                            <w:sz w:val="18"/>
                            <w:szCs w:val="18"/>
                          </w:rPr>
                          <w:t>万元，其中：</w:t>
                        </w:r>
                      </w:p>
                      <w:p>
                        <w:pPr>
                          <w:pStyle w:val="TableParagraph"/>
                          <w:spacing w:line="240" w:lineRule="auto" w:before="116"/>
                          <w:ind w:left="15"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、投资设立智威宇讯公司投入超募资金 </w:t>
                        </w:r>
                        <w:r>
                          <w:rPr>
                            <w:rFonts w:ascii="宋体" w:hAnsi="宋体" w:cs="宋体" w:eastAsia="宋体" w:hint="default"/>
                            <w:sz w:val="18"/>
                            <w:szCs w:val="18"/>
                          </w:rPr>
                          <w:t>4,900.00</w:t>
                        </w:r>
                        <w:r>
                          <w:rPr>
                            <w:rFonts w:ascii="宋体" w:hAnsi="宋体" w:cs="宋体" w:eastAsia="宋体" w:hint="default"/>
                            <w:spacing w:val="33"/>
                            <w:sz w:val="18"/>
                            <w:szCs w:val="18"/>
                          </w:rPr>
                          <w:t> </w:t>
                        </w:r>
                        <w:r>
                          <w:rPr>
                            <w:rFonts w:ascii="宋体" w:hAnsi="宋体" w:cs="宋体" w:eastAsia="宋体" w:hint="default"/>
                            <w:sz w:val="18"/>
                            <w:szCs w:val="18"/>
                          </w:rPr>
                          <w:t>万元，增资全资子公司创威煤安公司投入超募资金</w:t>
                        </w:r>
                      </w:p>
                      <w:p>
                        <w:pPr>
                          <w:pStyle w:val="TableParagraph"/>
                          <w:spacing w:line="240" w:lineRule="auto" w:before="77"/>
                          <w:ind w:left="15" w:right="0"/>
                          <w:jc w:val="both"/>
                          <w:rPr>
                            <w:rFonts w:ascii="宋体" w:hAnsi="宋体" w:cs="宋体" w:eastAsia="宋体" w:hint="default"/>
                            <w:sz w:val="18"/>
                            <w:szCs w:val="18"/>
                          </w:rPr>
                        </w:pPr>
                        <w:r>
                          <w:rPr>
                            <w:rFonts w:ascii="宋体" w:hAnsi="宋体" w:cs="宋体" w:eastAsia="宋体" w:hint="default"/>
                            <w:sz w:val="18"/>
                            <w:szCs w:val="18"/>
                          </w:rPr>
                          <w:t>3,000.00</w:t>
                        </w:r>
                        <w:r>
                          <w:rPr>
                            <w:rFonts w:ascii="宋体" w:hAnsi="宋体" w:cs="宋体" w:eastAsia="宋体" w:hint="default"/>
                            <w:spacing w:val="-46"/>
                            <w:sz w:val="18"/>
                            <w:szCs w:val="18"/>
                          </w:rPr>
                          <w:t> </w:t>
                        </w:r>
                        <w:r>
                          <w:rPr>
                            <w:rFonts w:ascii="宋体" w:hAnsi="宋体" w:cs="宋体" w:eastAsia="宋体" w:hint="default"/>
                            <w:sz w:val="18"/>
                            <w:szCs w:val="18"/>
                          </w:rPr>
                          <w:t>万元，上述子公司均已于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月完成工商变更事项。</w:t>
                        </w:r>
                      </w:p>
                      <w:p>
                        <w:pPr>
                          <w:pStyle w:val="TableParagraph"/>
                          <w:spacing w:line="240" w:lineRule="auto" w:before="116"/>
                          <w:ind w:left="15"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月使用超募资金归还银行贷款</w:t>
                        </w:r>
                        <w:r>
                          <w:rPr>
                            <w:rFonts w:ascii="宋体" w:hAnsi="宋体" w:cs="宋体" w:eastAsia="宋体" w:hint="default"/>
                            <w:spacing w:val="-46"/>
                            <w:sz w:val="18"/>
                            <w:szCs w:val="18"/>
                          </w:rPr>
                          <w:t> </w:t>
                        </w: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319" w:lineRule="auto" w:before="115"/>
                          <w:ind w:left="15" w:right="11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、扩建研发中心计划使用</w:t>
                        </w:r>
                        <w:r>
                          <w:rPr>
                            <w:rFonts w:ascii="宋体" w:hAnsi="宋体" w:cs="宋体" w:eastAsia="宋体" w:hint="default"/>
                            <w:spacing w:val="-53"/>
                            <w:sz w:val="18"/>
                            <w:szCs w:val="18"/>
                          </w:rPr>
                          <w:t> </w:t>
                        </w:r>
                        <w:r>
                          <w:rPr>
                            <w:rFonts w:ascii="宋体" w:hAnsi="宋体" w:cs="宋体" w:eastAsia="宋体" w:hint="default"/>
                            <w:sz w:val="18"/>
                            <w:szCs w:val="18"/>
                          </w:rPr>
                          <w:t>4,500.00</w:t>
                        </w:r>
                        <w:r>
                          <w:rPr>
                            <w:rFonts w:ascii="宋体" w:hAnsi="宋体" w:cs="宋体" w:eastAsia="宋体" w:hint="default"/>
                            <w:spacing w:val="-53"/>
                            <w:sz w:val="18"/>
                            <w:szCs w:val="18"/>
                          </w:rPr>
                          <w:t> </w:t>
                        </w:r>
                        <w:r>
                          <w:rPr>
                            <w:rFonts w:ascii="宋体" w:hAnsi="宋体" w:cs="宋体" w:eastAsia="宋体" w:hint="default"/>
                            <w:spacing w:val="-3"/>
                            <w:sz w:val="18"/>
                            <w:szCs w:val="18"/>
                          </w:rPr>
                          <w:t>万元，实际使用</w:t>
                        </w:r>
                        <w:r>
                          <w:rPr>
                            <w:rFonts w:ascii="宋体" w:hAnsi="宋体" w:cs="宋体" w:eastAsia="宋体" w:hint="default"/>
                            <w:spacing w:val="-53"/>
                            <w:sz w:val="18"/>
                            <w:szCs w:val="18"/>
                          </w:rPr>
                          <w:t> </w:t>
                        </w:r>
                        <w:r>
                          <w:rPr>
                            <w:rFonts w:ascii="宋体" w:hAnsi="宋体" w:cs="宋体" w:eastAsia="宋体" w:hint="default"/>
                            <w:sz w:val="18"/>
                            <w:szCs w:val="18"/>
                          </w:rPr>
                          <w:t>4,557.00</w:t>
                        </w:r>
                        <w:r>
                          <w:rPr>
                            <w:rFonts w:ascii="宋体" w:hAnsi="宋体" w:cs="宋体" w:eastAsia="宋体" w:hint="default"/>
                            <w:spacing w:val="-53"/>
                            <w:sz w:val="18"/>
                            <w:szCs w:val="18"/>
                          </w:rPr>
                          <w:t> </w:t>
                        </w:r>
                        <w:r>
                          <w:rPr>
                            <w:rFonts w:ascii="宋体" w:hAnsi="宋体" w:cs="宋体" w:eastAsia="宋体" w:hint="default"/>
                            <w:sz w:val="18"/>
                            <w:szCs w:val="18"/>
                          </w:rPr>
                          <w:t>万元，超出部分用超募资金的利息支付 截至报告期末，项目主体工程已经完工。</w:t>
                        </w:r>
                      </w:p>
                      <w:p>
                        <w:pPr>
                          <w:pStyle w:val="TableParagraph"/>
                          <w:spacing w:line="240" w:lineRule="auto" w:before="56"/>
                          <w:ind w:left="15"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、购置物联网产业园土地，原计划使用超募资金不超过</w:t>
                        </w:r>
                        <w:r>
                          <w:rPr>
                            <w:rFonts w:ascii="宋体" w:hAnsi="宋体" w:cs="宋体" w:eastAsia="宋体" w:hint="default"/>
                            <w:spacing w:val="-74"/>
                            <w:sz w:val="18"/>
                            <w:szCs w:val="18"/>
                          </w:rPr>
                          <w:t> </w:t>
                        </w:r>
                        <w:r>
                          <w:rPr>
                            <w:rFonts w:ascii="宋体" w:hAnsi="宋体" w:cs="宋体" w:eastAsia="宋体" w:hint="default"/>
                            <w:sz w:val="18"/>
                            <w:szCs w:val="18"/>
                          </w:rPr>
                          <w:t>5,000.00</w:t>
                        </w:r>
                        <w:r>
                          <w:rPr>
                            <w:rFonts w:ascii="宋体" w:hAnsi="宋体" w:cs="宋体" w:eastAsia="宋体" w:hint="default"/>
                            <w:spacing w:val="-74"/>
                            <w:sz w:val="18"/>
                            <w:szCs w:val="18"/>
                          </w:rPr>
                          <w:t> </w:t>
                        </w:r>
                        <w:r>
                          <w:rPr>
                            <w:rFonts w:ascii="宋体" w:hAnsi="宋体" w:cs="宋体" w:eastAsia="宋体" w:hint="default"/>
                            <w:sz w:val="18"/>
                            <w:szCs w:val="18"/>
                          </w:rPr>
                          <w:t>万元，后期根据土地招拍挂情况，调</w:t>
                        </w:r>
                      </w:p>
                      <w:p>
                        <w:pPr>
                          <w:pStyle w:val="TableParagraph"/>
                          <w:spacing w:line="316" w:lineRule="auto" w:before="76"/>
                          <w:ind w:left="15" w:right="22"/>
                          <w:jc w:val="both"/>
                          <w:rPr>
                            <w:rFonts w:ascii="宋体" w:hAnsi="宋体" w:cs="宋体" w:eastAsia="宋体" w:hint="default"/>
                            <w:sz w:val="18"/>
                            <w:szCs w:val="18"/>
                          </w:rPr>
                        </w:pPr>
                        <w:r>
                          <w:rPr>
                            <w:rFonts w:ascii="宋体" w:hAnsi="宋体" w:cs="宋体" w:eastAsia="宋体" w:hint="default"/>
                            <w:sz w:val="18"/>
                            <w:szCs w:val="18"/>
                          </w:rPr>
                          <w:t>整投资金额为</w:t>
                        </w:r>
                        <w:r>
                          <w:rPr>
                            <w:rFonts w:ascii="宋体" w:hAnsi="宋体" w:cs="宋体" w:eastAsia="宋体" w:hint="default"/>
                            <w:spacing w:val="-47"/>
                            <w:sz w:val="18"/>
                            <w:szCs w:val="18"/>
                          </w:rPr>
                          <w:t> </w:t>
                        </w:r>
                        <w:r>
                          <w:rPr>
                            <w:rFonts w:ascii="宋体" w:hAnsi="宋体" w:cs="宋体" w:eastAsia="宋体" w:hint="default"/>
                            <w:sz w:val="18"/>
                            <w:szCs w:val="18"/>
                          </w:rPr>
                          <w:t>4,000.00</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z w:val="18"/>
                            <w:szCs w:val="18"/>
                          </w:rPr>
                          <w:t>日，公司第二届董事会第二十次会议及第二届监事会第 </w:t>
                        </w:r>
                        <w:r>
                          <w:rPr>
                            <w:rFonts w:ascii="宋体" w:hAnsi="宋体" w:cs="宋体" w:eastAsia="宋体" w:hint="default"/>
                            <w:spacing w:val="-2"/>
                            <w:sz w:val="18"/>
                            <w:szCs w:val="18"/>
                          </w:rPr>
                          <w:t>十五次会议审议通过了《关于使用自有资金置换部分已投入募集资金的议案》，同意公司使用自有资金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1,376.75</w:t>
                        </w:r>
                        <w:r>
                          <w:rPr>
                            <w:rFonts w:ascii="宋体" w:hAnsi="宋体" w:cs="宋体" w:eastAsia="宋体" w:hint="default"/>
                            <w:spacing w:val="-43"/>
                            <w:sz w:val="18"/>
                            <w:szCs w:val="18"/>
                          </w:rPr>
                          <w:t> </w:t>
                        </w:r>
                        <w:r>
                          <w:rPr>
                            <w:rFonts w:ascii="宋体" w:hAnsi="宋体" w:cs="宋体" w:eastAsia="宋体" w:hint="default"/>
                            <w:sz w:val="18"/>
                            <w:szCs w:val="18"/>
                          </w:rPr>
                          <w:t>万元置换已投入的用于购买“郑政出</w:t>
                        </w:r>
                        <w:r>
                          <w:rPr>
                            <w:rFonts w:ascii="宋体" w:hAnsi="宋体" w:cs="宋体" w:eastAsia="宋体" w:hint="default"/>
                            <w:sz w:val="18"/>
                            <w:szCs w:val="18"/>
                          </w:rPr>
                          <w:t>[2011]13</w:t>
                        </w:r>
                        <w:r>
                          <w:rPr>
                            <w:rFonts w:ascii="宋体" w:hAnsi="宋体" w:cs="宋体" w:eastAsia="宋体" w:hint="default"/>
                            <w:spacing w:val="-43"/>
                            <w:sz w:val="18"/>
                            <w:szCs w:val="18"/>
                          </w:rPr>
                          <w:t> </w:t>
                        </w:r>
                        <w:r>
                          <w:rPr>
                            <w:rFonts w:ascii="宋体" w:hAnsi="宋体" w:cs="宋体" w:eastAsia="宋体" w:hint="default"/>
                            <w:spacing w:val="-4"/>
                            <w:sz w:val="18"/>
                            <w:szCs w:val="18"/>
                          </w:rPr>
                          <w:t>号”土地的募集资金，内容详见公司于</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p>
                      <w:p>
                        <w:pPr>
                          <w:pStyle w:val="TableParagraph"/>
                          <w:spacing w:line="240" w:lineRule="auto" w:before="19"/>
                          <w:ind w:left="15" w:right="0"/>
                          <w:jc w:val="both"/>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21</w:t>
                        </w:r>
                        <w:r>
                          <w:rPr>
                            <w:rFonts w:ascii="宋体" w:hAnsi="宋体" w:cs="宋体" w:eastAsia="宋体" w:hint="default"/>
                            <w:spacing w:val="-53"/>
                            <w:sz w:val="18"/>
                            <w:szCs w:val="18"/>
                          </w:rPr>
                          <w:t> </w:t>
                        </w:r>
                        <w:r>
                          <w:rPr>
                            <w:rFonts w:ascii="宋体" w:hAnsi="宋体" w:cs="宋体" w:eastAsia="宋体" w:hint="default"/>
                            <w:sz w:val="18"/>
                            <w:szCs w:val="18"/>
                          </w:rPr>
                          <w:t>日在中国证监会指定创业板信息披露网站上的公告。</w:t>
                        </w: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pacing w:val="-5"/>
                            <w:sz w:val="18"/>
                            <w:szCs w:val="18"/>
                          </w:rPr>
                          <w:t>月，公司使用自有资金</w:t>
                        </w:r>
                        <w:r>
                          <w:rPr>
                            <w:rFonts w:ascii="宋体" w:hAnsi="宋体" w:cs="宋体" w:eastAsia="宋体" w:hint="default"/>
                            <w:spacing w:val="-53"/>
                            <w:sz w:val="18"/>
                            <w:szCs w:val="18"/>
                          </w:rPr>
                          <w:t> </w:t>
                        </w:r>
                        <w:r>
                          <w:rPr>
                            <w:rFonts w:ascii="宋体" w:hAnsi="宋体" w:cs="宋体" w:eastAsia="宋体" w:hint="default"/>
                            <w:sz w:val="18"/>
                            <w:szCs w:val="18"/>
                          </w:rPr>
                          <w:t>1,376.75</w:t>
                        </w:r>
                      </w:p>
                      <w:p>
                        <w:pPr>
                          <w:pStyle w:val="TableParagraph"/>
                          <w:spacing w:line="240" w:lineRule="auto" w:before="78"/>
                          <w:ind w:left="15" w:right="0"/>
                          <w:jc w:val="both"/>
                          <w:rPr>
                            <w:rFonts w:ascii="宋体" w:hAnsi="宋体" w:cs="宋体" w:eastAsia="宋体" w:hint="default"/>
                            <w:sz w:val="18"/>
                            <w:szCs w:val="18"/>
                          </w:rPr>
                        </w:pPr>
                        <w:r>
                          <w:rPr>
                            <w:rFonts w:ascii="宋体" w:hAnsi="宋体" w:cs="宋体" w:eastAsia="宋体" w:hint="default"/>
                            <w:sz w:val="18"/>
                            <w:szCs w:val="18"/>
                          </w:rPr>
                          <w:t>万元置换了已投入的募集资金。截至报告期末，该项目累计使用</w:t>
                        </w:r>
                        <w:r>
                          <w:rPr>
                            <w:rFonts w:ascii="宋体" w:hAnsi="宋体" w:cs="宋体" w:eastAsia="宋体" w:hint="default"/>
                            <w:spacing w:val="-46"/>
                            <w:sz w:val="18"/>
                            <w:szCs w:val="18"/>
                          </w:rPr>
                          <w:t> </w:t>
                        </w:r>
                        <w:r>
                          <w:rPr>
                            <w:rFonts w:ascii="宋体" w:hAnsi="宋体" w:cs="宋体" w:eastAsia="宋体" w:hint="default"/>
                            <w:sz w:val="18"/>
                            <w:szCs w:val="18"/>
                          </w:rPr>
                          <w:t>2,623.25</w:t>
                        </w:r>
                        <w:r>
                          <w:rPr>
                            <w:rFonts w:ascii="宋体" w:hAnsi="宋体" w:cs="宋体" w:eastAsia="宋体" w:hint="default"/>
                            <w:spacing w:val="-46"/>
                            <w:sz w:val="18"/>
                            <w:szCs w:val="18"/>
                          </w:rPr>
                          <w:t> </w:t>
                        </w:r>
                        <w:r>
                          <w:rPr>
                            <w:rFonts w:ascii="宋体" w:hAnsi="宋体" w:cs="宋体" w:eastAsia="宋体" w:hint="default"/>
                            <w:sz w:val="18"/>
                            <w:szCs w:val="18"/>
                          </w:rPr>
                          <w:t>万元，投资已完毕。</w:t>
                        </w:r>
                      </w:p>
                      <w:p>
                        <w:pPr>
                          <w:pStyle w:val="TableParagraph"/>
                          <w:spacing w:line="240" w:lineRule="auto" w:before="115"/>
                          <w:ind w:left="15"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6</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宋体" w:hAnsi="宋体" w:cs="宋体" w:eastAsia="宋体" w:hint="default"/>
                            <w:sz w:val="18"/>
                            <w:szCs w:val="18"/>
                          </w:rPr>
                          <w:t>25</w:t>
                        </w:r>
                        <w:r>
                          <w:rPr>
                            <w:rFonts w:ascii="宋体" w:hAnsi="宋体" w:cs="宋体" w:eastAsia="宋体" w:hint="default"/>
                            <w:spacing w:val="-29"/>
                            <w:sz w:val="18"/>
                            <w:szCs w:val="18"/>
                          </w:rPr>
                          <w:t> </w:t>
                        </w:r>
                        <w:r>
                          <w:rPr>
                            <w:rFonts w:ascii="宋体" w:hAnsi="宋体" w:cs="宋体" w:eastAsia="宋体" w:hint="default"/>
                            <w:sz w:val="18"/>
                            <w:szCs w:val="18"/>
                          </w:rPr>
                          <w:t>日，公司第二届董事会第二十四次会议和第二届监事会第十八次会议分别审议通过</w:t>
                        </w:r>
                      </w:p>
                      <w:p>
                        <w:pPr>
                          <w:pStyle w:val="TableParagraph"/>
                          <w:spacing w:line="240" w:lineRule="auto" w:before="76"/>
                          <w:ind w:left="15" w:right="0"/>
                          <w:jc w:val="both"/>
                          <w:rPr>
                            <w:rFonts w:ascii="宋体" w:hAnsi="宋体" w:cs="宋体" w:eastAsia="宋体" w:hint="default"/>
                            <w:sz w:val="18"/>
                            <w:szCs w:val="18"/>
                          </w:rPr>
                        </w:pPr>
                        <w:r>
                          <w:rPr>
                            <w:rFonts w:ascii="宋体" w:hAnsi="宋体" w:cs="宋体" w:eastAsia="宋体" w:hint="default"/>
                            <w:spacing w:val="-26"/>
                            <w:sz w:val="18"/>
                            <w:szCs w:val="18"/>
                          </w:rPr>
                          <w:t>了</w:t>
                        </w:r>
                        <w:r>
                          <w:rPr>
                            <w:rFonts w:ascii="宋体" w:hAnsi="宋体" w:cs="宋体" w:eastAsia="宋体" w:hint="default"/>
                            <w:sz w:val="18"/>
                            <w:szCs w:val="18"/>
                          </w:rPr>
                          <w:t>《关于继续使用部分闲置募集资金暂时补充流动资金的议案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公司从“年产</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台电化学气体检测</w:t>
                        </w:r>
                      </w:p>
                      <w:p>
                        <w:pPr>
                          <w:pStyle w:val="TableParagraph"/>
                          <w:spacing w:line="240" w:lineRule="auto" w:before="76"/>
                          <w:ind w:left="15" w:right="0"/>
                          <w:jc w:val="both"/>
                          <w:rPr>
                            <w:rFonts w:ascii="宋体" w:hAnsi="宋体" w:cs="宋体" w:eastAsia="宋体" w:hint="default"/>
                            <w:sz w:val="18"/>
                            <w:szCs w:val="18"/>
                          </w:rPr>
                        </w:pPr>
                        <w:r>
                          <w:rPr>
                            <w:rFonts w:ascii="宋体" w:hAnsi="宋体" w:cs="宋体" w:eastAsia="宋体" w:hint="default"/>
                            <w:sz w:val="18"/>
                            <w:szCs w:val="18"/>
                          </w:rPr>
                          <w:t>仪器仪表项目”尚未使用的闲置募集资金中，使用 </w:t>
                        </w:r>
                        <w:r>
                          <w:rPr>
                            <w:rFonts w:ascii="宋体" w:hAnsi="宋体" w:cs="宋体" w:eastAsia="宋体" w:hint="default"/>
                            <w:sz w:val="18"/>
                            <w:szCs w:val="18"/>
                          </w:rPr>
                          <w:t>400.00</w:t>
                        </w:r>
                        <w:r>
                          <w:rPr>
                            <w:rFonts w:ascii="宋体" w:hAnsi="宋体" w:cs="宋体" w:eastAsia="宋体" w:hint="default"/>
                            <w:spacing w:val="-51"/>
                            <w:sz w:val="18"/>
                            <w:szCs w:val="18"/>
                          </w:rPr>
                          <w:t> </w:t>
                        </w:r>
                        <w:r>
                          <w:rPr>
                            <w:rFonts w:ascii="宋体" w:hAnsi="宋体" w:cs="宋体" w:eastAsia="宋体" w:hint="default"/>
                            <w:sz w:val="18"/>
                            <w:szCs w:val="18"/>
                          </w:rPr>
                          <w:t>万元用于暂时补充流动资金；从未计划使用</w:t>
                        </w:r>
                      </w:p>
                    </w:tc>
                  </w:tr>
                  <w:tr>
                    <w:trPr>
                      <w:trHeight w:val="704" w:hRule="exact"/>
                    </w:trPr>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8106" w:type="dxa"/>
                        <w:gridSpan w:val="11"/>
                        <w:vMerge/>
                        <w:tcBorders>
                          <w:left w:val="single" w:sz="10" w:space="0" w:color="D2D2D2"/>
                          <w:right w:val="single" w:sz="4" w:space="0" w:color="000000"/>
                        </w:tcBorders>
                      </w:tcPr>
                      <w:p>
                        <w:pPr/>
                      </w:p>
                    </w:tc>
                  </w:tr>
                  <w:tr>
                    <w:trPr>
                      <w:trHeight w:val="2314" w:hRule="exact"/>
                    </w:trPr>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6" w:type="dxa"/>
                        <w:gridSpan w:val="11"/>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line="352" w:lineRule="exact"/>
        <w:ind w:left="272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02.55pt;height:17.650pt;mso-position-horizontal-relative:char;mso-position-vertical-relative:line" coordorigin="0,0" coordsize="8051,353">
            <v:group style="position:absolute;left:0;top:0;width:8051;height:353" coordorigin="0,0" coordsize="8051,353">
              <v:shape style="position:absolute;left:0;top:0;width:8051;height:353" coordorigin="0,0" coordsize="8051,353" path="m0,353l8050,353,8050,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0" w:right="104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1589"/>
        <w:gridCol w:w="8106"/>
      </w:tblGrid>
      <w:tr>
        <w:trPr>
          <w:trHeight w:val="3250"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10"/>
                <w:sz w:val="18"/>
                <w:szCs w:val="18"/>
              </w:rPr>
              <w:t>超募资金中，使用</w:t>
            </w:r>
            <w:r>
              <w:rPr>
                <w:rFonts w:ascii="宋体" w:hAnsi="宋体" w:cs="宋体" w:eastAsia="宋体" w:hint="default"/>
                <w:spacing w:val="-45"/>
                <w:sz w:val="18"/>
                <w:szCs w:val="18"/>
              </w:rPr>
              <w:t> </w:t>
            </w:r>
            <w:r>
              <w:rPr>
                <w:rFonts w:ascii="宋体" w:hAnsi="宋体" w:cs="宋体" w:eastAsia="宋体" w:hint="default"/>
                <w:sz w:val="18"/>
                <w:szCs w:val="18"/>
              </w:rPr>
              <w:t>3,100.00</w:t>
            </w:r>
            <w:r>
              <w:rPr>
                <w:rFonts w:ascii="宋体" w:hAnsi="宋体" w:cs="宋体" w:eastAsia="宋体" w:hint="default"/>
                <w:spacing w:val="-45"/>
                <w:sz w:val="18"/>
                <w:szCs w:val="18"/>
              </w:rPr>
              <w:t> </w:t>
            </w:r>
            <w:r>
              <w:rPr>
                <w:rFonts w:ascii="宋体" w:hAnsi="宋体" w:cs="宋体" w:eastAsia="宋体" w:hint="default"/>
                <w:spacing w:val="-5"/>
                <w:sz w:val="18"/>
                <w:szCs w:val="18"/>
              </w:rPr>
              <w:t>万元用于暂时补充流动资金。</w:t>
            </w:r>
            <w:r>
              <w:rPr>
                <w:rFonts w:ascii="宋体" w:hAnsi="宋体" w:cs="宋体" w:eastAsia="宋体" w:hint="default"/>
                <w:spacing w:val="-5"/>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pacing w:val="-10"/>
                <w:sz w:val="18"/>
                <w:szCs w:val="18"/>
              </w:rPr>
              <w:t>日，公司已将合计</w:t>
            </w:r>
            <w:r>
              <w:rPr>
                <w:rFonts w:ascii="宋体" w:hAnsi="宋体" w:cs="宋体" w:eastAsia="宋体" w:hint="default"/>
                <w:spacing w:val="-45"/>
                <w:sz w:val="18"/>
                <w:szCs w:val="18"/>
              </w:rPr>
              <w:t> </w:t>
            </w:r>
            <w:r>
              <w:rPr>
                <w:rFonts w:ascii="宋体" w:hAnsi="宋体" w:cs="宋体" w:eastAsia="宋体" w:hint="default"/>
                <w:sz w:val="18"/>
                <w:szCs w:val="18"/>
              </w:rPr>
              <w:t>3,500.00</w:t>
            </w:r>
            <w:r>
              <w:rPr>
                <w:rFonts w:ascii="宋体" w:hAnsi="宋体" w:cs="宋体" w:eastAsia="宋体" w:hint="default"/>
                <w:spacing w:val="3"/>
                <w:sz w:val="18"/>
                <w:szCs w:val="18"/>
              </w:rPr>
              <w:t> </w:t>
            </w:r>
            <w:r>
              <w:rPr>
                <w:rFonts w:ascii="宋体" w:hAnsi="宋体" w:cs="宋体" w:eastAsia="宋体" w:hint="default"/>
                <w:sz w:val="18"/>
                <w:szCs w:val="18"/>
              </w:rPr>
              <w:t>万 元人民币归还至公司募集资金专户。</w:t>
            </w:r>
          </w:p>
          <w:p>
            <w:pPr>
              <w:pStyle w:val="TableParagraph"/>
              <w:spacing w:line="319" w:lineRule="auto" w:before="56"/>
              <w:ind w:left="22" w:right="22"/>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日，公司第二届董事会第二十八次会议和第二届监事会第二十一次会议，分别审议 </w:t>
            </w:r>
            <w:r>
              <w:rPr>
                <w:rFonts w:ascii="宋体" w:hAnsi="宋体" w:cs="宋体" w:eastAsia="宋体" w:hint="default"/>
                <w:spacing w:val="2"/>
                <w:sz w:val="18"/>
                <w:szCs w:val="18"/>
              </w:rPr>
              <w:t>通过了《关于使用部分节余超募资金永久补充流动资金的议案》，使用剩余未制定使用计划超募资金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2,267.04</w:t>
            </w:r>
            <w:r>
              <w:rPr>
                <w:rFonts w:ascii="宋体" w:hAnsi="宋体" w:cs="宋体" w:eastAsia="宋体" w:hint="default"/>
                <w:spacing w:val="-29"/>
                <w:sz w:val="18"/>
                <w:szCs w:val="18"/>
              </w:rPr>
              <w:t> </w:t>
            </w:r>
            <w:r>
              <w:rPr>
                <w:rFonts w:ascii="宋体" w:hAnsi="宋体" w:cs="宋体" w:eastAsia="宋体" w:hint="default"/>
                <w:sz w:val="18"/>
                <w:szCs w:val="18"/>
              </w:rPr>
              <w:t>万元及全部超募资金利息</w:t>
            </w:r>
            <w:r>
              <w:rPr>
                <w:rFonts w:ascii="宋体" w:hAnsi="宋体" w:cs="宋体" w:eastAsia="宋体" w:hint="default"/>
                <w:spacing w:val="-29"/>
                <w:sz w:val="18"/>
                <w:szCs w:val="18"/>
              </w:rPr>
              <w:t> </w:t>
            </w:r>
            <w:r>
              <w:rPr>
                <w:rFonts w:ascii="宋体" w:hAnsi="宋体" w:cs="宋体" w:eastAsia="宋体" w:hint="default"/>
                <w:sz w:val="18"/>
                <w:szCs w:val="18"/>
              </w:rPr>
              <w:t>441.09</w:t>
            </w:r>
            <w:r>
              <w:rPr>
                <w:rFonts w:ascii="宋体" w:hAnsi="宋体" w:cs="宋体" w:eastAsia="宋体" w:hint="default"/>
                <w:spacing w:val="-28"/>
                <w:sz w:val="18"/>
                <w:szCs w:val="18"/>
              </w:rPr>
              <w:t> </w:t>
            </w:r>
            <w:r>
              <w:rPr>
                <w:rFonts w:ascii="宋体" w:hAnsi="宋体" w:cs="宋体" w:eastAsia="宋体" w:hint="default"/>
                <w:sz w:val="18"/>
                <w:szCs w:val="18"/>
              </w:rPr>
              <w:t>万元（合计</w:t>
            </w:r>
            <w:r>
              <w:rPr>
                <w:rFonts w:ascii="宋体" w:hAnsi="宋体" w:cs="宋体" w:eastAsia="宋体" w:hint="default"/>
                <w:spacing w:val="-29"/>
                <w:sz w:val="18"/>
                <w:szCs w:val="18"/>
              </w:rPr>
              <w:t> </w:t>
            </w:r>
            <w:r>
              <w:rPr>
                <w:rFonts w:ascii="宋体" w:hAnsi="宋体" w:cs="宋体" w:eastAsia="宋体" w:hint="default"/>
                <w:sz w:val="18"/>
                <w:szCs w:val="18"/>
              </w:rPr>
              <w:t>2,708.13</w:t>
            </w:r>
            <w:r>
              <w:rPr>
                <w:rFonts w:ascii="宋体" w:hAnsi="宋体" w:cs="宋体" w:eastAsia="宋体" w:hint="default"/>
                <w:spacing w:val="-29"/>
                <w:sz w:val="18"/>
                <w:szCs w:val="18"/>
              </w:rPr>
              <w:t> </w:t>
            </w:r>
            <w:r>
              <w:rPr>
                <w:rFonts w:ascii="宋体" w:hAnsi="宋体" w:cs="宋体" w:eastAsia="宋体" w:hint="default"/>
                <w:sz w:val="18"/>
                <w:szCs w:val="18"/>
              </w:rPr>
              <w:t>万元）用于永久补充流动资金。根据</w:t>
            </w:r>
          </w:p>
          <w:p>
            <w:pPr>
              <w:pStyle w:val="TableParagraph"/>
              <w:spacing w:line="319" w:lineRule="auto" w:before="17"/>
              <w:ind w:left="22" w:right="20"/>
              <w:jc w:val="both"/>
              <w:rPr>
                <w:rFonts w:ascii="宋体" w:hAnsi="宋体" w:cs="宋体" w:eastAsia="宋体" w:hint="default"/>
                <w:sz w:val="18"/>
                <w:szCs w:val="18"/>
              </w:rPr>
            </w:pPr>
            <w:r>
              <w:rPr>
                <w:rFonts w:ascii="宋体" w:hAnsi="宋体" w:cs="宋体" w:eastAsia="宋体" w:hint="default"/>
                <w:sz w:val="18"/>
                <w:szCs w:val="18"/>
              </w:rPr>
              <w:t>相关规定，该次董事会将该议案提交给了股东大会审议。具体内容请查看公司于</w:t>
            </w:r>
            <w:r>
              <w:rPr>
                <w:rFonts w:ascii="宋体" w:hAnsi="宋体" w:cs="宋体" w:eastAsia="宋体" w:hint="default"/>
                <w:spacing w:val="-38"/>
                <w:sz w:val="18"/>
                <w:szCs w:val="18"/>
              </w:rPr>
              <w:t> </w:t>
            </w:r>
            <w:r>
              <w:rPr>
                <w:rFonts w:ascii="宋体" w:hAnsi="宋体" w:cs="宋体" w:eastAsia="宋体" w:hint="default"/>
                <w:sz w:val="18"/>
                <w:szCs w:val="18"/>
              </w:rPr>
              <w:t>2014</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日在中 国证监会指定创业板信息披露网站刊登的公告。</w:t>
            </w:r>
          </w:p>
          <w:p>
            <w:pPr>
              <w:pStyle w:val="TableParagraph"/>
              <w:spacing w:line="319" w:lineRule="auto" w:before="55"/>
              <w:ind w:left="22" w:right="21"/>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日，公司召开</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年第一次临时股东大会，审议通过了《关于使用部分节余超募资 </w:t>
            </w:r>
            <w:r>
              <w:rPr>
                <w:rFonts w:ascii="宋体" w:hAnsi="宋体" w:cs="宋体" w:eastAsia="宋体" w:hint="default"/>
                <w:spacing w:val="-2"/>
                <w:sz w:val="18"/>
                <w:szCs w:val="18"/>
              </w:rPr>
              <w:t>金永久补充流动资金的议案》，同意公司使用剩余未制定使用计划超募资金用于永久补充流动资金。具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体内容请查看公司于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日在中国证监会指定创业板信息披露网站刊登的公告。</w:t>
            </w:r>
          </w:p>
        </w:tc>
      </w:tr>
      <w:tr>
        <w:trPr>
          <w:trHeight w:val="402"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89" w:type="dxa"/>
            <w:vMerge/>
            <w:tcBorders>
              <w:left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89" w:type="dxa"/>
            <w:vMerge/>
            <w:tcBorders>
              <w:left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截至报告期末，公司不存在结余的募集资金。</w:t>
            </w:r>
          </w:p>
        </w:tc>
      </w:tr>
      <w:tr>
        <w:trPr>
          <w:trHeight w:val="714"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截至报告期末，公司募集资金已经投入完毕，不存在尚未使用的募集资金。</w:t>
            </w:r>
          </w:p>
        </w:tc>
      </w:tr>
      <w:tr>
        <w:trPr>
          <w:trHeight w:val="4268"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14"/>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日，公司召开第三届董事会第十八次会议，审议通过了《关于节余募集资金永久补 </w:t>
            </w:r>
            <w:r>
              <w:rPr>
                <w:rFonts w:ascii="宋体" w:hAnsi="宋体" w:cs="宋体" w:eastAsia="宋体" w:hint="default"/>
                <w:spacing w:val="-8"/>
                <w:sz w:val="18"/>
                <w:szCs w:val="18"/>
              </w:rPr>
              <w:t>充流动资金的议案》，鉴于</w:t>
            </w:r>
            <w:r>
              <w:rPr>
                <w:rFonts w:ascii="宋体" w:hAnsi="宋体" w:cs="宋体" w:eastAsia="宋体" w:hint="default"/>
                <w:sz w:val="18"/>
                <w:szCs w:val="18"/>
              </w:rPr>
              <w:t> </w:t>
            </w: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募集资金投资项目和超募资金投资项目已经实施完毕，为提升资金使用 </w:t>
            </w:r>
            <w:r>
              <w:rPr>
                <w:rFonts w:ascii="宋体" w:hAnsi="宋体" w:cs="宋体" w:eastAsia="宋体" w:hint="default"/>
                <w:spacing w:val="-10"/>
                <w:sz w:val="18"/>
                <w:szCs w:val="18"/>
              </w:rPr>
              <w:t>效率，节约财务费用，公司决定将“年产</w:t>
            </w:r>
            <w:r>
              <w:rPr>
                <w:rFonts w:ascii="宋体" w:hAnsi="宋体" w:cs="宋体" w:eastAsia="宋体" w:hint="default"/>
                <w:spacing w:val="-58"/>
                <w:sz w:val="18"/>
                <w:szCs w:val="18"/>
              </w:rPr>
              <w:t> </w:t>
            </w:r>
            <w:r>
              <w:rPr>
                <w:rFonts w:ascii="宋体" w:hAnsi="宋体" w:cs="宋体" w:eastAsia="宋体" w:hint="default"/>
                <w:sz w:val="18"/>
                <w:szCs w:val="18"/>
              </w:rPr>
              <w:t>8</w:t>
            </w:r>
            <w:r>
              <w:rPr>
                <w:rFonts w:ascii="宋体" w:hAnsi="宋体" w:cs="宋体" w:eastAsia="宋体" w:hint="default"/>
                <w:spacing w:val="-58"/>
                <w:sz w:val="18"/>
                <w:szCs w:val="18"/>
              </w:rPr>
              <w:t> </w:t>
            </w:r>
            <w:r>
              <w:rPr>
                <w:rFonts w:ascii="宋体" w:hAnsi="宋体" w:cs="宋体" w:eastAsia="宋体" w:hint="default"/>
                <w:sz w:val="18"/>
                <w:szCs w:val="18"/>
              </w:rPr>
              <w:t>万支红外气体传感器及</w:t>
            </w:r>
            <w:r>
              <w:rPr>
                <w:rFonts w:ascii="宋体" w:hAnsi="宋体" w:cs="宋体" w:eastAsia="宋体" w:hint="default"/>
                <w:spacing w:val="-58"/>
                <w:sz w:val="18"/>
                <w:szCs w:val="18"/>
              </w:rPr>
              <w:t> </w:t>
            </w:r>
            <w:r>
              <w:rPr>
                <w:rFonts w:ascii="宋体" w:hAnsi="宋体" w:cs="宋体" w:eastAsia="宋体" w:hint="default"/>
                <w:sz w:val="18"/>
                <w:szCs w:val="18"/>
              </w:rPr>
              <w:t>7.5</w:t>
            </w:r>
            <w:r>
              <w:rPr>
                <w:rFonts w:ascii="宋体" w:hAnsi="宋体" w:cs="宋体" w:eastAsia="宋体" w:hint="default"/>
                <w:spacing w:val="-58"/>
                <w:sz w:val="18"/>
                <w:szCs w:val="18"/>
              </w:rPr>
              <w:t> </w:t>
            </w:r>
            <w:r>
              <w:rPr>
                <w:rFonts w:ascii="宋体" w:hAnsi="宋体" w:cs="宋体" w:eastAsia="宋体" w:hint="default"/>
                <w:sz w:val="18"/>
                <w:szCs w:val="18"/>
              </w:rPr>
              <w:t>万台红外气体检测仪器仪表项目”</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节余资金和“年产</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万台电化学气体检测仪器仪表项目”节余资金及以及上述资金的利息合计</w:t>
            </w:r>
            <w:r>
              <w:rPr>
                <w:rFonts w:ascii="宋体" w:hAnsi="宋体" w:cs="宋体" w:eastAsia="宋体" w:hint="default"/>
                <w:spacing w:val="-47"/>
                <w:sz w:val="18"/>
                <w:szCs w:val="18"/>
              </w:rPr>
              <w:t> </w:t>
            </w:r>
            <w:r>
              <w:rPr>
                <w:rFonts w:ascii="宋体" w:hAnsi="宋体" w:cs="宋体" w:eastAsia="宋体" w:hint="default"/>
                <w:sz w:val="18"/>
                <w:szCs w:val="18"/>
              </w:rPr>
              <w:t>668.07 </w:t>
            </w:r>
            <w:r>
              <w:rPr>
                <w:rFonts w:ascii="宋体" w:hAnsi="宋体" w:cs="宋体" w:eastAsia="宋体" w:hint="default"/>
                <w:spacing w:val="-2"/>
                <w:sz w:val="18"/>
                <w:szCs w:val="18"/>
              </w:rPr>
              <w:t>万元用于永久补充流动资金。本次永久补充流动资金后，未来如涉及上述募集资金投资项目款项需要支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出，将以公司自有资金进行支付。具体内容请查看公司在巨潮资讯网刊登的公告。由于公告日后的银行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结息原因，最终实际从对应募集资金账户转出实际补充流动资金的金额为</w:t>
            </w:r>
            <w:r>
              <w:rPr>
                <w:rFonts w:ascii="宋体" w:hAnsi="宋体" w:cs="宋体" w:eastAsia="宋体" w:hint="default"/>
                <w:spacing w:val="-45"/>
                <w:sz w:val="18"/>
                <w:szCs w:val="18"/>
              </w:rPr>
              <w:t> </w:t>
            </w:r>
            <w:r>
              <w:rPr>
                <w:rFonts w:ascii="宋体" w:hAnsi="宋体" w:cs="宋体" w:eastAsia="宋体" w:hint="default"/>
                <w:sz w:val="18"/>
                <w:szCs w:val="18"/>
              </w:rPr>
              <w:t>669.16</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319" w:lineRule="auto" w:before="55"/>
              <w:ind w:left="22" w:right="20"/>
              <w:jc w:val="both"/>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、根据《创业板股票上市规则》，</w:t>
            </w:r>
            <w:r>
              <w:rPr>
                <w:rFonts w:ascii="宋体" w:hAnsi="宋体" w:cs="宋体" w:eastAsia="宋体" w:hint="default"/>
                <w:spacing w:val="-5"/>
                <w:sz w:val="18"/>
                <w:szCs w:val="18"/>
              </w:rPr>
              <w:t>2014</w:t>
            </w:r>
            <w:r>
              <w:rPr>
                <w:rFonts w:ascii="宋体" w:hAnsi="宋体" w:cs="宋体" w:eastAsia="宋体" w:hint="default"/>
                <w:spacing w:val="-33"/>
                <w:sz w:val="18"/>
                <w:szCs w:val="18"/>
              </w:rPr>
              <w:t> </w:t>
            </w:r>
            <w:r>
              <w:rPr>
                <w:rFonts w:ascii="宋体" w:hAnsi="宋体" w:cs="宋体" w:eastAsia="宋体" w:hint="default"/>
                <w:sz w:val="18"/>
                <w:szCs w:val="18"/>
              </w:rPr>
              <w:t>年度重大资产重组配套募集资金节余资金</w:t>
            </w:r>
            <w:r>
              <w:rPr>
                <w:rFonts w:ascii="宋体" w:hAnsi="宋体" w:cs="宋体" w:eastAsia="宋体" w:hint="default"/>
                <w:spacing w:val="-33"/>
                <w:sz w:val="18"/>
                <w:szCs w:val="18"/>
              </w:rPr>
              <w:t> </w:t>
            </w:r>
            <w:r>
              <w:rPr>
                <w:rFonts w:ascii="宋体" w:hAnsi="宋体" w:cs="宋体" w:eastAsia="宋体" w:hint="default"/>
                <w:sz w:val="18"/>
                <w:szCs w:val="18"/>
              </w:rPr>
              <w:t>96.96</w:t>
            </w:r>
            <w:r>
              <w:rPr>
                <w:rFonts w:ascii="宋体" w:hAnsi="宋体" w:cs="宋体" w:eastAsia="宋体" w:hint="default"/>
                <w:spacing w:val="-33"/>
                <w:sz w:val="18"/>
                <w:szCs w:val="18"/>
              </w:rPr>
              <w:t> </w:t>
            </w:r>
            <w:r>
              <w:rPr>
                <w:rFonts w:ascii="宋体" w:hAnsi="宋体" w:cs="宋体" w:eastAsia="宋体" w:hint="default"/>
                <w:sz w:val="18"/>
                <w:szCs w:val="18"/>
              </w:rPr>
              <w:t>万元已于</w:t>
            </w:r>
            <w:r>
              <w:rPr>
                <w:rFonts w:ascii="宋体" w:hAnsi="宋体" w:cs="宋体" w:eastAsia="宋体" w:hint="default"/>
                <w:spacing w:val="-33"/>
                <w:sz w:val="18"/>
                <w:szCs w:val="18"/>
              </w:rPr>
              <w:t> </w:t>
            </w:r>
            <w:r>
              <w:rPr>
                <w:rFonts w:ascii="宋体" w:hAnsi="宋体" w:cs="宋体" w:eastAsia="宋体" w:hint="default"/>
                <w:spacing w:val="-1"/>
                <w:sz w:val="18"/>
                <w:szCs w:val="18"/>
              </w:rPr>
              <w:t>2015</w:t>
            </w:r>
            <w:r>
              <w:rPr>
                <w:rFonts w:ascii="宋体" w:hAnsi="宋体" w:cs="宋体" w:eastAsia="宋体" w:hint="default"/>
                <w:sz w:val="18"/>
                <w:szCs w:val="18"/>
              </w:rPr>
              <w:t> </w:t>
            </w:r>
            <w:r>
              <w:rPr>
                <w:rFonts w:ascii="宋体" w:hAnsi="宋体" w:cs="宋体" w:eastAsia="宋体" w:hint="default"/>
                <w:spacing w:val="-2"/>
                <w:sz w:val="18"/>
                <w:szCs w:val="18"/>
              </w:rPr>
              <w:t>年上半年永久补充流动资金。由于公告日后的银行结息原因，最终实际从对应募集资金账户转出补充流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动资金的金额为</w:t>
            </w:r>
            <w:r>
              <w:rPr>
                <w:rFonts w:ascii="宋体" w:hAnsi="宋体" w:cs="宋体" w:eastAsia="宋体" w:hint="default"/>
                <w:spacing w:val="-46"/>
                <w:sz w:val="18"/>
                <w:szCs w:val="18"/>
              </w:rPr>
              <w:t> </w:t>
            </w:r>
            <w:r>
              <w:rPr>
                <w:rFonts w:ascii="宋体" w:hAnsi="宋体" w:cs="宋体" w:eastAsia="宋体" w:hint="default"/>
                <w:sz w:val="18"/>
                <w:szCs w:val="18"/>
              </w:rPr>
              <w:t>98.13</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58"/>
              <w:ind w:left="22"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、子公司创威煤安已经更名为“河南汉威智慧安全科技有限公司”。</w:t>
            </w:r>
          </w:p>
          <w:p>
            <w:pPr>
              <w:pStyle w:val="TableParagraph"/>
              <w:spacing w:line="319" w:lineRule="auto" w:before="115"/>
              <w:ind w:left="22" w:right="22"/>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年重大资产重组配套融资”所实现的效益对应期间的沈阳金建净利润和嘉园环保扣除非经常</w:t>
            </w:r>
            <w:r>
              <w:rPr>
                <w:rFonts w:ascii="宋体" w:hAnsi="宋体" w:cs="宋体" w:eastAsia="宋体" w:hint="default"/>
                <w:sz w:val="18"/>
                <w:szCs w:val="18"/>
              </w:rPr>
              <w:t> 损益后净利润之和。</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3"/>
        <w:spacing w:line="240" w:lineRule="auto" w:before="35"/>
        <w:ind w:left="1133" w:right="1117"/>
        <w:jc w:val="left"/>
        <w:rPr>
          <w:b w:val="0"/>
          <w:bCs w:val="0"/>
        </w:rPr>
      </w:pPr>
      <w:bookmarkStart w:name="（3）募集资金变更项目情况" w:id="47"/>
      <w:bookmarkEnd w:id="47"/>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117"/>
        <w:jc w:val="left"/>
        <w:rPr>
          <w:b w:val="0"/>
          <w:bCs w:val="0"/>
        </w:rPr>
      </w:pPr>
      <w:bookmarkStart w:name="六、重大资产和股权出售" w:id="48"/>
      <w:bookmarkEnd w:id="48"/>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出售重大资产情况" w:id="49"/>
      <w:bookmarkEnd w:id="49"/>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1133" w:right="1117"/>
        <w:jc w:val="left"/>
        <w:rPr>
          <w:b w:val="0"/>
          <w:bCs w:val="0"/>
        </w:rPr>
      </w:pPr>
      <w:bookmarkStart w:name="2、出售重大股权情况" w:id="50"/>
      <w:bookmarkEnd w:id="50"/>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七、主要控股参股公司分析" w:id="51"/>
      <w:bookmarkEnd w:id="51"/>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554"/>
        <w:gridCol w:w="698"/>
        <w:gridCol w:w="546"/>
        <w:gridCol w:w="1316"/>
        <w:gridCol w:w="1496"/>
        <w:gridCol w:w="1316"/>
        <w:gridCol w:w="1317"/>
        <w:gridCol w:w="1225"/>
        <w:gridCol w:w="1226"/>
      </w:tblGrid>
      <w:tr>
        <w:trPr>
          <w:trHeight w:val="714" w:hRule="exact"/>
        </w:trPr>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4" w:right="72"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59"/>
              <w:jc w:val="left"/>
              <w:rPr>
                <w:rFonts w:ascii="宋体" w:hAnsi="宋体" w:cs="宋体" w:eastAsia="宋体" w:hint="default"/>
                <w:sz w:val="18"/>
                <w:szCs w:val="18"/>
              </w:rPr>
            </w:pPr>
            <w:r>
              <w:rPr>
                <w:rFonts w:ascii="宋体" w:hAnsi="宋体" w:cs="宋体" w:eastAsia="宋体" w:hint="default"/>
                <w:sz w:val="18"/>
                <w:szCs w:val="18"/>
              </w:rPr>
              <w:t>嘉园 环保</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环境 工程、 市政 工程</w:t>
            </w:r>
          </w:p>
        </w:tc>
        <w:tc>
          <w:tcPr>
            <w:tcW w:w="131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sz w:val="18"/>
              </w:rPr>
              <w:t>60,000,000.00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570,895,398.51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271,827,572.12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231,976,039.17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48,147,662.40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44,258,973.68</w:t>
            </w:r>
          </w:p>
        </w:tc>
      </w:tr>
      <w:tr>
        <w:trPr>
          <w:trHeight w:val="2586"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汉威 公用</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城市 基础 设施 建设、 工程 设计 及施</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工</w:t>
            </w:r>
          </w:p>
        </w:tc>
        <w:tc>
          <w:tcPr>
            <w:tcW w:w="131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sz w:val="18"/>
              </w:rPr>
              <w:t>100,000,000.00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1,088,377,460.13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262,851,345.39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161,813,852.91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38,279,169.54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38,786,033.04</w:t>
            </w:r>
          </w:p>
        </w:tc>
      </w:tr>
      <w:tr>
        <w:trPr>
          <w:trHeight w:val="71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炜盛 科技</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传感 器</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18,000,000.00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64,629,616.81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49,372,541.76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66,209,066.68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17,227,882.40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16,889,564.70</w:t>
            </w:r>
          </w:p>
        </w:tc>
      </w:tr>
      <w:tr>
        <w:trPr>
          <w:trHeight w:val="71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沈阳 金建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GIS</w:t>
            </w:r>
            <w:r>
              <w:rPr>
                <w:rFonts w:ascii="宋体" w:hAnsi="宋体" w:cs="宋体" w:eastAsia="宋体" w:hint="default"/>
                <w:spacing w:val="-51"/>
                <w:sz w:val="18"/>
                <w:szCs w:val="18"/>
              </w:rPr>
              <w:t> </w:t>
            </w:r>
            <w:r>
              <w:rPr>
                <w:rFonts w:ascii="宋体" w:hAnsi="宋体" w:cs="宋体" w:eastAsia="宋体" w:hint="default"/>
                <w:sz w:val="18"/>
                <w:szCs w:val="18"/>
              </w:rPr>
              <w:t>系</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64,471,169.13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53,202,475.29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36,257,093.55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14,923,188.31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14,122,099.62</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62" w:type="dxa"/>
        <w:tblLayout w:type="fixed"/>
        <w:tblCellMar>
          <w:top w:w="0" w:type="dxa"/>
          <w:left w:w="0" w:type="dxa"/>
          <w:bottom w:w="0" w:type="dxa"/>
          <w:right w:w="0" w:type="dxa"/>
        </w:tblCellMar>
        <w:tblLook w:val="01E0"/>
      </w:tblPr>
      <w:tblGrid>
        <w:gridCol w:w="3189"/>
        <w:gridCol w:w="3190"/>
        <w:gridCol w:w="3192"/>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以自有资金设立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贡献利润</w:t>
            </w:r>
            <w:r>
              <w:rPr>
                <w:rFonts w:ascii="宋体" w:hAnsi="宋体" w:cs="宋体" w:eastAsia="宋体" w:hint="default"/>
                <w:spacing w:val="-46"/>
                <w:sz w:val="18"/>
                <w:szCs w:val="18"/>
              </w:rPr>
              <w:t> </w:t>
            </w:r>
            <w:r>
              <w:rPr>
                <w:rFonts w:ascii="宋体" w:hAnsi="宋体" w:cs="宋体" w:eastAsia="宋体" w:hint="default"/>
                <w:sz w:val="18"/>
                <w:szCs w:val="18"/>
              </w:rPr>
              <w:t>2,521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郑州汉威智能仪表有限公司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以自有资金设立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贡献利润</w:t>
            </w:r>
            <w:r>
              <w:rPr>
                <w:rFonts w:ascii="宋体" w:hAnsi="宋体" w:cs="宋体" w:eastAsia="宋体" w:hint="default"/>
                <w:sz w:val="18"/>
                <w:szCs w:val="18"/>
              </w:rPr>
              <w:t>-56</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广东龙泉科技有限公司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支付现金收购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贡献利润</w:t>
            </w:r>
            <w:r>
              <w:rPr>
                <w:rFonts w:ascii="宋体" w:hAnsi="宋体" w:cs="宋体" w:eastAsia="宋体" w:hint="default"/>
                <w:spacing w:val="-46"/>
                <w:sz w:val="18"/>
                <w:szCs w:val="18"/>
              </w:rPr>
              <w:t> </w:t>
            </w:r>
            <w:r>
              <w:rPr>
                <w:rFonts w:ascii="宋体" w:hAnsi="宋体" w:cs="宋体" w:eastAsia="宋体" w:hint="default"/>
                <w:sz w:val="18"/>
                <w:szCs w:val="18"/>
              </w:rPr>
              <w:t>149</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0"/>
        <w:rPr>
          <w:rFonts w:ascii="宋体" w:hAnsi="宋体" w:cs="宋体" w:eastAsia="宋体" w:hint="default"/>
          <w:sz w:val="12"/>
          <w:szCs w:val="12"/>
        </w:rPr>
      </w:pPr>
    </w:p>
    <w:p>
      <w:pPr>
        <w:pStyle w:val="BodyText"/>
        <w:spacing w:line="408" w:lineRule="auto" w:before="0"/>
        <w:ind w:left="1554" w:right="1197"/>
        <w:jc w:val="left"/>
      </w:pPr>
      <w:r>
        <w:rPr>
          <w:rFonts w:ascii="宋体" w:hAnsi="宋体" w:cs="宋体" w:eastAsia="宋体" w:hint="default"/>
        </w:rPr>
        <w:t>1</w:t>
      </w:r>
      <w:r>
        <w:rPr/>
        <w:t>、郑州炜盛电子科技有限公司 炜盛科技为公司的全资子公司，注册资本</w:t>
      </w:r>
      <w:r>
        <w:rPr>
          <w:rFonts w:ascii="宋体" w:hAnsi="宋体" w:cs="宋体" w:eastAsia="宋体" w:hint="default"/>
        </w:rPr>
        <w:t>1,800</w:t>
      </w:r>
      <w:r>
        <w:rPr/>
        <w:t>万元。法定代表人：陈凌飞。公司住所：郑州高新技</w:t>
      </w:r>
    </w:p>
    <w:p>
      <w:pPr>
        <w:pStyle w:val="BodyText"/>
        <w:spacing w:line="408" w:lineRule="auto"/>
        <w:ind w:left="1134" w:right="1197"/>
        <w:jc w:val="left"/>
      </w:pPr>
      <w:r>
        <w:rPr/>
        <w:t>术开发区金梭路</w:t>
      </w:r>
      <w:r>
        <w:rPr>
          <w:rFonts w:ascii="宋体" w:hAnsi="宋体" w:cs="宋体" w:eastAsia="宋体" w:hint="default"/>
        </w:rPr>
        <w:t>299</w:t>
      </w:r>
      <w:r>
        <w:rPr/>
        <w:t>号。主要经营范围：气敏元件、传感器、检测控制仪表、电子产品的开发、生产、销 售；提供技术转让、技术服务、技术咨询；进出口贸易。</w:t>
      </w:r>
    </w:p>
    <w:p>
      <w:pPr>
        <w:pStyle w:val="BodyText"/>
        <w:spacing w:line="408" w:lineRule="auto"/>
        <w:ind w:left="1553" w:right="1198"/>
        <w:jc w:val="left"/>
      </w:pPr>
      <w:r>
        <w:rPr/>
        <w:t>经审计，炜盛科技</w:t>
      </w:r>
      <w:r>
        <w:rPr>
          <w:rFonts w:ascii="宋体" w:hAnsi="宋体" w:cs="宋体" w:eastAsia="宋体" w:hint="default"/>
        </w:rPr>
        <w:t>2015</w:t>
      </w:r>
      <w:r>
        <w:rPr/>
        <w:t>年度实现营业收入</w:t>
      </w:r>
      <w:r>
        <w:rPr>
          <w:rFonts w:ascii="宋体" w:hAnsi="宋体" w:cs="宋体" w:eastAsia="宋体" w:hint="default"/>
        </w:rPr>
        <w:t>6,620.91</w:t>
      </w:r>
      <w:r>
        <w:rPr/>
        <w:t>万元，实现净利润</w:t>
      </w:r>
      <w:r>
        <w:rPr>
          <w:rFonts w:ascii="宋体" w:hAnsi="宋体" w:cs="宋体" w:eastAsia="宋体" w:hint="default"/>
        </w:rPr>
        <w:t>1,688.96</w:t>
      </w:r>
      <w:r>
        <w:rPr/>
        <w:t>万元。 </w:t>
      </w:r>
      <w:r>
        <w:rPr>
          <w:rFonts w:ascii="宋体" w:hAnsi="宋体" w:cs="宋体" w:eastAsia="宋体" w:hint="default"/>
        </w:rPr>
        <w:t>2</w:t>
      </w:r>
      <w:r>
        <w:rPr/>
        <w:t>、沈阳金建数字城市软件有限公司 沈阳金建为公司的全资子公司，注册资本</w:t>
      </w:r>
      <w:r>
        <w:rPr>
          <w:rFonts w:ascii="宋体" w:hAnsi="宋体" w:cs="宋体" w:eastAsia="宋体" w:hint="default"/>
        </w:rPr>
        <w:t>1,100</w:t>
      </w:r>
      <w:r>
        <w:rPr/>
        <w:t>万元。法定代表人：尚剑红。公司住所：沈阳市浑南</w:t>
      </w:r>
    </w:p>
    <w:p>
      <w:pPr>
        <w:pStyle w:val="BodyText"/>
        <w:spacing w:line="408" w:lineRule="auto"/>
        <w:ind w:left="1134" w:right="1197"/>
        <w:jc w:val="left"/>
      </w:pPr>
      <w:r>
        <w:rPr/>
        <w:t>新区天赐街</w:t>
      </w:r>
      <w:r>
        <w:rPr>
          <w:rFonts w:ascii="宋体" w:hAnsi="宋体" w:cs="宋体" w:eastAsia="宋体" w:hint="default"/>
        </w:rPr>
        <w:t>7-3</w:t>
      </w:r>
      <w:r>
        <w:rPr/>
        <w:t>号</w:t>
      </w:r>
      <w:r>
        <w:rPr>
          <w:rFonts w:ascii="宋体" w:hAnsi="宋体" w:cs="宋体" w:eastAsia="宋体" w:hint="default"/>
        </w:rPr>
        <w:t>14</w:t>
      </w:r>
      <w:r>
        <w:rPr/>
        <w:t>层。主要经营范围：电子地图、地理信息项目开发、办公自动化、系统集成、计算机 软硬件开发、网络综合布线、计算机及辅助设备零售、批发。</w:t>
      </w:r>
    </w:p>
    <w:p>
      <w:pPr>
        <w:pStyle w:val="BodyText"/>
        <w:spacing w:line="408" w:lineRule="auto"/>
        <w:ind w:left="1553" w:right="1117"/>
        <w:jc w:val="left"/>
      </w:pPr>
      <w:r>
        <w:rPr/>
        <w:t>经审计，沈阳金建</w:t>
      </w:r>
      <w:r>
        <w:rPr>
          <w:rFonts w:ascii="宋体" w:hAnsi="宋体" w:cs="宋体" w:eastAsia="宋体" w:hint="default"/>
        </w:rPr>
        <w:t>2015</w:t>
      </w:r>
      <w:r>
        <w:rPr/>
        <w:t>年度实现营业收入</w:t>
      </w:r>
      <w:r>
        <w:rPr>
          <w:rFonts w:ascii="宋体" w:hAnsi="宋体" w:cs="宋体" w:eastAsia="宋体" w:hint="default"/>
        </w:rPr>
        <w:t>3,625.71</w:t>
      </w:r>
      <w:r>
        <w:rPr/>
        <w:t>万元，实现净利润</w:t>
      </w:r>
      <w:r>
        <w:rPr>
          <w:rFonts w:ascii="宋体" w:hAnsi="宋体" w:cs="宋体" w:eastAsia="宋体" w:hint="default"/>
        </w:rPr>
        <w:t>1,412.21</w:t>
      </w:r>
      <w:r>
        <w:rPr/>
        <w:t>万元。 </w:t>
      </w:r>
      <w:r>
        <w:rPr>
          <w:rFonts w:ascii="宋体" w:hAnsi="宋体" w:cs="宋体" w:eastAsia="宋体" w:hint="default"/>
        </w:rPr>
        <w:t>3</w:t>
      </w:r>
      <w:r>
        <w:rPr/>
        <w:t>、嘉园环保有限公司 嘉园环保为公司的控股子公司，注册资本</w:t>
      </w:r>
      <w:r>
        <w:rPr>
          <w:rFonts w:ascii="宋体" w:hAnsi="宋体" w:cs="宋体" w:eastAsia="宋体" w:hint="default"/>
        </w:rPr>
        <w:t>6,000</w:t>
      </w:r>
      <w:r>
        <w:rPr/>
        <w:t>万元。法定代表人：徐克。公司住所：福州市鼓楼区</w:t>
      </w:r>
    </w:p>
    <w:p>
      <w:pPr>
        <w:pStyle w:val="BodyText"/>
        <w:spacing w:line="408" w:lineRule="auto"/>
        <w:ind w:right="712"/>
        <w:jc w:val="left"/>
      </w:pPr>
      <w:r>
        <w:rPr/>
        <w:t>软件大道</w:t>
      </w:r>
      <w:r>
        <w:rPr>
          <w:rFonts w:ascii="宋体" w:hAnsi="宋体" w:cs="宋体" w:eastAsia="宋体" w:hint="default"/>
        </w:rPr>
        <w:t>89</w:t>
      </w:r>
      <w:r>
        <w:rPr/>
        <w:t>号福州软件园</w:t>
      </w:r>
      <w:r>
        <w:rPr>
          <w:rFonts w:ascii="宋体" w:hAnsi="宋体" w:cs="宋体" w:eastAsia="宋体" w:hint="default"/>
        </w:rPr>
        <w:t>C</w:t>
      </w:r>
      <w:r>
        <w:rPr/>
        <w:t>区</w:t>
      </w:r>
      <w:r>
        <w:rPr>
          <w:rFonts w:ascii="宋体" w:hAnsi="宋体" w:cs="宋体" w:eastAsia="宋体" w:hint="default"/>
        </w:rPr>
        <w:t>27</w:t>
      </w:r>
      <w:r>
        <w:rPr/>
        <w:t>号楼。公司持股比例为</w:t>
      </w:r>
      <w:r>
        <w:rPr>
          <w:rFonts w:ascii="宋体" w:hAnsi="宋体" w:cs="宋体" w:eastAsia="宋体" w:hint="default"/>
        </w:rPr>
        <w:t>80%</w:t>
      </w:r>
      <w:r>
        <w:rPr/>
        <w:t>。主要经营范围：环境工程与市政工程的咨询、</w:t>
      </w:r>
      <w:r>
        <w:rPr>
          <w:spacing w:val="-34"/>
        </w:rPr>
        <w:t> </w:t>
      </w:r>
      <w:r>
        <w:rPr>
          <w:spacing w:val="-34"/>
        </w:rPr>
      </w:r>
      <w:r>
        <w:rPr/>
        <w:t>设计、施工、总承包、运营；房屋建筑工程的设计、施工、总承包；环保设备、材料及机电设备的研发、</w:t>
      </w:r>
      <w:r>
        <w:rPr>
          <w:spacing w:val="-26"/>
        </w:rPr>
        <w:t> </w:t>
      </w:r>
      <w:r>
        <w:rPr>
          <w:spacing w:val="-26"/>
        </w:rPr>
      </w:r>
      <w:r>
        <w:rPr/>
        <w:t>制造、销售、安装；环保软件开发、销售；环保技术服务；自营和代理各类商品和技术的进出口、但国家</w:t>
      </w:r>
      <w:r>
        <w:rPr/>
        <w:t> 限定公司经营或禁止进出口的商品和技术除外。</w:t>
      </w:r>
    </w:p>
    <w:p>
      <w:pPr>
        <w:pStyle w:val="BodyText"/>
        <w:spacing w:line="408" w:lineRule="auto"/>
        <w:ind w:right="1130" w:firstLine="420"/>
        <w:jc w:val="both"/>
      </w:pPr>
      <w:r>
        <w:rPr/>
        <w:t>经审计，嘉园环保</w:t>
      </w:r>
      <w:r>
        <w:rPr>
          <w:rFonts w:ascii="宋体" w:hAnsi="宋体" w:cs="宋体" w:eastAsia="宋体" w:hint="default"/>
        </w:rPr>
        <w:t>2015</w:t>
      </w:r>
      <w:r>
        <w:rPr/>
        <w:t>年度实现营业收入</w:t>
      </w:r>
      <w:r>
        <w:rPr>
          <w:rFonts w:ascii="宋体" w:hAnsi="宋体" w:cs="宋体" w:eastAsia="宋体" w:hint="default"/>
        </w:rPr>
        <w:t>23,197.60</w:t>
      </w:r>
      <w:r>
        <w:rPr/>
        <w:t>万元，实现净利润</w:t>
      </w:r>
      <w:r>
        <w:rPr>
          <w:rFonts w:ascii="宋体" w:hAnsi="宋体" w:cs="宋体" w:eastAsia="宋体" w:hint="default"/>
        </w:rPr>
        <w:t>4,425.90</w:t>
      </w:r>
      <w:r>
        <w:rPr/>
        <w:t>万元，较上年同期增 </w:t>
      </w:r>
      <w:r>
        <w:rPr>
          <w:spacing w:val="-5"/>
        </w:rPr>
        <w:t>长</w:t>
      </w:r>
      <w:r>
        <w:rPr>
          <w:rFonts w:ascii="宋体" w:hAnsi="宋体" w:cs="宋体" w:eastAsia="宋体" w:hint="default"/>
          <w:spacing w:val="-5"/>
        </w:rPr>
        <w:t>17.72%</w:t>
      </w:r>
      <w:r>
        <w:rPr>
          <w:spacing w:val="-5"/>
        </w:rPr>
        <w:t>，主要系报告期内公司大力发展智慧环保板块，大额项目订单获取实力增强，实现业绩大幅增长；</w:t>
      </w:r>
      <w:r>
        <w:rPr>
          <w:spacing w:val="-87"/>
        </w:rPr>
        <w:t> </w:t>
      </w:r>
      <w:r>
        <w:rPr>
          <w:spacing w:val="-87"/>
        </w:rPr>
      </w:r>
      <w:r>
        <w:rPr>
          <w:rFonts w:ascii="宋体" w:hAnsi="宋体" w:cs="宋体" w:eastAsia="宋体" w:hint="default"/>
        </w:rPr>
        <w:t>2015</w:t>
      </w:r>
      <w:r>
        <w:rPr/>
        <w:t>年实现归属于上市公司普通股股东净利润</w:t>
      </w:r>
      <w:r>
        <w:rPr>
          <w:rFonts w:ascii="宋体" w:hAnsi="宋体" w:cs="宋体" w:eastAsia="宋体" w:hint="default"/>
        </w:rPr>
        <w:t>2,961.94</w:t>
      </w:r>
      <w:r>
        <w:rPr/>
        <w:t>万元，较上年同期增长</w:t>
      </w:r>
      <w:r>
        <w:rPr>
          <w:rFonts w:ascii="宋体" w:hAnsi="宋体" w:cs="宋体" w:eastAsia="宋体" w:hint="default"/>
        </w:rPr>
        <w:t>262.23%</w:t>
      </w:r>
      <w:r>
        <w:rPr/>
        <w:t>，主要原因系报告</w:t>
      </w:r>
      <w:r>
        <w:rPr>
          <w:spacing w:val="-28"/>
        </w:rPr>
        <w:t> </w:t>
      </w:r>
      <w:r>
        <w:rPr>
          <w:spacing w:val="-28"/>
        </w:rPr>
      </w:r>
      <w:r>
        <w:rPr/>
        <w:t>期内嘉园环保实现完整会计年度纳入合并报表范围。</w:t>
      </w:r>
    </w:p>
    <w:p>
      <w:pPr>
        <w:pStyle w:val="BodyText"/>
        <w:spacing w:line="408" w:lineRule="auto"/>
        <w:ind w:left="1554" w:right="1117"/>
        <w:jc w:val="left"/>
      </w:pPr>
      <w:r>
        <w:rPr>
          <w:rFonts w:ascii="宋体" w:hAnsi="宋体" w:cs="宋体" w:eastAsia="宋体" w:hint="default"/>
        </w:rPr>
        <w:t>4</w:t>
      </w:r>
      <w:r>
        <w:rPr/>
        <w:t>、郑州汉威公用事业科技有限公司 </w:t>
      </w:r>
      <w:r>
        <w:rPr>
          <w:spacing w:val="-1"/>
        </w:rPr>
        <w:t>汉威公用为公司的控股子公司，注册资本</w:t>
      </w:r>
      <w:r>
        <w:rPr>
          <w:rFonts w:ascii="宋体" w:hAnsi="宋体" w:cs="宋体" w:eastAsia="宋体" w:hint="default"/>
          <w:spacing w:val="-1"/>
        </w:rPr>
        <w:t>10,000</w:t>
      </w:r>
      <w:r>
        <w:rPr>
          <w:spacing w:val="-1"/>
        </w:rPr>
        <w:t>万元。法定代表人：赵金领。公司住所：郑州市高新</w:t>
      </w:r>
    </w:p>
    <w:p>
      <w:pPr>
        <w:pStyle w:val="BodyText"/>
        <w:spacing w:line="408" w:lineRule="auto"/>
        <w:ind w:right="1117"/>
        <w:jc w:val="left"/>
      </w:pPr>
      <w:r>
        <w:rPr/>
        <w:t>区雪松路</w:t>
      </w:r>
      <w:r>
        <w:rPr>
          <w:rFonts w:ascii="宋体" w:hAnsi="宋体" w:cs="宋体" w:eastAsia="宋体" w:hint="default"/>
        </w:rPr>
        <w:t>169</w:t>
      </w:r>
      <w:r>
        <w:rPr/>
        <w:t>号</w:t>
      </w:r>
      <w:r>
        <w:rPr>
          <w:rFonts w:ascii="宋体" w:hAnsi="宋体" w:cs="宋体" w:eastAsia="宋体" w:hint="default"/>
        </w:rPr>
        <w:t>4</w:t>
      </w:r>
      <w:r>
        <w:rPr/>
        <w:t>号楼</w:t>
      </w:r>
      <w:r>
        <w:rPr>
          <w:rFonts w:ascii="宋体" w:hAnsi="宋体" w:cs="宋体" w:eastAsia="宋体" w:hint="default"/>
        </w:rPr>
        <w:t>3</w:t>
      </w:r>
      <w:r>
        <w:rPr/>
        <w:t>层</w:t>
      </w:r>
      <w:r>
        <w:rPr>
          <w:rFonts w:ascii="宋体" w:hAnsi="宋体" w:cs="宋体" w:eastAsia="宋体" w:hint="default"/>
        </w:rPr>
        <w:t>301</w:t>
      </w:r>
      <w:r>
        <w:rPr/>
        <w:t>室。公司持股比例为</w:t>
      </w:r>
      <w:r>
        <w:rPr>
          <w:rFonts w:ascii="宋体" w:hAnsi="宋体" w:cs="宋体" w:eastAsia="宋体" w:hint="default"/>
        </w:rPr>
        <w:t>65%</w:t>
      </w:r>
      <w:r>
        <w:rPr/>
        <w:t>。主要经营范围：城市基础设施建设、工程设计、工</w:t>
      </w:r>
      <w:r>
        <w:rPr>
          <w:spacing w:val="-36"/>
        </w:rPr>
        <w:t> </w:t>
      </w:r>
      <w:r>
        <w:rPr>
          <w:spacing w:val="-36"/>
        </w:rPr>
      </w:r>
      <w:r>
        <w:rPr>
          <w:spacing w:val="-1"/>
        </w:rPr>
        <w:t>程施工、设备安装、维修服务；市政公用事业的建设、管理及相关软件开发、系统集成、运维服务；市政</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4" w:right="1122" w:hanging="420"/>
        <w:jc w:val="left"/>
      </w:pPr>
      <w:r>
        <w:rPr/>
        <w:t>公用设施的新建、改建、维护及运营管理。 </w:t>
      </w:r>
      <w:r>
        <w:rPr>
          <w:spacing w:val="11"/>
        </w:rPr>
        <w:t>汉威公用为公司通过</w:t>
      </w:r>
      <w:r>
        <w:rPr>
          <w:rFonts w:ascii="宋体" w:hAnsi="宋体" w:cs="宋体" w:eastAsia="宋体" w:hint="default"/>
          <w:spacing w:val="11"/>
        </w:rPr>
        <w:t>PPP</w:t>
      </w:r>
      <w:r>
        <w:rPr>
          <w:spacing w:val="11"/>
        </w:rPr>
        <w:t>模式投资设立的控股子公司，经审计，汉威公用</w:t>
      </w:r>
      <w:r>
        <w:rPr>
          <w:rFonts w:ascii="宋体" w:hAnsi="宋体" w:cs="宋体" w:eastAsia="宋体" w:hint="default"/>
          <w:spacing w:val="11"/>
        </w:rPr>
        <w:t>2015</w:t>
      </w:r>
      <w:r>
        <w:rPr>
          <w:spacing w:val="11"/>
        </w:rPr>
        <w:t>年度实现营业收入</w:t>
      </w:r>
    </w:p>
    <w:p>
      <w:pPr>
        <w:pStyle w:val="BodyText"/>
        <w:spacing w:line="240" w:lineRule="auto"/>
        <w:ind w:left="1134" w:right="0"/>
        <w:jc w:val="both"/>
      </w:pPr>
      <w:r>
        <w:rPr>
          <w:rFonts w:ascii="宋体" w:hAnsi="宋体" w:cs="宋体" w:eastAsia="宋体" w:hint="default"/>
        </w:rPr>
        <w:t>16,181.39</w:t>
      </w:r>
      <w:r>
        <w:rPr/>
        <w:t>万元，实现净利润</w:t>
      </w:r>
      <w:r>
        <w:rPr>
          <w:rFonts w:ascii="宋体" w:hAnsi="宋体" w:cs="宋体" w:eastAsia="宋体" w:hint="default"/>
        </w:rPr>
        <w:t>3,878.60</w:t>
      </w:r>
      <w:r>
        <w:rPr/>
        <w:t>万元。</w:t>
      </w:r>
    </w:p>
    <w:p>
      <w:pPr>
        <w:spacing w:line="240" w:lineRule="auto" w:before="0"/>
        <w:rPr>
          <w:rFonts w:ascii="宋体" w:hAnsi="宋体" w:cs="宋体" w:eastAsia="宋体" w:hint="default"/>
          <w:sz w:val="20"/>
          <w:szCs w:val="20"/>
        </w:rPr>
      </w:pPr>
    </w:p>
    <w:p>
      <w:pPr>
        <w:pStyle w:val="Heading2"/>
        <w:spacing w:line="240" w:lineRule="auto" w:before="132"/>
        <w:ind w:right="0"/>
        <w:jc w:val="both"/>
        <w:rPr>
          <w:b w:val="0"/>
          <w:bCs w:val="0"/>
        </w:rPr>
      </w:pPr>
      <w:bookmarkStart w:name="八、公司控制的结构化主体情况" w:id="52"/>
      <w:bookmarkEnd w:id="52"/>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3"/>
      <w:bookmarkEnd w:id="53"/>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53" w:right="1117"/>
        <w:jc w:val="left"/>
      </w:pPr>
      <w:r>
        <w:rPr/>
        <w:t>（一）公司中长期发展目标 </w:t>
      </w:r>
      <w:r>
        <w:rPr>
          <w:spacing w:val="-1"/>
        </w:rPr>
        <w:t>当前，以移动互联网、云计算、大数据等为代表的新一代信息通信技术发展迅猛，正在全球范围内掀</w:t>
      </w:r>
    </w:p>
    <w:p>
      <w:pPr>
        <w:pStyle w:val="BodyText"/>
        <w:spacing w:line="408" w:lineRule="auto"/>
        <w:ind w:right="1129"/>
        <w:jc w:val="both"/>
      </w:pPr>
      <w:r>
        <w:rPr>
          <w:spacing w:val="-1"/>
        </w:rPr>
        <w:t>起新一轮科技革命和产业变革，推动物联网应用在各个行业的渗透。同时，在</w:t>
      </w:r>
      <w:r>
        <w:rPr>
          <w:rFonts w:ascii="宋体" w:hAnsi="宋体" w:cs="宋体" w:eastAsia="宋体" w:hint="default"/>
          <w:spacing w:val="-1"/>
        </w:rPr>
        <w:t>2016</w:t>
      </w:r>
      <w:r>
        <w:rPr>
          <w:spacing w:val="-1"/>
        </w:rPr>
        <w:t>年全国两会上，“互联</w:t>
      </w:r>
      <w:r>
        <w:rPr>
          <w:spacing w:val="-82"/>
        </w:rPr>
        <w:t> </w:t>
      </w:r>
      <w:r>
        <w:rPr>
          <w:spacing w:val="-82"/>
        </w:rPr>
      </w:r>
      <w:r>
        <w:rPr/>
        <w:t>网</w:t>
      </w:r>
      <w:r>
        <w:rPr>
          <w:rFonts w:ascii="宋体" w:hAnsi="宋体" w:cs="宋体" w:eastAsia="宋体" w:hint="default"/>
        </w:rPr>
        <w:t>+</w:t>
      </w:r>
      <w:r>
        <w:rPr/>
        <w:t>”、“环境保护与治理”、“智慧城市”、“行业物联网”、“安全生产”等，成为国家重点关注的</w:t>
      </w:r>
      <w:r>
        <w:rPr>
          <w:spacing w:val="-35"/>
        </w:rPr>
        <w:t> </w:t>
      </w:r>
      <w:r>
        <w:rPr>
          <w:spacing w:val="-35"/>
        </w:rPr>
      </w:r>
      <w:r>
        <w:rPr>
          <w:spacing w:val="-5"/>
        </w:rPr>
        <w:t>领域，可以预见这些新经济领域将会成为政府未来大力发展的方向，政策与市场机遇众多，这就给汉威“产</w:t>
      </w:r>
      <w:r>
        <w:rPr>
          <w:spacing w:val="-101"/>
        </w:rPr>
        <w:t> </w:t>
      </w:r>
      <w:r>
        <w:rPr>
          <w:spacing w:val="-101"/>
        </w:rPr>
      </w:r>
      <w:r>
        <w:rPr/>
        <w:t>业</w:t>
      </w:r>
      <w:r>
        <w:rPr>
          <w:rFonts w:ascii="宋体" w:hAnsi="宋体" w:cs="宋体" w:eastAsia="宋体" w:hint="default"/>
        </w:rPr>
        <w:t>+</w:t>
      </w:r>
      <w:r>
        <w:rPr/>
        <w:t>物联网”的企业提供了充足的市场机会。</w:t>
      </w:r>
    </w:p>
    <w:p>
      <w:pPr>
        <w:pStyle w:val="BodyText"/>
        <w:spacing w:line="408" w:lineRule="auto"/>
        <w:ind w:right="1131" w:firstLine="420"/>
        <w:jc w:val="both"/>
      </w:pPr>
      <w:r>
        <w:rPr>
          <w:spacing w:val="-1"/>
        </w:rPr>
        <w:t>未来，公司将继续通过内生增长与并购整合的方式，全力开拓落实已经布局的产业市场，打造以传感</w:t>
      </w:r>
      <w:r>
        <w:rPr/>
        <w:t> </w:t>
      </w:r>
      <w:r>
        <w:rPr>
          <w:spacing w:val="-1"/>
        </w:rPr>
        <w:t>器为核心的整体解决方案与服务体系，加速落实大数据、云计算在智慧城市、智慧环保、智慧安全及智能</w:t>
      </w:r>
      <w:r>
        <w:rPr>
          <w:spacing w:val="-86"/>
        </w:rPr>
        <w:t> </w:t>
      </w:r>
      <w:r>
        <w:rPr>
          <w:spacing w:val="-86"/>
        </w:rPr>
      </w:r>
      <w:r>
        <w:rPr>
          <w:spacing w:val="-1"/>
        </w:rPr>
        <w:t>家居等领域的应用，逐步扩展物联网技术在其他行业的应用，成为领先的物联网整体解决方案与数据服务</w:t>
      </w:r>
      <w:r>
        <w:rPr>
          <w:spacing w:val="-81"/>
        </w:rPr>
        <w:t> </w:t>
      </w:r>
      <w:r>
        <w:rPr>
          <w:spacing w:val="-81"/>
        </w:rPr>
      </w:r>
      <w:r>
        <w:rPr/>
        <w:t>商。</w:t>
      </w:r>
    </w:p>
    <w:p>
      <w:pPr>
        <w:pStyle w:val="BodyText"/>
        <w:spacing w:line="408" w:lineRule="auto"/>
        <w:ind w:left="1553" w:right="1117"/>
        <w:jc w:val="left"/>
      </w:pPr>
      <w:r>
        <w:rPr/>
        <w:t>（二）</w:t>
      </w:r>
      <w:r>
        <w:rPr>
          <w:rFonts w:ascii="宋体" w:hAnsi="宋体" w:cs="宋体" w:eastAsia="宋体" w:hint="default"/>
        </w:rPr>
        <w:t>2016</w:t>
      </w:r>
      <w:r>
        <w:rPr/>
        <w:t>年度展望及经营规划 展望</w:t>
      </w:r>
      <w:r>
        <w:rPr>
          <w:rFonts w:ascii="宋体" w:hAnsi="宋体" w:cs="宋体" w:eastAsia="宋体" w:hint="default"/>
        </w:rPr>
        <w:t>2016</w:t>
      </w:r>
      <w:r>
        <w:rPr/>
        <w:t>年，公司对发展前景充满信心，将紧紧围绕三条主线展开工作：（</w:t>
      </w:r>
      <w:r>
        <w:rPr>
          <w:rFonts w:ascii="宋体" w:hAnsi="宋体" w:cs="宋体" w:eastAsia="宋体" w:hint="default"/>
        </w:rPr>
        <w:t>1</w:t>
      </w:r>
      <w:r>
        <w:rPr/>
        <w:t>）继续坚持以传感器为</w:t>
      </w:r>
    </w:p>
    <w:p>
      <w:pPr>
        <w:pStyle w:val="BodyText"/>
        <w:spacing w:line="408" w:lineRule="auto"/>
        <w:ind w:right="1127"/>
        <w:jc w:val="both"/>
      </w:pPr>
      <w:r>
        <w:rPr>
          <w:spacing w:val="-1"/>
        </w:rPr>
        <w:t>核心的发展主线，完善产业生态圈拼图，加强物联网在智慧城市、智慧环保、智慧安全及智能家居等领域</w:t>
      </w:r>
      <w:r>
        <w:rPr>
          <w:spacing w:val="-86"/>
        </w:rPr>
        <w:t> </w:t>
      </w:r>
      <w:r>
        <w:rPr>
          <w:spacing w:val="-86"/>
        </w:rPr>
      </w:r>
      <w:r>
        <w:rPr>
          <w:spacing w:val="-1"/>
        </w:rPr>
        <w:t>的应用，加速“汉威云”数据挖掘与服务的推广，通过数据收集、存储、分析、价值挖掘，为客户提供主</w:t>
      </w:r>
      <w:r>
        <w:rPr>
          <w:spacing w:val="-84"/>
        </w:rPr>
        <w:t> </w:t>
      </w:r>
      <w:r>
        <w:rPr>
          <w:spacing w:val="-84"/>
        </w:rPr>
      </w:r>
      <w:r>
        <w:rPr/>
        <w:t>动的增值服务；（</w:t>
      </w:r>
      <w:r>
        <w:rPr>
          <w:rFonts w:ascii="宋体" w:hAnsi="宋体" w:cs="宋体" w:eastAsia="宋体" w:hint="default"/>
        </w:rPr>
        <w:t>2</w:t>
      </w:r>
      <w:r>
        <w:rPr/>
        <w:t>）立足于“民族的汉威、世界的汉威”的发展愿景，积极推进品牌、市场、服务、资</w:t>
      </w:r>
      <w:r>
        <w:rPr>
          <w:spacing w:val="-33"/>
        </w:rPr>
        <w:t> </w:t>
      </w:r>
      <w:r>
        <w:rPr>
          <w:spacing w:val="-33"/>
        </w:rPr>
      </w:r>
      <w:r>
        <w:rPr/>
        <w:t>本的国际化进程，加强对海外市场的开拓，紧密关注世界前沿热点与公司经营发展的互动融合；（</w:t>
      </w:r>
      <w:r>
        <w:rPr>
          <w:rFonts w:ascii="宋体" w:hAnsi="宋体" w:cs="宋体" w:eastAsia="宋体" w:hint="default"/>
        </w:rPr>
        <w:t>3</w:t>
      </w:r>
      <w:r>
        <w:rPr/>
        <w:t>）随</w:t>
      </w:r>
      <w:r>
        <w:rPr>
          <w:spacing w:val="-23"/>
        </w:rPr>
        <w:t> </w:t>
      </w:r>
      <w:r>
        <w:rPr>
          <w:spacing w:val="-1"/>
        </w:rPr>
        <w:t>着产业生态圈体量的扩大，集团化管理升级已经成为促进公司发展的关键因素，公司将继续加大对旗下公</w:t>
      </w:r>
      <w:r>
        <w:rPr>
          <w:spacing w:val="-81"/>
        </w:rPr>
        <w:t> </w:t>
      </w:r>
      <w:r>
        <w:rPr>
          <w:spacing w:val="-81"/>
        </w:rPr>
      </w:r>
      <w:r>
        <w:rPr/>
        <w:t>司的资源整合、业务协同、风险把控，创造高效、有序的集团化管理体系。</w:t>
      </w:r>
    </w:p>
    <w:p>
      <w:pPr>
        <w:pStyle w:val="BodyText"/>
        <w:spacing w:line="408" w:lineRule="auto"/>
        <w:ind w:left="1553" w:right="1117"/>
        <w:jc w:val="left"/>
      </w:pPr>
      <w:r>
        <w:rPr>
          <w:rFonts w:ascii="宋体" w:hAnsi="宋体" w:cs="宋体" w:eastAsia="宋体" w:hint="default"/>
        </w:rPr>
        <w:t>1</w:t>
      </w:r>
      <w:r>
        <w:rPr/>
        <w:t>、传感器业务 </w:t>
      </w:r>
      <w:r>
        <w:rPr>
          <w:spacing w:val="-1"/>
        </w:rPr>
        <w:t>随着《中国制造</w:t>
      </w:r>
      <w:r>
        <w:rPr>
          <w:rFonts w:ascii="宋体" w:hAnsi="宋体" w:cs="宋体" w:eastAsia="宋体" w:hint="default"/>
          <w:spacing w:val="-1"/>
        </w:rPr>
        <w:t>2025</w:t>
      </w:r>
      <w:r>
        <w:rPr>
          <w:spacing w:val="-1"/>
        </w:rPr>
        <w:t>》和十三五相关产业规划发布实施，“智能制造”已经上升到国家意志层面，智</w:t>
      </w:r>
    </w:p>
    <w:p>
      <w:pPr>
        <w:pStyle w:val="BodyText"/>
        <w:spacing w:line="408" w:lineRule="auto"/>
        <w:ind w:right="1131"/>
        <w:jc w:val="both"/>
      </w:pPr>
      <w:r>
        <w:rPr>
          <w:spacing w:val="-1"/>
        </w:rPr>
        <w:t>慧工厂相关的产业机会确定性很高，智能感知与控制相关产业作为智能制造的核心环节，将受益于制造产</w:t>
      </w:r>
      <w:r>
        <w:rPr>
          <w:spacing w:val="-81"/>
        </w:rPr>
        <w:t> </w:t>
      </w:r>
      <w:r>
        <w:rPr>
          <w:spacing w:val="-81"/>
        </w:rPr>
      </w:r>
      <w:r>
        <w:rPr/>
        <w:t>业智能化升级的浪潮。</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420"/>
        <w:jc w:val="left"/>
      </w:pPr>
      <w:r>
        <w:rPr>
          <w:spacing w:val="-3"/>
        </w:rPr>
        <w:t>传感器业务是公司的核心优势产业，</w:t>
      </w:r>
      <w:r>
        <w:rPr>
          <w:rFonts w:ascii="宋体" w:hAnsi="宋体" w:cs="宋体" w:eastAsia="宋体" w:hint="default"/>
          <w:spacing w:val="-3"/>
        </w:rPr>
        <w:t>2016</w:t>
      </w:r>
      <w:r>
        <w:rPr>
          <w:spacing w:val="-3"/>
        </w:rPr>
        <w:t>年公司将统筹旗下传感器资源，以炜盛科技为主要开拓主体，</w:t>
      </w:r>
      <w:r>
        <w:rPr/>
        <w:t> 同时加强苏州能斯达、哈尔滨盈江等公司的协同融合，在巩固气体传感器优势的基础上，争取在环境、流 量、热释电、光学传感器、电子皮肤及应用方案等取得重大突破，加快</w:t>
      </w:r>
      <w:r>
        <w:rPr>
          <w:rFonts w:ascii="宋体" w:hAnsi="宋体" w:cs="宋体" w:eastAsia="宋体" w:hint="default"/>
        </w:rPr>
        <w:t>MEMS</w:t>
      </w:r>
      <w:r>
        <w:rPr/>
        <w:t>传感器的产业化速度，强化传 感器在物联网解决方案与数据服务的核心功能。</w:t>
      </w:r>
    </w:p>
    <w:p>
      <w:pPr>
        <w:pStyle w:val="BodyText"/>
        <w:spacing w:line="240" w:lineRule="auto"/>
        <w:ind w:left="1554" w:right="1117"/>
        <w:jc w:val="left"/>
      </w:pPr>
      <w:r>
        <w:rPr>
          <w:rFonts w:ascii="宋体" w:hAnsi="宋体" w:cs="宋体" w:eastAsia="宋体" w:hint="default"/>
        </w:rPr>
        <w:t>2</w:t>
      </w:r>
      <w:r>
        <w:rPr/>
        <w:t>、智慧城市</w:t>
      </w:r>
    </w:p>
    <w:p>
      <w:pPr>
        <w:spacing w:line="240" w:lineRule="auto" w:before="10"/>
        <w:rPr>
          <w:rFonts w:ascii="宋体" w:hAnsi="宋体" w:cs="宋体" w:eastAsia="宋体" w:hint="default"/>
          <w:sz w:val="14"/>
          <w:szCs w:val="14"/>
        </w:rPr>
      </w:pPr>
    </w:p>
    <w:p>
      <w:pPr>
        <w:pStyle w:val="BodyText"/>
        <w:spacing w:line="408" w:lineRule="auto" w:before="0"/>
        <w:ind w:right="712" w:firstLine="420"/>
        <w:jc w:val="left"/>
      </w:pPr>
      <w:r>
        <w:rPr>
          <w:rFonts w:ascii="宋体" w:hAnsi="宋体" w:cs="宋体" w:eastAsia="宋体" w:hint="default"/>
        </w:rPr>
        <w:t>2015</w:t>
      </w:r>
      <w:r>
        <w:rPr/>
        <w:t>年</w:t>
      </w:r>
      <w:r>
        <w:rPr>
          <w:rFonts w:ascii="宋体" w:hAnsi="宋体" w:cs="宋体" w:eastAsia="宋体" w:hint="default"/>
        </w:rPr>
        <w:t>12</w:t>
      </w:r>
      <w:r>
        <w:rPr/>
        <w:t>月，中央城市工作会议时隔</w:t>
      </w:r>
      <w:r>
        <w:rPr>
          <w:rFonts w:ascii="宋体" w:hAnsi="宋体" w:cs="宋体" w:eastAsia="宋体" w:hint="default"/>
        </w:rPr>
        <w:t>37</w:t>
      </w:r>
      <w:r>
        <w:rPr/>
        <w:t>年再次召开，“城市工作”上升到中央层面进行部署，该会议 特别指出要把创造优良人居环境作为中心目标，将大力发展“海绵城市”优化城市地上、地下基础设施建 设，打造智慧城市，提升管理水平等内容。此前，有关海绵城市建设的政策文件密集出台，尤其是</w:t>
      </w:r>
      <w:r>
        <w:rPr>
          <w:rFonts w:ascii="宋体" w:hAnsi="宋体" w:cs="宋体" w:eastAsia="宋体" w:hint="default"/>
        </w:rPr>
        <w:t>2015</w:t>
      </w:r>
      <w:r>
        <w:rPr/>
        <w:t>年 </w:t>
      </w:r>
      <w:r>
        <w:rPr>
          <w:rFonts w:ascii="宋体" w:hAnsi="宋体" w:cs="宋体" w:eastAsia="宋体" w:hint="default"/>
        </w:rPr>
        <w:t>10</w:t>
      </w:r>
      <w:r>
        <w:rPr/>
        <w:t>月份国务院《关于推进海绵城市建设的指导意见》，第一次从国家层面上针对海绵城市建设进行部署。</w:t>
      </w:r>
      <w:r>
        <w:rPr>
          <w:spacing w:val="-36"/>
        </w:rPr>
        <w:t> </w:t>
      </w:r>
      <w:r>
        <w:rPr>
          <w:spacing w:val="-36"/>
        </w:rPr>
      </w:r>
      <w:r>
        <w:rPr/>
        <w:t>根据国泰君安的研究，到</w:t>
      </w:r>
      <w:r>
        <w:rPr>
          <w:rFonts w:ascii="宋体" w:hAnsi="宋体" w:cs="宋体" w:eastAsia="宋体" w:hint="default"/>
        </w:rPr>
        <w:t>2020</w:t>
      </w:r>
      <w:r>
        <w:rPr/>
        <w:t>年有望实现两三万亿的市场空间，市政管理、安全信息化的市场机会突显。</w:t>
      </w:r>
    </w:p>
    <w:p>
      <w:pPr>
        <w:pStyle w:val="BodyText"/>
        <w:spacing w:line="408" w:lineRule="auto"/>
        <w:ind w:left="1134" w:right="1131" w:firstLine="420"/>
        <w:jc w:val="both"/>
      </w:pPr>
      <w:r>
        <w:rPr>
          <w:spacing w:val="-1"/>
        </w:rPr>
        <w:t>作为智慧市政业务的领先企业，公司将进一步统筹资源，加强智慧城市业务群的协同配合，全力把握</w:t>
      </w:r>
      <w:r>
        <w:rPr/>
        <w:t> </w:t>
      </w:r>
      <w:r>
        <w:rPr>
          <w:spacing w:val="-1"/>
        </w:rPr>
        <w:t>海绵城市建设的行业机遇，重点开拓燃气、水务、热力、交通等行业信息化领域的云系统，尽快打造出以</w:t>
      </w:r>
      <w:r>
        <w:rPr>
          <w:spacing w:val="-83"/>
        </w:rPr>
        <w:t> </w:t>
      </w:r>
      <w:r>
        <w:rPr>
          <w:spacing w:val="-83"/>
        </w:rPr>
      </w:r>
      <w:r>
        <w:rPr>
          <w:spacing w:val="-1"/>
        </w:rPr>
        <w:t>市政管理为特色的智慧城市综合示范案例。此外，公司力争在更多城市获得智慧水务项目的订单，并着力</w:t>
      </w:r>
      <w:r>
        <w:rPr>
          <w:spacing w:val="-83"/>
        </w:rPr>
        <w:t> </w:t>
      </w:r>
      <w:r>
        <w:rPr>
          <w:spacing w:val="-83"/>
        </w:rPr>
      </w:r>
      <w:r>
        <w:rPr/>
        <w:t>推进智慧热力平台建设和热力工程项目建设，扩展、丰富智慧城市业务内涵。</w:t>
      </w:r>
    </w:p>
    <w:p>
      <w:pPr>
        <w:pStyle w:val="BodyText"/>
        <w:spacing w:line="408" w:lineRule="auto"/>
        <w:ind w:left="1554" w:right="1117"/>
        <w:jc w:val="left"/>
      </w:pPr>
      <w:r>
        <w:rPr>
          <w:rFonts w:ascii="宋体" w:hAnsi="宋体" w:cs="宋体" w:eastAsia="宋体" w:hint="default"/>
        </w:rPr>
        <w:t>3</w:t>
      </w:r>
      <w:r>
        <w:rPr/>
        <w:t>、智慧安全 </w:t>
      </w:r>
      <w:r>
        <w:rPr>
          <w:spacing w:val="-1"/>
        </w:rPr>
        <w:t>政府加强安全生产监管的趋势已经非常明确，</w:t>
      </w:r>
      <w:r>
        <w:rPr>
          <w:rFonts w:ascii="宋体" w:hAnsi="宋体" w:cs="宋体" w:eastAsia="宋体" w:hint="default"/>
          <w:spacing w:val="-1"/>
        </w:rPr>
        <w:t>2016</w:t>
      </w:r>
      <w:r>
        <w:rPr>
          <w:spacing w:val="-1"/>
        </w:rPr>
        <w:t>年全国安全生产会议明确指出要全力遏制重特大事</w:t>
      </w:r>
    </w:p>
    <w:p>
      <w:pPr>
        <w:pStyle w:val="BodyText"/>
        <w:spacing w:line="408" w:lineRule="auto"/>
        <w:ind w:left="1134" w:right="1133"/>
        <w:jc w:val="both"/>
      </w:pPr>
      <w:r>
        <w:rPr>
          <w:spacing w:val="-1"/>
        </w:rPr>
        <w:t>故，找准、盯紧高风险行业领域和薄弱环节，强化制度、技术和管理措施，推行风险等级管控和隐患排查</w:t>
      </w:r>
      <w:r>
        <w:rPr>
          <w:spacing w:val="-83"/>
        </w:rPr>
        <w:t> </w:t>
      </w:r>
      <w:r>
        <w:rPr>
          <w:spacing w:val="-83"/>
        </w:rPr>
      </w:r>
      <w:r>
        <w:rPr/>
        <w:t>治理双重预防性机制。因此，智慧安全的市场需求具备政策方面的确定性，未来市场机会巨大。</w:t>
      </w:r>
    </w:p>
    <w:p>
      <w:pPr>
        <w:pStyle w:val="BodyText"/>
        <w:spacing w:line="408" w:lineRule="auto"/>
        <w:ind w:right="1131" w:firstLine="420"/>
        <w:jc w:val="both"/>
      </w:pPr>
      <w:r>
        <w:rPr>
          <w:spacing w:val="-1"/>
        </w:rPr>
        <w:t>为把握市场机会，公司将以现有产品结构、产业形态为基础，加快完成由产品服务向解决方案、数据</w:t>
      </w:r>
      <w:r>
        <w:rPr/>
        <w:t> </w:t>
      </w:r>
      <w:r>
        <w:rPr>
          <w:spacing w:val="-1"/>
        </w:rPr>
        <w:t>服务商转型的产业形态升级，扩大系统方案、数据服务销售占比，加快优化客户结构调整步伐，逐渐由零</w:t>
      </w:r>
      <w:r>
        <w:rPr>
          <w:spacing w:val="-84"/>
        </w:rPr>
        <w:t> </w:t>
      </w:r>
      <w:r>
        <w:rPr>
          <w:spacing w:val="-84"/>
        </w:rPr>
      </w:r>
      <w:r>
        <w:rPr>
          <w:spacing w:val="-1"/>
        </w:rPr>
        <w:t>单化的客户构成为主向大型优质客户构成为主进行转变。同时，在现有的气体安全监控服务之外，积极探</w:t>
      </w:r>
      <w:r>
        <w:rPr>
          <w:spacing w:val="-83"/>
        </w:rPr>
        <w:t> </w:t>
      </w:r>
      <w:r>
        <w:rPr>
          <w:spacing w:val="-83"/>
        </w:rPr>
      </w:r>
      <w:r>
        <w:rPr/>
        <w:t>索发育火灾检测、设备设计、消防工程设计施工、智慧化平台建设的消防产业机会。</w:t>
      </w:r>
    </w:p>
    <w:p>
      <w:pPr>
        <w:pStyle w:val="BodyText"/>
        <w:spacing w:line="408" w:lineRule="auto"/>
        <w:ind w:left="1553" w:right="1117"/>
        <w:jc w:val="left"/>
      </w:pPr>
      <w:r>
        <w:rPr>
          <w:rFonts w:ascii="宋体" w:hAnsi="宋体" w:cs="宋体" w:eastAsia="宋体" w:hint="default"/>
        </w:rPr>
        <w:t>4</w:t>
      </w:r>
      <w:r>
        <w:rPr/>
        <w:t>、智慧环保 “十三五”期间将进入全面推进生态文明阶段，政府、社会公众与企业的环保意识显著增强</w:t>
      </w:r>
      <w:r>
        <w:rPr>
          <w:rFonts w:ascii="宋体" w:hAnsi="宋体" w:cs="宋体" w:eastAsia="宋体" w:hint="default"/>
        </w:rPr>
        <w:t>,</w:t>
      </w:r>
      <w:r>
        <w:rPr/>
        <w:t>环保产</w:t>
      </w:r>
    </w:p>
    <w:p>
      <w:pPr>
        <w:pStyle w:val="BodyText"/>
        <w:spacing w:line="408" w:lineRule="auto"/>
        <w:ind w:right="1131"/>
        <w:jc w:val="both"/>
      </w:pPr>
      <w:r>
        <w:rPr>
          <w:spacing w:val="-1"/>
        </w:rPr>
        <w:t>业需求也从减排进入彻底的综合整治期，因此建立智慧环境监测与治理系统迫在眉睫。智慧环保不仅是监</w:t>
      </w:r>
      <w:r>
        <w:rPr>
          <w:spacing w:val="-81"/>
        </w:rPr>
        <w:t> </w:t>
      </w:r>
      <w:r>
        <w:rPr>
          <w:spacing w:val="-81"/>
        </w:rPr>
      </w:r>
      <w:r>
        <w:rPr>
          <w:spacing w:val="-1"/>
        </w:rPr>
        <w:t>测设备网络化铺设，更会体现为集环境质量监测、应急预警、指挥系统、公众服务平台、治理等为一体的</w:t>
      </w:r>
      <w:r>
        <w:rPr>
          <w:spacing w:val="-83"/>
        </w:rPr>
        <w:t> </w:t>
      </w:r>
      <w:r>
        <w:rPr>
          <w:spacing w:val="-83"/>
        </w:rPr>
      </w:r>
      <w:r>
        <w:rPr/>
        <w:t>系统解决方案，智慧环保的市场机会将会以更加丰富的形式释放出来。</w:t>
      </w:r>
    </w:p>
    <w:p>
      <w:pPr>
        <w:pStyle w:val="BodyText"/>
        <w:spacing w:line="408" w:lineRule="auto"/>
        <w:ind w:right="1131" w:firstLine="420"/>
        <w:jc w:val="both"/>
      </w:pPr>
      <w:r>
        <w:rPr>
          <w:spacing w:val="-1"/>
        </w:rPr>
        <w:t>公司在环保板块将继续加大产品与技术的研发力度，以嘉园环保、雪城软件、环保事业部门为有生力</w:t>
      </w:r>
      <w:r>
        <w:rPr/>
        <w:t> </w:t>
      </w:r>
      <w:r>
        <w:rPr>
          <w:spacing w:val="-1"/>
        </w:rPr>
        <w:t>量，继续保持在垃圾渗滤液、</w:t>
      </w:r>
      <w:r>
        <w:rPr>
          <w:rFonts w:ascii="宋体" w:hAnsi="宋体" w:cs="宋体" w:eastAsia="宋体" w:hint="default"/>
          <w:spacing w:val="-1"/>
        </w:rPr>
        <w:t>VOCs</w:t>
      </w:r>
      <w:r>
        <w:rPr>
          <w:spacing w:val="-1"/>
        </w:rPr>
        <w:t>治理细分领域内的国内领先地位，同时积极拓展环保大数据平台、大气</w:t>
      </w:r>
      <w:r>
        <w:rPr>
          <w:spacing w:val="-84"/>
        </w:rPr>
        <w:t> </w:t>
      </w:r>
      <w:r>
        <w:rPr>
          <w:spacing w:val="-84"/>
        </w:rPr>
      </w:r>
      <w:r>
        <w:rPr/>
        <w:t>治理、污水处理业务，着力推进项目运营、环保设备的智慧化水平。</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1117"/>
        <w:jc w:val="left"/>
      </w:pPr>
      <w:r>
        <w:rPr>
          <w:rFonts w:ascii="宋体" w:hAnsi="宋体" w:cs="宋体" w:eastAsia="宋体" w:hint="default"/>
        </w:rPr>
        <w:t>5</w:t>
      </w:r>
      <w:r>
        <w:rPr/>
        <w:t>、智能家居 </w:t>
      </w:r>
      <w:r>
        <w:rPr>
          <w:spacing w:val="-1"/>
        </w:rPr>
        <w:t>公司看好智能家居领域的市场前景，正在积极探索更加成熟的产品与商业模式，随着智能家居行业的</w:t>
      </w:r>
    </w:p>
    <w:p>
      <w:pPr>
        <w:pStyle w:val="BodyText"/>
        <w:spacing w:line="408" w:lineRule="auto"/>
        <w:ind w:right="1132"/>
        <w:jc w:val="both"/>
      </w:pPr>
      <w:r>
        <w:rPr>
          <w:spacing w:val="-1"/>
        </w:rPr>
        <w:t>发展，预计该业务板块能够随之走向成熟。</w:t>
      </w:r>
      <w:r>
        <w:rPr>
          <w:rFonts w:ascii="宋体" w:hAnsi="宋体" w:cs="宋体" w:eastAsia="宋体" w:hint="default"/>
          <w:spacing w:val="-1"/>
        </w:rPr>
        <w:t>2016</w:t>
      </w:r>
      <w:r>
        <w:rPr>
          <w:spacing w:val="-1"/>
        </w:rPr>
        <w:t>年，智能家居业务力争要在销售规模、用户数量、技术方</w:t>
      </w:r>
      <w:r>
        <w:rPr>
          <w:spacing w:val="-80"/>
        </w:rPr>
        <w:t> </w:t>
      </w:r>
      <w:r>
        <w:rPr>
          <w:spacing w:val="-80"/>
        </w:rPr>
      </w:r>
      <w:r>
        <w:rPr/>
        <w:t>案、用户体验、商业模式等方面取得新的突破。</w:t>
      </w:r>
    </w:p>
    <w:p>
      <w:pPr>
        <w:pStyle w:val="BodyText"/>
        <w:spacing w:line="408" w:lineRule="auto"/>
        <w:ind w:left="1134" w:right="1130" w:firstLine="420"/>
        <w:jc w:val="both"/>
      </w:pPr>
      <w:r>
        <w:rPr>
          <w:spacing w:val="-1"/>
        </w:rPr>
        <w:t>展望未来，虽然宏观经济依然错综复杂，但是得益于公司先进的物联网解决方案，以及完善的产业生</w:t>
      </w:r>
      <w:r>
        <w:rPr/>
        <w:t> </w:t>
      </w:r>
      <w:r>
        <w:rPr>
          <w:spacing w:val="-5"/>
        </w:rPr>
        <w:t>态布局，公司将把握历史机遇，加快物联网在各行业的渗透应用，同时积极加快产业生态平台的顶层设计，</w:t>
      </w:r>
      <w:r>
        <w:rPr>
          <w:spacing w:val="-101"/>
        </w:rPr>
        <w:t> </w:t>
      </w:r>
      <w:r>
        <w:rPr>
          <w:spacing w:val="-101"/>
        </w:rPr>
      </w:r>
      <w:r>
        <w:rPr/>
        <w:t>成为物联网、云数据服务的领军企业。</w:t>
      </w:r>
    </w:p>
    <w:p>
      <w:pPr>
        <w:pStyle w:val="BodyText"/>
        <w:spacing w:line="240" w:lineRule="auto"/>
        <w:ind w:left="1554" w:right="1117"/>
        <w:jc w:val="left"/>
      </w:pPr>
      <w:r>
        <w:rPr>
          <w:rFonts w:ascii="宋体" w:hAnsi="宋体" w:cs="宋体" w:eastAsia="宋体" w:hint="default"/>
        </w:rPr>
        <w:t>6</w:t>
      </w:r>
      <w:r>
        <w:rPr/>
        <w:t>、风险提示</w:t>
      </w:r>
    </w:p>
    <w:p>
      <w:pPr>
        <w:spacing w:line="240" w:lineRule="auto" w:before="10"/>
        <w:rPr>
          <w:rFonts w:ascii="宋体" w:hAnsi="宋体" w:cs="宋体" w:eastAsia="宋体" w:hint="default"/>
          <w:sz w:val="14"/>
          <w:szCs w:val="14"/>
        </w:rPr>
      </w:pPr>
    </w:p>
    <w:p>
      <w:pPr>
        <w:pStyle w:val="BodyText"/>
        <w:spacing w:line="408" w:lineRule="auto" w:before="0"/>
        <w:ind w:left="1553" w:right="1117"/>
        <w:jc w:val="left"/>
      </w:pPr>
      <w:r>
        <w:rPr/>
        <w:t>（</w:t>
      </w:r>
      <w:r>
        <w:rPr>
          <w:rFonts w:ascii="宋体" w:hAnsi="宋体" w:cs="宋体" w:eastAsia="宋体" w:hint="default"/>
        </w:rPr>
        <w:t>1</w:t>
      </w:r>
      <w:r>
        <w:rPr/>
        <w:t>）行业竞争加剧带来的市场风险 </w:t>
      </w:r>
      <w:r>
        <w:rPr>
          <w:spacing w:val="-1"/>
        </w:rPr>
        <w:t>随着物联网、智慧城市、环境保护等产业热度上升，越来越多的企业、资本涌入这些产业领域，或依</w:t>
      </w:r>
    </w:p>
    <w:p>
      <w:pPr>
        <w:pStyle w:val="BodyText"/>
        <w:spacing w:line="408" w:lineRule="auto"/>
        <w:ind w:right="1131"/>
        <w:jc w:val="both"/>
      </w:pPr>
      <w:r>
        <w:rPr>
          <w:spacing w:val="-1"/>
        </w:rPr>
        <w:t>靠产品与服务升级等方式来开拓市场，力争在行业内占据一席之地，这无疑将进一步加剧行业竞争，对于</w:t>
      </w:r>
      <w:r>
        <w:rPr>
          <w:spacing w:val="-84"/>
        </w:rPr>
        <w:t> </w:t>
      </w:r>
      <w:r>
        <w:rPr>
          <w:spacing w:val="-84"/>
        </w:rPr>
      </w:r>
      <w:r>
        <w:rPr>
          <w:spacing w:val="-1"/>
        </w:rPr>
        <w:t>现有的行业生态构成压力，如果未来公司在战略规划、研发创新、市场拓展、业务创新等方面不能保持快</w:t>
      </w:r>
      <w:r>
        <w:rPr>
          <w:spacing w:val="-86"/>
        </w:rPr>
        <w:t> </w:t>
      </w:r>
      <w:r>
        <w:rPr>
          <w:spacing w:val="-86"/>
        </w:rPr>
      </w:r>
      <w:r>
        <w:rPr>
          <w:spacing w:val="-1"/>
        </w:rPr>
        <w:t>速良性发展，将面临市场份额下降的风险。为此，公司将加强传感器核心优势，完善“传感器</w:t>
      </w:r>
      <w:r>
        <w:rPr>
          <w:rFonts w:ascii="宋体" w:hAnsi="宋体" w:cs="宋体" w:eastAsia="宋体" w:hint="default"/>
          <w:spacing w:val="-1"/>
        </w:rPr>
        <w:t>+</w:t>
      </w:r>
      <w:r>
        <w:rPr>
          <w:spacing w:val="-1"/>
        </w:rPr>
        <w:t>监测终端</w:t>
      </w:r>
      <w:r>
        <w:rPr>
          <w:rFonts w:ascii="宋体" w:hAnsi="宋体" w:cs="宋体" w:eastAsia="宋体" w:hint="default"/>
          <w:spacing w:val="-1"/>
        </w:rPr>
        <w:t>+</w:t>
      </w:r>
      <w:r>
        <w:rPr>
          <w:rFonts w:ascii="宋体" w:hAnsi="宋体" w:cs="宋体" w:eastAsia="宋体" w:hint="default"/>
          <w:spacing w:val="-81"/>
        </w:rPr>
        <w:t> </w:t>
      </w:r>
      <w:r>
        <w:rPr/>
        <w:t>数据采集</w:t>
      </w:r>
      <w:r>
        <w:rPr>
          <w:rFonts w:ascii="宋体" w:hAnsi="宋体" w:cs="宋体" w:eastAsia="宋体" w:hint="default"/>
        </w:rPr>
        <w:t>+GIS+</w:t>
      </w:r>
      <w:r>
        <w:rPr/>
        <w:t>云应用”的物联网产业生态平台，加强行业解决方案的适用性，提升获得项目订单的竞争</w:t>
      </w:r>
      <w:r>
        <w:rPr>
          <w:spacing w:val="-36"/>
        </w:rPr>
        <w:t> </w:t>
      </w:r>
      <w:r>
        <w:rPr>
          <w:spacing w:val="-36"/>
        </w:rPr>
      </w:r>
      <w:r>
        <w:rPr/>
        <w:t>实力。</w:t>
      </w:r>
    </w:p>
    <w:p>
      <w:pPr>
        <w:pStyle w:val="BodyText"/>
        <w:spacing w:line="408" w:lineRule="auto"/>
        <w:ind w:left="1553" w:right="1117"/>
        <w:jc w:val="left"/>
      </w:pPr>
      <w:r>
        <w:rPr/>
        <w:t>（</w:t>
      </w:r>
      <w:r>
        <w:rPr>
          <w:rFonts w:ascii="宋体" w:hAnsi="宋体" w:cs="宋体" w:eastAsia="宋体" w:hint="default"/>
        </w:rPr>
        <w:t>2</w:t>
      </w:r>
      <w:r>
        <w:rPr/>
        <w:t>）经营现金不足的经营风险 </w:t>
      </w:r>
      <w:r>
        <w:rPr>
          <w:spacing w:val="-1"/>
        </w:rPr>
        <w:t>随着外延并购成为公司产业生态建设的常态化策略，公司对资金的需求快速上升。同时，随着业务规</w:t>
      </w:r>
    </w:p>
    <w:p>
      <w:pPr>
        <w:pStyle w:val="BodyText"/>
        <w:spacing w:line="408" w:lineRule="auto"/>
        <w:ind w:right="1130"/>
        <w:jc w:val="both"/>
      </w:pPr>
      <w:r>
        <w:rPr>
          <w:spacing w:val="-1"/>
        </w:rPr>
        <w:t>模的扩大以及投资并购项目的增加，应收账款的总量相应增加，对公司经营现金流造成一定压力。如果公</w:t>
      </w:r>
      <w:r>
        <w:rPr>
          <w:spacing w:val="-83"/>
        </w:rPr>
        <w:t> </w:t>
      </w:r>
      <w:r>
        <w:rPr>
          <w:spacing w:val="-83"/>
        </w:rPr>
      </w:r>
      <w:r>
        <w:rPr>
          <w:spacing w:val="-1"/>
        </w:rPr>
        <w:t>司不能进行融资创新，可能导致公司现金不足的风险。为此，公司将努力探索创新投资并购的方式，探索</w:t>
      </w:r>
      <w:r>
        <w:rPr>
          <w:spacing w:val="-86"/>
        </w:rPr>
        <w:t> </w:t>
      </w:r>
      <w:r>
        <w:rPr>
          <w:spacing w:val="-86"/>
        </w:rPr>
      </w:r>
      <w:r>
        <w:rPr>
          <w:spacing w:val="-5"/>
        </w:rPr>
        <w:t>多元化的支付对价方式，拓宽融资渠道，优化融资方式，同时也将更加注重发展质量，努力改善客户结构，</w:t>
      </w:r>
      <w:r>
        <w:rPr>
          <w:spacing w:val="-102"/>
        </w:rPr>
        <w:t> </w:t>
      </w:r>
      <w:r>
        <w:rPr>
          <w:spacing w:val="-102"/>
        </w:rPr>
      </w:r>
      <w:r>
        <w:rPr/>
        <w:t>积极评估业务的收益与风险，加强回款力度，努力改善经营现金流。</w:t>
      </w:r>
    </w:p>
    <w:p>
      <w:pPr>
        <w:pStyle w:val="BodyText"/>
        <w:spacing w:line="408" w:lineRule="auto"/>
        <w:ind w:left="1553" w:right="1117"/>
        <w:jc w:val="left"/>
      </w:pPr>
      <w:r>
        <w:rPr/>
        <w:t>（</w:t>
      </w:r>
      <w:r>
        <w:rPr>
          <w:rFonts w:ascii="宋体" w:hAnsi="宋体" w:cs="宋体" w:eastAsia="宋体" w:hint="default"/>
        </w:rPr>
        <w:t>3</w:t>
      </w:r>
      <w:r>
        <w:rPr/>
        <w:t>）企业规模扩大带来的管理风险 </w:t>
      </w:r>
      <w:r>
        <w:rPr>
          <w:spacing w:val="-1"/>
        </w:rPr>
        <w:t>随着外延并购策略的实施，公司已经拥有十几家全资及控股子公司，地理区域横跨全国，客户和服务</w:t>
      </w:r>
    </w:p>
    <w:p>
      <w:pPr>
        <w:pStyle w:val="BodyText"/>
        <w:spacing w:line="408" w:lineRule="auto"/>
        <w:ind w:right="1131"/>
        <w:jc w:val="both"/>
      </w:pPr>
      <w:r>
        <w:rPr>
          <w:spacing w:val="-1"/>
        </w:rPr>
        <w:t>领域更加广泛，这对于公司的统一管理提出了很大挑战。原有的管理架构和流程可能无法完全适应业务扩</w:t>
      </w:r>
      <w:r>
        <w:rPr>
          <w:spacing w:val="-81"/>
        </w:rPr>
        <w:t> </w:t>
      </w:r>
      <w:r>
        <w:rPr>
          <w:spacing w:val="-81"/>
        </w:rPr>
      </w:r>
      <w:r>
        <w:rPr>
          <w:spacing w:val="-5"/>
        </w:rPr>
        <w:t>大带来的变化，公司需要对各项资源的配备和管理流程进行调整。为此，公司将加快推进集团化管控力度，</w:t>
      </w:r>
      <w:r>
        <w:rPr>
          <w:spacing w:val="-102"/>
        </w:rPr>
        <w:t> </w:t>
      </w:r>
      <w:r>
        <w:rPr>
          <w:spacing w:val="-102"/>
        </w:rPr>
      </w:r>
      <w:r>
        <w:rPr>
          <w:spacing w:val="-1"/>
        </w:rPr>
        <w:t>完善对子公司的管控，增进各公司之间的业务协同，增进彼此的文化融合，真正形成融合统一的物联网产</w:t>
      </w:r>
      <w:r>
        <w:rPr>
          <w:spacing w:val="-83"/>
        </w:rPr>
        <w:t> </w:t>
      </w:r>
      <w:r>
        <w:rPr>
          <w:spacing w:val="-83"/>
        </w:rPr>
      </w:r>
      <w:r>
        <w:rPr/>
        <w:t>业集团。</w:t>
      </w:r>
    </w:p>
    <w:p>
      <w:pPr>
        <w:pStyle w:val="BodyText"/>
        <w:spacing w:line="408" w:lineRule="auto"/>
        <w:ind w:left="1554" w:right="1117"/>
        <w:jc w:val="left"/>
      </w:pPr>
      <w:r>
        <w:rPr/>
        <w:t>（</w:t>
      </w:r>
      <w:r>
        <w:rPr>
          <w:rFonts w:ascii="宋体" w:hAnsi="宋体" w:cs="宋体" w:eastAsia="宋体" w:hint="default"/>
        </w:rPr>
        <w:t>4</w:t>
      </w:r>
      <w:r>
        <w:rPr/>
        <w:t>）并购标的企业的业绩实现风险 公司为构建完整的产业生态，积极遵循“产业</w:t>
      </w:r>
      <w:r>
        <w:rPr>
          <w:rFonts w:ascii="宋体" w:hAnsi="宋体" w:cs="宋体" w:eastAsia="宋体" w:hint="default"/>
        </w:rPr>
        <w:t>+</w:t>
      </w:r>
      <w:r>
        <w:rPr/>
        <w:t>资本”双轮驱动。在投资并购方案设计时，一般会与</w:t>
      </w:r>
    </w:p>
    <w:p>
      <w:pPr>
        <w:pStyle w:val="BodyText"/>
        <w:spacing w:line="240" w:lineRule="auto"/>
        <w:ind w:right="0"/>
        <w:jc w:val="both"/>
      </w:pPr>
      <w:r>
        <w:rPr/>
        <w:t>交易对方进行业绩对赌，尽管公司对交易标的未来发展、盈利预测等进行了合理估计，但是标的公司实际</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盈利情况受行业发展等多种因素影响，可能导致业绩承诺预测数据低于预期，也造成商誉减值的风险，影</w:t>
      </w:r>
      <w:r>
        <w:rPr>
          <w:spacing w:val="-83"/>
        </w:rPr>
        <w:t> </w:t>
      </w:r>
      <w:r>
        <w:rPr>
          <w:spacing w:val="-83"/>
        </w:rPr>
      </w:r>
      <w:r>
        <w:rPr>
          <w:spacing w:val="-1"/>
        </w:rPr>
        <w:t>响经营利润。为此，公司在后期产业整合过程中，严格遵循稳健推进的原则，审慎选择具有产业协同作用</w:t>
      </w:r>
      <w:r>
        <w:rPr>
          <w:spacing w:val="-86"/>
        </w:rPr>
        <w:t> </w:t>
      </w:r>
      <w:r>
        <w:rPr>
          <w:spacing w:val="-86"/>
        </w:rPr>
      </w:r>
      <w:r>
        <w:rPr>
          <w:spacing w:val="-1"/>
        </w:rPr>
        <w:t>的企业开展合作，确定合理的财务指标，同时紧密关注标的企业发展中所遇到的风险，加强业务协同、财</w:t>
      </w:r>
      <w:r>
        <w:rPr>
          <w:spacing w:val="-85"/>
        </w:rPr>
        <w:t> </w:t>
      </w:r>
      <w:r>
        <w:rPr>
          <w:spacing w:val="-85"/>
        </w:rPr>
      </w:r>
      <w:r>
        <w:rPr/>
        <w:t>务管控的力度，努力维护上市公司股东权益。</w:t>
      </w:r>
    </w:p>
    <w:p>
      <w:pPr>
        <w:pStyle w:val="BodyText"/>
        <w:spacing w:line="408" w:lineRule="auto"/>
        <w:ind w:left="1554" w:right="1117"/>
        <w:jc w:val="left"/>
      </w:pPr>
      <w:r>
        <w:rPr/>
        <w:t>（</w:t>
      </w:r>
      <w:r>
        <w:rPr>
          <w:rFonts w:ascii="宋体" w:hAnsi="宋体" w:cs="宋体" w:eastAsia="宋体" w:hint="default"/>
        </w:rPr>
        <w:t>5</w:t>
      </w:r>
      <w:r>
        <w:rPr/>
        <w:t>）非公开发行推进的不确定性风险 </w:t>
      </w:r>
      <w:r>
        <w:rPr>
          <w:rFonts w:ascii="宋体" w:hAnsi="宋体" w:cs="宋体" w:eastAsia="宋体" w:hint="default"/>
        </w:rPr>
        <w:t>2015</w:t>
      </w:r>
      <w:r>
        <w:rPr/>
        <w:t>年</w:t>
      </w:r>
      <w:r>
        <w:rPr>
          <w:rFonts w:ascii="宋体" w:hAnsi="宋体" w:cs="宋体" w:eastAsia="宋体" w:hint="default"/>
        </w:rPr>
        <w:t>8</w:t>
      </w:r>
      <w:r>
        <w:rPr/>
        <w:t>月，公司公告了非公开发行股票预案，拟募集资金投向智慧城市等领域。由于本次募集资金</w:t>
      </w:r>
    </w:p>
    <w:p>
      <w:pPr>
        <w:pStyle w:val="BodyText"/>
        <w:spacing w:line="408" w:lineRule="auto"/>
        <w:ind w:left="1134" w:right="1131"/>
        <w:jc w:val="both"/>
      </w:pPr>
      <w:r>
        <w:rPr>
          <w:spacing w:val="-1"/>
        </w:rPr>
        <w:t>金额较大，且涉及审核事项面广，受该事项的审核周期及股票二级市场的影响，再融资事项能否获得审核</w:t>
      </w:r>
      <w:r>
        <w:rPr>
          <w:spacing w:val="-83"/>
        </w:rPr>
        <w:t> </w:t>
      </w:r>
      <w:r>
        <w:rPr>
          <w:spacing w:val="-83"/>
        </w:rPr>
      </w:r>
      <w:r>
        <w:rPr>
          <w:spacing w:val="-1"/>
        </w:rPr>
        <w:t>通过，以及能否顺利发行存在不确定性。为此，公司将积极做好资源筹划，加快推进已经布局的产业，同</w:t>
      </w:r>
      <w:r>
        <w:rPr>
          <w:spacing w:val="-83"/>
        </w:rPr>
        <w:t> </w:t>
      </w:r>
      <w:r>
        <w:rPr>
          <w:spacing w:val="-83"/>
        </w:rPr>
      </w:r>
      <w:r>
        <w:rPr>
          <w:spacing w:val="-1"/>
        </w:rPr>
        <w:t>时积极通过债权融资等多种形式进行融资，尽量降低再融资事项未能实施或融资金额低于预期对公司经营</w:t>
      </w:r>
      <w:r>
        <w:rPr>
          <w:spacing w:val="-81"/>
        </w:rPr>
        <w:t> </w:t>
      </w:r>
      <w:r>
        <w:rPr>
          <w:spacing w:val="-81"/>
        </w:rPr>
      </w:r>
      <w:r>
        <w:rPr/>
        <w:t>发展带来的不利影响。</w:t>
      </w:r>
    </w:p>
    <w:p>
      <w:pPr>
        <w:spacing w:line="240" w:lineRule="auto" w:before="11"/>
        <w:rPr>
          <w:rFonts w:ascii="宋体" w:hAnsi="宋体" w:cs="宋体" w:eastAsia="宋体" w:hint="default"/>
          <w:sz w:val="18"/>
          <w:szCs w:val="18"/>
        </w:rPr>
      </w:pPr>
    </w:p>
    <w:p>
      <w:pPr>
        <w:pStyle w:val="Heading2"/>
        <w:spacing w:line="240" w:lineRule="auto"/>
        <w:ind w:left="1134" w:right="0"/>
        <w:jc w:val="both"/>
        <w:rPr>
          <w:b w:val="0"/>
          <w:bCs w:val="0"/>
        </w:rPr>
      </w:pPr>
      <w:bookmarkStart w:name="十、接待调研、沟通、采访等活动情况" w:id="54"/>
      <w:bookmarkEnd w:id="54"/>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5"/>
      <w:bookmarkEnd w:id="55"/>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62" w:type="dxa"/>
        <w:tblLayout w:type="fixed"/>
        <w:tblCellMar>
          <w:top w:w="0" w:type="dxa"/>
          <w:left w:w="0" w:type="dxa"/>
          <w:bottom w:w="0" w:type="dxa"/>
          <w:right w:w="0" w:type="dxa"/>
        </w:tblCellMar>
        <w:tblLook w:val="01E0"/>
      </w:tblPr>
      <w:tblGrid>
        <w:gridCol w:w="2178"/>
        <w:gridCol w:w="2178"/>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报告期末至披露日期间接待调研、沟通、采访等活动登记表" w:id="56"/>
      <w:bookmarkEnd w:id="56"/>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5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公司报告期期末至披露日期间未发生接待调研、沟通、采访等活动。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24" w:right="3764"/>
        <w:jc w:val="center"/>
        <w:rPr>
          <w:b w:val="0"/>
          <w:bCs w:val="0"/>
        </w:rPr>
      </w:pPr>
      <w:bookmarkStart w:name="第五节 重要事项" w:id="57"/>
      <w:bookmarkEnd w:id="57"/>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080" w:right="0"/>
        <w:jc w:val="both"/>
        <w:rPr>
          <w:b w:val="0"/>
          <w:bCs w:val="0"/>
        </w:rPr>
      </w:pPr>
      <w:bookmarkStart w:name="一、公司普通股利润分配及资本公积金转增股本情况" w:id="58"/>
      <w:bookmarkEnd w:id="58"/>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080"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08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1080" w:right="1079" w:firstLine="420"/>
        <w:jc w:val="both"/>
      </w:pPr>
      <w:r>
        <w:rPr>
          <w:spacing w:val="-3"/>
        </w:rPr>
        <w:t>报告期内，公司严格按照相关利润分配政策和审议程序实施利润分配方案，分红标准和分红比例明确、</w:t>
      </w:r>
      <w:r>
        <w:rPr/>
        <w:t> 清晰，相关的决策程序和机制完备；相关议案经由公司董事会、监事会审议后提交股东大会审议，公司独</w:t>
      </w:r>
      <w:r>
        <w:rPr>
          <w:spacing w:val="-34"/>
        </w:rPr>
        <w:t> </w:t>
      </w:r>
      <w:r>
        <w:rPr>
          <w:spacing w:val="-34"/>
        </w:rPr>
      </w:r>
      <w:r>
        <w:rPr/>
        <w:t>立董事发表了独立意见；并在分配方案审议通过后的</w:t>
      </w:r>
      <w:r>
        <w:rPr>
          <w:rFonts w:ascii="宋体" w:hAnsi="宋体" w:cs="宋体" w:eastAsia="宋体" w:hint="default"/>
        </w:rPr>
        <w:t>2</w:t>
      </w:r>
      <w:r>
        <w:rPr/>
        <w:t>个月内进行了权益分派，保证了全体股东的利益。</w:t>
      </w:r>
    </w:p>
    <w:p>
      <w:pPr>
        <w:pStyle w:val="BodyText"/>
        <w:spacing w:line="240" w:lineRule="auto"/>
        <w:ind w:left="1500" w:right="1117"/>
        <w:jc w:val="left"/>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26</w:t>
      </w:r>
      <w:r>
        <w:rPr/>
        <w:t>日，公司第三届董事会第十次会议审议通过了</w:t>
      </w:r>
      <w:r>
        <w:rPr>
          <w:rFonts w:ascii="宋体" w:hAnsi="宋体" w:cs="宋体" w:eastAsia="宋体" w:hint="default"/>
        </w:rPr>
        <w:t>2014</w:t>
      </w:r>
      <w:r>
        <w:rPr/>
        <w:t>年度利润分配方案，以</w:t>
      </w:r>
      <w:r>
        <w:rPr>
          <w:rFonts w:ascii="宋体" w:hAnsi="宋体" w:cs="宋体" w:eastAsia="宋体" w:hint="default"/>
        </w:rPr>
        <w:t>2014</w:t>
      </w:r>
      <w:r>
        <w:rPr/>
        <w:t>年</w:t>
      </w:r>
      <w:r>
        <w:rPr>
          <w:rFonts w:ascii="宋体" w:hAnsi="宋体" w:cs="宋体" w:eastAsia="宋体" w:hint="default"/>
        </w:rPr>
        <w:t>12</w:t>
      </w:r>
      <w:r>
        <w:rPr/>
        <w:t>月</w:t>
      </w:r>
    </w:p>
    <w:p>
      <w:pPr>
        <w:spacing w:line="240" w:lineRule="auto" w:before="10"/>
        <w:rPr>
          <w:rFonts w:ascii="宋体" w:hAnsi="宋体" w:cs="宋体" w:eastAsia="宋体" w:hint="default"/>
          <w:sz w:val="14"/>
          <w:szCs w:val="14"/>
        </w:rPr>
      </w:pPr>
    </w:p>
    <w:p>
      <w:pPr>
        <w:pStyle w:val="BodyText"/>
        <w:spacing w:line="408" w:lineRule="auto" w:before="0"/>
        <w:ind w:left="1080" w:right="1075"/>
        <w:jc w:val="both"/>
      </w:pPr>
      <w:r>
        <w:rPr>
          <w:rFonts w:ascii="宋体" w:hAnsi="宋体" w:cs="宋体" w:eastAsia="宋体" w:hint="default"/>
          <w:spacing w:val="-1"/>
        </w:rPr>
        <w:t>31</w:t>
      </w:r>
      <w:r>
        <w:rPr>
          <w:spacing w:val="-1"/>
        </w:rPr>
        <w:t>日总股本</w:t>
      </w:r>
      <w:r>
        <w:rPr>
          <w:rFonts w:ascii="宋体" w:hAnsi="宋体" w:cs="宋体" w:eastAsia="宋体" w:hint="default"/>
          <w:spacing w:val="-1"/>
        </w:rPr>
        <w:t>146,511,403</w:t>
      </w:r>
      <w:r>
        <w:rPr>
          <w:spacing w:val="-1"/>
        </w:rPr>
        <w:t>股为基数，向全体股东按照每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0.5</w:t>
      </w:r>
      <w:r>
        <w:rPr>
          <w:spacing w:val="-1"/>
        </w:rPr>
        <w:t>元（含税），并于</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29</w:t>
      </w:r>
      <w:r>
        <w:rPr>
          <w:rFonts w:ascii="宋体" w:hAnsi="宋体" w:cs="宋体" w:eastAsia="宋体" w:hint="default"/>
          <w:spacing w:val="-71"/>
        </w:rPr>
        <w:t> </w:t>
      </w:r>
      <w:r>
        <w:rPr>
          <w:spacing w:val="-1"/>
        </w:rPr>
        <w:t>日的</w:t>
      </w:r>
      <w:r>
        <w:rPr>
          <w:rFonts w:ascii="宋体" w:hAnsi="宋体" w:cs="宋体" w:eastAsia="宋体" w:hint="default"/>
          <w:spacing w:val="-1"/>
        </w:rPr>
        <w:t>2014</w:t>
      </w:r>
      <w:r>
        <w:rPr>
          <w:spacing w:val="-1"/>
        </w:rPr>
        <w:t>年年度股东大会审议通过。</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16</w:t>
      </w:r>
      <w:r>
        <w:rPr>
          <w:spacing w:val="-1"/>
        </w:rPr>
        <w:t>日，公司在中国证监会指定信息披露网站刊登了《</w:t>
      </w:r>
      <w:r>
        <w:rPr>
          <w:rFonts w:ascii="宋体" w:hAnsi="宋体" w:cs="宋体" w:eastAsia="宋体" w:hint="default"/>
          <w:spacing w:val="-1"/>
        </w:rPr>
        <w:t>2014</w:t>
      </w:r>
      <w:r>
        <w:rPr>
          <w:spacing w:val="-1"/>
        </w:rPr>
        <w:t>年</w:t>
      </w:r>
      <w:r>
        <w:rPr>
          <w:spacing w:val="-76"/>
        </w:rPr>
        <w:t> </w:t>
      </w:r>
      <w:r>
        <w:rPr>
          <w:spacing w:val="-3"/>
        </w:rPr>
        <w:t>度权益分派实施公告》，股权登记日为</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23</w:t>
      </w:r>
      <w:r>
        <w:rPr>
          <w:spacing w:val="-3"/>
        </w:rPr>
        <w:t>日，除权除息日为</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24</w:t>
      </w:r>
      <w:r>
        <w:rPr>
          <w:spacing w:val="-3"/>
        </w:rPr>
        <w:t>日。截至报告期末，</w:t>
      </w:r>
      <w:r>
        <w:rPr>
          <w:rFonts w:ascii="宋体" w:hAnsi="宋体" w:cs="宋体" w:eastAsia="宋体" w:hint="default"/>
          <w:spacing w:val="-3"/>
        </w:rPr>
        <w:t>2014</w:t>
      </w:r>
      <w:r>
        <w:rPr>
          <w:rFonts w:ascii="宋体" w:hAnsi="宋体" w:cs="宋体" w:eastAsia="宋体" w:hint="default"/>
          <w:spacing w:val="-73"/>
        </w:rPr>
        <w:t> </w:t>
      </w:r>
      <w:r>
        <w:rPr/>
        <w:t>年度权益分派已经完成。</w:t>
      </w:r>
    </w:p>
    <w:p>
      <w:pPr>
        <w:pStyle w:val="BodyText"/>
        <w:spacing w:line="408" w:lineRule="auto"/>
        <w:ind w:left="1079" w:right="1074" w:firstLine="420"/>
        <w:jc w:val="both"/>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25</w:t>
      </w:r>
      <w:r>
        <w:rPr/>
        <w:t>日，公司第三届董事会第十四次会议审议通过关于</w:t>
      </w:r>
      <w:r>
        <w:rPr>
          <w:rFonts w:ascii="宋体" w:hAnsi="宋体" w:cs="宋体" w:eastAsia="宋体" w:hint="default"/>
        </w:rPr>
        <w:t>2015</w:t>
      </w:r>
      <w:r>
        <w:rPr/>
        <w:t>年半年度资本公积金转增股本 方案的议案，以截至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日公司股份总数</w:t>
      </w:r>
      <w:r>
        <w:rPr>
          <w:rFonts w:ascii="宋体" w:hAnsi="宋体" w:cs="宋体" w:eastAsia="宋体" w:hint="default"/>
        </w:rPr>
        <w:t>146,511,403</w:t>
      </w:r>
      <w:r>
        <w:rPr/>
        <w:t>股为基数，以资本公积金向全体股东每</w:t>
      </w:r>
      <w:r>
        <w:rPr>
          <w:rFonts w:ascii="宋体" w:hAnsi="宋体" w:cs="宋体" w:eastAsia="宋体" w:hint="default"/>
        </w:rPr>
        <w:t>10</w:t>
      </w:r>
      <w:r>
        <w:rPr/>
        <w:t>股</w:t>
      </w:r>
      <w:r>
        <w:rPr>
          <w:spacing w:val="-22"/>
        </w:rPr>
        <w:t> </w:t>
      </w:r>
      <w:r>
        <w:rPr/>
        <w:t>转增</w:t>
      </w:r>
      <w:r>
        <w:rPr>
          <w:rFonts w:ascii="宋体" w:hAnsi="宋体" w:cs="宋体" w:eastAsia="宋体" w:hint="default"/>
        </w:rPr>
        <w:t>10</w:t>
      </w:r>
      <w:r>
        <w:rPr/>
        <w:t>股，共计转增股本</w:t>
      </w:r>
      <w:r>
        <w:rPr>
          <w:rFonts w:ascii="宋体" w:hAnsi="宋体" w:cs="宋体" w:eastAsia="宋体" w:hint="default"/>
        </w:rPr>
        <w:t>146,511,403</w:t>
      </w:r>
      <w:r>
        <w:rPr/>
        <w:t>股，转增后公司总股本变更为</w:t>
      </w:r>
      <w:r>
        <w:rPr>
          <w:rFonts w:ascii="宋体" w:hAnsi="宋体" w:cs="宋体" w:eastAsia="宋体" w:hint="default"/>
        </w:rPr>
        <w:t>293,022,806</w:t>
      </w:r>
      <w:r>
        <w:rPr/>
        <w:t>股，本次分配不送红股、</w:t>
      </w:r>
      <w:r>
        <w:rPr>
          <w:spacing w:val="-28"/>
        </w:rPr>
        <w:t> </w:t>
      </w:r>
      <w:r>
        <w:rPr>
          <w:spacing w:val="-28"/>
        </w:rPr>
      </w:r>
      <w:r>
        <w:rPr>
          <w:spacing w:val="-1"/>
        </w:rPr>
        <w:t>不进行现金分红；</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11</w:t>
      </w:r>
      <w:r>
        <w:rPr>
          <w:spacing w:val="-1"/>
        </w:rPr>
        <w:t>日，公司召开</w:t>
      </w:r>
      <w:r>
        <w:rPr>
          <w:rFonts w:ascii="宋体" w:hAnsi="宋体" w:cs="宋体" w:eastAsia="宋体" w:hint="default"/>
          <w:spacing w:val="-1"/>
        </w:rPr>
        <w:t>2015</w:t>
      </w:r>
      <w:r>
        <w:rPr>
          <w:spacing w:val="-1"/>
        </w:rPr>
        <w:t>年第二次临时股东大会审议通过该分配方案；</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spacing w:val="-73"/>
        </w:rPr>
        <w:t> </w:t>
      </w:r>
      <w:r>
        <w:rPr>
          <w:rFonts w:ascii="宋体" w:hAnsi="宋体" w:cs="宋体" w:eastAsia="宋体" w:hint="default"/>
        </w:rPr>
        <w:t>13</w:t>
      </w:r>
      <w:r>
        <w:rPr/>
        <w:t>日，公司在巨潮资讯网刊登了《</w:t>
      </w:r>
      <w:r>
        <w:rPr>
          <w:rFonts w:ascii="宋体" w:hAnsi="宋体" w:cs="宋体" w:eastAsia="宋体" w:hint="default"/>
        </w:rPr>
        <w:t>2015</w:t>
      </w:r>
      <w:r>
        <w:rPr/>
        <w:t>年半年度资本公积转增股本实施公告》，并以</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19</w:t>
      </w:r>
      <w:r>
        <w:rPr/>
        <w:t>日为股</w:t>
      </w:r>
      <w:r>
        <w:rPr>
          <w:spacing w:val="-26"/>
        </w:rPr>
        <w:t> </w:t>
      </w:r>
      <w:r>
        <w:rPr/>
        <w:t>权登记日，</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20</w:t>
      </w:r>
      <w:r>
        <w:rPr/>
        <w:t>日为除权日，截至本报告披露日，该次权益分派方案已经实施完毕。具体信息请</w:t>
      </w:r>
      <w:r>
        <w:rPr>
          <w:spacing w:val="-34"/>
        </w:rPr>
        <w:t> </w:t>
      </w:r>
      <w:r>
        <w:rPr>
          <w:spacing w:val="-34"/>
        </w:rPr>
      </w:r>
      <w:r>
        <w:rPr/>
        <w:t>查阅公司于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26</w:t>
      </w:r>
      <w:r>
        <w:rPr/>
        <w:t>日、</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12</w:t>
      </w:r>
      <w:r>
        <w:rPr/>
        <w:t>日、</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13</w:t>
      </w:r>
      <w:r>
        <w:rPr/>
        <w:t>日在巨潮资讯网刊登的公告。</w:t>
      </w:r>
    </w:p>
    <w:tbl>
      <w:tblPr>
        <w:tblW w:w="0" w:type="auto"/>
        <w:jc w:val="left"/>
        <w:tblInd w:w="1086" w:type="dxa"/>
        <w:tblLayout w:type="fixed"/>
        <w:tblCellMar>
          <w:top w:w="0" w:type="dxa"/>
          <w:left w:w="0" w:type="dxa"/>
          <w:bottom w:w="0" w:type="dxa"/>
          <w:right w:w="0" w:type="dxa"/>
        </w:tblCellMar>
        <w:tblLook w:val="01E0"/>
      </w:tblPr>
      <w:tblGrid>
        <w:gridCol w:w="5081"/>
        <w:gridCol w:w="4690"/>
      </w:tblGrid>
      <w:tr>
        <w:trPr>
          <w:trHeight w:val="397" w:hRule="exact"/>
        </w:trPr>
        <w:tc>
          <w:tcPr>
            <w:tcW w:w="9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11" w:right="1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34"/>
        <w:ind w:left="1080" w:right="1117"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38" w:lineRule="auto" w:before="117"/>
        <w:ind w:left="1080" w:right="43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080" w:right="1117"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line="240" w:lineRule="auto" w:before="13"/>
        <w:rPr>
          <w:rFonts w:ascii="宋体" w:hAnsi="宋体" w:cs="宋体" w:eastAsia="宋体" w:hint="default"/>
          <w:sz w:val="7"/>
          <w:szCs w:val="7"/>
        </w:rPr>
      </w:pPr>
    </w:p>
    <w:tbl>
      <w:tblPr>
        <w:tblW w:w="0" w:type="auto"/>
        <w:jc w:val="left"/>
        <w:tblInd w:w="1164" w:type="dxa"/>
        <w:tblLayout w:type="fixed"/>
        <w:tblCellMar>
          <w:top w:w="0" w:type="dxa"/>
          <w:left w:w="0" w:type="dxa"/>
          <w:bottom w:w="0" w:type="dxa"/>
          <w:right w:w="0" w:type="dxa"/>
        </w:tblCellMar>
        <w:tblLook w:val="01E0"/>
      </w:tblPr>
      <w:tblGrid>
        <w:gridCol w:w="3706"/>
        <w:gridCol w:w="5864"/>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293,022,806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5,860,456.12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165,619,489.14</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293,022,806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165,619,489.14</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19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经大信会计师事务所（特殊普通合伙）审计，公司</w:t>
            </w:r>
            <w:r>
              <w:rPr>
                <w:rFonts w:ascii="宋体" w:hAnsi="宋体" w:cs="宋体" w:eastAsia="宋体" w:hint="default"/>
                <w:spacing w:val="-30"/>
                <w:sz w:val="18"/>
                <w:szCs w:val="18"/>
              </w:rPr>
              <w:t> </w:t>
            </w:r>
            <w:r>
              <w:rPr>
                <w:rFonts w:ascii="宋体" w:hAnsi="宋体" w:cs="宋体" w:eastAsia="宋体" w:hint="default"/>
                <w:sz w:val="18"/>
                <w:szCs w:val="18"/>
              </w:rPr>
              <w:t>2015</w:t>
            </w:r>
            <w:r>
              <w:rPr>
                <w:rFonts w:ascii="宋体" w:hAnsi="宋体" w:cs="宋体" w:eastAsia="宋体" w:hint="default"/>
                <w:spacing w:val="-29"/>
                <w:sz w:val="18"/>
                <w:szCs w:val="18"/>
              </w:rPr>
              <w:t> </w:t>
            </w:r>
            <w:r>
              <w:rPr>
                <w:rFonts w:ascii="宋体" w:hAnsi="宋体" w:cs="宋体" w:eastAsia="宋体" w:hint="default"/>
                <w:sz w:val="18"/>
                <w:szCs w:val="18"/>
              </w:rPr>
              <w:t>年实现归属于上市公司股东的净利润为</w:t>
            </w:r>
            <w:r>
              <w:rPr>
                <w:rFonts w:ascii="宋体" w:hAnsi="宋体" w:cs="宋体" w:eastAsia="宋体" w:hint="default"/>
                <w:spacing w:val="-30"/>
                <w:sz w:val="18"/>
                <w:szCs w:val="18"/>
              </w:rPr>
              <w:t> </w:t>
            </w:r>
            <w:r>
              <w:rPr>
                <w:rFonts w:ascii="宋体" w:hAnsi="宋体" w:cs="宋体" w:eastAsia="宋体" w:hint="default"/>
                <w:sz w:val="18"/>
                <w:szCs w:val="18"/>
              </w:rPr>
              <w:t>78,646,513.40</w:t>
            </w:r>
            <w:r>
              <w:rPr>
                <w:rFonts w:ascii="宋体" w:hAnsi="宋体" w:cs="宋体" w:eastAsia="宋体" w:hint="default"/>
                <w:spacing w:val="-30"/>
                <w:sz w:val="18"/>
                <w:szCs w:val="18"/>
              </w:rPr>
              <w:t> </w:t>
            </w:r>
            <w:r>
              <w:rPr>
                <w:rFonts w:ascii="宋体" w:hAnsi="宋体" w:cs="宋体" w:eastAsia="宋体" w:hint="default"/>
                <w:sz w:val="18"/>
                <w:szCs w:val="18"/>
              </w:rPr>
              <w:t>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其中，母公司实现净利润</w:t>
            </w:r>
            <w:r>
              <w:rPr>
                <w:rFonts w:ascii="宋体" w:hAnsi="宋体" w:cs="宋体" w:eastAsia="宋体" w:hint="default"/>
                <w:spacing w:val="-30"/>
                <w:sz w:val="18"/>
                <w:szCs w:val="18"/>
              </w:rPr>
              <w:t> </w:t>
            </w:r>
            <w:r>
              <w:rPr>
                <w:rFonts w:ascii="宋体" w:hAnsi="宋体" w:cs="宋体" w:eastAsia="宋体" w:hint="default"/>
                <w:sz w:val="18"/>
                <w:szCs w:val="18"/>
              </w:rPr>
              <w:t>22,586,652.61</w:t>
            </w:r>
            <w:r>
              <w:rPr>
                <w:rFonts w:ascii="宋体" w:hAnsi="宋体" w:cs="宋体" w:eastAsia="宋体" w:hint="default"/>
                <w:spacing w:val="-30"/>
                <w:sz w:val="18"/>
                <w:szCs w:val="18"/>
              </w:rPr>
              <w:t> </w:t>
            </w:r>
            <w:r>
              <w:rPr>
                <w:rFonts w:ascii="宋体" w:hAnsi="宋体" w:cs="宋体" w:eastAsia="宋体" w:hint="default"/>
                <w:sz w:val="18"/>
                <w:szCs w:val="18"/>
              </w:rPr>
              <w:t>元。根据《公司法》和《公司章程》的有关规定，按</w:t>
            </w:r>
            <w:r>
              <w:rPr>
                <w:rFonts w:ascii="宋体" w:hAnsi="宋体" w:cs="宋体" w:eastAsia="宋体" w:hint="default"/>
                <w:spacing w:val="-30"/>
                <w:sz w:val="18"/>
                <w:szCs w:val="18"/>
              </w:rPr>
              <w:t> </w:t>
            </w:r>
            <w:r>
              <w:rPr>
                <w:rFonts w:ascii="宋体" w:hAnsi="宋体" w:cs="宋体" w:eastAsia="宋体" w:hint="default"/>
                <w:sz w:val="18"/>
                <w:szCs w:val="18"/>
              </w:rPr>
              <w:t>2015</w:t>
            </w:r>
            <w:r>
              <w:rPr>
                <w:rFonts w:ascii="宋体" w:hAnsi="宋体" w:cs="宋体" w:eastAsia="宋体" w:hint="default"/>
                <w:spacing w:val="-30"/>
                <w:sz w:val="18"/>
                <w:szCs w:val="18"/>
              </w:rPr>
              <w:t> </w:t>
            </w:r>
            <w:r>
              <w:rPr>
                <w:rFonts w:ascii="宋体" w:hAnsi="宋体" w:cs="宋体" w:eastAsia="宋体" w:hint="default"/>
                <w:sz w:val="18"/>
                <w:szCs w:val="18"/>
              </w:rPr>
              <w:t>年母公司实现净利润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的 </w:t>
            </w:r>
            <w:r>
              <w:rPr>
                <w:rFonts w:ascii="宋体" w:hAnsi="宋体" w:cs="宋体" w:eastAsia="宋体" w:hint="default"/>
                <w:spacing w:val="5"/>
                <w:sz w:val="18"/>
                <w:szCs w:val="18"/>
              </w:rPr>
              <w:t>10%</w:t>
            </w:r>
            <w:r>
              <w:rPr>
                <w:rFonts w:ascii="宋体" w:hAnsi="宋体" w:cs="宋体" w:eastAsia="宋体" w:hint="default"/>
                <w:spacing w:val="5"/>
                <w:sz w:val="18"/>
                <w:szCs w:val="18"/>
              </w:rPr>
              <w:t>提取法定盈余公积金 </w:t>
            </w:r>
            <w:r>
              <w:rPr>
                <w:rFonts w:ascii="宋体" w:hAnsi="宋体" w:cs="宋体" w:eastAsia="宋体" w:hint="default"/>
                <w:sz w:val="18"/>
                <w:szCs w:val="18"/>
              </w:rPr>
              <w:t>2,258,665.26 </w:t>
            </w:r>
            <w:r>
              <w:rPr>
                <w:rFonts w:ascii="宋体" w:hAnsi="宋体" w:cs="宋体" w:eastAsia="宋体" w:hint="default"/>
                <w:spacing w:val="6"/>
                <w:sz w:val="18"/>
                <w:szCs w:val="18"/>
              </w:rPr>
              <w:t>元，加上年初未分配利润 </w:t>
            </w:r>
            <w:r>
              <w:rPr>
                <w:rFonts w:ascii="宋体" w:hAnsi="宋体" w:cs="宋体" w:eastAsia="宋体" w:hint="default"/>
                <w:sz w:val="18"/>
                <w:szCs w:val="18"/>
              </w:rPr>
              <w:t>152,617,071.94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减去派发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pacing w:val="4"/>
                <w:sz w:val="18"/>
                <w:szCs w:val="18"/>
              </w:rPr>
              <w:t>年现金红利</w:t>
            </w:r>
          </w:p>
          <w:p>
            <w:pPr>
              <w:pStyle w:val="TableParagraph"/>
              <w:spacing w:line="316" w:lineRule="auto" w:before="76"/>
              <w:ind w:left="382" w:right="22" w:hanging="360"/>
              <w:jc w:val="left"/>
              <w:rPr>
                <w:rFonts w:ascii="宋体" w:hAnsi="宋体" w:cs="宋体" w:eastAsia="宋体" w:hint="default"/>
                <w:sz w:val="18"/>
                <w:szCs w:val="18"/>
              </w:rPr>
            </w:pPr>
            <w:r>
              <w:rPr>
                <w:rFonts w:ascii="宋体" w:hAnsi="宋体" w:cs="宋体" w:eastAsia="宋体" w:hint="default"/>
                <w:sz w:val="18"/>
                <w:szCs w:val="18"/>
              </w:rPr>
              <w:t>7,325,570.15</w:t>
            </w:r>
            <w:r>
              <w:rPr>
                <w:rFonts w:ascii="宋体" w:hAnsi="宋体" w:cs="宋体" w:eastAsia="宋体" w:hint="default"/>
                <w:spacing w:val="-46"/>
                <w:sz w:val="18"/>
                <w:szCs w:val="18"/>
              </w:rPr>
              <w:t> </w:t>
            </w:r>
            <w:r>
              <w:rPr>
                <w:rFonts w:ascii="宋体" w:hAnsi="宋体" w:cs="宋体" w:eastAsia="宋体" w:hint="default"/>
                <w:sz w:val="18"/>
                <w:szCs w:val="18"/>
              </w:rPr>
              <w:t>元，本次可供股东分配的利润为</w:t>
            </w:r>
            <w:r>
              <w:rPr>
                <w:rFonts w:ascii="宋体" w:hAnsi="宋体" w:cs="宋体" w:eastAsia="宋体" w:hint="default"/>
                <w:spacing w:val="-46"/>
                <w:sz w:val="18"/>
                <w:szCs w:val="18"/>
              </w:rPr>
              <w:t> </w:t>
            </w:r>
            <w:r>
              <w:rPr>
                <w:rFonts w:ascii="宋体" w:hAnsi="宋体" w:cs="宋体" w:eastAsia="宋体" w:hint="default"/>
                <w:sz w:val="18"/>
                <w:szCs w:val="18"/>
              </w:rPr>
              <w:t>165,619,489.14</w:t>
            </w:r>
            <w:r>
              <w:rPr>
                <w:rFonts w:ascii="宋体" w:hAnsi="宋体" w:cs="宋体" w:eastAsia="宋体" w:hint="default"/>
                <w:spacing w:val="-46"/>
                <w:sz w:val="18"/>
                <w:szCs w:val="18"/>
              </w:rPr>
              <w:t> </w:t>
            </w:r>
            <w:r>
              <w:rPr>
                <w:rFonts w:ascii="宋体" w:hAnsi="宋体" w:cs="宋体" w:eastAsia="宋体" w:hint="default"/>
                <w:sz w:val="18"/>
                <w:szCs w:val="18"/>
              </w:rPr>
              <w:t>元。 </w:t>
            </w:r>
            <w:r>
              <w:rPr>
                <w:rFonts w:ascii="宋体" w:hAnsi="宋体" w:cs="宋体" w:eastAsia="宋体" w:hint="default"/>
                <w:spacing w:val="-1"/>
                <w:sz w:val="18"/>
                <w:szCs w:val="18"/>
              </w:rPr>
              <w:t>为与全体股东分享公司成长的经营成果，同时结合公司实际情况，根据《公司法》和《公司章程》的规定，公司本年</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6"/>
                <w:sz w:val="18"/>
                <w:szCs w:val="18"/>
              </w:rPr>
              <w:t>的利润分配预案为：公司以</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宋体" w:hAnsi="宋体" w:cs="宋体" w:eastAsia="宋体" w:hint="default"/>
                <w:sz w:val="18"/>
                <w:szCs w:val="18"/>
              </w:rPr>
              <w:t>293,022,806</w:t>
            </w:r>
            <w:r>
              <w:rPr>
                <w:rFonts w:ascii="宋体" w:hAnsi="宋体" w:cs="宋体" w:eastAsia="宋体" w:hint="default"/>
                <w:spacing w:val="-45"/>
                <w:sz w:val="18"/>
                <w:szCs w:val="18"/>
              </w:rPr>
              <w:t> </w:t>
            </w:r>
            <w:r>
              <w:rPr>
                <w:rFonts w:ascii="宋体" w:hAnsi="宋体" w:cs="宋体" w:eastAsia="宋体" w:hint="default"/>
                <w:spacing w:val="-7"/>
                <w:sz w:val="18"/>
                <w:szCs w:val="18"/>
              </w:rPr>
              <w:t>股为基数，向全体股东每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pacing w:val="-23"/>
                <w:sz w:val="18"/>
                <w:szCs w:val="18"/>
              </w:rPr>
              <w:t>元（含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，合计派发现金</w:t>
            </w:r>
            <w:r>
              <w:rPr>
                <w:rFonts w:ascii="宋体" w:hAnsi="宋体" w:cs="宋体" w:eastAsia="宋体" w:hint="default"/>
                <w:spacing w:val="-46"/>
                <w:sz w:val="18"/>
                <w:szCs w:val="18"/>
              </w:rPr>
              <w:t> </w:t>
            </w:r>
            <w:r>
              <w:rPr>
                <w:rFonts w:ascii="宋体" w:hAnsi="宋体" w:cs="宋体" w:eastAsia="宋体" w:hint="default"/>
                <w:sz w:val="18"/>
                <w:szCs w:val="18"/>
              </w:rPr>
              <w:t>5,860,456.12</w:t>
            </w:r>
            <w:r>
              <w:rPr>
                <w:rFonts w:ascii="宋体" w:hAnsi="宋体" w:cs="宋体" w:eastAsia="宋体" w:hint="default"/>
                <w:spacing w:val="-46"/>
                <w:sz w:val="18"/>
                <w:szCs w:val="18"/>
              </w:rPr>
              <w:t> </w:t>
            </w:r>
            <w:r>
              <w:rPr>
                <w:rFonts w:ascii="宋体" w:hAnsi="宋体" w:cs="宋体" w:eastAsia="宋体" w:hint="default"/>
                <w:sz w:val="18"/>
                <w:szCs w:val="18"/>
              </w:rPr>
              <w:t>元，剩余未分配利润结转以后年度。</w:t>
            </w:r>
          </w:p>
        </w:tc>
      </w:tr>
    </w:tbl>
    <w:p>
      <w:pPr>
        <w:spacing w:line="398" w:lineRule="auto" w:before="51"/>
        <w:ind w:left="1500" w:right="1117" w:hanging="420"/>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年度权益分派情况 结合公司实际情况，与全体股东分享公司成长的经营成果，根据《公司法》和《公司章程》的规定，</w:t>
      </w:r>
    </w:p>
    <w:p>
      <w:pPr>
        <w:pStyle w:val="BodyText"/>
        <w:spacing w:line="408" w:lineRule="auto" w:before="54"/>
        <w:ind w:left="1079" w:right="1076"/>
        <w:jc w:val="both"/>
      </w:pPr>
      <w:r>
        <w:rPr>
          <w:spacing w:val="-1"/>
        </w:rPr>
        <w:t>公司本年的利润分配预案为：</w:t>
      </w: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28</w:t>
      </w:r>
      <w:r>
        <w:rPr>
          <w:spacing w:val="-1"/>
        </w:rPr>
        <w:t>日，公司第三届董事会第二十次会议审议通过</w:t>
      </w:r>
      <w:r>
        <w:rPr>
          <w:rFonts w:ascii="宋体" w:hAnsi="宋体" w:cs="宋体" w:eastAsia="宋体" w:hint="default"/>
          <w:spacing w:val="-1"/>
        </w:rPr>
        <w:t>2015</w:t>
      </w:r>
      <w:r>
        <w:rPr>
          <w:spacing w:val="-1"/>
        </w:rPr>
        <w:t>年度权益分派</w:t>
      </w:r>
      <w:r>
        <w:rPr>
          <w:spacing w:val="-74"/>
        </w:rPr>
        <w:t> </w:t>
      </w:r>
      <w:r>
        <w:rPr>
          <w:spacing w:val="-6"/>
        </w:rPr>
        <w:t>方案，公司以</w:t>
      </w:r>
      <w:r>
        <w:rPr>
          <w:rFonts w:ascii="宋体" w:hAnsi="宋体" w:cs="宋体" w:eastAsia="宋体" w:hint="default"/>
          <w:spacing w:val="-6"/>
        </w:rPr>
        <w:t>2015</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日总股本</w:t>
      </w:r>
      <w:r>
        <w:rPr>
          <w:rFonts w:ascii="宋体" w:hAnsi="宋体" w:cs="宋体" w:eastAsia="宋体" w:hint="default"/>
          <w:spacing w:val="-6"/>
        </w:rPr>
        <w:t>293,022,806</w:t>
      </w:r>
      <w:r>
        <w:rPr>
          <w:spacing w:val="-6"/>
        </w:rPr>
        <w:t>股为基数，向全体股东每</w:t>
      </w:r>
      <w:r>
        <w:rPr>
          <w:rFonts w:ascii="宋体" w:hAnsi="宋体" w:cs="宋体" w:eastAsia="宋体" w:hint="default"/>
          <w:spacing w:val="-6"/>
        </w:rPr>
        <w:t>10</w:t>
      </w:r>
      <w:r>
        <w:rPr>
          <w:spacing w:val="-6"/>
        </w:rPr>
        <w:t>股派发现金红利</w:t>
      </w:r>
      <w:r>
        <w:rPr>
          <w:rFonts w:ascii="宋体" w:hAnsi="宋体" w:cs="宋体" w:eastAsia="宋体" w:hint="default"/>
          <w:spacing w:val="-6"/>
        </w:rPr>
        <w:t>0.2</w:t>
      </w:r>
      <w:r>
        <w:rPr>
          <w:spacing w:val="-6"/>
        </w:rPr>
        <w:t>元（含税），</w:t>
      </w:r>
      <w:r>
        <w:rPr>
          <w:spacing w:val="-87"/>
        </w:rPr>
        <w:t> </w:t>
      </w:r>
      <w:r>
        <w:rPr>
          <w:spacing w:val="-87"/>
        </w:rPr>
      </w:r>
      <w:r>
        <w:rPr/>
        <w:t>合计派发现金</w:t>
      </w:r>
      <w:r>
        <w:rPr>
          <w:rFonts w:ascii="宋体" w:hAnsi="宋体" w:cs="宋体" w:eastAsia="宋体" w:hint="default"/>
        </w:rPr>
        <w:t>5,860,456.12</w:t>
      </w:r>
      <w:r>
        <w:rPr/>
        <w:t>元。此方案尚需</w:t>
      </w:r>
      <w:r>
        <w:rPr>
          <w:rFonts w:ascii="宋体" w:hAnsi="宋体" w:cs="宋体" w:eastAsia="宋体" w:hint="default"/>
        </w:rPr>
        <w:t>2015</w:t>
      </w:r>
      <w:r>
        <w:rPr/>
        <w:t>年年度股东大会审议通过。</w:t>
      </w:r>
    </w:p>
    <w:p>
      <w:pPr>
        <w:pStyle w:val="BodyText"/>
        <w:spacing w:line="240" w:lineRule="auto"/>
        <w:ind w:left="1500" w:right="1117"/>
        <w:jc w:val="left"/>
      </w:pPr>
      <w:r>
        <w:rPr>
          <w:rFonts w:ascii="宋体" w:hAnsi="宋体" w:cs="宋体" w:eastAsia="宋体" w:hint="default"/>
        </w:rPr>
        <w:t>2</w:t>
      </w:r>
      <w:r>
        <w:rPr/>
        <w:t>、</w:t>
      </w:r>
      <w:r>
        <w:rPr>
          <w:rFonts w:ascii="宋体" w:hAnsi="宋体" w:cs="宋体" w:eastAsia="宋体" w:hint="default"/>
        </w:rPr>
        <w:t>2014</w:t>
      </w:r>
      <w:r>
        <w:rPr/>
        <w:t>年度权益分派情况</w:t>
      </w:r>
    </w:p>
    <w:p>
      <w:pPr>
        <w:spacing w:line="240" w:lineRule="auto" w:before="10"/>
        <w:rPr>
          <w:rFonts w:ascii="宋体" w:hAnsi="宋体" w:cs="宋体" w:eastAsia="宋体" w:hint="default"/>
          <w:sz w:val="14"/>
          <w:szCs w:val="14"/>
        </w:rPr>
      </w:pPr>
    </w:p>
    <w:p>
      <w:pPr>
        <w:pStyle w:val="BodyText"/>
        <w:spacing w:line="408" w:lineRule="auto" w:before="0"/>
        <w:ind w:left="1080" w:right="1164" w:firstLine="420"/>
        <w:jc w:val="both"/>
      </w:pP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26</w:t>
      </w:r>
      <w:r>
        <w:rPr/>
        <w:t>日，公司第三届董事会第十次会议审议通过</w:t>
      </w:r>
      <w:r>
        <w:rPr>
          <w:rFonts w:ascii="宋体" w:hAnsi="宋体" w:cs="宋体" w:eastAsia="宋体" w:hint="default"/>
        </w:rPr>
        <w:t>2014</w:t>
      </w:r>
      <w:r>
        <w:rPr/>
        <w:t>年度权益分派方案，公司以</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26 </w:t>
      </w:r>
      <w:r>
        <w:rPr/>
        <w:t>日非公开发行完成后的总股本</w:t>
      </w:r>
      <w:r>
        <w:rPr>
          <w:rFonts w:ascii="宋体" w:hAnsi="宋体" w:cs="宋体" w:eastAsia="宋体" w:hint="default"/>
        </w:rPr>
        <w:t>146,511,403</w:t>
      </w:r>
      <w:r>
        <w:rPr/>
        <w:t>股为基数，向全体股东每</w:t>
      </w:r>
      <w:r>
        <w:rPr>
          <w:rFonts w:ascii="宋体" w:hAnsi="宋体" w:cs="宋体" w:eastAsia="宋体" w:hint="default"/>
        </w:rPr>
        <w:t>10</w:t>
      </w:r>
      <w:r>
        <w:rPr/>
        <w:t>股派发现金红利</w:t>
      </w:r>
      <w:r>
        <w:rPr>
          <w:rFonts w:ascii="宋体" w:hAnsi="宋体" w:cs="宋体" w:eastAsia="宋体" w:hint="default"/>
        </w:rPr>
        <w:t>0.5</w:t>
      </w:r>
      <w:r>
        <w:rPr/>
        <w:t>元（含税），合 计派发现金</w:t>
      </w:r>
      <w:r>
        <w:rPr>
          <w:rFonts w:ascii="宋体" w:hAnsi="宋体" w:cs="宋体" w:eastAsia="宋体" w:hint="default"/>
        </w:rPr>
        <w:t>7,325,570.15</w:t>
      </w:r>
      <w:r>
        <w:rPr/>
        <w:t>元，其余未分配利润结转下年。</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00" w:right="1117"/>
        <w:jc w:val="left"/>
      </w:pPr>
      <w:r>
        <w:rPr>
          <w:rFonts w:ascii="宋体" w:hAnsi="宋体" w:cs="宋体" w:eastAsia="宋体" w:hint="default"/>
        </w:rPr>
        <w:t>3</w:t>
      </w:r>
      <w:r>
        <w:rPr/>
        <w:t>、</w:t>
      </w:r>
      <w:r>
        <w:rPr>
          <w:rFonts w:ascii="宋体" w:hAnsi="宋体" w:cs="宋体" w:eastAsia="宋体" w:hint="default"/>
        </w:rPr>
        <w:t>2013</w:t>
      </w:r>
      <w:r>
        <w:rPr/>
        <w:t>年度权益分派情况</w:t>
      </w:r>
    </w:p>
    <w:p>
      <w:pPr>
        <w:spacing w:line="240" w:lineRule="auto" w:before="10"/>
        <w:rPr>
          <w:rFonts w:ascii="宋体" w:hAnsi="宋体" w:cs="宋体" w:eastAsia="宋体" w:hint="default"/>
          <w:sz w:val="14"/>
          <w:szCs w:val="14"/>
        </w:rPr>
      </w:pPr>
    </w:p>
    <w:p>
      <w:pPr>
        <w:pStyle w:val="BodyText"/>
        <w:spacing w:line="408" w:lineRule="auto" w:before="0"/>
        <w:ind w:left="1079" w:right="1076" w:firstLine="420"/>
        <w:jc w:val="both"/>
      </w:pPr>
      <w:r>
        <w:rPr>
          <w:rFonts w:ascii="宋体" w:hAnsi="宋体" w:cs="宋体" w:eastAsia="宋体" w:hint="default"/>
          <w:spacing w:val="-1"/>
        </w:rPr>
        <w:t>2014</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27</w:t>
      </w:r>
      <w:r>
        <w:rPr>
          <w:spacing w:val="-1"/>
        </w:rPr>
        <w:t>日，公司第三届董事会第三次会议审议通过</w:t>
      </w:r>
      <w:r>
        <w:rPr>
          <w:rFonts w:ascii="宋体" w:hAnsi="宋体" w:cs="宋体" w:eastAsia="宋体" w:hint="default"/>
          <w:spacing w:val="-1"/>
        </w:rPr>
        <w:t>2013</w:t>
      </w:r>
      <w:r>
        <w:rPr>
          <w:spacing w:val="-1"/>
        </w:rPr>
        <w:t>年度权益分派方案，公司以</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rPr>
        <w:t> </w:t>
      </w:r>
      <w:r>
        <w:rPr>
          <w:spacing w:val="-3"/>
        </w:rPr>
        <w:t>日总股本</w:t>
      </w:r>
      <w:r>
        <w:rPr>
          <w:rFonts w:ascii="宋体" w:hAnsi="宋体" w:cs="宋体" w:eastAsia="宋体" w:hint="default"/>
          <w:spacing w:val="-3"/>
        </w:rPr>
        <w:t>11,800</w:t>
      </w:r>
      <w:r>
        <w:rPr>
          <w:spacing w:val="-3"/>
        </w:rPr>
        <w:t>万股为基数，向全体股东每</w:t>
      </w:r>
      <w:r>
        <w:rPr>
          <w:rFonts w:ascii="宋体" w:hAnsi="宋体" w:cs="宋体" w:eastAsia="宋体" w:hint="default"/>
          <w:spacing w:val="-3"/>
        </w:rPr>
        <w:t>10</w:t>
      </w:r>
      <w:r>
        <w:rPr>
          <w:spacing w:val="-3"/>
        </w:rPr>
        <w:t>股派发现金红利人民币</w:t>
      </w:r>
      <w:r>
        <w:rPr>
          <w:rFonts w:ascii="宋体" w:hAnsi="宋体" w:cs="宋体" w:eastAsia="宋体" w:hint="default"/>
          <w:spacing w:val="-3"/>
        </w:rPr>
        <w:t>0.5</w:t>
      </w:r>
      <w:r>
        <w:rPr>
          <w:spacing w:val="-3"/>
        </w:rPr>
        <w:t>元（含税），合计派发现金红利</w:t>
      </w:r>
      <w:r>
        <w:rPr>
          <w:rFonts w:ascii="宋体" w:hAnsi="宋体" w:cs="宋体" w:eastAsia="宋体" w:hint="default"/>
          <w:spacing w:val="-3"/>
        </w:rPr>
        <w:t>590</w:t>
      </w:r>
      <w:r>
        <w:rPr>
          <w:rFonts w:ascii="宋体" w:hAnsi="宋体" w:cs="宋体" w:eastAsia="宋体" w:hint="default"/>
          <w:spacing w:val="-75"/>
        </w:rPr>
        <w:t> </w:t>
      </w:r>
      <w:r>
        <w:rPr>
          <w:rFonts w:ascii="宋体" w:hAnsi="宋体" w:cs="宋体" w:eastAsia="宋体" w:hint="default"/>
          <w:spacing w:val="-75"/>
        </w:rPr>
      </w:r>
      <w:r>
        <w:rPr/>
        <w:t>万元，其余未分配利润结转下年。</w:t>
      </w:r>
    </w:p>
    <w:p>
      <w:pPr>
        <w:spacing w:before="34"/>
        <w:ind w:left="1080" w:right="111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07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47" w:type="dxa"/>
        <w:tblLayout w:type="fixed"/>
        <w:tblCellMar>
          <w:top w:w="0" w:type="dxa"/>
          <w:left w:w="0" w:type="dxa"/>
          <w:bottom w:w="0" w:type="dxa"/>
          <w:right w:w="0" w:type="dxa"/>
        </w:tblCellMar>
        <w:tblLook w:val="01E0"/>
      </w:tblPr>
      <w:tblGrid>
        <w:gridCol w:w="1162"/>
        <w:gridCol w:w="1843"/>
        <w:gridCol w:w="1899"/>
        <w:gridCol w:w="1788"/>
        <w:gridCol w:w="1478"/>
        <w:gridCol w:w="1633"/>
      </w:tblGrid>
      <w:tr>
        <w:trPr>
          <w:trHeight w:val="161" w:hRule="exact"/>
        </w:trPr>
        <w:tc>
          <w:tcPr>
            <w:tcW w:w="1162" w:type="dxa"/>
            <w:vMerge w:val="restart"/>
            <w:tcBorders>
              <w:top w:val="single" w:sz="4" w:space="0" w:color="000000"/>
              <w:left w:val="single" w:sz="4" w:space="0" w:color="000000"/>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
        </w:tc>
        <w:tc>
          <w:tcPr>
            <w:tcW w:w="189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 w:right="45"/>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17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7" w:right="78"/>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162"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899" w:type="dxa"/>
            <w:vMerge/>
            <w:tcBorders>
              <w:left w:val="single" w:sz="4" w:space="0" w:color="000000"/>
              <w:right w:val="single" w:sz="4" w:space="0" w:color="000000"/>
            </w:tcBorders>
            <w:shd w:val="clear" w:color="auto" w:fill="D2D2D2"/>
          </w:tcPr>
          <w:p>
            <w:pPr/>
          </w:p>
        </w:tc>
        <w:tc>
          <w:tcPr>
            <w:tcW w:w="1788" w:type="dxa"/>
            <w:vMerge/>
            <w:tcBorders>
              <w:left w:val="single" w:sz="4" w:space="0" w:color="000000"/>
              <w:right w:val="single" w:sz="4" w:space="0" w:color="000000"/>
            </w:tcBorders>
            <w:shd w:val="clear" w:color="auto" w:fill="D2D2D2"/>
          </w:tcPr>
          <w:p>
            <w:pPr/>
          </w:p>
        </w:tc>
        <w:tc>
          <w:tcPr>
            <w:tcW w:w="14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3" w:right="102"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63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51" w:right="9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1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4"/>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899" w:type="dxa"/>
            <w:vMerge/>
            <w:tcBorders>
              <w:left w:val="single" w:sz="4" w:space="0" w:color="000000"/>
              <w:right w:val="single" w:sz="4" w:space="0" w:color="000000"/>
            </w:tcBorders>
            <w:shd w:val="clear" w:color="auto" w:fill="D2D2D2"/>
          </w:tcPr>
          <w:p>
            <w:pPr/>
          </w:p>
        </w:tc>
        <w:tc>
          <w:tcPr>
            <w:tcW w:w="1788" w:type="dxa"/>
            <w:vMerge/>
            <w:tcBorders>
              <w:left w:val="single" w:sz="4" w:space="0" w:color="000000"/>
              <w:right w:val="single" w:sz="4" w:space="0" w:color="000000"/>
            </w:tcBorders>
            <w:shd w:val="clear" w:color="auto" w:fill="D2D2D2"/>
          </w:tcPr>
          <w:p>
            <w:pPr/>
          </w:p>
        </w:tc>
        <w:tc>
          <w:tcPr>
            <w:tcW w:w="1478" w:type="dxa"/>
            <w:vMerge/>
            <w:tcBorders>
              <w:left w:val="single" w:sz="4" w:space="0" w:color="000000"/>
              <w:right w:val="single" w:sz="4" w:space="0" w:color="000000"/>
            </w:tcBorders>
            <w:shd w:val="clear" w:color="auto" w:fill="D2D2D2"/>
          </w:tcPr>
          <w:p>
            <w:pPr/>
          </w:p>
        </w:tc>
        <w:tc>
          <w:tcPr>
            <w:tcW w:w="1633" w:type="dxa"/>
            <w:vMerge/>
            <w:tcBorders>
              <w:left w:val="single" w:sz="4" w:space="0" w:color="000000"/>
              <w:right w:val="single" w:sz="4" w:space="0" w:color="000000"/>
            </w:tcBorders>
            <w:shd w:val="clear" w:color="auto" w:fill="D2D2D2"/>
          </w:tcPr>
          <w:p>
            <w:pPr/>
          </w:p>
        </w:tc>
      </w:tr>
      <w:tr>
        <w:trPr>
          <w:trHeight w:val="156" w:hRule="exact"/>
        </w:trPr>
        <w:tc>
          <w:tcPr>
            <w:tcW w:w="1162" w:type="dxa"/>
            <w:vMerge w:val="restart"/>
            <w:tcBorders>
              <w:top w:val="nil" w:sz="6" w:space="0" w:color="auto"/>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
        </w:tc>
        <w:tc>
          <w:tcPr>
            <w:tcW w:w="1899" w:type="dxa"/>
            <w:vMerge/>
            <w:tcBorders>
              <w:left w:val="single" w:sz="4" w:space="0" w:color="000000"/>
              <w:right w:val="single" w:sz="4" w:space="0" w:color="000000"/>
            </w:tcBorders>
            <w:shd w:val="clear" w:color="auto" w:fill="D2D2D2"/>
          </w:tcPr>
          <w:p>
            <w:pPr/>
          </w:p>
        </w:tc>
        <w:tc>
          <w:tcPr>
            <w:tcW w:w="1788" w:type="dxa"/>
            <w:vMerge/>
            <w:tcBorders>
              <w:left w:val="single" w:sz="4" w:space="0" w:color="000000"/>
              <w:right w:val="single" w:sz="4" w:space="0" w:color="000000"/>
            </w:tcBorders>
            <w:shd w:val="clear" w:color="auto" w:fill="D2D2D2"/>
          </w:tcPr>
          <w:p>
            <w:pPr/>
          </w:p>
        </w:tc>
        <w:tc>
          <w:tcPr>
            <w:tcW w:w="1478" w:type="dxa"/>
            <w:vMerge/>
            <w:tcBorders>
              <w:left w:val="single" w:sz="4" w:space="0" w:color="000000"/>
              <w:bottom w:val="nil" w:sz="6" w:space="0" w:color="auto"/>
              <w:right w:val="single" w:sz="4" w:space="0" w:color="000000"/>
            </w:tcBorders>
            <w:shd w:val="clear" w:color="auto" w:fill="D2D2D2"/>
          </w:tcPr>
          <w:p>
            <w:pPr/>
          </w:p>
        </w:tc>
        <w:tc>
          <w:tcPr>
            <w:tcW w:w="163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single" w:sz="4" w:space="0" w:color="000000"/>
            </w:tcBorders>
            <w:shd w:val="clear" w:color="auto" w:fill="D2D2D2"/>
          </w:tcPr>
          <w:p>
            <w:pPr/>
          </w:p>
        </w:tc>
        <w:tc>
          <w:tcPr>
            <w:tcW w:w="1788"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2"/>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5,860,456.12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78,646,513.40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7,325,570.15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57,341,790.34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39,770,218.64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before="51"/>
        <w:ind w:left="1080" w:right="111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080" w:right="1117"/>
        <w:jc w:val="left"/>
        <w:rPr>
          <w:b w:val="0"/>
          <w:bCs w:val="0"/>
        </w:rPr>
      </w:pPr>
      <w:bookmarkStart w:name="二、承诺事项履行情况" w:id="59"/>
      <w:bookmarkEnd w:id="59"/>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080" w:right="1117"/>
        <w:jc w:val="left"/>
        <w:rPr>
          <w:b w:val="0"/>
          <w:bCs w:val="0"/>
        </w:rPr>
      </w:pPr>
      <w:bookmarkStart w:name="1、公司、股东、实际控制人、收购人、董事、监事、高级管理人员或其他关联方在报告期" w:id="60"/>
      <w:bookmarkEnd w:id="60"/>
      <w:r>
        <w:rPr>
          <w:b w:val="0"/>
          <w:bCs w:val="0"/>
        </w:rPr>
      </w:r>
      <w:r>
        <w:rPr>
          <w:rFonts w:ascii="Times New Roman" w:hAnsi="Times New Roman" w:cs="Times New Roman" w:eastAsia="Times New Roman" w:hint="default"/>
          <w:spacing w:val="-1"/>
          <w:w w:val="95"/>
        </w:rPr>
        <w:t>1</w:t>
      </w:r>
      <w:r>
        <w:rPr>
          <w:spacing w:val="-1"/>
          <w:w w:val="95"/>
        </w:rPr>
        <w:t>、公司、股东、实际控制人、收购人、董事、监事、高级管理人员或其他关联方在报告期内履行完毕及截</w:t>
      </w:r>
      <w:r>
        <w:rPr>
          <w:spacing w:val="65"/>
          <w:w w:val="95"/>
        </w:rPr>
        <w:t> </w:t>
      </w:r>
      <w:r>
        <w:rPr>
          <w:spacing w:val="65"/>
          <w:w w:val="95"/>
        </w:rPr>
      </w:r>
      <w:r>
        <w:rPr/>
        <w:t>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933" w:type="dxa"/>
        <w:tblLayout w:type="fixed"/>
        <w:tblCellMar>
          <w:top w:w="0" w:type="dxa"/>
          <w:left w:w="0" w:type="dxa"/>
          <w:bottom w:w="0" w:type="dxa"/>
          <w:right w:w="0" w:type="dxa"/>
        </w:tblCellMar>
        <w:tblLook w:val="01E0"/>
      </w:tblPr>
      <w:tblGrid>
        <w:gridCol w:w="807"/>
        <w:gridCol w:w="1134"/>
        <w:gridCol w:w="794"/>
        <w:gridCol w:w="4574"/>
        <w:gridCol w:w="811"/>
        <w:gridCol w:w="1026"/>
        <w:gridCol w:w="894"/>
      </w:tblGrid>
      <w:tr>
        <w:trPr>
          <w:trHeight w:val="402" w:hRule="exact"/>
        </w:trPr>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50" w:hRule="exact"/>
        </w:trPr>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3"/>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457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453"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承诺因汉威电子 </w:t>
            </w:r>
            <w:r>
              <w:rPr>
                <w:rFonts w:ascii="宋体" w:hAnsi="宋体" w:cs="宋体" w:eastAsia="宋体" w:hint="default"/>
                <w:sz w:val="18"/>
                <w:szCs w:val="18"/>
              </w:rPr>
              <w:t>2014</w:t>
            </w:r>
            <w:r>
              <w:rPr>
                <w:rFonts w:ascii="宋体" w:hAnsi="宋体" w:cs="宋体" w:eastAsia="宋体" w:hint="default"/>
                <w:spacing w:val="15"/>
                <w:sz w:val="18"/>
                <w:szCs w:val="18"/>
              </w:rPr>
              <w:t> </w:t>
            </w:r>
            <w:r>
              <w:rPr>
                <w:rFonts w:ascii="宋体" w:hAnsi="宋体" w:cs="宋体" w:eastAsia="宋体" w:hint="default"/>
                <w:sz w:val="18"/>
                <w:szCs w:val="18"/>
              </w:rPr>
              <w:t>年重大资产重组所获得的上市公司</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pacing w:val="-4"/>
                <w:sz w:val="18"/>
                <w:szCs w:val="18"/>
              </w:rPr>
              <w:t>股份，自发行结束日起</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pacing w:val="-3"/>
                <w:sz w:val="18"/>
                <w:szCs w:val="18"/>
              </w:rPr>
              <w:t>个月内不得转让，在此之后按中</w:t>
            </w:r>
            <w:r>
              <w:rPr>
                <w:rFonts w:ascii="宋体" w:hAnsi="宋体" w:cs="宋体" w:eastAsia="宋体" w:hint="default"/>
                <w:sz w:val="18"/>
                <w:szCs w:val="18"/>
              </w:rPr>
              <w:t> 国证监会及深圳证券交易所的有关规定执行。</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2016-01-19</w:t>
            </w:r>
          </w:p>
        </w:tc>
        <w:tc>
          <w:tcPr>
            <w:tcW w:w="89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96" w:hRule="exact"/>
        </w:trPr>
        <w:tc>
          <w:tcPr>
            <w:tcW w:w="8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2" w:right="63"/>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134" w:type="dxa"/>
            <w:vMerge/>
            <w:tcBorders>
              <w:left w:val="single" w:sz="9" w:space="0" w:color="D2D2D2"/>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4574"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821" w:hRule="exact"/>
        </w:trPr>
        <w:tc>
          <w:tcPr>
            <w:tcW w:w="807"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9" w:space="0" w:color="FFFFFF"/>
            </w:tcBorders>
          </w:tcPr>
          <w:p>
            <w:pPr>
              <w:pStyle w:val="TableParagraph"/>
              <w:spacing w:line="316" w:lineRule="auto" w:before="52"/>
              <w:ind w:left="16" w:right="-28"/>
              <w:jc w:val="both"/>
              <w:rPr>
                <w:rFonts w:ascii="宋体" w:hAnsi="宋体" w:cs="宋体" w:eastAsia="宋体" w:hint="default"/>
                <w:sz w:val="18"/>
                <w:szCs w:val="18"/>
              </w:rPr>
            </w:pPr>
            <w:r>
              <w:rPr>
                <w:rFonts w:ascii="宋体" w:hAnsi="宋体" w:cs="宋体" w:eastAsia="宋体" w:hint="default"/>
                <w:sz w:val="18"/>
                <w:szCs w:val="18"/>
              </w:rPr>
              <w:t>陈泽枝；李泽 清；高孔兴； 刘智良；黄开 坚；许金炉； </w:t>
            </w:r>
            <w:r>
              <w:rPr>
                <w:rFonts w:ascii="宋体" w:hAnsi="宋体" w:cs="宋体" w:eastAsia="宋体" w:hint="default"/>
                <w:spacing w:val="35"/>
                <w:sz w:val="18"/>
                <w:szCs w:val="18"/>
              </w:rPr>
              <w:t>芜湖华顺置</w:t>
            </w:r>
            <w:r>
              <w:rPr>
                <w:rFonts w:ascii="宋体" w:hAnsi="宋体" w:cs="宋体" w:eastAsia="宋体" w:hint="default"/>
                <w:spacing w:val="-46"/>
                <w:sz w:val="18"/>
                <w:szCs w:val="18"/>
              </w:rPr>
              <w:t> </w:t>
            </w:r>
            <w:r>
              <w:rPr>
                <w:rFonts w:ascii="宋体" w:hAnsi="宋体" w:cs="宋体" w:eastAsia="宋体" w:hint="default"/>
                <w:spacing w:val="35"/>
                <w:sz w:val="18"/>
                <w:szCs w:val="18"/>
              </w:rPr>
              <w:t>业投资有限</w:t>
            </w:r>
            <w:r>
              <w:rPr>
                <w:rFonts w:ascii="宋体" w:hAnsi="宋体" w:cs="宋体" w:eastAsia="宋体" w:hint="default"/>
                <w:spacing w:val="-46"/>
                <w:sz w:val="18"/>
                <w:szCs w:val="18"/>
              </w:rPr>
              <w:t> </w:t>
            </w:r>
            <w:r>
              <w:rPr>
                <w:rFonts w:ascii="宋体" w:hAnsi="宋体" w:cs="宋体" w:eastAsia="宋体" w:hint="default"/>
                <w:sz w:val="18"/>
                <w:szCs w:val="18"/>
              </w:rPr>
              <w:t>责任公司</w:t>
            </w:r>
          </w:p>
        </w:tc>
        <w:tc>
          <w:tcPr>
            <w:tcW w:w="7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16" w:right="4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承诺通过</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年汉威电子重大资产重组获得的上市公司</w:t>
            </w:r>
          </w:p>
          <w:p>
            <w:pPr>
              <w:pStyle w:val="TableParagraph"/>
              <w:spacing w:line="316" w:lineRule="auto" w:before="76"/>
              <w:ind w:left="22" w:right="23"/>
              <w:jc w:val="left"/>
              <w:rPr>
                <w:rFonts w:ascii="宋体" w:hAnsi="宋体" w:cs="宋体" w:eastAsia="宋体" w:hint="default"/>
                <w:sz w:val="18"/>
                <w:szCs w:val="18"/>
              </w:rPr>
            </w:pPr>
            <w:r>
              <w:rPr>
                <w:rFonts w:ascii="宋体" w:hAnsi="宋体" w:cs="宋体" w:eastAsia="宋体" w:hint="default"/>
                <w:spacing w:val="-6"/>
                <w:sz w:val="18"/>
                <w:szCs w:val="18"/>
              </w:rPr>
              <w:t>股份，自股份发行结束之日起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个月且第一年度利润补偿 承诺已经履行完毕后，所持股份的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可以对外转让；在 第二年度利润承诺专项审核报告公告且第一、二年度利润 补偿承诺已经履行完毕后，所持股份增加解锁比例</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 在第三年度利润承诺专项审核报告公告、确定承诺期业绩 补偿履行完毕后，剩余部分解锁，在此之后按中国证监会</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sz w:val="18"/>
              </w:rPr>
              <w:t>2017-04-28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455"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9" w:space="0" w:color="FFFFFF"/>
            </w:tcBorders>
          </w:tcPr>
          <w:p>
            <w:pPr/>
          </w:p>
        </w:tc>
        <w:tc>
          <w:tcPr>
            <w:tcW w:w="794" w:type="dxa"/>
            <w:vMerge/>
            <w:tcBorders>
              <w:left w:val="single" w:sz="9" w:space="0" w:color="FFFFFF"/>
              <w:bottom w:val="single" w:sz="4" w:space="0" w:color="000000"/>
              <w:right w:val="single" w:sz="4" w:space="0" w:color="000000"/>
            </w:tcBorders>
          </w:tcPr>
          <w:p>
            <w:pPr/>
          </w:p>
        </w:tc>
        <w:tc>
          <w:tcPr>
            <w:tcW w:w="4574"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8"/>
        <w:rPr>
          <w:rFonts w:ascii="宋体" w:hAnsi="宋体" w:cs="宋体" w:eastAsia="宋体" w:hint="default"/>
          <w:sz w:val="26"/>
          <w:szCs w:val="26"/>
        </w:rPr>
      </w:pPr>
    </w:p>
    <w:p>
      <w:pPr>
        <w:spacing w:before="44"/>
        <w:ind w:left="3701" w:right="1117" w:firstLine="0"/>
        <w:jc w:val="left"/>
        <w:rPr>
          <w:rFonts w:ascii="宋体" w:hAnsi="宋体" w:cs="宋体" w:eastAsia="宋体" w:hint="default"/>
          <w:sz w:val="18"/>
          <w:szCs w:val="18"/>
        </w:rPr>
      </w:pPr>
      <w:r>
        <w:rPr>
          <w:rFonts w:ascii="宋体" w:hAnsi="宋体" w:cs="宋体" w:eastAsia="宋体" w:hint="default"/>
          <w:sz w:val="18"/>
          <w:szCs w:val="18"/>
        </w:rPr>
        <w:t>及证券交易所的有关规定执行。</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1"/>
          <w:szCs w:val="21"/>
        </w:rPr>
      </w:pPr>
    </w:p>
    <w:p>
      <w:pPr>
        <w:spacing w:line="319" w:lineRule="auto" w:before="0"/>
        <w:ind w:left="1772" w:right="-20" w:firstLine="0"/>
        <w:jc w:val="left"/>
        <w:rPr>
          <w:rFonts w:ascii="宋体" w:hAnsi="宋体" w:cs="宋体" w:eastAsia="宋体" w:hint="default"/>
          <w:sz w:val="18"/>
          <w:szCs w:val="18"/>
        </w:rPr>
      </w:pPr>
      <w:r>
        <w:rPr>
          <w:rFonts w:ascii="宋体" w:hAnsi="宋体" w:cs="宋体" w:eastAsia="宋体" w:hint="default"/>
          <w:sz w:val="18"/>
          <w:szCs w:val="18"/>
        </w:rPr>
        <w:t>叶明；梁一 红；缪品章；</w:t>
      </w:r>
      <w:r>
        <w:rPr>
          <w:rFonts w:ascii="宋体" w:hAnsi="宋体" w:cs="宋体" w:eastAsia="宋体" w:hint="default"/>
          <w:spacing w:val="-36"/>
          <w:sz w:val="18"/>
          <w:szCs w:val="18"/>
        </w:rPr>
        <w:t> </w:t>
      </w:r>
      <w:r>
        <w:rPr>
          <w:rFonts w:ascii="宋体" w:hAnsi="宋体" w:cs="宋体" w:eastAsia="宋体" w:hint="default"/>
          <w:sz w:val="18"/>
          <w:szCs w:val="18"/>
        </w:rPr>
        <w:t>股份限售</w:t>
      </w:r>
      <w:r>
        <w:rPr>
          <w:rFonts w:ascii="宋体" w:hAnsi="宋体" w:cs="宋体" w:eastAsia="宋体" w:hint="default"/>
          <w:sz w:val="18"/>
          <w:szCs w:val="18"/>
        </w:rPr>
        <w:t> 王锐；李扬；</w:t>
      </w:r>
      <w:r>
        <w:rPr>
          <w:rFonts w:ascii="宋体" w:hAnsi="宋体" w:cs="宋体" w:eastAsia="宋体" w:hint="default"/>
          <w:spacing w:val="-36"/>
          <w:sz w:val="18"/>
          <w:szCs w:val="18"/>
        </w:rPr>
        <w:t> </w:t>
      </w:r>
      <w:r>
        <w:rPr>
          <w:rFonts w:ascii="宋体" w:hAnsi="宋体" w:cs="宋体" w:eastAsia="宋体" w:hint="default"/>
          <w:sz w:val="18"/>
          <w:szCs w:val="18"/>
        </w:rPr>
        <w:t>承诺</w:t>
      </w:r>
      <w:r>
        <w:rPr>
          <w:rFonts w:ascii="宋体" w:hAnsi="宋体" w:cs="宋体" w:eastAsia="宋体" w:hint="default"/>
          <w:sz w:val="18"/>
          <w:szCs w:val="18"/>
        </w:rPr>
        <w:t> 邱宇；刘光江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5"/>
          <w:szCs w:val="15"/>
        </w:rPr>
      </w:pPr>
    </w:p>
    <w:p>
      <w:pPr>
        <w:spacing w:before="0"/>
        <w:ind w:left="34" w:right="0" w:firstLine="0"/>
        <w:jc w:val="left"/>
        <w:rPr>
          <w:rFonts w:ascii="宋体" w:hAnsi="宋体" w:cs="宋体" w:eastAsia="宋体" w:hint="default"/>
          <w:sz w:val="18"/>
          <w:szCs w:val="18"/>
        </w:rPr>
      </w:pPr>
      <w:r>
        <w:rPr>
          <w:rFonts w:ascii="宋体" w:hAnsi="宋体" w:cs="宋体" w:eastAsia="宋体" w:hint="default"/>
          <w:sz w:val="18"/>
          <w:szCs w:val="18"/>
        </w:rPr>
        <w:t>承诺因 </w:t>
      </w:r>
      <w:r>
        <w:rPr>
          <w:rFonts w:ascii="宋体" w:hAnsi="宋体" w:cs="宋体" w:eastAsia="宋体" w:hint="default"/>
          <w:sz w:val="18"/>
          <w:szCs w:val="18"/>
        </w:rPr>
        <w:t>2014 </w:t>
      </w:r>
      <w:r>
        <w:rPr>
          <w:rFonts w:ascii="宋体" w:hAnsi="宋体" w:cs="宋体" w:eastAsia="宋体" w:hint="default"/>
          <w:sz w:val="18"/>
          <w:szCs w:val="18"/>
        </w:rPr>
        <w:t>年汉威电子重大资产重组获得的上市公司股 </w:t>
      </w:r>
      <w:r>
        <w:rPr>
          <w:rFonts w:ascii="宋体" w:hAnsi="宋体" w:cs="宋体" w:eastAsia="宋体" w:hint="default"/>
          <w:sz w:val="18"/>
          <w:szCs w:val="18"/>
        </w:rPr>
        <w:t>2015</w:t>
      </w:r>
      <w:r>
        <w:rPr>
          <w:rFonts w:ascii="宋体" w:hAnsi="宋体" w:cs="宋体" w:eastAsia="宋体" w:hint="default"/>
          <w:spacing w:val="-65"/>
          <w:sz w:val="18"/>
          <w:szCs w:val="18"/>
        </w:rPr>
        <w:t> </w:t>
      </w:r>
      <w:r>
        <w:rPr>
          <w:rFonts w:ascii="宋体" w:hAnsi="宋体" w:cs="宋体" w:eastAsia="宋体" w:hint="default"/>
          <w:sz w:val="18"/>
          <w:szCs w:val="18"/>
        </w:rPr>
        <w:t>年</w:t>
      </w:r>
    </w:p>
    <w:p>
      <w:pPr>
        <w:tabs>
          <w:tab w:pos="4608" w:val="left" w:leader="none"/>
        </w:tabs>
        <w:spacing w:line="319" w:lineRule="auto" w:before="75"/>
        <w:ind w:left="34" w:right="0" w:firstLine="0"/>
        <w:jc w:val="left"/>
        <w:rPr>
          <w:rFonts w:ascii="宋体" w:hAnsi="宋体" w:cs="宋体" w:eastAsia="宋体" w:hint="default"/>
          <w:sz w:val="18"/>
          <w:szCs w:val="18"/>
        </w:rPr>
      </w:pPr>
      <w:r>
        <w:rPr>
          <w:rFonts w:ascii="宋体" w:hAnsi="宋体" w:cs="宋体" w:eastAsia="宋体" w:hint="default"/>
          <w:spacing w:val="-4"/>
          <w:sz w:val="18"/>
          <w:szCs w:val="18"/>
        </w:rPr>
        <w:t>份，自发行结束之日起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个月内不得转让，在此之后按中</w:t>
      </w:r>
      <w:r>
        <w:rPr>
          <w:rFonts w:ascii="宋体" w:hAnsi="宋体" w:cs="宋体" w:eastAsia="宋体" w:hint="default"/>
          <w:spacing w:val="-33"/>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 </w:t>
      </w:r>
      <w:r>
        <w:rPr>
          <w:rFonts w:ascii="宋体" w:hAnsi="宋体" w:cs="宋体" w:eastAsia="宋体" w:hint="default"/>
          <w:sz w:val="18"/>
          <w:szCs w:val="18"/>
        </w:rPr>
        <w:t>国证监会及证券交易所的有关规定执行。</w:t>
        <w:tab/>
        <w:t>日</w:t>
      </w:r>
    </w:p>
    <w:p>
      <w:pPr>
        <w:spacing w:line="316" w:lineRule="auto" w:before="128"/>
        <w:ind w:left="1168" w:right="939" w:firstLine="0"/>
        <w:jc w:val="left"/>
        <w:rPr>
          <w:rFonts w:ascii="宋体" w:hAnsi="宋体" w:cs="宋体" w:eastAsia="宋体" w:hint="default"/>
          <w:sz w:val="18"/>
          <w:szCs w:val="18"/>
        </w:rPr>
      </w:pPr>
      <w:r>
        <w:rPr/>
        <w:br w:type="column"/>
      </w: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p>
    <w:p>
      <w:pPr>
        <w:spacing w:before="20"/>
        <w:ind w:left="177" w:right="939" w:firstLine="0"/>
        <w:jc w:val="left"/>
        <w:rPr>
          <w:rFonts w:ascii="宋体" w:hAnsi="宋体" w:cs="宋体" w:eastAsia="宋体" w:hint="default"/>
          <w:sz w:val="18"/>
          <w:szCs w:val="18"/>
        </w:rPr>
      </w:pPr>
      <w:r>
        <w:rPr>
          <w:rFonts w:ascii="宋体" w:hAnsi="宋体" w:cs="宋体" w:eastAsia="宋体" w:hint="default"/>
          <w:sz w:val="18"/>
          <w:szCs w:val="18"/>
        </w:rPr>
        <w:t>2016-01-09</w:t>
      </w:r>
      <w:r>
        <w:rPr>
          <w:rFonts w:ascii="宋体" w:hAnsi="宋体" w:cs="宋体" w:eastAsia="宋体" w:hint="default"/>
          <w:spacing w:val="1"/>
          <w:sz w:val="18"/>
          <w:szCs w:val="18"/>
        </w:rPr>
        <w:t> </w:t>
      </w:r>
      <w:r>
        <w:rPr>
          <w:rFonts w:ascii="宋体" w:hAnsi="宋体" w:cs="宋体" w:eastAsia="宋体" w:hint="default"/>
          <w:sz w:val="18"/>
          <w:szCs w:val="18"/>
        </w:rPr>
        <w:t>承诺人均</w:t>
      </w:r>
    </w:p>
    <w:p>
      <w:pPr>
        <w:spacing w:line="319" w:lineRule="auto" w:before="75"/>
        <w:ind w:left="1168" w:right="874" w:firstLine="0"/>
        <w:jc w:val="left"/>
        <w:rPr>
          <w:rFonts w:ascii="宋体" w:hAnsi="宋体" w:cs="宋体" w:eastAsia="宋体" w:hint="default"/>
          <w:sz w:val="18"/>
          <w:szCs w:val="18"/>
        </w:rPr>
      </w:pPr>
      <w:r>
        <w:rPr>
          <w:rFonts w:ascii="宋体" w:hAnsi="宋体" w:cs="宋体" w:eastAsia="宋体" w:hint="default"/>
          <w:sz w:val="18"/>
          <w:szCs w:val="18"/>
        </w:rPr>
        <w:t>遵守了所 做的承诺。</w:t>
      </w:r>
    </w:p>
    <w:p>
      <w:pPr>
        <w:spacing w:after="0" w:line="319" w:lineRule="auto"/>
        <w:jc w:val="left"/>
        <w:rPr>
          <w:rFonts w:ascii="宋体" w:hAnsi="宋体" w:cs="宋体" w:eastAsia="宋体" w:hint="default"/>
          <w:sz w:val="18"/>
          <w:szCs w:val="18"/>
        </w:rPr>
        <w:sectPr>
          <w:type w:val="continuous"/>
          <w:pgSz w:w="11910" w:h="16840"/>
          <w:pgMar w:top="1060" w:bottom="1160" w:left="0" w:right="0"/>
          <w:cols w:num="3" w:equalWidth="0">
            <w:col w:w="3627" w:space="40"/>
            <w:col w:w="5238" w:space="40"/>
            <w:col w:w="296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尚剑红</w:t>
      </w:r>
    </w:p>
    <w:p>
      <w:pPr>
        <w:spacing w:line="316" w:lineRule="auto" w:before="106"/>
        <w:ind w:left="553" w:right="-16" w:firstLine="794"/>
        <w:jc w:val="left"/>
        <w:rPr>
          <w:rFonts w:ascii="宋体" w:hAnsi="宋体" w:cs="宋体" w:eastAsia="宋体" w:hint="default"/>
          <w:sz w:val="18"/>
          <w:szCs w:val="18"/>
        </w:rPr>
      </w:pPr>
      <w:r>
        <w:rPr/>
        <w:br w:type="column"/>
      </w:r>
      <w:r>
        <w:rPr>
          <w:rFonts w:ascii="宋体" w:hAnsi="宋体" w:cs="宋体" w:eastAsia="宋体" w:hint="default"/>
          <w:sz w:val="18"/>
          <w:szCs w:val="18"/>
        </w:rPr>
        <w:t>交易对方尚剑红承诺：沈阳金建</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2016 </w:t>
      </w:r>
      <w:r>
        <w:rPr>
          <w:rFonts w:ascii="宋体" w:hAnsi="宋体" w:cs="宋体" w:eastAsia="宋体" w:hint="default"/>
          <w:sz w:val="18"/>
          <w:szCs w:val="18"/>
        </w:rPr>
        <w:t>业绩承诺</w:t>
      </w:r>
      <w:r>
        <w:rPr>
          <w:rFonts w:ascii="宋体" w:hAnsi="宋体" w:cs="宋体" w:eastAsia="宋体" w:hint="default"/>
          <w:spacing w:val="-16"/>
          <w:sz w:val="18"/>
          <w:szCs w:val="18"/>
        </w:rPr>
        <w:t> </w:t>
      </w:r>
      <w:r>
        <w:rPr>
          <w:rFonts w:ascii="宋体" w:hAnsi="宋体" w:cs="宋体" w:eastAsia="宋体" w:hint="default"/>
          <w:sz w:val="18"/>
          <w:szCs w:val="18"/>
        </w:rPr>
        <w:t>年实现的归属于母公司所有者净利润孰低数不低于</w:t>
      </w:r>
      <w:r>
        <w:rPr>
          <w:rFonts w:ascii="宋体" w:hAnsi="宋体" w:cs="宋体" w:eastAsia="宋体" w:hint="default"/>
          <w:sz w:val="18"/>
          <w:szCs w:val="18"/>
        </w:rPr>
        <w:t> 及补偿安</w:t>
      </w:r>
      <w:r>
        <w:rPr>
          <w:rFonts w:ascii="宋体" w:hAnsi="宋体" w:cs="宋体" w:eastAsia="宋体" w:hint="default"/>
          <w:spacing w:val="-16"/>
          <w:sz w:val="18"/>
          <w:szCs w:val="18"/>
        </w:rPr>
        <w:t> </w:t>
      </w:r>
      <w:r>
        <w:rPr>
          <w:rFonts w:ascii="宋体" w:hAnsi="宋体" w:cs="宋体" w:eastAsia="宋体" w:hint="default"/>
          <w:sz w:val="18"/>
          <w:szCs w:val="18"/>
        </w:rPr>
        <w:t>1,156.09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1,355.66</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1,497.80</w:t>
      </w:r>
      <w:r>
        <w:rPr>
          <w:rFonts w:ascii="宋体" w:hAnsi="宋体" w:cs="宋体" w:eastAsia="宋体" w:hint="default"/>
          <w:spacing w:val="-46"/>
          <w:sz w:val="18"/>
          <w:szCs w:val="18"/>
        </w:rPr>
        <w:t> </w:t>
      </w:r>
      <w:r>
        <w:rPr>
          <w:rFonts w:ascii="宋体" w:hAnsi="宋体" w:cs="宋体" w:eastAsia="宋体" w:hint="default"/>
          <w:sz w:val="18"/>
          <w:szCs w:val="18"/>
        </w:rPr>
        <w:t>万元。如沈阳</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spacing w:before="0"/>
        <w:ind w:left="79" w:right="-19"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before="75"/>
        <w:ind w:left="79" w:right="-19" w:firstLine="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spacing w:line="316" w:lineRule="auto" w:before="107"/>
        <w:ind w:left="1168" w:right="939" w:firstLine="0"/>
        <w:jc w:val="left"/>
        <w:rPr>
          <w:rFonts w:ascii="宋体" w:hAnsi="宋体" w:cs="宋体" w:eastAsia="宋体" w:hint="default"/>
          <w:sz w:val="18"/>
          <w:szCs w:val="18"/>
        </w:rPr>
      </w:pPr>
      <w:r>
        <w:rPr/>
        <w:br w:type="column"/>
      </w: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p>
    <w:p>
      <w:pPr>
        <w:spacing w:before="20"/>
        <w:ind w:left="177" w:right="939" w:firstLine="0"/>
        <w:jc w:val="left"/>
        <w:rPr>
          <w:rFonts w:ascii="宋体" w:hAnsi="宋体" w:cs="宋体" w:eastAsia="宋体" w:hint="default"/>
          <w:sz w:val="18"/>
          <w:szCs w:val="18"/>
        </w:rPr>
      </w:pPr>
      <w:r>
        <w:rPr>
          <w:rFonts w:ascii="宋体" w:hAnsi="宋体" w:cs="宋体" w:eastAsia="宋体" w:hint="default"/>
          <w:sz w:val="18"/>
          <w:szCs w:val="18"/>
        </w:rPr>
        <w:t>2016-12-31</w:t>
      </w:r>
      <w:r>
        <w:rPr>
          <w:rFonts w:ascii="宋体" w:hAnsi="宋体" w:cs="宋体" w:eastAsia="宋体" w:hint="default"/>
          <w:spacing w:val="1"/>
          <w:sz w:val="18"/>
          <w:szCs w:val="18"/>
        </w:rPr>
        <w:t> </w:t>
      </w:r>
      <w:r>
        <w:rPr>
          <w:rFonts w:ascii="宋体" w:hAnsi="宋体" w:cs="宋体" w:eastAsia="宋体" w:hint="default"/>
          <w:sz w:val="18"/>
          <w:szCs w:val="18"/>
        </w:rPr>
        <w:t>承诺人均</w:t>
      </w:r>
    </w:p>
    <w:p>
      <w:pPr>
        <w:spacing w:after="0"/>
        <w:jc w:val="left"/>
        <w:rPr>
          <w:rFonts w:ascii="宋体" w:hAnsi="宋体" w:cs="宋体" w:eastAsia="宋体" w:hint="default"/>
          <w:sz w:val="18"/>
          <w:szCs w:val="18"/>
        </w:rPr>
        <w:sectPr>
          <w:type w:val="continuous"/>
          <w:pgSz w:w="11910" w:h="16840"/>
          <w:pgMar w:top="1060" w:bottom="1160" w:left="0" w:right="0"/>
          <w:cols w:num="4" w:equalWidth="0">
            <w:col w:w="2313" w:space="40"/>
            <w:col w:w="5804" w:space="40"/>
            <w:col w:w="708" w:space="40"/>
            <w:col w:w="2965"/>
          </w:cols>
        </w:sectPr>
      </w:pPr>
    </w:p>
    <w:p>
      <w:pPr>
        <w:tabs>
          <w:tab w:pos="3701" w:val="left" w:leader="none"/>
        </w:tabs>
        <w:spacing w:line="316" w:lineRule="auto" w:before="20"/>
        <w:ind w:left="3701" w:right="0" w:hanging="795"/>
        <w:jc w:val="left"/>
        <w:rPr>
          <w:rFonts w:ascii="宋体" w:hAnsi="宋体" w:cs="宋体" w:eastAsia="宋体" w:hint="default"/>
          <w:sz w:val="18"/>
          <w:szCs w:val="18"/>
        </w:rPr>
      </w:pPr>
      <w:r>
        <w:rPr>
          <w:rFonts w:ascii="宋体" w:hAnsi="宋体" w:cs="宋体" w:eastAsia="宋体" w:hint="default"/>
          <w:sz w:val="18"/>
          <w:szCs w:val="18"/>
        </w:rPr>
        <w:t>排</w:t>
        <w:tab/>
        <w:t>金建实际净利润低于上述承诺金额，则由尚剑红按照《利</w:t>
      </w:r>
      <w:r>
        <w:rPr>
          <w:rFonts w:ascii="宋体" w:hAnsi="宋体" w:cs="宋体" w:eastAsia="宋体" w:hint="default"/>
          <w:spacing w:val="-16"/>
          <w:sz w:val="18"/>
          <w:szCs w:val="18"/>
        </w:rPr>
        <w:t> </w:t>
      </w:r>
      <w:r>
        <w:rPr>
          <w:rFonts w:ascii="宋体" w:hAnsi="宋体" w:cs="宋体" w:eastAsia="宋体" w:hint="default"/>
          <w:sz w:val="18"/>
          <w:szCs w:val="18"/>
        </w:rPr>
        <w:t>日</w:t>
      </w:r>
      <w:r>
        <w:rPr>
          <w:rFonts w:ascii="宋体" w:hAnsi="宋体" w:cs="宋体" w:eastAsia="宋体" w:hint="default"/>
          <w:sz w:val="18"/>
          <w:szCs w:val="18"/>
        </w:rPr>
        <w:t> 润承诺补偿协议》的约定负责向上市公司进行补偿。</w:t>
      </w:r>
    </w:p>
    <w:p>
      <w:pPr>
        <w:spacing w:line="319" w:lineRule="auto" w:before="19"/>
        <w:ind w:left="1617" w:right="874" w:firstLine="0"/>
        <w:jc w:val="left"/>
        <w:rPr>
          <w:rFonts w:ascii="宋体" w:hAnsi="宋体" w:cs="宋体" w:eastAsia="宋体" w:hint="default"/>
          <w:sz w:val="18"/>
          <w:szCs w:val="18"/>
        </w:rPr>
      </w:pPr>
      <w:r>
        <w:rPr/>
        <w:br w:type="column"/>
      </w:r>
      <w:r>
        <w:rPr>
          <w:rFonts w:ascii="宋体" w:hAnsi="宋体" w:cs="宋体" w:eastAsia="宋体" w:hint="default"/>
          <w:sz w:val="18"/>
          <w:szCs w:val="18"/>
        </w:rPr>
        <w:t>遵守了所 做的承诺。</w:t>
      </w:r>
    </w:p>
    <w:p>
      <w:pPr>
        <w:spacing w:after="0" w:line="319" w:lineRule="auto"/>
        <w:jc w:val="left"/>
        <w:rPr>
          <w:rFonts w:ascii="宋体" w:hAnsi="宋体" w:cs="宋体" w:eastAsia="宋体" w:hint="default"/>
          <w:sz w:val="18"/>
          <w:szCs w:val="18"/>
        </w:rPr>
        <w:sectPr>
          <w:type w:val="continuous"/>
          <w:pgSz w:w="11910" w:h="16840"/>
          <w:pgMar w:top="1060" w:bottom="1160" w:left="0" w:right="0"/>
          <w:cols w:num="2" w:equalWidth="0">
            <w:col w:w="8456" w:space="40"/>
            <w:col w:w="3414"/>
          </w:cols>
        </w:sectPr>
      </w:pPr>
    </w:p>
    <w:p>
      <w:pPr>
        <w:spacing w:line="316" w:lineRule="auto" w:before="107"/>
        <w:ind w:left="1772" w:right="0" w:firstLine="0"/>
        <w:jc w:val="left"/>
        <w:rPr>
          <w:rFonts w:ascii="宋体" w:hAnsi="宋体" w:cs="宋体" w:eastAsia="宋体" w:hint="default"/>
          <w:sz w:val="18"/>
          <w:szCs w:val="18"/>
        </w:rPr>
      </w:pPr>
      <w:r>
        <w:rPr>
          <w:rFonts w:ascii="宋体" w:hAnsi="宋体" w:cs="宋体" w:eastAsia="宋体" w:hint="default"/>
          <w:spacing w:val="13"/>
          <w:sz w:val="18"/>
          <w:szCs w:val="18"/>
        </w:rPr>
        <w:t>陈泽枝</w:t>
      </w:r>
      <w:r>
        <w:rPr>
          <w:rFonts w:ascii="宋体" w:hAnsi="宋体" w:cs="宋体" w:eastAsia="宋体" w:hint="default"/>
          <w:spacing w:val="13"/>
          <w:sz w:val="18"/>
          <w:szCs w:val="18"/>
        </w:rPr>
        <w:t>;</w:t>
      </w:r>
      <w:r>
        <w:rPr>
          <w:rFonts w:ascii="宋体" w:hAnsi="宋体" w:cs="宋体" w:eastAsia="宋体" w:hint="default"/>
          <w:spacing w:val="-74"/>
          <w:sz w:val="18"/>
          <w:szCs w:val="18"/>
        </w:rPr>
        <w:t> </w:t>
      </w:r>
      <w:r>
        <w:rPr>
          <w:rFonts w:ascii="宋体" w:hAnsi="宋体" w:cs="宋体" w:eastAsia="宋体" w:hint="default"/>
          <w:spacing w:val="9"/>
          <w:sz w:val="18"/>
          <w:szCs w:val="18"/>
        </w:rPr>
        <w:t>李泽</w:t>
      </w:r>
      <w:r>
        <w:rPr>
          <w:rFonts w:ascii="宋体" w:hAnsi="宋体" w:cs="宋体" w:eastAsia="宋体" w:hint="default"/>
          <w:spacing w:val="-72"/>
          <w:sz w:val="18"/>
          <w:szCs w:val="18"/>
        </w:rPr>
        <w:t> </w:t>
      </w:r>
      <w:r>
        <w:rPr>
          <w:rFonts w:ascii="宋体" w:hAnsi="宋体" w:cs="宋体" w:eastAsia="宋体" w:hint="default"/>
          <w:sz w:val="18"/>
          <w:szCs w:val="18"/>
        </w:rPr>
        <w:t>清</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高</w:t>
      </w:r>
      <w:r>
        <w:rPr>
          <w:rFonts w:ascii="宋体" w:hAnsi="宋体" w:cs="宋体" w:eastAsia="宋体" w:hint="default"/>
          <w:spacing w:val="-55"/>
          <w:sz w:val="18"/>
          <w:szCs w:val="18"/>
        </w:rPr>
        <w:t> </w:t>
      </w:r>
      <w:r>
        <w:rPr>
          <w:rFonts w:ascii="宋体" w:hAnsi="宋体" w:cs="宋体" w:eastAsia="宋体" w:hint="default"/>
          <w:sz w:val="18"/>
          <w:szCs w:val="18"/>
        </w:rPr>
        <w:t>孔</w:t>
      </w:r>
      <w:r>
        <w:rPr>
          <w:rFonts w:ascii="宋体" w:hAnsi="宋体" w:cs="宋体" w:eastAsia="宋体" w:hint="default"/>
          <w:spacing w:val="-56"/>
          <w:sz w:val="18"/>
          <w:szCs w:val="18"/>
        </w:rPr>
        <w:t> </w:t>
      </w:r>
      <w:r>
        <w:rPr>
          <w:rFonts w:ascii="宋体" w:hAnsi="宋体" w:cs="宋体" w:eastAsia="宋体" w:hint="default"/>
          <w:sz w:val="18"/>
          <w:szCs w:val="18"/>
        </w:rPr>
        <w:t>兴</w:t>
      </w:r>
      <w:r>
        <w:rPr>
          <w:rFonts w:ascii="宋体" w:hAnsi="宋体" w:cs="宋体" w:eastAsia="宋体" w:hint="default"/>
          <w:spacing w:val="-54"/>
          <w:sz w:val="18"/>
          <w:szCs w:val="18"/>
        </w:rPr>
        <w:t> </w:t>
      </w:r>
      <w:r>
        <w:rPr>
          <w:rFonts w:ascii="宋体" w:hAnsi="宋体" w:cs="宋体" w:eastAsia="宋体" w:hint="default"/>
          <w:sz w:val="18"/>
          <w:szCs w:val="18"/>
        </w:rPr>
        <w:t>;</w:t>
      </w:r>
    </w:p>
    <w:p>
      <w:pPr>
        <w:spacing w:line="316" w:lineRule="auto" w:before="106"/>
        <w:ind w:left="791"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交易对方陈泽枝、李泽清、高孔兴、芜湖华顺置业投资有 </w:t>
      </w:r>
      <w:r>
        <w:rPr>
          <w:rFonts w:ascii="宋体" w:hAnsi="宋体" w:cs="宋体" w:eastAsia="宋体" w:hint="default"/>
          <w:spacing w:val="-9"/>
          <w:sz w:val="18"/>
          <w:szCs w:val="18"/>
        </w:rPr>
        <w:t>限责任公司、许金炉、刘智良、黄开坚承诺：嘉园环保</w:t>
      </w:r>
      <w:r>
        <w:rPr>
          <w:rFonts w:ascii="宋体" w:hAnsi="宋体" w:cs="宋体" w:eastAsia="宋体" w:hint="default"/>
          <w:spacing w:val="-39"/>
          <w:sz w:val="18"/>
          <w:szCs w:val="18"/>
        </w:rPr>
        <w:t> </w:t>
      </w:r>
      <w:r>
        <w:rPr>
          <w:rFonts w:ascii="宋体" w:hAnsi="宋体" w:cs="宋体" w:eastAsia="宋体" w:hint="default"/>
          <w:sz w:val="18"/>
          <w:szCs w:val="18"/>
        </w:rPr>
        <w:t>2014</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spacing w:before="0"/>
        <w:ind w:left="1772" w:right="0" w:firstLine="0"/>
        <w:jc w:val="left"/>
        <w:rPr>
          <w:rFonts w:ascii="宋体" w:hAnsi="宋体" w:cs="宋体" w:eastAsia="宋体" w:hint="default"/>
          <w:sz w:val="18"/>
          <w:szCs w:val="18"/>
        </w:rPr>
      </w:pPr>
      <w:r>
        <w:rPr>
          <w:rFonts w:ascii="宋体" w:hAnsi="宋体" w:cs="宋体" w:eastAsia="宋体" w:hint="default"/>
          <w:sz w:val="18"/>
          <w:szCs w:val="18"/>
        </w:rPr>
        <w:t>截至报告</w:t>
      </w:r>
    </w:p>
    <w:p>
      <w:pPr>
        <w:spacing w:after="0"/>
        <w:jc w:val="left"/>
        <w:rPr>
          <w:rFonts w:ascii="宋体" w:hAnsi="宋体" w:cs="宋体" w:eastAsia="宋体" w:hint="default"/>
          <w:sz w:val="18"/>
          <w:szCs w:val="18"/>
        </w:rPr>
        <w:sectPr>
          <w:type w:val="continuous"/>
          <w:pgSz w:w="11910" w:h="16840"/>
          <w:pgMar w:top="1060" w:bottom="1160" w:left="0" w:right="0"/>
          <w:cols w:num="3" w:equalWidth="0">
            <w:col w:w="2870" w:space="40"/>
            <w:col w:w="5309" w:space="121"/>
            <w:col w:w="3570"/>
          </w:cols>
        </w:sectPr>
      </w:pPr>
    </w:p>
    <w:p>
      <w:pPr>
        <w:spacing w:line="316" w:lineRule="auto" w:before="20"/>
        <w:ind w:left="1772" w:right="-10" w:firstLine="0"/>
        <w:jc w:val="left"/>
        <w:rPr>
          <w:rFonts w:ascii="宋体" w:hAnsi="宋体" w:cs="宋体" w:eastAsia="宋体" w:hint="default"/>
          <w:sz w:val="18"/>
          <w:szCs w:val="18"/>
        </w:rPr>
      </w:pPr>
      <w:r>
        <w:rPr>
          <w:rFonts w:ascii="宋体" w:hAnsi="宋体" w:cs="宋体" w:eastAsia="宋体" w:hint="default"/>
          <w:spacing w:val="13"/>
          <w:sz w:val="18"/>
          <w:szCs w:val="18"/>
        </w:rPr>
        <w:t>黄开坚</w:t>
      </w:r>
      <w:r>
        <w:rPr>
          <w:rFonts w:ascii="宋体" w:hAnsi="宋体" w:cs="宋体" w:eastAsia="宋体" w:hint="default"/>
          <w:spacing w:val="13"/>
          <w:sz w:val="18"/>
          <w:szCs w:val="18"/>
        </w:rPr>
        <w:t>;</w:t>
      </w:r>
      <w:r>
        <w:rPr>
          <w:rFonts w:ascii="宋体" w:hAnsi="宋体" w:cs="宋体" w:eastAsia="宋体" w:hint="default"/>
          <w:spacing w:val="-74"/>
          <w:sz w:val="18"/>
          <w:szCs w:val="18"/>
        </w:rPr>
        <w:t> </w:t>
      </w:r>
      <w:r>
        <w:rPr>
          <w:rFonts w:ascii="宋体" w:hAnsi="宋体" w:cs="宋体" w:eastAsia="宋体" w:hint="default"/>
          <w:spacing w:val="9"/>
          <w:sz w:val="18"/>
          <w:szCs w:val="18"/>
        </w:rPr>
        <w:t>许金</w:t>
      </w:r>
      <w:r>
        <w:rPr>
          <w:rFonts w:ascii="宋体" w:hAnsi="宋体" w:cs="宋体" w:eastAsia="宋体" w:hint="default"/>
          <w:spacing w:val="-35"/>
          <w:sz w:val="18"/>
          <w:szCs w:val="18"/>
        </w:rPr>
        <w:t> </w:t>
      </w:r>
      <w:r>
        <w:rPr>
          <w:rFonts w:ascii="宋体" w:hAnsi="宋体" w:cs="宋体" w:eastAsia="宋体" w:hint="default"/>
          <w:sz w:val="18"/>
          <w:szCs w:val="18"/>
        </w:rPr>
        <w:t>业绩承诺</w:t>
      </w:r>
      <w:r>
        <w:rPr>
          <w:rFonts w:ascii="宋体" w:hAnsi="宋体" w:cs="宋体" w:eastAsia="宋体" w:hint="default"/>
          <w:spacing w:val="-16"/>
          <w:sz w:val="18"/>
          <w:szCs w:val="18"/>
        </w:rPr>
        <w:t> </w:t>
      </w:r>
      <w:r>
        <w:rPr>
          <w:rFonts w:ascii="宋体" w:hAnsi="宋体" w:cs="宋体" w:eastAsia="宋体" w:hint="default"/>
          <w:spacing w:val="-6"/>
          <w:sz w:val="18"/>
          <w:szCs w:val="18"/>
        </w:rPr>
        <w:t>年、</w:t>
      </w:r>
      <w:r>
        <w:rPr>
          <w:rFonts w:ascii="宋体" w:hAnsi="宋体" w:cs="宋体" w:eastAsia="宋体" w:hint="default"/>
          <w:spacing w:val="-6"/>
          <w:sz w:val="18"/>
          <w:szCs w:val="18"/>
        </w:rPr>
        <w:t>2015</w:t>
      </w:r>
      <w:r>
        <w:rPr>
          <w:rFonts w:ascii="宋体" w:hAnsi="宋体" w:cs="宋体" w:eastAsia="宋体" w:hint="default"/>
          <w:spacing w:val="-46"/>
          <w:sz w:val="18"/>
          <w:szCs w:val="18"/>
        </w:rPr>
        <w:t> </w:t>
      </w:r>
      <w:r>
        <w:rPr>
          <w:rFonts w:ascii="宋体" w:hAnsi="宋体" w:cs="宋体" w:eastAsia="宋体" w:hint="default"/>
          <w:spacing w:val="-6"/>
          <w:sz w:val="18"/>
          <w:szCs w:val="18"/>
        </w:rPr>
        <w:t>年、</w:t>
      </w:r>
      <w:r>
        <w:rPr>
          <w:rFonts w:ascii="宋体" w:hAnsi="宋体" w:cs="宋体" w:eastAsia="宋体" w:hint="default"/>
          <w:spacing w:val="-6"/>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年实现的扣除非经常性损益后归属于母</w:t>
      </w:r>
      <w:r>
        <w:rPr>
          <w:rFonts w:ascii="宋体" w:hAnsi="宋体" w:cs="宋体" w:eastAsia="宋体" w:hint="default"/>
          <w:spacing w:val="-34"/>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炉</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刘</w:t>
      </w:r>
      <w:r>
        <w:rPr>
          <w:rFonts w:ascii="宋体" w:hAnsi="宋体" w:cs="宋体" w:eastAsia="宋体" w:hint="default"/>
          <w:spacing w:val="-55"/>
          <w:sz w:val="18"/>
          <w:szCs w:val="18"/>
        </w:rPr>
        <w:t> </w:t>
      </w:r>
      <w:r>
        <w:rPr>
          <w:rFonts w:ascii="宋体" w:hAnsi="宋体" w:cs="宋体" w:eastAsia="宋体" w:hint="default"/>
          <w:sz w:val="18"/>
          <w:szCs w:val="18"/>
        </w:rPr>
        <w:t>智</w:t>
      </w:r>
      <w:r>
        <w:rPr>
          <w:rFonts w:ascii="宋体" w:hAnsi="宋体" w:cs="宋体" w:eastAsia="宋体" w:hint="default"/>
          <w:spacing w:val="-56"/>
          <w:sz w:val="18"/>
          <w:szCs w:val="18"/>
        </w:rPr>
        <w:t> </w:t>
      </w:r>
      <w:r>
        <w:rPr>
          <w:rFonts w:ascii="宋体" w:hAnsi="宋体" w:cs="宋体" w:eastAsia="宋体" w:hint="default"/>
          <w:sz w:val="18"/>
          <w:szCs w:val="18"/>
        </w:rPr>
        <w:t>良</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及补偿安</w:t>
      </w:r>
      <w:r>
        <w:rPr>
          <w:rFonts w:ascii="宋体" w:hAnsi="宋体" w:cs="宋体" w:eastAsia="宋体" w:hint="default"/>
          <w:spacing w:val="-16"/>
          <w:sz w:val="18"/>
          <w:szCs w:val="18"/>
        </w:rPr>
        <w:t> </w:t>
      </w:r>
      <w:r>
        <w:rPr>
          <w:rFonts w:ascii="宋体" w:hAnsi="宋体" w:cs="宋体" w:eastAsia="宋体" w:hint="default"/>
          <w:sz w:val="18"/>
          <w:szCs w:val="18"/>
        </w:rPr>
        <w:t>公司所有者净利润孰低数不低于</w:t>
      </w:r>
      <w:r>
        <w:rPr>
          <w:rFonts w:ascii="宋体" w:hAnsi="宋体" w:cs="宋体" w:eastAsia="宋体" w:hint="default"/>
          <w:spacing w:val="-46"/>
          <w:sz w:val="18"/>
          <w:szCs w:val="18"/>
        </w:rPr>
        <w:t> </w:t>
      </w:r>
      <w:r>
        <w:rPr>
          <w:rFonts w:ascii="宋体" w:hAnsi="宋体" w:cs="宋体" w:eastAsia="宋体" w:hint="default"/>
          <w:sz w:val="18"/>
          <w:szCs w:val="18"/>
        </w:rPr>
        <w:t>3,353.20</w:t>
      </w:r>
      <w:r>
        <w:rPr>
          <w:rFonts w:ascii="宋体" w:hAnsi="宋体" w:cs="宋体" w:eastAsia="宋体" w:hint="default"/>
          <w:spacing w:val="-45"/>
          <w:sz w:val="18"/>
          <w:szCs w:val="18"/>
        </w:rPr>
        <w:t> </w:t>
      </w:r>
      <w:r>
        <w:rPr>
          <w:rFonts w:ascii="宋体" w:hAnsi="宋体" w:cs="宋体" w:eastAsia="宋体" w:hint="default"/>
          <w:spacing w:val="-7"/>
          <w:sz w:val="18"/>
          <w:szCs w:val="18"/>
        </w:rPr>
        <w:t>万元、</w:t>
      </w:r>
      <w:r>
        <w:rPr>
          <w:rFonts w:ascii="宋体" w:hAnsi="宋体" w:cs="宋体" w:eastAsia="宋体" w:hint="default"/>
          <w:spacing w:val="-7"/>
          <w:sz w:val="18"/>
          <w:szCs w:val="18"/>
        </w:rPr>
        <w:t>4,289.34</w:t>
      </w:r>
      <w:r>
        <w:rPr>
          <w:rFonts w:ascii="宋体" w:hAnsi="宋体" w:cs="宋体" w:eastAsia="宋体" w:hint="default"/>
          <w:spacing w:val="-34"/>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spacing w:line="319" w:lineRule="auto" w:before="19"/>
        <w:ind w:left="177" w:right="953" w:firstLine="991"/>
        <w:jc w:val="left"/>
        <w:rPr>
          <w:rFonts w:ascii="宋体" w:hAnsi="宋体" w:cs="宋体" w:eastAsia="宋体" w:hint="default"/>
          <w:sz w:val="18"/>
          <w:szCs w:val="18"/>
        </w:rPr>
      </w:pPr>
      <w:r>
        <w:rPr>
          <w:spacing w:val="-13"/>
        </w:rPr>
        <w:br w:type="column"/>
      </w:r>
      <w:r>
        <w:rPr>
          <w:rFonts w:ascii="宋体" w:hAnsi="宋体" w:cs="宋体" w:eastAsia="宋体" w:hint="default"/>
          <w:spacing w:val="-13"/>
          <w:sz w:val="18"/>
          <w:szCs w:val="18"/>
        </w:rPr>
        <w:t>期末，上述</w:t>
      </w:r>
      <w:r>
        <w:rPr>
          <w:rFonts w:ascii="宋体" w:hAnsi="宋体" w:cs="宋体" w:eastAsia="宋体" w:hint="default"/>
          <w:sz w:val="18"/>
          <w:szCs w:val="18"/>
        </w:rPr>
        <w:t> </w:t>
      </w:r>
      <w:r>
        <w:rPr>
          <w:rFonts w:ascii="宋体" w:hAnsi="宋体" w:cs="宋体" w:eastAsia="宋体" w:hint="default"/>
          <w:sz w:val="18"/>
          <w:szCs w:val="18"/>
        </w:rPr>
        <w:t>2016-12-31</w:t>
      </w:r>
      <w:r>
        <w:rPr>
          <w:rFonts w:ascii="宋体" w:hAnsi="宋体" w:cs="宋体" w:eastAsia="宋体" w:hint="default"/>
          <w:spacing w:val="1"/>
          <w:sz w:val="18"/>
          <w:szCs w:val="18"/>
        </w:rPr>
        <w:t> </w:t>
      </w:r>
      <w:r>
        <w:rPr>
          <w:rFonts w:ascii="宋体" w:hAnsi="宋体" w:cs="宋体" w:eastAsia="宋体" w:hint="default"/>
          <w:sz w:val="18"/>
          <w:szCs w:val="18"/>
        </w:rPr>
        <w:t>承诺人均</w:t>
      </w:r>
    </w:p>
    <w:p>
      <w:pPr>
        <w:spacing w:after="0" w:line="319" w:lineRule="auto"/>
        <w:jc w:val="left"/>
        <w:rPr>
          <w:rFonts w:ascii="宋体" w:hAnsi="宋体" w:cs="宋体" w:eastAsia="宋体" w:hint="default"/>
          <w:sz w:val="18"/>
          <w:szCs w:val="18"/>
        </w:rPr>
        <w:sectPr>
          <w:type w:val="continuous"/>
          <w:pgSz w:w="11910" w:h="16840"/>
          <w:pgMar w:top="1060" w:bottom="1160" w:left="0" w:right="0"/>
          <w:cols w:num="2" w:equalWidth="0">
            <w:col w:w="8905" w:space="40"/>
            <w:col w:w="2965"/>
          </w:cols>
        </w:sectPr>
      </w:pPr>
    </w:p>
    <w:p>
      <w:pPr>
        <w:spacing w:line="316" w:lineRule="auto" w:before="17"/>
        <w:ind w:left="1772" w:right="-17" w:firstLine="0"/>
        <w:jc w:val="left"/>
        <w:rPr>
          <w:rFonts w:ascii="宋体" w:hAnsi="宋体" w:cs="宋体" w:eastAsia="宋体" w:hint="default"/>
          <w:sz w:val="18"/>
          <w:szCs w:val="18"/>
        </w:rPr>
      </w:pPr>
      <w:r>
        <w:rPr>
          <w:rFonts w:ascii="宋体" w:hAnsi="宋体" w:cs="宋体" w:eastAsia="宋体" w:hint="default"/>
          <w:spacing w:val="35"/>
          <w:sz w:val="18"/>
          <w:szCs w:val="18"/>
        </w:rPr>
        <w:t>芜湖华顺置</w:t>
      </w:r>
      <w:r>
        <w:rPr>
          <w:rFonts w:ascii="宋体" w:hAnsi="宋体" w:cs="宋体" w:eastAsia="宋体" w:hint="default"/>
          <w:spacing w:val="-34"/>
          <w:sz w:val="18"/>
          <w:szCs w:val="18"/>
        </w:rPr>
        <w:t> </w:t>
      </w:r>
      <w:r>
        <w:rPr>
          <w:rFonts w:ascii="宋体" w:hAnsi="宋体" w:cs="宋体" w:eastAsia="宋体" w:hint="default"/>
          <w:sz w:val="18"/>
          <w:szCs w:val="18"/>
        </w:rPr>
        <w:t>排</w:t>
      </w:r>
      <w:r>
        <w:rPr>
          <w:rFonts w:ascii="宋体" w:hAnsi="宋体" w:cs="宋体" w:eastAsia="宋体" w:hint="default"/>
          <w:sz w:val="18"/>
          <w:szCs w:val="18"/>
        </w:rPr>
        <w:t> </w:t>
      </w:r>
      <w:r>
        <w:rPr>
          <w:rFonts w:ascii="宋体" w:hAnsi="宋体" w:cs="宋体" w:eastAsia="宋体" w:hint="default"/>
          <w:spacing w:val="35"/>
          <w:sz w:val="18"/>
          <w:szCs w:val="18"/>
        </w:rPr>
        <w:t>业投资有限</w:t>
      </w:r>
      <w:r>
        <w:rPr>
          <w:rFonts w:ascii="宋体" w:hAnsi="宋体" w:cs="宋体" w:eastAsia="宋体" w:hint="default"/>
          <w:spacing w:val="-46"/>
          <w:sz w:val="18"/>
          <w:szCs w:val="18"/>
        </w:rPr>
        <w:t> </w:t>
      </w:r>
      <w:r>
        <w:rPr>
          <w:rFonts w:ascii="宋体" w:hAnsi="宋体" w:cs="宋体" w:eastAsia="宋体" w:hint="default"/>
          <w:sz w:val="18"/>
          <w:szCs w:val="18"/>
        </w:rPr>
        <w:t>责任公司</w:t>
      </w:r>
    </w:p>
    <w:p>
      <w:pPr>
        <w:spacing w:line="316" w:lineRule="auto" w:before="17"/>
        <w:ind w:left="574"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万元、</w:t>
      </w:r>
      <w:r>
        <w:rPr>
          <w:rFonts w:ascii="宋体" w:hAnsi="宋体" w:cs="宋体" w:eastAsia="宋体" w:hint="default"/>
          <w:sz w:val="18"/>
          <w:szCs w:val="18"/>
        </w:rPr>
        <w:t>5,252.41</w:t>
      </w:r>
      <w:r>
        <w:rPr>
          <w:rFonts w:ascii="宋体" w:hAnsi="宋体" w:cs="宋体" w:eastAsia="宋体" w:hint="default"/>
          <w:spacing w:val="-59"/>
          <w:sz w:val="18"/>
          <w:szCs w:val="18"/>
        </w:rPr>
        <w:t> </w:t>
      </w:r>
      <w:r>
        <w:rPr>
          <w:rFonts w:ascii="宋体" w:hAnsi="宋体" w:cs="宋体" w:eastAsia="宋体" w:hint="default"/>
          <w:sz w:val="18"/>
          <w:szCs w:val="18"/>
        </w:rPr>
        <w:t>万元。如嘉园环保实际净利润低于上述承</w:t>
      </w:r>
      <w:r>
        <w:rPr>
          <w:rFonts w:ascii="宋体" w:hAnsi="宋体" w:cs="宋体" w:eastAsia="宋体" w:hint="default"/>
          <w:spacing w:val="-50"/>
          <w:sz w:val="18"/>
          <w:szCs w:val="18"/>
        </w:rPr>
        <w:t> </w:t>
      </w:r>
      <w:r>
        <w:rPr>
          <w:rFonts w:ascii="宋体" w:hAnsi="宋体" w:cs="宋体" w:eastAsia="宋体" w:hint="default"/>
          <w:sz w:val="18"/>
          <w:szCs w:val="18"/>
        </w:rPr>
        <w:t>日</w:t>
      </w:r>
      <w:r>
        <w:rPr>
          <w:rFonts w:ascii="宋体" w:hAnsi="宋体" w:cs="宋体" w:eastAsia="宋体" w:hint="default"/>
          <w:sz w:val="18"/>
          <w:szCs w:val="18"/>
        </w:rPr>
        <w:t> 诺金额，则由上述交易对方按照《利润承诺补偿协议》的 约定负责向上市公司进行补偿。</w:t>
      </w:r>
    </w:p>
    <w:p>
      <w:pPr>
        <w:spacing w:line="319" w:lineRule="auto" w:before="16"/>
        <w:ind w:left="1617" w:right="874" w:firstLine="0"/>
        <w:jc w:val="left"/>
        <w:rPr>
          <w:rFonts w:ascii="宋体" w:hAnsi="宋体" w:cs="宋体" w:eastAsia="宋体" w:hint="default"/>
          <w:sz w:val="18"/>
          <w:szCs w:val="18"/>
        </w:rPr>
      </w:pPr>
      <w:r>
        <w:rPr/>
        <w:br w:type="column"/>
      </w:r>
      <w:r>
        <w:rPr>
          <w:rFonts w:ascii="宋体" w:hAnsi="宋体" w:cs="宋体" w:eastAsia="宋体" w:hint="default"/>
          <w:sz w:val="18"/>
          <w:szCs w:val="18"/>
        </w:rPr>
        <w:t>遵守了所 做的承诺。</w:t>
      </w:r>
    </w:p>
    <w:p>
      <w:pPr>
        <w:spacing w:after="0" w:line="319" w:lineRule="auto"/>
        <w:jc w:val="left"/>
        <w:rPr>
          <w:rFonts w:ascii="宋体" w:hAnsi="宋体" w:cs="宋体" w:eastAsia="宋体" w:hint="default"/>
          <w:sz w:val="18"/>
          <w:szCs w:val="18"/>
        </w:rPr>
        <w:sectPr>
          <w:type w:val="continuous"/>
          <w:pgSz w:w="11910" w:h="16840"/>
          <w:pgMar w:top="1060" w:bottom="1160" w:left="0" w:right="0"/>
          <w:cols w:num="3" w:equalWidth="0">
            <w:col w:w="3087" w:space="40"/>
            <w:col w:w="5329" w:space="40"/>
            <w:col w:w="3414"/>
          </w:cols>
        </w:sectPr>
      </w:pPr>
    </w:p>
    <w:p>
      <w:pPr>
        <w:spacing w:line="319" w:lineRule="auto" w:before="68"/>
        <w:ind w:left="3701" w:right="0" w:firstLine="0"/>
        <w:jc w:val="both"/>
        <w:rPr>
          <w:rFonts w:ascii="宋体" w:hAnsi="宋体" w:cs="宋体" w:eastAsia="宋体" w:hint="default"/>
          <w:sz w:val="18"/>
          <w:szCs w:val="18"/>
        </w:rPr>
      </w:pPr>
      <w:r>
        <w:rPr>
          <w:rFonts w:ascii="宋体" w:hAnsi="宋体" w:cs="宋体" w:eastAsia="宋体" w:hint="default"/>
          <w:sz w:val="18"/>
          <w:szCs w:val="18"/>
        </w:rPr>
        <w:t>交易对方陈泽枝、李泽清、高孔兴承诺：未经汉威电子同 意，本人自身及关联方不以任何形式（包括但不限于单独 经营、通过合资或合伙企业经营或拥有另一公司或企业的 股份及其他权益）直接或间接参与任何与嘉园环保主营业</w:t>
      </w:r>
    </w:p>
    <w:p>
      <w:pPr>
        <w:spacing w:line="316" w:lineRule="auto" w:before="17"/>
        <w:ind w:left="2906" w:right="-19" w:firstLine="0"/>
        <w:jc w:val="left"/>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16"/>
          <w:sz w:val="18"/>
          <w:szCs w:val="18"/>
        </w:rPr>
        <w:t> </w:t>
      </w:r>
      <w:r>
        <w:rPr>
          <w:rFonts w:ascii="宋体" w:hAnsi="宋体" w:cs="宋体" w:eastAsia="宋体" w:hint="default"/>
          <w:sz w:val="18"/>
          <w:szCs w:val="18"/>
        </w:rPr>
        <w:t>务构成同业竞争的业务或活动，如获得的商业机会将于嘉</w:t>
      </w:r>
      <w:r>
        <w:rPr>
          <w:rFonts w:ascii="宋体" w:hAnsi="宋体" w:cs="宋体" w:eastAsia="宋体" w:hint="default"/>
          <w:sz w:val="18"/>
          <w:szCs w:val="18"/>
        </w:rPr>
        <w:t> 竞争、关</w:t>
      </w:r>
      <w:r>
        <w:rPr>
          <w:rFonts w:ascii="宋体" w:hAnsi="宋体" w:cs="宋体" w:eastAsia="宋体" w:hint="default"/>
          <w:spacing w:val="-16"/>
          <w:sz w:val="18"/>
          <w:szCs w:val="18"/>
        </w:rPr>
        <w:t> </w:t>
      </w:r>
      <w:r>
        <w:rPr>
          <w:rFonts w:ascii="宋体" w:hAnsi="宋体" w:cs="宋体" w:eastAsia="宋体" w:hint="default"/>
          <w:sz w:val="18"/>
          <w:szCs w:val="18"/>
        </w:rPr>
        <w:t>园环保主营业务发生同业竞争或可能发生同业竞争的，其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12" w:lineRule="exact" w:before="135"/>
        <w:ind w:left="33" w:right="-19"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spacing w:line="310" w:lineRule="atLeast" w:before="0"/>
        <w:ind w:left="1212" w:right="939" w:firstLine="0"/>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p>
    <w:p>
      <w:pPr>
        <w:spacing w:after="0" w:line="310" w:lineRule="atLeast"/>
        <w:jc w:val="left"/>
        <w:rPr>
          <w:rFonts w:ascii="宋体" w:hAnsi="宋体" w:cs="宋体" w:eastAsia="宋体" w:hint="default"/>
          <w:sz w:val="18"/>
          <w:szCs w:val="18"/>
        </w:rPr>
        <w:sectPr>
          <w:type w:val="continuous"/>
          <w:pgSz w:w="11910" w:h="16840"/>
          <w:pgMar w:top="1060" w:bottom="1160" w:left="0" w:right="0"/>
          <w:cols w:num="3" w:equalWidth="0">
            <w:col w:w="8202" w:space="40"/>
            <w:col w:w="619" w:space="40"/>
            <w:col w:w="3009"/>
          </w:cols>
        </w:sectPr>
      </w:pPr>
    </w:p>
    <w:p>
      <w:pPr>
        <w:spacing w:line="116" w:lineRule="exact" w:before="0"/>
        <w:ind w:left="1772" w:right="-10" w:firstLine="0"/>
        <w:jc w:val="left"/>
        <w:rPr>
          <w:rFonts w:ascii="宋体" w:hAnsi="宋体" w:cs="宋体" w:eastAsia="宋体" w:hint="default"/>
          <w:sz w:val="18"/>
          <w:szCs w:val="18"/>
        </w:rPr>
      </w:pPr>
      <w:r>
        <w:rPr>
          <w:rFonts w:ascii="宋体" w:hAnsi="宋体" w:cs="宋体" w:eastAsia="宋体" w:hint="default"/>
          <w:sz w:val="18"/>
          <w:szCs w:val="18"/>
        </w:rPr>
        <w:t>陈泽枝</w:t>
      </w:r>
      <w:r>
        <w:rPr>
          <w:rFonts w:ascii="宋体" w:hAnsi="宋体" w:cs="宋体" w:eastAsia="宋体" w:hint="default"/>
          <w:spacing w:val="-3"/>
          <w:sz w:val="18"/>
          <w:szCs w:val="18"/>
        </w:rPr>
        <w:t>；</w:t>
      </w:r>
      <w:r>
        <w:rPr>
          <w:rFonts w:ascii="宋体" w:hAnsi="宋体" w:cs="宋体" w:eastAsia="宋体" w:hint="default"/>
          <w:sz w:val="18"/>
          <w:szCs w:val="18"/>
        </w:rPr>
        <w:t>李泽</w:t>
      </w:r>
      <w:r>
        <w:rPr>
          <w:rFonts w:ascii="宋体" w:hAnsi="宋体" w:cs="宋体" w:eastAsia="宋体" w:hint="default"/>
          <w:spacing w:val="-34"/>
          <w:sz w:val="18"/>
          <w:szCs w:val="18"/>
        </w:rPr>
        <w:t> </w:t>
      </w:r>
      <w:r>
        <w:rPr>
          <w:rFonts w:ascii="宋体" w:hAnsi="宋体" w:cs="宋体" w:eastAsia="宋体" w:hint="default"/>
          <w:sz w:val="18"/>
          <w:szCs w:val="18"/>
        </w:rPr>
        <w:t>联交易、</w:t>
      </w:r>
      <w:r>
        <w:rPr>
          <w:rFonts w:ascii="宋体" w:hAnsi="宋体" w:cs="宋体" w:eastAsia="宋体" w:hint="default"/>
          <w:spacing w:val="-16"/>
          <w:sz w:val="18"/>
          <w:szCs w:val="18"/>
        </w:rPr>
        <w:t> </w:t>
      </w:r>
      <w:r>
        <w:rPr>
          <w:rFonts w:ascii="宋体" w:hAnsi="宋体" w:cs="宋体" w:eastAsia="宋体" w:hint="default"/>
          <w:sz w:val="18"/>
          <w:szCs w:val="18"/>
        </w:rPr>
        <w:t>将立即通知嘉园环保</w:t>
      </w:r>
      <w:r>
        <w:rPr>
          <w:rFonts w:ascii="宋体" w:hAnsi="宋体" w:cs="宋体" w:eastAsia="宋体" w:hint="default"/>
          <w:spacing w:val="-74"/>
          <w:sz w:val="18"/>
          <w:szCs w:val="18"/>
        </w:rPr>
        <w:t>，</w:t>
      </w:r>
      <w:r>
        <w:rPr>
          <w:rFonts w:ascii="宋体" w:hAnsi="宋体" w:cs="宋体" w:eastAsia="宋体" w:hint="default"/>
          <w:sz w:val="18"/>
          <w:szCs w:val="18"/>
        </w:rPr>
        <w:t>并尽力将该商业机会给予嘉园环保，</w:t>
      </w:r>
    </w:p>
    <w:p>
      <w:pPr>
        <w:spacing w:line="17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spacing w:line="212" w:lineRule="exact" w:before="76"/>
        <w:ind w:left="177" w:right="939" w:firstLine="0"/>
        <w:jc w:val="left"/>
        <w:rPr>
          <w:rFonts w:ascii="宋体" w:hAnsi="宋体" w:cs="宋体" w:eastAsia="宋体" w:hint="default"/>
          <w:sz w:val="18"/>
          <w:szCs w:val="18"/>
        </w:rPr>
      </w:pPr>
      <w:r>
        <w:rPr/>
        <w:br w:type="column"/>
      </w:r>
      <w:r>
        <w:rPr>
          <w:rFonts w:ascii="宋体" w:hAnsi="宋体" w:cs="宋体" w:eastAsia="宋体" w:hint="default"/>
          <w:sz w:val="18"/>
          <w:szCs w:val="18"/>
        </w:rPr>
        <w:t>2016-12-31</w:t>
      </w:r>
      <w:r>
        <w:rPr>
          <w:rFonts w:ascii="宋体" w:hAnsi="宋体" w:cs="宋体" w:eastAsia="宋体" w:hint="default"/>
          <w:spacing w:val="1"/>
          <w:sz w:val="18"/>
          <w:szCs w:val="18"/>
        </w:rPr>
        <w:t> </w:t>
      </w:r>
      <w:r>
        <w:rPr>
          <w:rFonts w:ascii="宋体" w:hAnsi="宋体" w:cs="宋体" w:eastAsia="宋体" w:hint="default"/>
          <w:sz w:val="18"/>
          <w:szCs w:val="18"/>
        </w:rPr>
        <w:t>承诺人均</w:t>
      </w:r>
    </w:p>
    <w:p>
      <w:pPr>
        <w:spacing w:after="0" w:line="212" w:lineRule="exact"/>
        <w:jc w:val="left"/>
        <w:rPr>
          <w:rFonts w:ascii="宋体" w:hAnsi="宋体" w:cs="宋体" w:eastAsia="宋体" w:hint="default"/>
          <w:sz w:val="18"/>
          <w:szCs w:val="18"/>
        </w:rPr>
        <w:sectPr>
          <w:type w:val="continuous"/>
          <w:pgSz w:w="11910" w:h="16840"/>
          <w:pgMar w:top="1060" w:bottom="1160" w:left="0" w:right="0"/>
          <w:cols w:num="2" w:equalWidth="0">
            <w:col w:w="8905" w:space="40"/>
            <w:col w:w="2965"/>
          </w:cols>
        </w:sectPr>
      </w:pPr>
    </w:p>
    <w:p>
      <w:pPr>
        <w:spacing w:line="181" w:lineRule="exact" w:before="0"/>
        <w:ind w:left="1772" w:right="-20" w:firstLine="0"/>
        <w:jc w:val="left"/>
        <w:rPr>
          <w:rFonts w:ascii="宋体" w:hAnsi="宋体" w:cs="宋体" w:eastAsia="宋体" w:hint="default"/>
          <w:sz w:val="18"/>
          <w:szCs w:val="18"/>
        </w:rPr>
      </w:pPr>
      <w:r>
        <w:rPr>
          <w:rFonts w:ascii="宋体" w:hAnsi="宋体" w:cs="宋体" w:eastAsia="宋体" w:hint="default"/>
          <w:sz w:val="18"/>
          <w:szCs w:val="18"/>
        </w:rPr>
        <w:t>清；高孔兴</w:t>
      </w:r>
    </w:p>
    <w:p>
      <w:pPr>
        <w:spacing w:line="141" w:lineRule="exact" w:before="0"/>
        <w:ind w:left="19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资金占用</w:t>
      </w:r>
      <w:r>
        <w:rPr>
          <w:rFonts w:ascii="宋体" w:hAnsi="宋体" w:cs="宋体" w:eastAsia="宋体" w:hint="default"/>
          <w:spacing w:val="-16"/>
          <w:sz w:val="18"/>
          <w:szCs w:val="18"/>
        </w:rPr>
        <w:t> </w:t>
      </w:r>
      <w:r>
        <w:rPr>
          <w:rFonts w:ascii="宋体" w:hAnsi="宋体" w:cs="宋体" w:eastAsia="宋体" w:hint="default"/>
          <w:sz w:val="18"/>
          <w:szCs w:val="18"/>
        </w:rPr>
        <w:t>以确保嘉园环保及其全体股东利益不受损害。交易对方陈</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日</w:t>
      </w:r>
    </w:p>
    <w:p>
      <w:pPr>
        <w:spacing w:line="195" w:lineRule="exact"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方面的承</w:t>
      </w:r>
      <w:r>
        <w:rPr>
          <w:rFonts w:ascii="宋体" w:hAnsi="宋体" w:cs="宋体" w:eastAsia="宋体" w:hint="default"/>
          <w:spacing w:val="-16"/>
          <w:sz w:val="18"/>
          <w:szCs w:val="18"/>
        </w:rPr>
        <w:t> </w:t>
      </w:r>
      <w:r>
        <w:rPr>
          <w:rFonts w:ascii="宋体" w:hAnsi="宋体" w:cs="宋体" w:eastAsia="宋体" w:hint="default"/>
          <w:sz w:val="18"/>
          <w:szCs w:val="18"/>
        </w:rPr>
        <w:t>泽枝、李泽清、高孔兴承诺：将采取有效措施尽量避免与</w:t>
      </w:r>
    </w:p>
    <w:p>
      <w:pPr>
        <w:spacing w:line="310" w:lineRule="atLeast" w:before="26"/>
        <w:ind w:left="1617" w:right="874" w:firstLine="0"/>
        <w:jc w:val="left"/>
        <w:rPr>
          <w:rFonts w:ascii="宋体" w:hAnsi="宋体" w:cs="宋体" w:eastAsia="宋体" w:hint="default"/>
          <w:sz w:val="18"/>
          <w:szCs w:val="18"/>
        </w:rPr>
      </w:pPr>
      <w:r>
        <w:rPr/>
        <w:br w:type="column"/>
      </w:r>
      <w:r>
        <w:rPr>
          <w:rFonts w:ascii="宋体" w:hAnsi="宋体" w:cs="宋体" w:eastAsia="宋体" w:hint="default"/>
          <w:sz w:val="18"/>
          <w:szCs w:val="18"/>
        </w:rPr>
        <w:t>遵守了所 做的承诺。</w:t>
      </w:r>
    </w:p>
    <w:p>
      <w:pPr>
        <w:spacing w:after="0" w:line="310" w:lineRule="atLeast"/>
        <w:jc w:val="left"/>
        <w:rPr>
          <w:rFonts w:ascii="宋体" w:hAnsi="宋体" w:cs="宋体" w:eastAsia="宋体" w:hint="default"/>
          <w:sz w:val="18"/>
          <w:szCs w:val="18"/>
        </w:rPr>
        <w:sectPr>
          <w:type w:val="continuous"/>
          <w:pgSz w:w="11910" w:h="16840"/>
          <w:pgMar w:top="1060" w:bottom="1160" w:left="0" w:right="0"/>
          <w:cols w:num="3" w:equalWidth="0">
            <w:col w:w="2673" w:space="40"/>
            <w:col w:w="5743" w:space="40"/>
            <w:col w:w="3414"/>
          </w:cols>
        </w:sectPr>
      </w:pPr>
    </w:p>
    <w:p>
      <w:pPr>
        <w:tabs>
          <w:tab w:pos="3701" w:val="left" w:leader="none"/>
        </w:tabs>
        <w:spacing w:line="156" w:lineRule="exact" w:before="0"/>
        <w:ind w:left="3701" w:right="-20" w:hanging="795"/>
        <w:jc w:val="left"/>
        <w:rPr>
          <w:rFonts w:ascii="宋体" w:hAnsi="宋体" w:cs="宋体" w:eastAsia="宋体" w:hint="default"/>
          <w:sz w:val="18"/>
          <w:szCs w:val="18"/>
        </w:rPr>
      </w:pPr>
      <w:r>
        <w:rPr>
          <w:rFonts w:ascii="宋体" w:hAnsi="宋体" w:cs="宋体" w:eastAsia="宋体" w:hint="default"/>
          <w:sz w:val="18"/>
          <w:szCs w:val="18"/>
        </w:rPr>
        <w:t>诺</w:t>
        <w:tab/>
        <w:t>汉威电子、嘉园环保之间发生关联交易；在进行确有必要</w:t>
      </w:r>
    </w:p>
    <w:p>
      <w:pPr>
        <w:spacing w:line="319" w:lineRule="auto" w:before="75"/>
        <w:ind w:left="3701" w:right="624" w:firstLine="0"/>
        <w:jc w:val="left"/>
        <w:rPr>
          <w:rFonts w:ascii="宋体" w:hAnsi="宋体" w:cs="宋体" w:eastAsia="宋体" w:hint="default"/>
          <w:sz w:val="18"/>
          <w:szCs w:val="18"/>
        </w:rPr>
      </w:pPr>
      <w:r>
        <w:rPr>
          <w:rFonts w:ascii="宋体" w:hAnsi="宋体" w:cs="宋体" w:eastAsia="宋体" w:hint="default"/>
          <w:sz w:val="18"/>
          <w:szCs w:val="18"/>
        </w:rPr>
        <w:t>且无法避免的关联交易时，保证按市场化原则和公允价格 进行公平操作，并按相关法律法规、规范性文件及汉威电 子的公司章程、嘉园环保的公司章程的规定履行相应审批 程序及信息披露义务。 尚剑红承诺自标的资产交割日起，仍需至少在沈阳金建或 上市公司任职</w:t>
      </w:r>
      <w:r>
        <w:rPr>
          <w:rFonts w:ascii="宋体" w:hAnsi="宋体" w:cs="宋体" w:eastAsia="宋体" w:hint="default"/>
          <w:spacing w:val="-38"/>
          <w:sz w:val="18"/>
          <w:szCs w:val="18"/>
        </w:rPr>
        <w:t> </w:t>
      </w:r>
      <w:r>
        <w:rPr>
          <w:rFonts w:ascii="宋体" w:hAnsi="宋体" w:cs="宋体" w:eastAsia="宋体" w:hint="default"/>
          <w:sz w:val="18"/>
          <w:szCs w:val="18"/>
        </w:rPr>
        <w:t>60</w:t>
      </w:r>
      <w:r>
        <w:rPr>
          <w:rFonts w:ascii="宋体" w:hAnsi="宋体" w:cs="宋体" w:eastAsia="宋体" w:hint="default"/>
          <w:spacing w:val="-38"/>
          <w:sz w:val="18"/>
          <w:szCs w:val="18"/>
        </w:rPr>
        <w:t> </w:t>
      </w:r>
      <w:r>
        <w:rPr>
          <w:rFonts w:ascii="宋体" w:hAnsi="宋体" w:cs="宋体" w:eastAsia="宋体" w:hint="default"/>
          <w:spacing w:val="-5"/>
          <w:sz w:val="18"/>
          <w:szCs w:val="18"/>
        </w:rPr>
        <w:t>个月，并承诺在沈阳金建和上市公司任职</w:t>
      </w:r>
    </w:p>
    <w:p>
      <w:pPr>
        <w:spacing w:line="319" w:lineRule="auto" w:before="17"/>
        <w:ind w:left="3701" w:right="-20" w:firstLine="0"/>
        <w:jc w:val="left"/>
        <w:rPr>
          <w:rFonts w:ascii="宋体" w:hAnsi="宋体" w:cs="宋体" w:eastAsia="宋体" w:hint="default"/>
          <w:sz w:val="18"/>
          <w:szCs w:val="18"/>
        </w:rPr>
      </w:pPr>
      <w:r>
        <w:rPr>
          <w:rFonts w:ascii="宋体" w:hAnsi="宋体" w:cs="宋体" w:eastAsia="宋体" w:hint="default"/>
          <w:sz w:val="18"/>
          <w:szCs w:val="18"/>
        </w:rPr>
        <w:t>期间及离职后</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pacing w:val="-5"/>
          <w:sz w:val="18"/>
          <w:szCs w:val="18"/>
        </w:rPr>
        <w:t>个月内，不从事与沈阳金建生产或者经营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同类产品或从事同类业务的、有竞争关系的其他用人单位 工作或提供劳务，或者自己开业生产或者经营同类产品、 </w:t>
      </w: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spacing w:line="316" w:lineRule="auto" w:before="0"/>
        <w:ind w:left="1212" w:right="939" w:firstLine="0"/>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p>
    <w:p>
      <w:pPr>
        <w:spacing w:after="0" w:line="316" w:lineRule="auto"/>
        <w:jc w:val="left"/>
        <w:rPr>
          <w:rFonts w:ascii="宋体" w:hAnsi="宋体" w:cs="宋体" w:eastAsia="宋体" w:hint="default"/>
          <w:sz w:val="18"/>
          <w:szCs w:val="18"/>
        </w:rPr>
        <w:sectPr>
          <w:type w:val="continuous"/>
          <w:pgSz w:w="11910" w:h="16840"/>
          <w:pgMar w:top="1060" w:bottom="1160" w:left="0" w:right="0"/>
          <w:cols w:num="2" w:equalWidth="0">
            <w:col w:w="8860" w:space="40"/>
            <w:col w:w="3010"/>
          </w:cols>
        </w:sectPr>
      </w:pPr>
    </w:p>
    <w:p>
      <w:pPr>
        <w:tabs>
          <w:tab w:pos="2906" w:val="left" w:leader="none"/>
        </w:tabs>
        <w:spacing w:line="316" w:lineRule="auto" w:before="17"/>
        <w:ind w:left="3701" w:right="0" w:hanging="1929"/>
        <w:jc w:val="left"/>
        <w:rPr>
          <w:rFonts w:ascii="宋体" w:hAnsi="宋体" w:cs="宋体" w:eastAsia="宋体" w:hint="default"/>
          <w:sz w:val="18"/>
          <w:szCs w:val="18"/>
        </w:rPr>
      </w:pPr>
      <w:r>
        <w:rPr/>
        <w:pict>
          <v:group style="position:absolute;margin-left:46.080002pt;margin-top:71.759979pt;width:503.1pt;height:686.85pt;mso-position-horizontal-relative:page;mso-position-vertical-relative:page;z-index:-995752" coordorigin="922,1435" coordsize="10062,13737">
            <v:group style="position:absolute;left:932;top:1450;width:808;height:312" coordorigin="932,1450" coordsize="808,312">
              <v:shape style="position:absolute;left:932;top:1450;width:808;height:312" coordorigin="932,1450" coordsize="808,312" path="m932,1762l1740,1762,1740,1450,932,1450,932,1762xe" filled="true" fillcolor="#d2d2d2" stroked="false">
                <v:path arrowok="t"/>
                <v:fill type="solid"/>
              </v:shape>
            </v:group>
            <v:group style="position:absolute;left:931;top:1445;width:810;height:2" coordorigin="931,1445" coordsize="810,2">
              <v:shape style="position:absolute;left:931;top:1445;width:810;height:2" coordorigin="931,1445" coordsize="810,0" path="m931,1445l1740,1445e" filled="false" stroked="true" strokeweight=".48pt" strokecolor="#000000">
                <v:path arrowok="t"/>
              </v:shape>
            </v:group>
            <v:group style="position:absolute;left:1750;top:1445;width:1125;height:2" coordorigin="1750,1445" coordsize="1125,2">
              <v:shape style="position:absolute;left:1750;top:1445;width:1125;height:2" coordorigin="1750,1445" coordsize="1125,0" path="m1750,1445l2874,1445e" filled="false" stroked="true" strokeweight=".48pt" strokecolor="#000000">
                <v:path arrowok="t"/>
              </v:shape>
            </v:group>
            <v:group style="position:absolute;left:2884;top:1445;width:785;height:2" coordorigin="2884,1445" coordsize="785,2">
              <v:shape style="position:absolute;left:2884;top:1445;width:785;height:2" coordorigin="2884,1445" coordsize="785,0" path="m2884,1445l3669,1445e" filled="false" stroked="true" strokeweight=".48pt" strokecolor="#000000">
                <v:path arrowok="t"/>
              </v:shape>
            </v:group>
            <v:group style="position:absolute;left:3678;top:1445;width:4565;height:2" coordorigin="3678,1445" coordsize="4565,2">
              <v:shape style="position:absolute;left:3678;top:1445;width:4565;height:2" coordorigin="3678,1445" coordsize="4565,0" path="m3678,1445l8243,1445e" filled="false" stroked="true" strokeweight=".48pt" strokecolor="#000000">
                <v:path arrowok="t"/>
              </v:shape>
            </v:group>
            <v:group style="position:absolute;left:8252;top:1445;width:802;height:2" coordorigin="8252,1445" coordsize="802,2">
              <v:shape style="position:absolute;left:8252;top:1445;width:802;height:2" coordorigin="8252,1445" coordsize="802,0" path="m8252,1445l9054,1445e" filled="false" stroked="true" strokeweight=".48pt" strokecolor="#000000">
                <v:path arrowok="t"/>
              </v:shape>
            </v:group>
            <v:group style="position:absolute;left:9064;top:1445;width:1017;height:2" coordorigin="9064,1445" coordsize="1017,2">
              <v:shape style="position:absolute;left:9064;top:1445;width:1017;height:2" coordorigin="9064,1445" coordsize="1017,0" path="m9064,1445l10080,1445e" filled="false" stroked="true" strokeweight=".48pt" strokecolor="#000000">
                <v:path arrowok="t"/>
              </v:shape>
            </v:group>
            <v:group style="position:absolute;left:10090;top:1445;width:885;height:2" coordorigin="10090,1445" coordsize="885,2">
              <v:shape style="position:absolute;left:10090;top:1445;width:885;height:2" coordorigin="10090,1445" coordsize="885,0" path="m10090,1445l10974,1445e" filled="false" stroked="true" strokeweight=".48pt" strokecolor="#000000">
                <v:path arrowok="t"/>
              </v:shape>
            </v:group>
            <v:group style="position:absolute;left:932;top:1763;width:808;height:1650" coordorigin="932,1763" coordsize="808,1650">
              <v:shape style="position:absolute;left:932;top:1763;width:808;height:1650" coordorigin="932,1763" coordsize="808,1650" path="m932,3412l1740,3412,1740,1763,932,1763,932,3412xe" filled="true" fillcolor="#d2d2d2" stroked="false">
                <v:path arrowok="t"/>
                <v:fill type="solid"/>
              </v:shape>
            </v:group>
            <v:group style="position:absolute;left:1750;top:1766;width:1125;height:2" coordorigin="1750,1766" coordsize="1125,2">
              <v:shape style="position:absolute;left:1750;top:1766;width:1125;height:2" coordorigin="1750,1766" coordsize="1125,0" path="m1750,1766l2874,1766e" filled="false" stroked="true" strokeweight=".48pt" strokecolor="#000000">
                <v:path arrowok="t"/>
              </v:shape>
            </v:group>
            <v:group style="position:absolute;left:2884;top:1766;width:785;height:2" coordorigin="2884,1766" coordsize="785,2">
              <v:shape style="position:absolute;left:2884;top:1766;width:785;height:2" coordorigin="2884,1766" coordsize="785,0" path="m2884,1766l3669,1766e" filled="false" stroked="true" strokeweight=".48pt" strokecolor="#000000">
                <v:path arrowok="t"/>
              </v:shape>
            </v:group>
            <v:group style="position:absolute;left:3678;top:1766;width:4565;height:2" coordorigin="3678,1766" coordsize="4565,2">
              <v:shape style="position:absolute;left:3678;top:1766;width:4565;height:2" coordorigin="3678,1766" coordsize="4565,0" path="m3678,1766l8243,1766e" filled="false" stroked="true" strokeweight=".48pt" strokecolor="#000000">
                <v:path arrowok="t"/>
              </v:shape>
            </v:group>
            <v:group style="position:absolute;left:8252;top:1766;width:802;height:2" coordorigin="8252,1766" coordsize="802,2">
              <v:shape style="position:absolute;left:8252;top:1766;width:802;height:2" coordorigin="8252,1766" coordsize="802,0" path="m8252,1766l9054,1766e" filled="false" stroked="true" strokeweight=".48pt" strokecolor="#000000">
                <v:path arrowok="t"/>
              </v:shape>
            </v:group>
            <v:group style="position:absolute;left:9064;top:1766;width:1017;height:2" coordorigin="9064,1766" coordsize="1017,2">
              <v:shape style="position:absolute;left:9064;top:1766;width:1017;height:2" coordorigin="9064,1766" coordsize="1017,0" path="m9064,1766l10080,1766e" filled="false" stroked="true" strokeweight=".48pt" strokecolor="#000000">
                <v:path arrowok="t"/>
              </v:shape>
            </v:group>
            <v:group style="position:absolute;left:10090;top:1766;width:885;height:2" coordorigin="10090,1766" coordsize="885,2">
              <v:shape style="position:absolute;left:10090;top:1766;width:885;height:2" coordorigin="10090,1766" coordsize="885,0" path="m10090,1766l10974,1766e" filled="false" stroked="true" strokeweight=".48pt" strokecolor="#000000">
                <v:path arrowok="t"/>
              </v:shape>
            </v:group>
            <v:group style="position:absolute;left:932;top:3413;width:808;height:1649" coordorigin="932,3413" coordsize="808,1649">
              <v:shape style="position:absolute;left:932;top:3413;width:808;height:1649" coordorigin="932,3413" coordsize="808,1649" path="m932,5062l1740,5062,1740,3413,932,3413,932,5062xe" filled="true" fillcolor="#d2d2d2" stroked="false">
                <v:path arrowok="t"/>
                <v:fill type="solid"/>
              </v:shape>
            </v:group>
            <v:group style="position:absolute;left:1750;top:3417;width:1125;height:2" coordorigin="1750,3417" coordsize="1125,2">
              <v:shape style="position:absolute;left:1750;top:3417;width:1125;height:2" coordorigin="1750,3417" coordsize="1125,0" path="m1750,3417l2874,3417e" filled="false" stroked="true" strokeweight=".48pt" strokecolor="#000000">
                <v:path arrowok="t"/>
              </v:shape>
            </v:group>
            <v:group style="position:absolute;left:2884;top:3417;width:785;height:2" coordorigin="2884,3417" coordsize="785,2">
              <v:shape style="position:absolute;left:2884;top:3417;width:785;height:2" coordorigin="2884,3417" coordsize="785,0" path="m2884,3417l3669,3417e" filled="false" stroked="true" strokeweight=".48pt" strokecolor="#000000">
                <v:path arrowok="t"/>
              </v:shape>
            </v:group>
            <v:group style="position:absolute;left:3678;top:3417;width:4565;height:2" coordorigin="3678,3417" coordsize="4565,2">
              <v:shape style="position:absolute;left:3678;top:3417;width:4565;height:2" coordorigin="3678,3417" coordsize="4565,0" path="m3678,3417l8243,3417e" filled="false" stroked="true" strokeweight=".48pt" strokecolor="#000000">
                <v:path arrowok="t"/>
              </v:shape>
            </v:group>
            <v:group style="position:absolute;left:8252;top:3417;width:802;height:2" coordorigin="8252,3417" coordsize="802,2">
              <v:shape style="position:absolute;left:8252;top:3417;width:802;height:2" coordorigin="8252,3417" coordsize="802,0" path="m8252,3417l9054,3417e" filled="false" stroked="true" strokeweight=".48pt" strokecolor="#000000">
                <v:path arrowok="t"/>
              </v:shape>
            </v:group>
            <v:group style="position:absolute;left:9064;top:3417;width:1017;height:2" coordorigin="9064,3417" coordsize="1017,2">
              <v:shape style="position:absolute;left:9064;top:3417;width:1017;height:2" coordorigin="9064,3417" coordsize="1017,0" path="m9064,3417l10080,3417e" filled="false" stroked="true" strokeweight=".48pt" strokecolor="#000000">
                <v:path arrowok="t"/>
              </v:shape>
            </v:group>
            <v:group style="position:absolute;left:10090;top:3417;width:885;height:2" coordorigin="10090,3417" coordsize="885,2">
              <v:shape style="position:absolute;left:10090;top:3417;width:885;height:2" coordorigin="10090,3417" coordsize="885,0" path="m10090,3417l10974,3417e" filled="false" stroked="true" strokeweight=".48pt" strokecolor="#000000">
                <v:path arrowok="t"/>
              </v:shape>
            </v:group>
            <v:group style="position:absolute;left:932;top:5063;width:808;height:2273" coordorigin="932,5063" coordsize="808,2273">
              <v:shape style="position:absolute;left:932;top:5063;width:808;height:2273" coordorigin="932,5063" coordsize="808,2273" path="m932,7336l1740,7336,1740,5063,932,5063,932,7336xe" filled="true" fillcolor="#d2d2d2" stroked="false">
                <v:path arrowok="t"/>
                <v:fill type="solid"/>
              </v:shape>
            </v:group>
            <v:group style="position:absolute;left:2895;top:5697;width:2;height:1016" coordorigin="2895,5697" coordsize="2,1016">
              <v:shape style="position:absolute;left:2895;top:5697;width:2;height:1016" coordorigin="2895,5697" coordsize="0,1016" path="m2895,5697l2895,6712e" filled="false" stroked="true" strokeweight="1.140pt" strokecolor="#ffffff">
                <v:path arrowok="t"/>
              </v:shape>
            </v:group>
            <v:group style="position:absolute;left:1750;top:5067;width:1125;height:2" coordorigin="1750,5067" coordsize="1125,2">
              <v:shape style="position:absolute;left:1750;top:5067;width:1125;height:2" coordorigin="1750,5067" coordsize="1125,0" path="m1750,5067l2874,5067e" filled="false" stroked="true" strokeweight=".48pt" strokecolor="#000000">
                <v:path arrowok="t"/>
              </v:shape>
            </v:group>
            <v:group style="position:absolute;left:2884;top:5067;width:785;height:2" coordorigin="2884,5067" coordsize="785,2">
              <v:shape style="position:absolute;left:2884;top:5067;width:785;height:2" coordorigin="2884,5067" coordsize="785,0" path="m2884,5067l3669,5067e" filled="false" stroked="true" strokeweight=".48pt" strokecolor="#000000">
                <v:path arrowok="t"/>
              </v:shape>
            </v:group>
            <v:group style="position:absolute;left:3678;top:5067;width:4565;height:2" coordorigin="3678,5067" coordsize="4565,2">
              <v:shape style="position:absolute;left:3678;top:5067;width:4565;height:2" coordorigin="3678,5067" coordsize="4565,0" path="m3678,5067l8243,5067e" filled="false" stroked="true" strokeweight=".48pt" strokecolor="#000000">
                <v:path arrowok="t"/>
              </v:shape>
            </v:group>
            <v:group style="position:absolute;left:8252;top:5067;width:802;height:2" coordorigin="8252,5067" coordsize="802,2">
              <v:shape style="position:absolute;left:8252;top:5067;width:802;height:2" coordorigin="8252,5067" coordsize="802,0" path="m8252,5067l9054,5067e" filled="false" stroked="true" strokeweight=".48pt" strokecolor="#000000">
                <v:path arrowok="t"/>
              </v:shape>
            </v:group>
            <v:group style="position:absolute;left:9064;top:5067;width:1017;height:2" coordorigin="9064,5067" coordsize="1017,2">
              <v:shape style="position:absolute;left:9064;top:5067;width:1017;height:2" coordorigin="9064,5067" coordsize="1017,0" path="m9064,5067l10080,5067e" filled="false" stroked="true" strokeweight=".48pt" strokecolor="#000000">
                <v:path arrowok="t"/>
              </v:shape>
            </v:group>
            <v:group style="position:absolute;left:10090;top:5067;width:885;height:2" coordorigin="10090,5067" coordsize="885,2">
              <v:shape style="position:absolute;left:10090;top:5067;width:885;height:2" coordorigin="10090,5067" coordsize="885,0" path="m10090,5067l10974,5067e" filled="false" stroked="true" strokeweight=".48pt" strokecolor="#000000">
                <v:path arrowok="t"/>
              </v:shape>
            </v:group>
            <v:group style="position:absolute;left:932;top:7337;width:808;height:4378" coordorigin="932,7337" coordsize="808,4378">
              <v:shape style="position:absolute;left:932;top:7337;width:808;height:4378" coordorigin="932,7337" coordsize="808,4378" path="m932,11715l1740,11715,1740,7337,932,7337,932,11715xe" filled="true" fillcolor="#d2d2d2" stroked="false">
                <v:path arrowok="t"/>
                <v:fill type="solid"/>
              </v:shape>
            </v:group>
            <v:group style="position:absolute;left:8264;top:9022;width:2;height:1017" coordorigin="8264,9022" coordsize="2,1017">
              <v:shape style="position:absolute;left:8264;top:9022;width:2;height:1017" coordorigin="8264,9022" coordsize="0,1017" path="m8264,9022l8264,10039e" filled="false" stroked="true" strokeweight="1.140pt" strokecolor="#ffffff">
                <v:path arrowok="t"/>
              </v:shape>
            </v:group>
            <v:group style="position:absolute;left:8275;top:9022;width:756;height:353" coordorigin="8275,9022" coordsize="756,353">
              <v:shape style="position:absolute;left:8275;top:9022;width:756;height:353" coordorigin="8275,9022" coordsize="756,353" path="m8275,9375l9031,9375,9031,9022,8275,9022,8275,9375xe" filled="true" fillcolor="#ffffff" stroked="false">
                <v:path arrowok="t"/>
                <v:fill type="solid"/>
              </v:shape>
            </v:group>
            <v:group style="position:absolute;left:8275;top:9375;width:756;height:312" coordorigin="8275,9375" coordsize="756,312">
              <v:shape style="position:absolute;left:8275;top:9375;width:756;height:312" coordorigin="8275,9375" coordsize="756,312" path="m8275,9687l9031,9687,9031,9375,8275,9375,8275,9687xe" filled="true" fillcolor="#ffffff" stroked="false">
                <v:path arrowok="t"/>
                <v:fill type="solid"/>
              </v:shape>
            </v:group>
            <v:group style="position:absolute;left:1750;top:7341;width:1125;height:2" coordorigin="1750,7341" coordsize="1125,2">
              <v:shape style="position:absolute;left:1750;top:7341;width:1125;height:2" coordorigin="1750,7341" coordsize="1125,0" path="m1750,7341l2874,7341e" filled="false" stroked="true" strokeweight=".48pt" strokecolor="#000000">
                <v:path arrowok="t"/>
              </v:shape>
            </v:group>
            <v:group style="position:absolute;left:2884;top:7341;width:785;height:2" coordorigin="2884,7341" coordsize="785,2">
              <v:shape style="position:absolute;left:2884;top:7341;width:785;height:2" coordorigin="2884,7341" coordsize="785,0" path="m2884,7341l3669,7341e" filled="false" stroked="true" strokeweight=".48pt" strokecolor="#000000">
                <v:path arrowok="t"/>
              </v:shape>
            </v:group>
            <v:group style="position:absolute;left:3678;top:7341;width:4565;height:2" coordorigin="3678,7341" coordsize="4565,2">
              <v:shape style="position:absolute;left:3678;top:7341;width:4565;height:2" coordorigin="3678,7341" coordsize="4565,0" path="m3678,7341l8243,7341e" filled="false" stroked="true" strokeweight=".48pt" strokecolor="#000000">
                <v:path arrowok="t"/>
              </v:shape>
            </v:group>
            <v:group style="position:absolute;left:8252;top:7341;width:802;height:2" coordorigin="8252,7341" coordsize="802,2">
              <v:shape style="position:absolute;left:8252;top:7341;width:802;height:2" coordorigin="8252,7341" coordsize="802,0" path="m8252,7341l9054,7341e" filled="false" stroked="true" strokeweight=".48pt" strokecolor="#000000">
                <v:path arrowok="t"/>
              </v:shape>
            </v:group>
            <v:group style="position:absolute;left:9064;top:7341;width:1017;height:2" coordorigin="9064,7341" coordsize="1017,2">
              <v:shape style="position:absolute;left:9064;top:7341;width:1017;height:2" coordorigin="9064,7341" coordsize="1017,0" path="m9064,7341l10080,7341e" filled="false" stroked="true" strokeweight=".48pt" strokecolor="#000000">
                <v:path arrowok="t"/>
              </v:shape>
            </v:group>
            <v:group style="position:absolute;left:10090;top:7341;width:885;height:2" coordorigin="10090,7341" coordsize="885,2">
              <v:shape style="position:absolute;left:10090;top:7341;width:885;height:2" coordorigin="10090,7341" coordsize="885,0" path="m10090,7341l10974,7341e" filled="false" stroked="true" strokeweight=".48pt" strokecolor="#000000">
                <v:path arrowok="t"/>
              </v:shape>
            </v:group>
            <v:group style="position:absolute;left:932;top:11715;width:808;height:3442" coordorigin="932,11715" coordsize="808,3442">
              <v:shape style="position:absolute;left:932;top:11715;width:808;height:3442" coordorigin="932,11715" coordsize="808,3442" path="m932,15157l1740,15157,1740,11715,932,11715,932,15157xe" filled="true" fillcolor="#d2d2d2" stroked="false">
                <v:path arrowok="t"/>
                <v:fill type="solid"/>
              </v:shape>
            </v:group>
            <v:group style="position:absolute;left:1750;top:11720;width:1125;height:2" coordorigin="1750,11720" coordsize="1125,2">
              <v:shape style="position:absolute;left:1750;top:11720;width:1125;height:2" coordorigin="1750,11720" coordsize="1125,0" path="m1750,11720l2874,11720e" filled="false" stroked="true" strokeweight=".48pt" strokecolor="#000000">
                <v:path arrowok="t"/>
              </v:shape>
            </v:group>
            <v:group style="position:absolute;left:2884;top:11720;width:785;height:2" coordorigin="2884,11720" coordsize="785,2">
              <v:shape style="position:absolute;left:2884;top:11720;width:785;height:2" coordorigin="2884,11720" coordsize="785,0" path="m2884,11720l3669,11720e" filled="false" stroked="true" strokeweight=".48pt" strokecolor="#000000">
                <v:path arrowok="t"/>
              </v:shape>
            </v:group>
            <v:group style="position:absolute;left:3678;top:11720;width:4565;height:2" coordorigin="3678,11720" coordsize="4565,2">
              <v:shape style="position:absolute;left:3678;top:11720;width:4565;height:2" coordorigin="3678,11720" coordsize="4565,0" path="m3678,11720l8243,11720e" filled="false" stroked="true" strokeweight=".48pt" strokecolor="#000000">
                <v:path arrowok="t"/>
              </v:shape>
            </v:group>
            <v:group style="position:absolute;left:8252;top:11720;width:802;height:2" coordorigin="8252,11720" coordsize="802,2">
              <v:shape style="position:absolute;left:8252;top:11720;width:802;height:2" coordorigin="8252,11720" coordsize="802,0" path="m8252,11720l9054,11720e" filled="false" stroked="true" strokeweight=".48pt" strokecolor="#000000">
                <v:path arrowok="t"/>
              </v:shape>
            </v:group>
            <v:group style="position:absolute;left:9064;top:11720;width:1017;height:2" coordorigin="9064,11720" coordsize="1017,2">
              <v:shape style="position:absolute;left:9064;top:11720;width:1017;height:2" coordorigin="9064,11720" coordsize="1017,0" path="m9064,11720l10080,11720e" filled="false" stroked="true" strokeweight=".48pt" strokecolor="#000000">
                <v:path arrowok="t"/>
              </v:shape>
            </v:group>
            <v:group style="position:absolute;left:10090;top:11720;width:885;height:2" coordorigin="10090,11720" coordsize="885,2">
              <v:shape style="position:absolute;left:10090;top:11720;width:885;height:2" coordorigin="10090,11720" coordsize="885,0" path="m10090,11720l10974,11720e" filled="false" stroked="true" strokeweight=".48pt" strokecolor="#000000">
                <v:path arrowok="t"/>
              </v:shape>
            </v:group>
            <v:group style="position:absolute;left:926;top:1440;width:2;height:13727" coordorigin="926,1440" coordsize="2,13727">
              <v:shape style="position:absolute;left:926;top:1440;width:2;height:13727" coordorigin="926,1440" coordsize="0,13727" path="m926,1440l926,15167e" filled="false" stroked="true" strokeweight=".48pt" strokecolor="#000000">
                <v:path arrowok="t"/>
              </v:shape>
            </v:group>
            <v:group style="position:absolute;left:931;top:15162;width:810;height:2" coordorigin="931,15162" coordsize="810,2">
              <v:shape style="position:absolute;left:931;top:15162;width:810;height:2" coordorigin="931,15162" coordsize="810,0" path="m931,15162l1740,15162e" filled="false" stroked="true" strokeweight=".48pt" strokecolor="#000000">
                <v:path arrowok="t"/>
              </v:shape>
            </v:group>
            <v:group style="position:absolute;left:1745;top:1440;width:2;height:13727" coordorigin="1745,1440" coordsize="2,13727">
              <v:shape style="position:absolute;left:1745;top:1440;width:2;height:13727" coordorigin="1745,1440" coordsize="0,13727" path="m1745,1440l1745,15167e" filled="false" stroked="true" strokeweight=".48pt" strokecolor="#000000">
                <v:path arrowok="t"/>
              </v:shape>
            </v:group>
            <v:group style="position:absolute;left:1750;top:15162;width:1125;height:2" coordorigin="1750,15162" coordsize="1125,2">
              <v:shape style="position:absolute;left:1750;top:15162;width:1125;height:2" coordorigin="1750,15162" coordsize="1125,0" path="m1750,15162l2874,15162e" filled="false" stroked="true" strokeweight=".48pt" strokecolor="#000000">
                <v:path arrowok="t"/>
              </v:shape>
            </v:group>
            <v:group style="position:absolute;left:2879;top:1440;width:2;height:13727" coordorigin="2879,1440" coordsize="2,13727">
              <v:shape style="position:absolute;left:2879;top:1440;width:2;height:13727" coordorigin="2879,1440" coordsize="0,13727" path="m2879,1440l2879,15167e" filled="false" stroked="true" strokeweight=".48pt" strokecolor="#000000">
                <v:path arrowok="t"/>
              </v:shape>
            </v:group>
            <v:group style="position:absolute;left:2884;top:15162;width:785;height:2" coordorigin="2884,15162" coordsize="785,2">
              <v:shape style="position:absolute;left:2884;top:15162;width:785;height:2" coordorigin="2884,15162" coordsize="785,0" path="m2884,15162l3669,15162e" filled="false" stroked="true" strokeweight=".48pt" strokecolor="#000000">
                <v:path arrowok="t"/>
              </v:shape>
            </v:group>
            <v:group style="position:absolute;left:3674;top:1440;width:2;height:13727" coordorigin="3674,1440" coordsize="2,13727">
              <v:shape style="position:absolute;left:3674;top:1440;width:2;height:13727" coordorigin="3674,1440" coordsize="0,13727" path="m3674,1440l3674,15167e" filled="false" stroked="true" strokeweight=".48pt" strokecolor="#000000">
                <v:path arrowok="t"/>
              </v:shape>
            </v:group>
            <v:group style="position:absolute;left:3678;top:15162;width:4565;height:2" coordorigin="3678,15162" coordsize="4565,2">
              <v:shape style="position:absolute;left:3678;top:15162;width:4565;height:2" coordorigin="3678,15162" coordsize="4565,0" path="m3678,15162l8243,15162e" filled="false" stroked="true" strokeweight=".48pt" strokecolor="#000000">
                <v:path arrowok="t"/>
              </v:shape>
            </v:group>
            <v:group style="position:absolute;left:8248;top:1440;width:2;height:13727" coordorigin="8248,1440" coordsize="2,13727">
              <v:shape style="position:absolute;left:8248;top:1440;width:2;height:13727" coordorigin="8248,1440" coordsize="0,13727" path="m8248,1440l8248,15167e" filled="false" stroked="true" strokeweight=".48pt" strokecolor="#000000">
                <v:path arrowok="t"/>
              </v:shape>
            </v:group>
            <v:group style="position:absolute;left:8252;top:15162;width:802;height:2" coordorigin="8252,15162" coordsize="802,2">
              <v:shape style="position:absolute;left:8252;top:15162;width:802;height:2" coordorigin="8252,15162" coordsize="802,0" path="m8252,15162l9054,15162e" filled="false" stroked="true" strokeweight=".48pt" strokecolor="#000000">
                <v:path arrowok="t"/>
              </v:shape>
            </v:group>
            <v:group style="position:absolute;left:9059;top:1440;width:2;height:13727" coordorigin="9059,1440" coordsize="2,13727">
              <v:shape style="position:absolute;left:9059;top:1440;width:2;height:13727" coordorigin="9059,1440" coordsize="0,13727" path="m9059,1440l9059,15167e" filled="false" stroked="true" strokeweight=".48pt" strokecolor="#000000">
                <v:path arrowok="t"/>
              </v:shape>
            </v:group>
            <v:group style="position:absolute;left:9064;top:15162;width:1017;height:2" coordorigin="9064,15162" coordsize="1017,2">
              <v:shape style="position:absolute;left:9064;top:15162;width:1017;height:2" coordorigin="9064,15162" coordsize="1017,0" path="m9064,15162l10080,15162e" filled="false" stroked="true" strokeweight=".48pt" strokecolor="#000000">
                <v:path arrowok="t"/>
              </v:shape>
            </v:group>
            <v:group style="position:absolute;left:10085;top:1440;width:2;height:13727" coordorigin="10085,1440" coordsize="2,13727">
              <v:shape style="position:absolute;left:10085;top:1440;width:2;height:13727" coordorigin="10085,1440" coordsize="0,13727" path="m10085,1440l10085,15167e" filled="false" stroked="true" strokeweight=".48pt" strokecolor="#000000">
                <v:path arrowok="t"/>
              </v:shape>
            </v:group>
            <v:group style="position:absolute;left:10090;top:15162;width:885;height:2" coordorigin="10090,15162" coordsize="885,2">
              <v:shape style="position:absolute;left:10090;top:15162;width:885;height:2" coordorigin="10090,15162" coordsize="885,0" path="m10090,15162l10974,15162e" filled="false" stroked="true" strokeweight=".48pt" strokecolor="#000000">
                <v:path arrowok="t"/>
              </v:shape>
            </v:group>
            <v:group style="position:absolute;left:10979;top:1440;width:2;height:13727" coordorigin="10979,1440" coordsize="2,13727">
              <v:shape style="position:absolute;left:10979;top:1440;width:2;height:13727" coordorigin="10979,1440" coordsize="0,13727" path="m10979,1440l10979,15167e" filled="false" stroked="true" strokeweight=".48pt" strokecolor="#000000">
                <v:path arrowok="t"/>
              </v:shape>
            </v:group>
            <w10:wrap type="none"/>
          </v:group>
        </w:pict>
      </w:r>
      <w:r>
        <w:rPr>
          <w:rFonts w:ascii="宋体" w:hAnsi="宋体" w:cs="宋体" w:eastAsia="宋体" w:hint="default"/>
          <w:sz w:val="18"/>
          <w:szCs w:val="18"/>
        </w:rPr>
        <w:t>尚剑红</w:t>
        <w:tab/>
        <w:t>其他承诺</w:t>
      </w:r>
      <w:r>
        <w:rPr>
          <w:rFonts w:ascii="宋体" w:hAnsi="宋体" w:cs="宋体" w:eastAsia="宋体" w:hint="default"/>
          <w:spacing w:val="-16"/>
          <w:sz w:val="18"/>
          <w:szCs w:val="18"/>
        </w:rPr>
        <w:t> </w:t>
      </w:r>
      <w:r>
        <w:rPr>
          <w:rFonts w:ascii="宋体" w:hAnsi="宋体" w:cs="宋体" w:eastAsia="宋体" w:hint="default"/>
          <w:sz w:val="18"/>
          <w:szCs w:val="18"/>
        </w:rPr>
        <w:t>从事同类业务。如违反上述承诺，则</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）自交割日起任</w:t>
      </w:r>
      <w:r>
        <w:rPr>
          <w:rFonts w:ascii="宋体" w:hAnsi="宋体" w:cs="宋体" w:eastAsia="宋体" w:hint="default"/>
          <w:spacing w:val="-1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职期限不满</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个月的</w:t>
      </w:r>
      <w:r>
        <w:rPr>
          <w:rFonts w:ascii="宋体" w:hAnsi="宋体" w:cs="宋体" w:eastAsia="宋体" w:hint="default"/>
          <w:spacing w:val="-74"/>
          <w:sz w:val="18"/>
          <w:szCs w:val="18"/>
        </w:rPr>
        <w:t>，</w:t>
      </w:r>
      <w:r>
        <w:rPr>
          <w:rFonts w:ascii="宋体" w:hAnsi="宋体" w:cs="宋体" w:eastAsia="宋体" w:hint="default"/>
          <w:sz w:val="18"/>
          <w:szCs w:val="18"/>
        </w:rPr>
        <w:t>违约方应将其于本交易中已获对价</w:t>
      </w:r>
      <w:r>
        <w:rPr>
          <w:rFonts w:ascii="宋体" w:hAnsi="宋体" w:cs="宋体" w:eastAsia="宋体" w:hint="default"/>
          <w:spacing w:val="-34"/>
          <w:sz w:val="18"/>
          <w:szCs w:val="18"/>
        </w:rPr>
        <w:t> </w:t>
      </w:r>
      <w:r>
        <w:rPr>
          <w:rFonts w:ascii="宋体" w:hAnsi="宋体" w:cs="宋体" w:eastAsia="宋体" w:hint="default"/>
          <w:sz w:val="18"/>
          <w:szCs w:val="18"/>
        </w:rPr>
        <w:t>日</w:t>
      </w:r>
    </w:p>
    <w:p>
      <w:pPr>
        <w:spacing w:line="316" w:lineRule="auto" w:before="18"/>
        <w:ind w:left="3701" w:right="669" w:firstLine="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作为赔偿金返还给上市公司，上市公司尚未支付的 </w:t>
      </w:r>
      <w:r>
        <w:rPr>
          <w:rFonts w:ascii="宋体" w:hAnsi="宋体" w:cs="宋体" w:eastAsia="宋体" w:hint="default"/>
          <w:spacing w:val="-8"/>
          <w:sz w:val="18"/>
          <w:szCs w:val="18"/>
        </w:rPr>
        <w:t>对价无需支付；（</w:t>
      </w:r>
      <w:r>
        <w:rPr>
          <w:rFonts w:ascii="宋体" w:hAnsi="宋体" w:cs="宋体" w:eastAsia="宋体" w:hint="default"/>
          <w:spacing w:val="-8"/>
          <w:sz w:val="18"/>
          <w:szCs w:val="18"/>
        </w:rPr>
        <w:t>2</w:t>
      </w:r>
      <w:r>
        <w:rPr>
          <w:rFonts w:ascii="宋体" w:hAnsi="宋体" w:cs="宋体" w:eastAsia="宋体" w:hint="default"/>
          <w:spacing w:val="-8"/>
          <w:sz w:val="18"/>
          <w:szCs w:val="18"/>
        </w:rPr>
        <w:t>）自交割日起任职期限已满</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个月不满</w:t>
      </w:r>
    </w:p>
    <w:p>
      <w:pPr>
        <w:spacing w:before="19"/>
        <w:ind w:left="3701" w:right="-10" w:firstLine="0"/>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个月的，违约方应将其于本交易中所获对价的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作为</w:t>
      </w:r>
    </w:p>
    <w:p>
      <w:pPr>
        <w:spacing w:before="76"/>
        <w:ind w:left="3701" w:right="-10" w:firstLine="0"/>
        <w:jc w:val="left"/>
        <w:rPr>
          <w:rFonts w:ascii="宋体" w:hAnsi="宋体" w:cs="宋体" w:eastAsia="宋体" w:hint="default"/>
          <w:sz w:val="18"/>
          <w:szCs w:val="18"/>
        </w:rPr>
      </w:pPr>
      <w:r>
        <w:rPr>
          <w:rFonts w:ascii="宋体" w:hAnsi="宋体" w:cs="宋体" w:eastAsia="宋体" w:hint="default"/>
          <w:sz w:val="18"/>
          <w:szCs w:val="18"/>
        </w:rPr>
        <w:t>赔偿金支付给上市公司</w:t>
      </w:r>
      <w:r>
        <w:rPr>
          <w:rFonts w:ascii="宋体" w:hAnsi="宋体" w:cs="宋体" w:eastAsia="宋体" w:hint="default"/>
          <w:spacing w:val="-126"/>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38"/>
          <w:sz w:val="18"/>
          <w:szCs w:val="18"/>
        </w:rPr>
        <w:t>）</w:t>
      </w:r>
      <w:r>
        <w:rPr>
          <w:rFonts w:ascii="宋体" w:hAnsi="宋体" w:cs="宋体" w:eastAsia="宋体" w:hint="default"/>
          <w:sz w:val="18"/>
          <w:szCs w:val="18"/>
        </w:rPr>
        <w:t>自离职后</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月内违反竞业</w:t>
      </w:r>
    </w:p>
    <w:p>
      <w:pPr>
        <w:spacing w:before="17"/>
        <w:ind w:left="177" w:right="939" w:firstLine="0"/>
        <w:jc w:val="left"/>
        <w:rPr>
          <w:rFonts w:ascii="宋体" w:hAnsi="宋体" w:cs="宋体" w:eastAsia="宋体" w:hint="default"/>
          <w:sz w:val="18"/>
          <w:szCs w:val="18"/>
        </w:rPr>
      </w:pPr>
      <w:r>
        <w:rPr/>
        <w:br w:type="column"/>
      </w:r>
      <w:r>
        <w:rPr>
          <w:rFonts w:ascii="宋体" w:hAnsi="宋体" w:cs="宋体" w:eastAsia="宋体" w:hint="default"/>
          <w:sz w:val="18"/>
          <w:szCs w:val="18"/>
        </w:rPr>
        <w:t>2019-10-09</w:t>
      </w:r>
      <w:r>
        <w:rPr>
          <w:rFonts w:ascii="宋体" w:hAnsi="宋体" w:cs="宋体" w:eastAsia="宋体" w:hint="default"/>
          <w:spacing w:val="1"/>
          <w:sz w:val="18"/>
          <w:szCs w:val="18"/>
        </w:rPr>
        <w:t> </w:t>
      </w:r>
      <w:r>
        <w:rPr>
          <w:rFonts w:ascii="宋体" w:hAnsi="宋体" w:cs="宋体" w:eastAsia="宋体" w:hint="default"/>
          <w:sz w:val="18"/>
          <w:szCs w:val="18"/>
        </w:rPr>
        <w:t>承诺人均</w:t>
      </w:r>
    </w:p>
    <w:p>
      <w:pPr>
        <w:spacing w:line="319" w:lineRule="auto" w:before="75"/>
        <w:ind w:left="1168" w:right="874" w:firstLine="0"/>
        <w:jc w:val="left"/>
        <w:rPr>
          <w:rFonts w:ascii="宋体" w:hAnsi="宋体" w:cs="宋体" w:eastAsia="宋体" w:hint="default"/>
          <w:sz w:val="18"/>
          <w:szCs w:val="18"/>
        </w:rPr>
      </w:pPr>
      <w:r>
        <w:rPr>
          <w:rFonts w:ascii="宋体" w:hAnsi="宋体" w:cs="宋体" w:eastAsia="宋体" w:hint="default"/>
          <w:sz w:val="18"/>
          <w:szCs w:val="18"/>
        </w:rPr>
        <w:t>遵守了所 做的承诺。</w:t>
      </w:r>
    </w:p>
    <w:p>
      <w:pPr>
        <w:spacing w:after="0" w:line="319" w:lineRule="auto"/>
        <w:jc w:val="left"/>
        <w:rPr>
          <w:rFonts w:ascii="宋体" w:hAnsi="宋体" w:cs="宋体" w:eastAsia="宋体" w:hint="default"/>
          <w:sz w:val="18"/>
          <w:szCs w:val="18"/>
        </w:rPr>
        <w:sectPr>
          <w:type w:val="continuous"/>
          <w:pgSz w:w="11910" w:h="16840"/>
          <w:pgMar w:top="1060" w:bottom="1160" w:left="0" w:right="0"/>
          <w:cols w:num="2" w:equalWidth="0">
            <w:col w:w="8905" w:space="40"/>
            <w:col w:w="2965"/>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922" w:type="dxa"/>
        <w:tblLayout w:type="fixed"/>
        <w:tblCellMar>
          <w:top w:w="0" w:type="dxa"/>
          <w:left w:w="0" w:type="dxa"/>
          <w:bottom w:w="0" w:type="dxa"/>
          <w:right w:w="0" w:type="dxa"/>
        </w:tblCellMar>
        <w:tblLook w:val="01E0"/>
      </w:tblPr>
      <w:tblGrid>
        <w:gridCol w:w="818"/>
        <w:gridCol w:w="1134"/>
        <w:gridCol w:w="794"/>
        <w:gridCol w:w="4574"/>
        <w:gridCol w:w="811"/>
        <w:gridCol w:w="1026"/>
        <w:gridCol w:w="894"/>
      </w:tblGrid>
      <w:tr>
        <w:trPr>
          <w:trHeight w:val="634"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禁止义务的，违约方还应向上市公司支付相当于其上一年 度报酬总额的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倍的违约金。</w:t>
            </w:r>
          </w:p>
        </w:tc>
        <w:tc>
          <w:tcPr>
            <w:tcW w:w="81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67"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陈泽枝；李泽 清；高孔兴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7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1"/>
              <w:ind w:left="22" w:right="14"/>
              <w:jc w:val="left"/>
              <w:rPr>
                <w:rFonts w:ascii="宋体" w:hAnsi="宋体" w:cs="宋体" w:eastAsia="宋体" w:hint="default"/>
                <w:sz w:val="18"/>
                <w:szCs w:val="18"/>
              </w:rPr>
            </w:pPr>
            <w:r>
              <w:rPr>
                <w:rFonts w:ascii="宋体" w:hAnsi="宋体" w:cs="宋体" w:eastAsia="宋体" w:hint="default"/>
                <w:sz w:val="18"/>
                <w:szCs w:val="18"/>
              </w:rPr>
              <w:t>嘉园环保管理层股东陈泽枝、李泽清、高孔兴承诺自标的 资产交割日起，仍需至少在嘉园环保任职</w:t>
            </w:r>
            <w:r>
              <w:rPr>
                <w:rFonts w:ascii="宋体" w:hAnsi="宋体" w:cs="宋体" w:eastAsia="宋体" w:hint="default"/>
                <w:spacing w:val="-64"/>
                <w:sz w:val="18"/>
                <w:szCs w:val="18"/>
              </w:rPr>
              <w:t> </w:t>
            </w:r>
            <w:r>
              <w:rPr>
                <w:rFonts w:ascii="宋体" w:hAnsi="宋体" w:cs="宋体" w:eastAsia="宋体" w:hint="default"/>
                <w:sz w:val="18"/>
                <w:szCs w:val="18"/>
              </w:rPr>
              <w:t>60</w:t>
            </w:r>
            <w:r>
              <w:rPr>
                <w:rFonts w:ascii="宋体" w:hAnsi="宋体" w:cs="宋体" w:eastAsia="宋体" w:hint="default"/>
                <w:spacing w:val="-64"/>
                <w:sz w:val="18"/>
                <w:szCs w:val="18"/>
              </w:rPr>
              <w:t> </w:t>
            </w:r>
            <w:r>
              <w:rPr>
                <w:rFonts w:ascii="宋体" w:hAnsi="宋体" w:cs="宋体" w:eastAsia="宋体" w:hint="default"/>
                <w:spacing w:val="-6"/>
                <w:sz w:val="18"/>
                <w:szCs w:val="18"/>
              </w:rPr>
              <w:t>个月，并承诺</w:t>
            </w:r>
          </w:p>
          <w:p>
            <w:pPr>
              <w:pStyle w:val="TableParagraph"/>
              <w:spacing w:line="316" w:lineRule="auto" w:before="19"/>
              <w:ind w:left="22" w:right="-39"/>
              <w:jc w:val="left"/>
              <w:rPr>
                <w:rFonts w:ascii="宋体" w:hAnsi="宋体" w:cs="宋体" w:eastAsia="宋体" w:hint="default"/>
                <w:sz w:val="18"/>
                <w:szCs w:val="18"/>
              </w:rPr>
            </w:pPr>
            <w:r>
              <w:rPr>
                <w:rFonts w:ascii="宋体" w:hAnsi="宋体" w:cs="宋体" w:eastAsia="宋体" w:hint="default"/>
                <w:sz w:val="18"/>
                <w:szCs w:val="18"/>
              </w:rPr>
              <w:t>在嘉园环保任职期间及离职后</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pacing w:val="-7"/>
                <w:sz w:val="18"/>
                <w:szCs w:val="18"/>
              </w:rPr>
              <w:t>个月内，不从事与嘉园环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保生产或者经营同类产品或从事同类业务的、有竞争关系 的其他用人单位工作或提供劳务，或者自己开业生产或者 </w:t>
            </w:r>
            <w:r>
              <w:rPr>
                <w:rFonts w:ascii="宋体" w:hAnsi="宋体" w:cs="宋体" w:eastAsia="宋体" w:hint="default"/>
                <w:spacing w:val="-8"/>
                <w:sz w:val="18"/>
                <w:szCs w:val="18"/>
              </w:rPr>
              <w:t>经营同类产品、从事同类业务。如违反上述承诺，则：（</w:t>
            </w:r>
            <w:r>
              <w:rPr>
                <w:rFonts w:ascii="宋体" w:hAnsi="宋体" w:cs="宋体" w:eastAsia="宋体"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自交割日起任职期限不满</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pacing w:val="-6"/>
                <w:sz w:val="18"/>
                <w:szCs w:val="18"/>
              </w:rPr>
              <w:t>个月的，违约方应将其于本交</w:t>
            </w:r>
            <w:r>
              <w:rPr>
                <w:rFonts w:ascii="宋体" w:hAnsi="宋体" w:cs="宋体" w:eastAsia="宋体" w:hint="default"/>
                <w:sz w:val="18"/>
                <w:szCs w:val="18"/>
              </w:rPr>
              <w:t> 易中已获对价的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作为赔偿金返还给上市公司，上市公 </w:t>
            </w:r>
            <w:r>
              <w:rPr>
                <w:rFonts w:ascii="宋体" w:hAnsi="宋体" w:cs="宋体" w:eastAsia="宋体" w:hint="default"/>
                <w:spacing w:val="-4"/>
                <w:sz w:val="18"/>
                <w:szCs w:val="18"/>
              </w:rPr>
              <w:t>司尚未支付的对价无需支付；（</w:t>
            </w:r>
            <w:r>
              <w:rPr>
                <w:rFonts w:ascii="宋体" w:hAnsi="宋体" w:cs="宋体" w:eastAsia="宋体" w:hint="default"/>
                <w:spacing w:val="-4"/>
                <w:sz w:val="18"/>
                <w:szCs w:val="18"/>
              </w:rPr>
              <w:t>2</w:t>
            </w:r>
            <w:r>
              <w:rPr>
                <w:rFonts w:ascii="宋体" w:hAnsi="宋体" w:cs="宋体" w:eastAsia="宋体" w:hint="default"/>
                <w:spacing w:val="-4"/>
                <w:sz w:val="18"/>
                <w:szCs w:val="18"/>
              </w:rPr>
              <w:t>）自交割日起任职期限已</w:t>
            </w:r>
            <w:r>
              <w:rPr>
                <w:rFonts w:ascii="宋体" w:hAnsi="宋体" w:cs="宋体" w:eastAsia="宋体" w:hint="default"/>
                <w:spacing w:val="-76"/>
                <w:sz w:val="18"/>
                <w:szCs w:val="18"/>
              </w:rPr>
              <w:t> </w:t>
            </w: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个月不满</w:t>
            </w:r>
            <w:r>
              <w:rPr>
                <w:rFonts w:ascii="宋体" w:hAnsi="宋体" w:cs="宋体" w:eastAsia="宋体" w:hint="default"/>
                <w:spacing w:val="-44"/>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个月的，违约方应将其于本交易中所获</w:t>
            </w:r>
          </w:p>
          <w:p>
            <w:pPr>
              <w:pStyle w:val="TableParagraph"/>
              <w:spacing w:line="316" w:lineRule="auto" w:before="19"/>
              <w:ind w:left="22" w:right="34"/>
              <w:jc w:val="both"/>
              <w:rPr>
                <w:rFonts w:ascii="宋体" w:hAnsi="宋体" w:cs="宋体" w:eastAsia="宋体" w:hint="default"/>
                <w:sz w:val="18"/>
                <w:szCs w:val="18"/>
              </w:rPr>
            </w:pPr>
            <w:r>
              <w:rPr>
                <w:rFonts w:ascii="宋体" w:hAnsi="宋体" w:cs="宋体" w:eastAsia="宋体" w:hint="default"/>
                <w:sz w:val="18"/>
                <w:szCs w:val="18"/>
              </w:rPr>
              <w:t>对价的</w:t>
            </w:r>
            <w:r>
              <w:rPr>
                <w:rFonts w:ascii="宋体" w:hAnsi="宋体" w:cs="宋体" w:eastAsia="宋体" w:hint="default"/>
                <w:spacing w:val="-46"/>
                <w:sz w:val="18"/>
                <w:szCs w:val="18"/>
              </w:rPr>
              <w:t> </w:t>
            </w:r>
            <w:r>
              <w:rPr>
                <w:rFonts w:ascii="宋体" w:hAnsi="宋体" w:cs="宋体" w:eastAsia="宋体" w:hint="default"/>
                <w:spacing w:val="-4"/>
                <w:sz w:val="18"/>
                <w:szCs w:val="18"/>
              </w:rPr>
              <w:t>20%</w:t>
            </w:r>
            <w:r>
              <w:rPr>
                <w:rFonts w:ascii="宋体" w:hAnsi="宋体" w:cs="宋体" w:eastAsia="宋体" w:hint="default"/>
                <w:spacing w:val="-4"/>
                <w:sz w:val="18"/>
                <w:szCs w:val="18"/>
              </w:rPr>
              <w:t>作为赔偿金支付给上市公司；（</w:t>
            </w:r>
            <w:r>
              <w:rPr>
                <w:rFonts w:ascii="宋体" w:hAnsi="宋体" w:cs="宋体" w:eastAsia="宋体" w:hint="default"/>
                <w:spacing w:val="-4"/>
                <w:sz w:val="18"/>
                <w:szCs w:val="18"/>
              </w:rPr>
              <w:t>3</w:t>
            </w:r>
            <w:r>
              <w:rPr>
                <w:rFonts w:ascii="宋体" w:hAnsi="宋体" w:cs="宋体" w:eastAsia="宋体" w:hint="default"/>
                <w:spacing w:val="-4"/>
                <w:sz w:val="18"/>
                <w:szCs w:val="18"/>
              </w:rPr>
              <w:t>）自离职后</w:t>
            </w:r>
            <w:r>
              <w:rPr>
                <w:rFonts w:ascii="宋体" w:hAnsi="宋体" w:cs="宋体" w:eastAsia="宋体" w:hint="default"/>
                <w:spacing w:val="-46"/>
                <w:sz w:val="18"/>
                <w:szCs w:val="18"/>
              </w:rPr>
              <w:t> </w:t>
            </w:r>
            <w:r>
              <w:rPr>
                <w:rFonts w:ascii="宋体" w:hAnsi="宋体" w:cs="宋体" w:eastAsia="宋体" w:hint="default"/>
                <w:sz w:val="18"/>
                <w:szCs w:val="18"/>
              </w:rPr>
              <w:t>24 </w:t>
            </w:r>
            <w:r>
              <w:rPr>
                <w:rFonts w:ascii="宋体" w:hAnsi="宋体" w:cs="宋体" w:eastAsia="宋体" w:hint="default"/>
                <w:sz w:val="18"/>
                <w:szCs w:val="18"/>
              </w:rPr>
              <w:t>个月内违反竞业禁止义务的，违约方还应向上市公司支付 相当于其上一年度报酬总额的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倍的违约金。</w:t>
            </w:r>
          </w:p>
        </w:tc>
        <w:tc>
          <w:tcPr>
            <w:tcW w:w="81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35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7.8pt;height:17.650pt;mso-position-horizontal-relative:char;mso-position-vertical-relative:line" coordorigin="0,0" coordsize="756,353">
                  <v:group style="position:absolute;left:0;top:0;width:756;height:353" coordorigin="0,0" coordsize="756,353">
                    <v:shape style="position:absolute;left:0;top:0;width:756;height:353" coordorigin="0,0" coordsize="756,353" path="m0,353l756,353,75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2019-10-17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962" w:hRule="exact"/>
        </w:trPr>
        <w:tc>
          <w:tcPr>
            <w:tcW w:w="8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9" w:lineRule="auto"/>
              <w:ind w:left="23" w:right="63"/>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任红军；钟超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44"/>
              <w:jc w:val="both"/>
              <w:rPr>
                <w:rFonts w:ascii="宋体" w:hAnsi="宋体" w:cs="宋体" w:eastAsia="宋体" w:hint="default"/>
                <w:sz w:val="18"/>
                <w:szCs w:val="18"/>
              </w:rPr>
            </w:pPr>
            <w:r>
              <w:rPr>
                <w:rFonts w:ascii="宋体" w:hAnsi="宋体" w:cs="宋体" w:eastAsia="宋体" w:hint="default"/>
                <w:sz w:val="18"/>
                <w:szCs w:val="18"/>
              </w:rPr>
              <w:t>上市前，公司实际控制人任红军、钟超承诺，承诺将尽量 避免与公司进行关联交易，对于因生产经营需要而发生的 </w:t>
            </w:r>
            <w:r>
              <w:rPr>
                <w:rFonts w:ascii="宋体" w:hAnsi="宋体" w:cs="宋体" w:eastAsia="宋体" w:hint="default"/>
                <w:spacing w:val="-5"/>
                <w:sz w:val="18"/>
                <w:szCs w:val="18"/>
              </w:rPr>
              <w:t>关联交易，将严格按照公司章程及相关法律法规进行操作。</w:t>
            </w:r>
            <w:r>
              <w:rPr>
                <w:rFonts w:ascii="宋体" w:hAnsi="宋体" w:cs="宋体" w:eastAsia="宋体" w:hint="default"/>
                <w:sz w:val="18"/>
                <w:szCs w:val="18"/>
              </w:rPr>
            </w:r>
          </w:p>
        </w:tc>
        <w:tc>
          <w:tcPr>
            <w:tcW w:w="81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5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7.8pt;height:17.650pt;mso-position-horizontal-relative:char;mso-position-vertical-relative:line" coordorigin="0,0" coordsize="756,353">
                  <v:group style="position:absolute;left:0;top:0;width:756;height:353" coordorigin="0,0" coordsize="756,353">
                    <v:shape style="position:absolute;left:0;top:0;width:756;height:353" coordorigin="0,0" coordsize="756,353" path="m0,353l756,353,75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962" w:hRule="exact"/>
        </w:trPr>
        <w:tc>
          <w:tcPr>
            <w:tcW w:w="818"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任红军；钟超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上市前，公司实际控制人及持股</w:t>
            </w:r>
            <w:r>
              <w:rPr>
                <w:rFonts w:ascii="宋体" w:hAnsi="宋体" w:cs="宋体" w:eastAsia="宋体" w:hint="default"/>
                <w:spacing w:val="-68"/>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以上股东任红军、钟超 </w:t>
            </w:r>
            <w:r>
              <w:rPr>
                <w:rFonts w:ascii="宋体" w:hAnsi="宋体" w:cs="宋体" w:eastAsia="宋体" w:hint="default"/>
                <w:spacing w:val="-3"/>
                <w:sz w:val="18"/>
                <w:szCs w:val="18"/>
              </w:rPr>
              <w:t>承诺：</w:t>
            </w:r>
            <w:r>
              <w:rPr>
                <w:rFonts w:ascii="宋体" w:hAnsi="宋体" w:cs="宋体" w:eastAsia="宋体" w:hint="default"/>
                <w:spacing w:val="-3"/>
                <w:sz w:val="18"/>
                <w:szCs w:val="18"/>
              </w:rPr>
              <w:t>1</w:t>
            </w:r>
            <w:r>
              <w:rPr>
                <w:rFonts w:ascii="宋体" w:hAnsi="宋体" w:cs="宋体" w:eastAsia="宋体" w:hint="default"/>
                <w:spacing w:val="-3"/>
                <w:sz w:val="18"/>
                <w:szCs w:val="18"/>
              </w:rPr>
              <w:t>、在其持有 </w:t>
            </w:r>
            <w:r>
              <w:rPr>
                <w:rFonts w:ascii="宋体" w:hAnsi="宋体" w:cs="宋体" w:eastAsia="宋体" w:hint="default"/>
                <w:sz w:val="18"/>
                <w:szCs w:val="18"/>
              </w:rPr>
              <w:t>5%</w:t>
            </w:r>
            <w:r>
              <w:rPr>
                <w:rFonts w:ascii="宋体" w:hAnsi="宋体" w:cs="宋体" w:eastAsia="宋体" w:hint="default"/>
                <w:sz w:val="18"/>
                <w:szCs w:val="18"/>
              </w:rPr>
              <w:t>以上股份期间，</w:t>
            </w:r>
            <w:r>
              <w:rPr>
                <w:rFonts w:ascii="宋体" w:hAnsi="宋体" w:cs="宋体" w:eastAsia="宋体" w:hint="default"/>
                <w:spacing w:val="-47"/>
                <w:sz w:val="18"/>
                <w:szCs w:val="18"/>
              </w:rPr>
              <w:t> </w:t>
            </w:r>
            <w:r>
              <w:rPr>
                <w:rFonts w:ascii="宋体" w:hAnsi="宋体" w:cs="宋体" w:eastAsia="宋体" w:hint="default"/>
                <w:sz w:val="18"/>
                <w:szCs w:val="18"/>
              </w:rPr>
              <w:t>不在任何地域以任</w:t>
            </w:r>
            <w:r>
              <w:rPr>
                <w:rFonts w:ascii="宋体" w:hAnsi="宋体" w:cs="宋体" w:eastAsia="宋体" w:hint="default"/>
                <w:sz w:val="18"/>
                <w:szCs w:val="18"/>
              </w:rPr>
              <w:t> </w:t>
            </w:r>
            <w:r>
              <w:rPr>
                <w:rFonts w:ascii="宋体" w:hAnsi="宋体" w:cs="宋体" w:eastAsia="宋体" w:hint="default"/>
                <w:spacing w:val="-3"/>
                <w:sz w:val="18"/>
                <w:szCs w:val="18"/>
              </w:rPr>
              <w:t>何形式从事可能与公司构成同业竞争关系的活动；</w:t>
            </w:r>
            <w:r>
              <w:rPr>
                <w:rFonts w:ascii="宋体" w:hAnsi="宋体" w:cs="宋体" w:eastAsia="宋体" w:hint="default"/>
                <w:spacing w:val="-3"/>
                <w:sz w:val="18"/>
                <w:szCs w:val="18"/>
              </w:rPr>
              <w:t>2</w:t>
            </w:r>
            <w:r>
              <w:rPr>
                <w:rFonts w:ascii="宋体" w:hAnsi="宋体" w:cs="宋体" w:eastAsia="宋体" w:hint="default"/>
                <w:spacing w:val="-3"/>
                <w:sz w:val="18"/>
                <w:szCs w:val="18"/>
              </w:rPr>
              <w:t>、从第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三方获得的商业机会如果属于公司主要业务范围之内的， </w:t>
            </w:r>
            <w:r>
              <w:rPr>
                <w:rFonts w:ascii="宋体" w:hAnsi="宋体" w:cs="宋体" w:eastAsia="宋体" w:hint="default"/>
                <w:spacing w:val="-3"/>
                <w:sz w:val="18"/>
                <w:szCs w:val="18"/>
              </w:rPr>
              <w:t>将告知公司并尽可能协助公司取得该机会；</w:t>
            </w:r>
            <w:r>
              <w:rPr>
                <w:rFonts w:ascii="宋体" w:hAnsi="宋体" w:cs="宋体" w:eastAsia="宋体" w:hint="default"/>
                <w:spacing w:val="-3"/>
                <w:sz w:val="18"/>
                <w:szCs w:val="18"/>
              </w:rPr>
              <w:t>3</w:t>
            </w:r>
            <w:r>
              <w:rPr>
                <w:rFonts w:ascii="宋体" w:hAnsi="宋体" w:cs="宋体" w:eastAsia="宋体" w:hint="default"/>
                <w:spacing w:val="-3"/>
                <w:sz w:val="18"/>
                <w:szCs w:val="18"/>
              </w:rPr>
              <w:t>、不以任何形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式从事可能影响公司经营和发展的业务或活动。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962" w:hRule="exact"/>
        </w:trPr>
        <w:tc>
          <w:tcPr>
            <w:tcW w:w="818"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
              <w:jc w:val="both"/>
              <w:rPr>
                <w:rFonts w:ascii="宋体" w:hAnsi="宋体" w:cs="宋体" w:eastAsia="宋体" w:hint="default"/>
                <w:sz w:val="18"/>
                <w:szCs w:val="18"/>
              </w:rPr>
            </w:pPr>
            <w:r>
              <w:rPr>
                <w:rFonts w:ascii="宋体" w:hAnsi="宋体" w:cs="宋体" w:eastAsia="宋体" w:hint="default"/>
                <w:sz w:val="18"/>
                <w:szCs w:val="18"/>
              </w:rPr>
              <w:t>任红军；刘瑞 玲；张小水； 焦桂东</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上市前，公司董事承诺涉及关联交易事项时，将严格按照 公司章程及相关法律法规规定，严格履行董事的职责。</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962" w:hRule="exact"/>
        </w:trPr>
        <w:tc>
          <w:tcPr>
            <w:tcW w:w="818"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
              <w:jc w:val="both"/>
              <w:rPr>
                <w:rFonts w:ascii="宋体" w:hAnsi="宋体" w:cs="宋体" w:eastAsia="宋体" w:hint="default"/>
                <w:sz w:val="18"/>
                <w:szCs w:val="18"/>
              </w:rPr>
            </w:pPr>
            <w:r>
              <w:rPr>
                <w:rFonts w:ascii="宋体" w:hAnsi="宋体" w:cs="宋体" w:eastAsia="宋体" w:hint="default"/>
                <w:sz w:val="18"/>
                <w:szCs w:val="18"/>
              </w:rPr>
              <w:t>刘瑞玲；张小 水；焦桂东； 张艳丽；尚中 锋；任红军</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both"/>
              <w:rPr>
                <w:rFonts w:ascii="宋体" w:hAnsi="宋体" w:cs="宋体" w:eastAsia="宋体" w:hint="default"/>
                <w:sz w:val="18"/>
                <w:szCs w:val="18"/>
              </w:rPr>
            </w:pPr>
            <w:r>
              <w:rPr>
                <w:rFonts w:ascii="宋体" w:hAnsi="宋体" w:cs="宋体" w:eastAsia="宋体" w:hint="default"/>
                <w:spacing w:val="6"/>
                <w:sz w:val="18"/>
                <w:szCs w:val="18"/>
              </w:rPr>
              <w:t>关于同业 竞争、关 联交易、 资金占用 方面的承 </w:t>
            </w:r>
            <w:r>
              <w:rPr>
                <w:rFonts w:ascii="宋体" w:hAnsi="宋体" w:cs="宋体" w:eastAsia="宋体" w:hint="default"/>
                <w:sz w:val="18"/>
                <w:szCs w:val="18"/>
              </w:rPr>
              <w:t>诺</w:t>
            </w:r>
          </w:p>
        </w:tc>
        <w:tc>
          <w:tcPr>
            <w:tcW w:w="45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上市前，公司董事、监事、高管承诺</w:t>
            </w:r>
            <w:r>
              <w:rPr>
                <w:rFonts w:ascii="宋体" w:hAnsi="宋体" w:cs="宋体" w:eastAsia="宋体" w:hint="default"/>
                <w:sz w:val="18"/>
                <w:szCs w:val="18"/>
              </w:rPr>
              <w:t>:1</w:t>
            </w:r>
            <w:r>
              <w:rPr>
                <w:rFonts w:ascii="宋体" w:hAnsi="宋体" w:cs="宋体" w:eastAsia="宋体" w:hint="default"/>
                <w:sz w:val="18"/>
                <w:szCs w:val="18"/>
              </w:rPr>
              <w:t>、不存在自营或为 </w:t>
            </w:r>
            <w:r>
              <w:rPr>
                <w:rFonts w:ascii="宋体" w:hAnsi="宋体" w:cs="宋体" w:eastAsia="宋体" w:hint="default"/>
                <w:spacing w:val="-8"/>
                <w:sz w:val="18"/>
                <w:szCs w:val="18"/>
              </w:rPr>
              <w:t>他人经营与公司同类业务的情况；</w:t>
            </w:r>
            <w:r>
              <w:rPr>
                <w:rFonts w:ascii="宋体" w:hAnsi="宋体" w:cs="宋体" w:eastAsia="宋体" w:hint="default"/>
                <w:spacing w:val="-8"/>
                <w:sz w:val="18"/>
                <w:szCs w:val="18"/>
              </w:rPr>
              <w:t>2</w:t>
            </w:r>
            <w:r>
              <w:rPr>
                <w:rFonts w:ascii="宋体" w:hAnsi="宋体" w:cs="宋体" w:eastAsia="宋体" w:hint="default"/>
                <w:spacing w:val="-8"/>
                <w:sz w:val="18"/>
                <w:szCs w:val="18"/>
              </w:rPr>
              <w:t>、在担任公司职务期间，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不在任何地域以任何形式从事可能与公司构成同业竞争关</w:t>
            </w:r>
            <w:r>
              <w:rPr>
                <w:rFonts w:ascii="宋体" w:hAnsi="宋体" w:cs="宋体" w:eastAsia="宋体" w:hint="default"/>
                <w:sz w:val="18"/>
                <w:szCs w:val="18"/>
              </w:rPr>
              <w:t> 系的活动，同时督促其本人的配偶、成年子女及其配偶等 主要亲属遵守上述承诺的约束。</w:t>
            </w:r>
          </w:p>
        </w:tc>
        <w:tc>
          <w:tcPr>
            <w:tcW w:w="81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51"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7.8pt;height:17.6pt;mso-position-horizontal-relative:char;mso-position-vertical-relative:line" coordorigin="0,0" coordsize="756,352">
                  <v:group style="position:absolute;left:0;top:0;width:756;height:352" coordorigin="0,0" coordsize="756,352">
                    <v:shape style="position:absolute;left:0;top:0;width:756;height:352" coordorigin="0,0" coordsize="756,352" path="m0,352l756,352,756,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299"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兴业全球基 金管理有限 公司；国投瑞 银资本管理</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4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130"/>
              <w:jc w:val="left"/>
              <w:rPr>
                <w:rFonts w:ascii="宋体" w:hAnsi="宋体" w:cs="宋体" w:eastAsia="宋体" w:hint="default"/>
                <w:sz w:val="18"/>
                <w:szCs w:val="18"/>
              </w:rPr>
            </w:pPr>
            <w:r>
              <w:rPr>
                <w:rFonts w:ascii="宋体" w:hAnsi="宋体" w:cs="宋体" w:eastAsia="宋体" w:hint="default"/>
                <w:sz w:val="18"/>
                <w:szCs w:val="18"/>
              </w:rPr>
              <w:t>承诺因汉威电子非公开发行获得的股票自上市后</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 不进行流动转让。</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2016-01-09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06.440002pt;margin-top:199.819977pt;width:46.3pt;height:232.05pt;mso-position-horizontal-relative:page;mso-position-vertical-relative:page;z-index:-995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99.397003pt;margin-top:482.619995pt;width:253.35pt;height:232.05pt;mso-position-horizontal-relative:page;mso-position-vertical-relative:page;z-index:-99558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沈阳金建构成直接或间接竞争的生产经营业务或活动。</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2700" w:right="0" w:firstLine="0"/>
                    <w:jc w:val="left"/>
                    <w:rPr>
                      <w:rFonts w:ascii="宋体" w:hAnsi="宋体" w:cs="宋体" w:eastAsia="宋体" w:hint="default"/>
                      <w:sz w:val="18"/>
                      <w:szCs w:val="18"/>
                    </w:rPr>
                  </w:pPr>
                  <w:r>
                    <w:rPr>
                      <w:rFonts w:ascii="宋体" w:hAnsi="宋体" w:cs="宋体" w:eastAsia="宋体" w:hint="default"/>
                      <w:sz w:val="18"/>
                      <w:szCs w:val="18"/>
                    </w:rPr>
                    <w:t>不直接或间接从事、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922" w:type="dxa"/>
        <w:tblLayout w:type="fixed"/>
        <w:tblCellMar>
          <w:top w:w="0" w:type="dxa"/>
          <w:left w:w="0" w:type="dxa"/>
          <w:bottom w:w="0" w:type="dxa"/>
          <w:right w:w="0" w:type="dxa"/>
        </w:tblCellMar>
        <w:tblLook w:val="01E0"/>
      </w:tblPr>
      <w:tblGrid>
        <w:gridCol w:w="818"/>
        <w:gridCol w:w="1134"/>
        <w:gridCol w:w="794"/>
        <w:gridCol w:w="4574"/>
        <w:gridCol w:w="811"/>
        <w:gridCol w:w="1026"/>
        <w:gridCol w:w="894"/>
      </w:tblGrid>
      <w:tr>
        <w:trPr>
          <w:trHeight w:val="2547"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有限公司；北 信瑞丰基金 管理有限公 司；华宝信托 有限责任公 司；第一创业 证券股份有 限公司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457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39"/>
              <w:jc w:val="left"/>
              <w:rPr>
                <w:rFonts w:ascii="宋体" w:hAnsi="宋体" w:cs="宋体" w:eastAsia="宋体" w:hint="default"/>
                <w:sz w:val="18"/>
                <w:szCs w:val="18"/>
              </w:rPr>
            </w:pPr>
            <w:r>
              <w:rPr>
                <w:rFonts w:ascii="宋体" w:hAnsi="宋体" w:cs="宋体" w:eastAsia="宋体" w:hint="default"/>
                <w:sz w:val="18"/>
                <w:szCs w:val="18"/>
              </w:rPr>
              <w:t>做的承诺。</w:t>
            </w:r>
          </w:p>
        </w:tc>
      </w:tr>
      <w:tr>
        <w:trPr>
          <w:trHeight w:val="10306" w:hRule="exact"/>
        </w:trPr>
        <w:tc>
          <w:tcPr>
            <w:tcW w:w="8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316" w:lineRule="auto"/>
              <w:ind w:left="23" w:right="63"/>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任红军；钟超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2" w:right="41"/>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为充分保护上市公司的利益，作为汉威电子的控股股东及 </w:t>
            </w:r>
            <w:r>
              <w:rPr>
                <w:rFonts w:ascii="宋体" w:hAnsi="宋体" w:cs="宋体" w:eastAsia="宋体" w:hint="default"/>
                <w:spacing w:val="-4"/>
                <w:sz w:val="18"/>
                <w:szCs w:val="18"/>
              </w:rPr>
              <w:t>实际控制人，任红军先生、钟超女士承诺：（</w:t>
            </w:r>
            <w:r>
              <w:rPr>
                <w:rFonts w:ascii="宋体" w:hAnsi="宋体" w:cs="宋体" w:eastAsia="宋体" w:hint="default"/>
                <w:spacing w:val="-4"/>
                <w:sz w:val="18"/>
                <w:szCs w:val="18"/>
              </w:rPr>
              <w:t>1</w:t>
            </w:r>
            <w:r>
              <w:rPr>
                <w:rFonts w:ascii="宋体" w:hAnsi="宋体" w:cs="宋体" w:eastAsia="宋体" w:hint="default"/>
                <w:spacing w:val="-4"/>
                <w:sz w:val="18"/>
                <w:szCs w:val="18"/>
              </w:rPr>
              <w:t>）将采取有</w:t>
            </w:r>
            <w:r>
              <w:rPr>
                <w:rFonts w:ascii="宋体" w:hAnsi="宋体" w:cs="宋体" w:eastAsia="宋体" w:hint="default"/>
                <w:spacing w:val="-76"/>
                <w:sz w:val="18"/>
                <w:szCs w:val="18"/>
              </w:rPr>
              <w:t> </w:t>
            </w:r>
            <w:r>
              <w:rPr>
                <w:rFonts w:ascii="宋体" w:hAnsi="宋体" w:cs="宋体" w:eastAsia="宋体" w:hint="default"/>
                <w:sz w:val="18"/>
                <w:szCs w:val="18"/>
              </w:rPr>
              <w:t>效措施尽量避免任红军、钟超及其控制的其他子公司、分 公司、合营或联营公司与汉威电子及其子公司之间发生关 </w:t>
            </w:r>
            <w:r>
              <w:rPr>
                <w:rFonts w:ascii="宋体" w:hAnsi="宋体" w:cs="宋体" w:eastAsia="宋体" w:hint="default"/>
                <w:spacing w:val="-4"/>
                <w:sz w:val="18"/>
                <w:szCs w:val="18"/>
              </w:rPr>
              <w:t>联交易。（</w:t>
            </w:r>
            <w:r>
              <w:rPr>
                <w:rFonts w:ascii="宋体" w:hAnsi="宋体" w:cs="宋体" w:eastAsia="宋体" w:hint="default"/>
                <w:spacing w:val="-4"/>
                <w:sz w:val="18"/>
                <w:szCs w:val="18"/>
              </w:rPr>
              <w:t>2</w:t>
            </w:r>
            <w:r>
              <w:rPr>
                <w:rFonts w:ascii="宋体" w:hAnsi="宋体" w:cs="宋体" w:eastAsia="宋体" w:hint="default"/>
                <w:spacing w:val="-4"/>
                <w:sz w:val="18"/>
                <w:szCs w:val="18"/>
              </w:rPr>
              <w:t>）不利用自身作为汉威电子控股股东之地位为</w:t>
            </w:r>
            <w:r>
              <w:rPr>
                <w:rFonts w:ascii="宋体" w:hAnsi="宋体" w:cs="宋体" w:eastAsia="宋体" w:hint="default"/>
                <w:spacing w:val="-76"/>
                <w:sz w:val="18"/>
                <w:szCs w:val="18"/>
              </w:rPr>
              <w:t> </w:t>
            </w:r>
            <w:r>
              <w:rPr>
                <w:rFonts w:ascii="宋体" w:hAnsi="宋体" w:cs="宋体" w:eastAsia="宋体" w:hint="default"/>
                <w:sz w:val="18"/>
                <w:szCs w:val="18"/>
              </w:rPr>
              <w:t>任红军、钟超及其控制的其他子公司、分公司、合营或联 营公司谋求与汉威电子在业务合作等方面给予优于市场其 </w:t>
            </w:r>
            <w:r>
              <w:rPr>
                <w:rFonts w:ascii="宋体" w:hAnsi="宋体" w:cs="宋体" w:eastAsia="宋体" w:hint="default"/>
                <w:spacing w:val="-4"/>
                <w:sz w:val="18"/>
                <w:szCs w:val="18"/>
              </w:rPr>
              <w:t>他第三方的权利；（</w:t>
            </w:r>
            <w:r>
              <w:rPr>
                <w:rFonts w:ascii="宋体" w:hAnsi="宋体" w:cs="宋体" w:eastAsia="宋体" w:hint="default"/>
                <w:spacing w:val="-4"/>
                <w:sz w:val="18"/>
                <w:szCs w:val="18"/>
              </w:rPr>
              <w:t>3</w:t>
            </w:r>
            <w:r>
              <w:rPr>
                <w:rFonts w:ascii="宋体" w:hAnsi="宋体" w:cs="宋体" w:eastAsia="宋体" w:hint="default"/>
                <w:spacing w:val="-4"/>
                <w:sz w:val="18"/>
                <w:szCs w:val="18"/>
              </w:rPr>
              <w:t>）不利用自身作为汉威电子控股股东</w:t>
            </w:r>
            <w:r>
              <w:rPr>
                <w:rFonts w:ascii="宋体" w:hAnsi="宋体" w:cs="宋体" w:eastAsia="宋体" w:hint="default"/>
                <w:spacing w:val="-76"/>
                <w:sz w:val="18"/>
                <w:szCs w:val="18"/>
              </w:rPr>
              <w:t> </w:t>
            </w:r>
            <w:r>
              <w:rPr>
                <w:rFonts w:ascii="宋体" w:hAnsi="宋体" w:cs="宋体" w:eastAsia="宋体" w:hint="default"/>
                <w:sz w:val="18"/>
                <w:szCs w:val="18"/>
              </w:rPr>
              <w:t>之地位为任红军、钟超及其控制的其他子公司、分公司、 </w:t>
            </w:r>
            <w:r>
              <w:rPr>
                <w:rFonts w:ascii="宋体" w:hAnsi="宋体" w:cs="宋体" w:eastAsia="宋体" w:hint="default"/>
                <w:spacing w:val="-7"/>
                <w:sz w:val="18"/>
                <w:szCs w:val="18"/>
              </w:rPr>
              <w:t>合营或联营公司谋求与汉威电子优先达成交易的权利；（</w:t>
            </w:r>
            <w:r>
              <w:rPr>
                <w:rFonts w:ascii="宋体" w:hAnsi="宋体" w:cs="宋体" w:eastAsia="宋体" w:hint="default"/>
                <w:spacing w:val="-7"/>
                <w:sz w:val="18"/>
                <w:szCs w:val="18"/>
              </w:rPr>
              <w:t>4</w:t>
            </w:r>
            <w:r>
              <w:rPr>
                <w:rFonts w:ascii="宋体" w:hAnsi="宋体" w:cs="宋体" w:eastAsia="宋体" w:hint="default"/>
                <w:spacing w:val="-72"/>
                <w:sz w:val="18"/>
                <w:szCs w:val="18"/>
              </w:rPr>
              <w:t> </w:t>
            </w:r>
            <w:r>
              <w:rPr>
                <w:rFonts w:ascii="宋体" w:hAnsi="宋体" w:cs="宋体" w:eastAsia="宋体" w:hint="default"/>
                <w:sz w:val="18"/>
                <w:szCs w:val="18"/>
              </w:rPr>
              <w:t>在进行确有必要且无法避免的关联交易时，保证按市场化 原则和公允价格进行公平操作，并按相关法律法规、规范 性文件及汉威电子的公司章程的规定履行相应审批程序及 信息披露义务。为充分保护上市公司的利益，作为汉威电 子的控股股东及实际控制人，任红军先生、钟超女士承诺</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）承诺人及承诺人所控制的其他子公司、分公司、合营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或联营公司及其他任何类型企业（以下统称为“相关企 业”）目前均未从事任何与汉威电子及其子公司、嘉园环 保、</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）承诺人及相关企业将来亦不直接或间接从事任何与汉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威电子及其子公司相同或类似的业务， 参与或进行与汉威电子及其子公司的生产经营构成竞争的 任何生产经营业务或活动，且不再对具有与汉威电子及其 </w:t>
            </w:r>
            <w:r>
              <w:rPr>
                <w:rFonts w:ascii="宋体" w:hAnsi="宋体" w:cs="宋体" w:eastAsia="宋体" w:hint="default"/>
                <w:spacing w:val="-4"/>
                <w:sz w:val="18"/>
                <w:szCs w:val="18"/>
              </w:rPr>
              <w:t>子公司有相同或类似业务的企业进行投资。（</w:t>
            </w:r>
            <w:r>
              <w:rPr>
                <w:rFonts w:ascii="宋体" w:hAnsi="宋体" w:cs="宋体" w:eastAsia="宋体" w:hint="default"/>
                <w:spacing w:val="-4"/>
                <w:sz w:val="18"/>
                <w:szCs w:val="18"/>
              </w:rPr>
              <w:t>3</w:t>
            </w:r>
            <w:r>
              <w:rPr>
                <w:rFonts w:ascii="宋体" w:hAnsi="宋体" w:cs="宋体" w:eastAsia="宋体" w:hint="default"/>
                <w:spacing w:val="-4"/>
                <w:sz w:val="18"/>
                <w:szCs w:val="18"/>
              </w:rPr>
              <w:t>）承诺人将</w:t>
            </w:r>
            <w:r>
              <w:rPr>
                <w:rFonts w:ascii="宋体" w:hAnsi="宋体" w:cs="宋体" w:eastAsia="宋体" w:hint="default"/>
                <w:spacing w:val="-76"/>
                <w:sz w:val="18"/>
                <w:szCs w:val="18"/>
              </w:rPr>
              <w:t> </w:t>
            </w:r>
            <w:r>
              <w:rPr>
                <w:rFonts w:ascii="宋体" w:hAnsi="宋体" w:cs="宋体" w:eastAsia="宋体" w:hint="default"/>
                <w:sz w:val="18"/>
                <w:szCs w:val="18"/>
              </w:rPr>
              <w:t>对自身及相关企业的生产经营活动进行监督和约束，如果 将来承诺人及相关企业的产品或业务与汉威电子及其子公 司的产品或业务出现相同或类似的情况，承诺人承诺将采 </w:t>
            </w:r>
            <w:r>
              <w:rPr>
                <w:rFonts w:ascii="宋体" w:hAnsi="宋体" w:cs="宋体" w:eastAsia="宋体" w:hint="default"/>
                <w:spacing w:val="-4"/>
                <w:sz w:val="18"/>
                <w:szCs w:val="18"/>
              </w:rPr>
              <w:t>取以下措施解决：①</w:t>
            </w:r>
            <w:r>
              <w:rPr>
                <w:rFonts w:ascii="宋体" w:hAnsi="宋体" w:cs="宋体" w:eastAsia="宋体" w:hint="default"/>
                <w:spacing w:val="10"/>
                <w:sz w:val="18"/>
                <w:szCs w:val="18"/>
              </w:rPr>
              <w:t> </w:t>
            </w:r>
            <w:r>
              <w:rPr>
                <w:rFonts w:ascii="宋体" w:hAnsi="宋体" w:cs="宋体" w:eastAsia="宋体" w:hint="default"/>
                <w:spacing w:val="-3"/>
                <w:sz w:val="18"/>
                <w:szCs w:val="18"/>
              </w:rPr>
              <w:t>汉威电子认为必要时，承诺人及相关</w:t>
            </w:r>
            <w:r>
              <w:rPr>
                <w:rFonts w:ascii="宋体" w:hAnsi="宋体" w:cs="宋体" w:eastAsia="宋体" w:hint="default"/>
                <w:sz w:val="18"/>
                <w:szCs w:val="18"/>
              </w:rPr>
              <w:t> 企业将减持直至全部转让所持有的有关资产和业务；②汉 威电子认为必要时，可以通过适当方式优先收购承诺人及 相关企业持有的有关资产和业务；③如承诺人及相关企业 与汉威电子及其子公司因同业竞争产生利益冲突，则无条 件将相关利益让与汉威电子。</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46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2"/>
                <w:sz w:val="20"/>
                <w:szCs w:val="20"/>
              </w:rPr>
              <w:pict>
                <v:group style="width:40.1pt;height:232.05pt;mso-position-horizontal-relative:char;mso-position-vertical-relative:line" coordorigin="0,0" coordsize="802,4641">
                  <v:group style="position:absolute;left:0;top:0;width:802;height:4641" coordorigin="0,0" coordsize="802,4641">
                    <v:shape style="position:absolute;left:0;top:0;width:802;height:4641" coordorigin="0,0" coordsize="802,4641" path="m0,4641l802,4641,802,0,0,0,0,4641xe" filled="true" fillcolor="#ffffff" stroked="false">
                      <v:path arrowok="t"/>
                      <v:fill type="solid"/>
                    </v:shape>
                  </v:group>
                </v:group>
              </w:pict>
            </w:r>
            <w:r>
              <w:rPr>
                <w:rFonts w:ascii="Times New Roman" w:hAnsi="Times New Roman" w:cs="Times New Roman" w:eastAsia="Times New Roman" w:hint="default"/>
                <w:position w:val="-92"/>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46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2"/>
                <w:sz w:val="20"/>
                <w:szCs w:val="20"/>
              </w:rPr>
              <w:pict>
                <v:group style="width:40.1pt;height:232.05pt;mso-position-horizontal-relative:char;mso-position-vertical-relative:line" coordorigin="0,0" coordsize="802,4641">
                  <v:group style="position:absolute;left:0;top:0;width:802;height:4641" coordorigin="0,0" coordsize="802,4641">
                    <v:shape style="position:absolute;left:0;top:0;width:802;height:4641" coordorigin="0,0" coordsize="802,4641" path="m0,4641l802,4641,802,0,0,0,0,4641xe" filled="true" fillcolor="#ffffff" stroked="false">
                      <v:path arrowok="t"/>
                      <v:fill type="solid"/>
                    </v:shape>
                  </v:group>
                </v:group>
              </w:pict>
            </w:r>
            <w:r>
              <w:rPr>
                <w:rFonts w:ascii="Times New Roman" w:hAnsi="Times New Roman" w:cs="Times New Roman" w:eastAsia="Times New Roman" w:hint="default"/>
                <w:position w:val="-92"/>
                <w:sz w:val="20"/>
                <w:szCs w:val="20"/>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2020-01-09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026"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周志刚；王家 豪</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广东龙泉交易对方周志刚、王家豪承诺：</w:t>
            </w:r>
            <w:r>
              <w:rPr>
                <w:rFonts w:ascii="宋体" w:hAnsi="宋体" w:cs="宋体" w:eastAsia="宋体" w:hint="default"/>
                <w:sz w:val="18"/>
                <w:szCs w:val="18"/>
              </w:rPr>
              <w:t>2015</w:t>
            </w:r>
            <w:r>
              <w:rPr>
                <w:rFonts w:ascii="宋体" w:hAnsi="宋体" w:cs="宋体" w:eastAsia="宋体" w:hint="default"/>
                <w:spacing w:val="-61"/>
                <w:sz w:val="18"/>
                <w:szCs w:val="18"/>
              </w:rPr>
              <w:t> </w:t>
            </w:r>
            <w:r>
              <w:rPr>
                <w:rFonts w:ascii="宋体" w:hAnsi="宋体" w:cs="宋体" w:eastAsia="宋体" w:hint="default"/>
                <w:sz w:val="18"/>
                <w:szCs w:val="18"/>
              </w:rPr>
              <w:t>年实现净利 润不低于</w:t>
            </w:r>
            <w:r>
              <w:rPr>
                <w:rFonts w:ascii="宋体" w:hAnsi="宋体" w:cs="宋体" w:eastAsia="宋体" w:hint="default"/>
                <w:spacing w:val="-46"/>
                <w:sz w:val="18"/>
                <w:szCs w:val="18"/>
              </w:rPr>
              <w:t> </w:t>
            </w:r>
            <w:r>
              <w:rPr>
                <w:rFonts w:ascii="宋体" w:hAnsi="宋体" w:cs="宋体" w:eastAsia="宋体" w:hint="default"/>
                <w:sz w:val="18"/>
                <w:szCs w:val="18"/>
              </w:rPr>
              <w:t>350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年实现净利润不低于</w:t>
            </w:r>
            <w:r>
              <w:rPr>
                <w:rFonts w:ascii="宋体" w:hAnsi="宋体" w:cs="宋体" w:eastAsia="宋体" w:hint="default"/>
                <w:spacing w:val="-46"/>
                <w:sz w:val="18"/>
                <w:szCs w:val="18"/>
              </w:rPr>
              <w:t> </w:t>
            </w:r>
            <w:r>
              <w:rPr>
                <w:rFonts w:ascii="宋体" w:hAnsi="宋体" w:cs="宋体" w:eastAsia="宋体" w:hint="default"/>
                <w:sz w:val="18"/>
                <w:szCs w:val="18"/>
              </w:rPr>
              <w:t>455</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年实现净利润不低于</w:t>
            </w:r>
            <w:r>
              <w:rPr>
                <w:rFonts w:ascii="宋体" w:hAnsi="宋体" w:cs="宋体" w:eastAsia="宋体" w:hint="default"/>
                <w:spacing w:val="-46"/>
                <w:sz w:val="18"/>
                <w:szCs w:val="18"/>
              </w:rPr>
              <w:t> </w:t>
            </w:r>
            <w:r>
              <w:rPr>
                <w:rFonts w:ascii="宋体" w:hAnsi="宋体" w:cs="宋体" w:eastAsia="宋体" w:hint="default"/>
                <w:sz w:val="18"/>
                <w:szCs w:val="18"/>
              </w:rPr>
              <w:t>592</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74"/>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实现净利润不</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2019-12-31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922" w:type="dxa"/>
        <w:tblLayout w:type="fixed"/>
        <w:tblCellMar>
          <w:top w:w="0" w:type="dxa"/>
          <w:left w:w="0" w:type="dxa"/>
          <w:bottom w:w="0" w:type="dxa"/>
          <w:right w:w="0" w:type="dxa"/>
        </w:tblCellMar>
        <w:tblLook w:val="01E0"/>
      </w:tblPr>
      <w:tblGrid>
        <w:gridCol w:w="818"/>
        <w:gridCol w:w="1134"/>
        <w:gridCol w:w="794"/>
        <w:gridCol w:w="4574"/>
        <w:gridCol w:w="811"/>
        <w:gridCol w:w="1026"/>
        <w:gridCol w:w="894"/>
      </w:tblGrid>
      <w:tr>
        <w:trPr>
          <w:trHeight w:val="674" w:hRule="exact"/>
        </w:trPr>
        <w:tc>
          <w:tcPr>
            <w:tcW w:w="818"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宋体" w:hAnsi="宋体" w:cs="宋体" w:eastAsia="宋体" w:hint="default"/>
                <w:sz w:val="18"/>
                <w:szCs w:val="18"/>
              </w:rPr>
              <w:t>740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年不低于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年的业绩承诺水平。</w:t>
            </w:r>
          </w:p>
        </w:tc>
        <w:tc>
          <w:tcPr>
            <w:tcW w:w="81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遵守了所 做的承诺。</w:t>
            </w:r>
          </w:p>
        </w:tc>
      </w:tr>
      <w:tr>
        <w:trPr>
          <w:trHeight w:val="2586" w:hRule="exact"/>
        </w:trPr>
        <w:tc>
          <w:tcPr>
            <w:tcW w:w="818"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王明慧；张连 富；韩晓东； 吴世伟；邢洪 杰；高伟；李 </w:t>
            </w:r>
            <w:r>
              <w:rPr>
                <w:rFonts w:ascii="宋体" w:hAnsi="宋体" w:cs="宋体" w:eastAsia="宋体" w:hint="default"/>
                <w:spacing w:val="35"/>
                <w:sz w:val="18"/>
                <w:szCs w:val="18"/>
              </w:rPr>
              <w:t>世铭；王铭</w:t>
            </w:r>
            <w:r>
              <w:rPr>
                <w:rFonts w:ascii="宋体" w:hAnsi="宋体" w:cs="宋体" w:eastAsia="宋体" w:hint="default"/>
                <w:spacing w:val="-46"/>
                <w:sz w:val="18"/>
                <w:szCs w:val="18"/>
              </w:rPr>
              <w:t> </w:t>
            </w:r>
            <w:r>
              <w:rPr>
                <w:rFonts w:ascii="宋体" w:hAnsi="宋体" w:cs="宋体" w:eastAsia="宋体" w:hint="default"/>
                <w:sz w:val="18"/>
                <w:szCs w:val="18"/>
              </w:rPr>
              <w:t>岩；赵东阳；</w:t>
            </w:r>
            <w:r>
              <w:rPr>
                <w:rFonts w:ascii="宋体" w:hAnsi="宋体" w:cs="宋体" w:eastAsia="宋体" w:hint="default"/>
                <w:sz w:val="18"/>
                <w:szCs w:val="18"/>
              </w:rPr>
              <w:t> </w:t>
            </w:r>
            <w:r>
              <w:rPr>
                <w:rFonts w:ascii="宋体" w:hAnsi="宋体" w:cs="宋体" w:eastAsia="宋体" w:hint="default"/>
                <w:spacing w:val="35"/>
                <w:sz w:val="18"/>
                <w:szCs w:val="18"/>
              </w:rPr>
              <w:t>曲兴瑞；李</w:t>
            </w:r>
            <w:r>
              <w:rPr>
                <w:rFonts w:ascii="宋体" w:hAnsi="宋体" w:cs="宋体" w:eastAsia="宋体" w:hint="default"/>
                <w:spacing w:val="-46"/>
                <w:sz w:val="18"/>
                <w:szCs w:val="18"/>
              </w:rPr>
              <w:t> </w:t>
            </w:r>
            <w:r>
              <w:rPr>
                <w:rFonts w:ascii="宋体" w:hAnsi="宋体" w:cs="宋体" w:eastAsia="宋体" w:hint="default"/>
                <w:sz w:val="18"/>
                <w:szCs w:val="18"/>
              </w:rPr>
              <w:t>想；杨金龙</w:t>
            </w:r>
          </w:p>
        </w:tc>
        <w:tc>
          <w:tcPr>
            <w:tcW w:w="7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1" w:right="41"/>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22"/>
              <w:jc w:val="both"/>
              <w:rPr>
                <w:rFonts w:ascii="宋体" w:hAnsi="宋体" w:cs="宋体" w:eastAsia="宋体" w:hint="default"/>
                <w:sz w:val="18"/>
                <w:szCs w:val="18"/>
              </w:rPr>
            </w:pPr>
            <w:r>
              <w:rPr>
                <w:rFonts w:ascii="宋体" w:hAnsi="宋体" w:cs="宋体" w:eastAsia="宋体" w:hint="default"/>
                <w:sz w:val="18"/>
                <w:szCs w:val="18"/>
              </w:rPr>
              <w:t>鞍山易兴交易对方王明慧、张连富、韩晓东等承诺：鞍山 易兴</w:t>
            </w:r>
            <w:r>
              <w:rPr>
                <w:rFonts w:ascii="宋体" w:hAnsi="宋体" w:cs="宋体" w:eastAsia="宋体" w:hint="default"/>
                <w:spacing w:val="-52"/>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年实现的净利润扣 除非经常性损益后孰低值不低于</w:t>
            </w:r>
            <w:r>
              <w:rPr>
                <w:rFonts w:ascii="宋体" w:hAnsi="宋体" w:cs="宋体" w:eastAsia="宋体" w:hint="default"/>
                <w:spacing w:val="-44"/>
                <w:sz w:val="18"/>
                <w:szCs w:val="18"/>
              </w:rPr>
              <w:t> </w:t>
            </w:r>
            <w:r>
              <w:rPr>
                <w:rFonts w:ascii="宋体" w:hAnsi="宋体" w:cs="宋体" w:eastAsia="宋体" w:hint="default"/>
                <w:sz w:val="18"/>
                <w:szCs w:val="18"/>
              </w:rPr>
              <w:t>450</w:t>
            </w:r>
            <w:r>
              <w:rPr>
                <w:rFonts w:ascii="宋体" w:hAnsi="宋体" w:cs="宋体" w:eastAsia="宋体" w:hint="default"/>
                <w:spacing w:val="-44"/>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600</w:t>
            </w:r>
            <w:r>
              <w:rPr>
                <w:rFonts w:ascii="宋体" w:hAnsi="宋体" w:cs="宋体" w:eastAsia="宋体" w:hint="default"/>
                <w:spacing w:val="-44"/>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750</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1000</w:t>
            </w:r>
            <w:r>
              <w:rPr>
                <w:rFonts w:ascii="宋体" w:hAnsi="宋体" w:cs="宋体" w:eastAsia="宋体" w:hint="default"/>
                <w:spacing w:val="-52"/>
                <w:sz w:val="18"/>
                <w:szCs w:val="18"/>
              </w:rPr>
              <w:t> </w:t>
            </w:r>
            <w:r>
              <w:rPr>
                <w:rFonts w:ascii="宋体" w:hAnsi="宋体" w:cs="宋体" w:eastAsia="宋体" w:hint="default"/>
                <w:sz w:val="18"/>
                <w:szCs w:val="18"/>
              </w:rPr>
              <w:t>万元，</w:t>
            </w: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年分别不低于</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年的 承诺水平。</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
              <w:jc w:val="center"/>
              <w:rPr>
                <w:rFonts w:ascii="宋体" w:hAnsi="宋体" w:cs="宋体" w:eastAsia="宋体" w:hint="default"/>
                <w:sz w:val="18"/>
                <w:szCs w:val="18"/>
              </w:rPr>
            </w:pPr>
            <w:r>
              <w:rPr>
                <w:rFonts w:ascii="宋体"/>
                <w:sz w:val="18"/>
              </w:rPr>
              <w:t>2019-12-31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650" w:hRule="exact"/>
        </w:trPr>
        <w:tc>
          <w:tcPr>
            <w:tcW w:w="818"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1"/>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任红军先生计划在</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日期</w:t>
            </w:r>
          </w:p>
          <w:p>
            <w:pPr>
              <w:pStyle w:val="TableParagraph"/>
              <w:spacing w:line="316" w:lineRule="auto" w:before="76"/>
              <w:ind w:left="22" w:right="40"/>
              <w:jc w:val="left"/>
              <w:rPr>
                <w:rFonts w:ascii="宋体" w:hAnsi="宋体" w:cs="宋体" w:eastAsia="宋体" w:hint="default"/>
                <w:sz w:val="18"/>
                <w:szCs w:val="18"/>
              </w:rPr>
            </w:pPr>
            <w:r>
              <w:rPr>
                <w:rFonts w:ascii="宋体" w:hAnsi="宋体" w:cs="宋体" w:eastAsia="宋体" w:hint="default"/>
                <w:sz w:val="18"/>
                <w:szCs w:val="18"/>
              </w:rPr>
              <w:t>间，增持数量不超过</w:t>
            </w:r>
            <w:r>
              <w:rPr>
                <w:rFonts w:ascii="宋体" w:hAnsi="宋体" w:cs="宋体" w:eastAsia="宋体" w:hint="default"/>
                <w:spacing w:val="-46"/>
                <w:sz w:val="18"/>
                <w:szCs w:val="18"/>
              </w:rPr>
              <w:t> </w:t>
            </w:r>
            <w:r>
              <w:rPr>
                <w:rFonts w:ascii="宋体" w:hAnsi="宋体" w:cs="宋体" w:eastAsia="宋体" w:hint="default"/>
                <w:sz w:val="18"/>
                <w:szCs w:val="18"/>
              </w:rPr>
              <w:t>1,000,000</w:t>
            </w:r>
            <w:r>
              <w:rPr>
                <w:rFonts w:ascii="宋体" w:hAnsi="宋体" w:cs="宋体" w:eastAsia="宋体" w:hint="default"/>
                <w:spacing w:val="-46"/>
                <w:sz w:val="18"/>
                <w:szCs w:val="18"/>
              </w:rPr>
              <w:t> </w:t>
            </w:r>
            <w:r>
              <w:rPr>
                <w:rFonts w:ascii="宋体" w:hAnsi="宋体" w:cs="宋体" w:eastAsia="宋体" w:hint="default"/>
                <w:sz w:val="18"/>
                <w:szCs w:val="18"/>
              </w:rPr>
              <w:t>股公司股份，并承诺在增 持完成后六个月内不转让所持公司股份。</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2016-07-03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882" w:hRule="exact"/>
        </w:trPr>
        <w:tc>
          <w:tcPr>
            <w:tcW w:w="818"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尚中锋；张小 水；钟超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承诺公告后</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个月内通过相关法律法规允许的方式择机 </w:t>
            </w:r>
            <w:r>
              <w:rPr>
                <w:rFonts w:ascii="宋体" w:hAnsi="宋体" w:cs="宋体" w:eastAsia="宋体" w:hint="default"/>
                <w:spacing w:val="-4"/>
                <w:sz w:val="18"/>
                <w:szCs w:val="18"/>
              </w:rPr>
              <w:t>增持公司股份，持股</w:t>
            </w:r>
            <w:r>
              <w:rPr>
                <w:rFonts w:ascii="宋体" w:hAnsi="宋体" w:cs="宋体" w:eastAsia="宋体" w:hint="default"/>
                <w:spacing w:val="-40"/>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以上股东钟超女士计划增持金额不 少于</w:t>
            </w:r>
            <w:r>
              <w:rPr>
                <w:rFonts w:ascii="宋体" w:hAnsi="宋体" w:cs="宋体" w:eastAsia="宋体" w:hint="default"/>
                <w:spacing w:val="-46"/>
                <w:sz w:val="18"/>
                <w:szCs w:val="18"/>
              </w:rPr>
              <w:t> </w:t>
            </w:r>
            <w:r>
              <w:rPr>
                <w:rFonts w:ascii="宋体" w:hAnsi="宋体" w:cs="宋体" w:eastAsia="宋体" w:hint="default"/>
                <w:sz w:val="18"/>
                <w:szCs w:val="18"/>
              </w:rPr>
              <w:t>4,500</w:t>
            </w:r>
            <w:r>
              <w:rPr>
                <w:rFonts w:ascii="宋体" w:hAnsi="宋体" w:cs="宋体" w:eastAsia="宋体" w:hint="default"/>
                <w:spacing w:val="-46"/>
                <w:sz w:val="18"/>
                <w:szCs w:val="18"/>
              </w:rPr>
              <w:t> </w:t>
            </w:r>
            <w:r>
              <w:rPr>
                <w:rFonts w:ascii="宋体" w:hAnsi="宋体" w:cs="宋体" w:eastAsia="宋体" w:hint="default"/>
                <w:sz w:val="18"/>
                <w:szCs w:val="18"/>
              </w:rPr>
              <w:t>万元，董事、高级管理人员张小水先生计划增</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持金额不少于</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74"/>
                <w:sz w:val="18"/>
                <w:szCs w:val="18"/>
              </w:rPr>
              <w:t>，</w:t>
            </w:r>
            <w:r>
              <w:rPr>
                <w:rFonts w:ascii="宋体" w:hAnsi="宋体" w:cs="宋体" w:eastAsia="宋体" w:hint="default"/>
                <w:sz w:val="18"/>
                <w:szCs w:val="18"/>
              </w:rPr>
              <w:t>监事</w:t>
            </w:r>
            <w:r>
              <w:rPr>
                <w:rFonts w:ascii="宋体" w:hAnsi="宋体" w:cs="宋体" w:eastAsia="宋体" w:hint="default"/>
                <w:spacing w:val="1"/>
                <w:sz w:val="18"/>
                <w:szCs w:val="18"/>
              </w:rPr>
              <w:t>尚</w:t>
            </w:r>
            <w:r>
              <w:rPr>
                <w:rFonts w:ascii="宋体" w:hAnsi="宋体" w:cs="宋体" w:eastAsia="宋体" w:hint="default"/>
                <w:sz w:val="18"/>
                <w:szCs w:val="18"/>
              </w:rPr>
              <w:t>中锋先生计划增持金额不少</w:t>
            </w:r>
          </w:p>
          <w:p>
            <w:pPr>
              <w:pStyle w:val="TableParagraph"/>
              <w:spacing w:line="316" w:lineRule="auto" w:before="76"/>
              <w:ind w:left="22" w:right="3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131</w:t>
            </w:r>
            <w:r>
              <w:rPr>
                <w:rFonts w:ascii="宋体" w:hAnsi="宋体" w:cs="宋体" w:eastAsia="宋体" w:hint="default"/>
                <w:spacing w:val="-46"/>
                <w:sz w:val="18"/>
                <w:szCs w:val="18"/>
              </w:rPr>
              <w:t> </w:t>
            </w:r>
            <w:r>
              <w:rPr>
                <w:rFonts w:ascii="宋体" w:hAnsi="宋体" w:cs="宋体" w:eastAsia="宋体" w:hint="default"/>
                <w:sz w:val="18"/>
                <w:szCs w:val="18"/>
              </w:rPr>
              <w:t>万元，以上各位人员在增持计划完成后六个月内不 转让所持公司股份。</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2016-05-20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3"/>
                <w:sz w:val="18"/>
                <w:szCs w:val="18"/>
              </w:rPr>
              <w:t>期末，上述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承诺人均 遵守了所 做的承诺。</w:t>
            </w:r>
          </w:p>
        </w:tc>
      </w:tr>
      <w:tr>
        <w:trPr>
          <w:trHeight w:val="1570" w:hRule="exact"/>
        </w:trPr>
        <w:tc>
          <w:tcPr>
            <w:tcW w:w="818"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路宝山、施晓 雯</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41"/>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7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1"/>
              <w:ind w:left="22" w:right="-44"/>
              <w:jc w:val="left"/>
              <w:rPr>
                <w:rFonts w:ascii="宋体" w:hAnsi="宋体" w:cs="宋体" w:eastAsia="宋体" w:hint="default"/>
                <w:sz w:val="18"/>
                <w:szCs w:val="18"/>
              </w:rPr>
            </w:pPr>
            <w:r>
              <w:rPr>
                <w:rFonts w:ascii="宋体" w:hAnsi="宋体" w:cs="宋体" w:eastAsia="宋体" w:hint="default"/>
                <w:sz w:val="18"/>
                <w:szCs w:val="18"/>
              </w:rPr>
              <w:t>雪城软件交易对方路宝山、施晓雯承诺：</w:t>
            </w: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年实现净利 润不低于</w:t>
            </w:r>
            <w:r>
              <w:rPr>
                <w:rFonts w:ascii="宋体" w:hAnsi="宋体" w:cs="宋体" w:eastAsia="宋体" w:hint="default"/>
                <w:spacing w:val="-51"/>
                <w:sz w:val="18"/>
                <w:szCs w:val="18"/>
              </w:rPr>
              <w:t> </w:t>
            </w:r>
            <w:r>
              <w:rPr>
                <w:rFonts w:ascii="宋体" w:hAnsi="宋体" w:cs="宋体" w:eastAsia="宋体" w:hint="default"/>
                <w:sz w:val="18"/>
                <w:szCs w:val="18"/>
              </w:rPr>
              <w:t>750</w:t>
            </w:r>
            <w:r>
              <w:rPr>
                <w:rFonts w:ascii="宋体" w:hAnsi="宋体" w:cs="宋体" w:eastAsia="宋体" w:hint="default"/>
                <w:spacing w:val="-51"/>
                <w:sz w:val="18"/>
                <w:szCs w:val="18"/>
              </w:rPr>
              <w:t> </w:t>
            </w:r>
            <w:r>
              <w:rPr>
                <w:rFonts w:ascii="宋体" w:hAnsi="宋体" w:cs="宋体" w:eastAsia="宋体" w:hint="default"/>
                <w:spacing w:val="-13"/>
                <w:sz w:val="18"/>
                <w:szCs w:val="18"/>
              </w:rPr>
              <w:t>万元，</w:t>
            </w:r>
            <w:r>
              <w:rPr>
                <w:rFonts w:ascii="宋体" w:hAnsi="宋体" w:cs="宋体" w:eastAsia="宋体" w:hint="default"/>
                <w:spacing w:val="-13"/>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年实现净利润不低于</w:t>
            </w:r>
            <w:r>
              <w:rPr>
                <w:rFonts w:ascii="宋体" w:hAnsi="宋体" w:cs="宋体" w:eastAsia="宋体" w:hint="default"/>
                <w:spacing w:val="-51"/>
                <w:sz w:val="18"/>
                <w:szCs w:val="18"/>
              </w:rPr>
              <w:t> </w:t>
            </w:r>
            <w:r>
              <w:rPr>
                <w:rFonts w:ascii="宋体" w:hAnsi="宋体" w:cs="宋体" w:eastAsia="宋体" w:hint="default"/>
                <w:sz w:val="18"/>
                <w:szCs w:val="18"/>
              </w:rPr>
              <w:t>937.5</w:t>
            </w:r>
            <w:r>
              <w:rPr>
                <w:rFonts w:ascii="宋体" w:hAnsi="宋体" w:cs="宋体" w:eastAsia="宋体" w:hint="default"/>
                <w:spacing w:val="-51"/>
                <w:sz w:val="18"/>
                <w:szCs w:val="18"/>
              </w:rPr>
              <w:t> </w:t>
            </w:r>
            <w:r>
              <w:rPr>
                <w:rFonts w:ascii="宋体" w:hAnsi="宋体" w:cs="宋体" w:eastAsia="宋体" w:hint="default"/>
                <w:spacing w:val="-12"/>
                <w:sz w:val="18"/>
                <w:szCs w:val="18"/>
              </w:rPr>
              <w:t>万元，</w:t>
            </w:r>
            <w:r>
              <w:rPr>
                <w:rFonts w:ascii="宋体" w:hAnsi="宋体" w:cs="宋体" w:eastAsia="宋体" w:hint="default"/>
                <w:sz w:val="18"/>
                <w:szCs w:val="18"/>
              </w:rPr>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年实现净利润不低于</w:t>
            </w:r>
            <w:r>
              <w:rPr>
                <w:rFonts w:ascii="宋体" w:hAnsi="宋体" w:cs="宋体" w:eastAsia="宋体" w:hint="default"/>
                <w:spacing w:val="-46"/>
                <w:sz w:val="18"/>
                <w:szCs w:val="18"/>
              </w:rPr>
              <w:t> </w:t>
            </w:r>
            <w:r>
              <w:rPr>
                <w:rFonts w:ascii="宋体" w:hAnsi="宋体" w:cs="宋体" w:eastAsia="宋体" w:hint="default"/>
                <w:sz w:val="18"/>
                <w:szCs w:val="18"/>
              </w:rPr>
              <w:t>1,171.88</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2020</w:t>
            </w:r>
          </w:p>
          <w:p>
            <w:pPr>
              <w:pStyle w:val="TableParagraph"/>
              <w:spacing w:line="316"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年分别不低于</w:t>
            </w:r>
            <w:r>
              <w:rPr>
                <w:rFonts w:ascii="宋体" w:hAnsi="宋体" w:cs="宋体" w:eastAsia="宋体" w:hint="default"/>
                <w:spacing w:val="-42"/>
                <w:sz w:val="18"/>
                <w:szCs w:val="18"/>
              </w:rPr>
              <w:t> </w:t>
            </w: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pacing w:val="-5"/>
                <w:sz w:val="18"/>
                <w:szCs w:val="18"/>
              </w:rPr>
              <w:t>年的业绩承诺水平。上述所称净利润均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以经审计确认的扣除非经常性损益后孰低值为准。</w:t>
            </w:r>
          </w:p>
        </w:tc>
        <w:tc>
          <w:tcPr>
            <w:tcW w:w="81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51"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7.8pt;height:17.6pt;mso-position-horizontal-relative:char;mso-position-vertical-relative:line" coordorigin="0,0" coordsize="756,352">
                  <v:group style="position:absolute;left:0;top:0;width:756;height:352" coordorigin="0,0" coordsize="756,352">
                    <v:shape style="position:absolute;left:0;top:0;width:756;height:352" coordorigin="0,0" coordsize="756,352" path="m0,352l756,352,756,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2020-12-31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6" w:hRule="exact"/>
        </w:trPr>
        <w:tc>
          <w:tcPr>
            <w:tcW w:w="81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承诺半年内不减持所持有的公司股份，并积极采取措施， 为稳定资本市场、提升投资者信心发挥更多的作用。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sz w:val="18"/>
              </w:rPr>
              <w:t>2016-07-15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4"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3"/>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92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12" w:hRule="exact"/>
        </w:trPr>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3"/>
              <w:jc w:val="both"/>
              <w:rPr>
                <w:rFonts w:ascii="宋体" w:hAnsi="宋体" w:cs="宋体" w:eastAsia="宋体" w:hint="default"/>
                <w:sz w:val="18"/>
                <w:szCs w:val="18"/>
              </w:rPr>
            </w:pPr>
            <w:r>
              <w:rPr>
                <w:rFonts w:ascii="宋体" w:hAnsi="宋体" w:cs="宋体" w:eastAsia="宋体" w:hint="default"/>
                <w:sz w:val="18"/>
                <w:szCs w:val="18"/>
              </w:rPr>
              <w:t>如承诺超 期未履行 完毕的， 应当详细 说明未完 成履行的 具体原因 及下一步 的工作计 划</w:t>
            </w:r>
          </w:p>
        </w:tc>
        <w:tc>
          <w:tcPr>
            <w:tcW w:w="92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left="1080" w:right="1117"/>
        <w:jc w:val="left"/>
        <w:rPr>
          <w:b w:val="0"/>
          <w:bCs w:val="0"/>
        </w:rPr>
      </w:pPr>
      <w:bookmarkStart w:name="2、公司资产或项目存在盈利预测，且报告期仍处在盈利预测期间，公司就资产或项目达到" w:id="61"/>
      <w:bookmarkEnd w:id="61"/>
      <w:r>
        <w:rPr>
          <w:b w:val="0"/>
          <w:bCs w:val="0"/>
        </w:rPr>
      </w: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、公司资产或项目存在盈利预测，且报告期仍处在盈利预测期间，公司就资产或项目达到原盈利预测及其</w:t>
      </w:r>
      <w:r>
        <w:rPr>
          <w:spacing w:val="67"/>
          <w:w w:val="95"/>
        </w:rPr>
        <w:t> </w:t>
      </w:r>
      <w:r>
        <w:rPr>
          <w:spacing w:val="67"/>
          <w:w w:val="95"/>
        </w:rPr>
      </w:r>
      <w:r>
        <w:rPr/>
        <w:t>原因做出说明</w:t>
      </w:r>
      <w:r>
        <w:rPr>
          <w:b w:val="0"/>
          <w:bCs w:val="0"/>
        </w:rPr>
      </w:r>
    </w:p>
    <w:p>
      <w:pPr>
        <w:spacing w:line="240" w:lineRule="auto" w:before="7"/>
        <w:rPr>
          <w:rFonts w:ascii="宋体" w:hAnsi="宋体" w:cs="宋体" w:eastAsia="宋体" w:hint="default"/>
          <w:b/>
          <w:bCs/>
          <w:sz w:val="26"/>
          <w:szCs w:val="26"/>
        </w:rPr>
      </w:pPr>
    </w:p>
    <w:p>
      <w:pPr>
        <w:spacing w:before="0"/>
        <w:ind w:left="1079"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47" w:type="dxa"/>
        <w:tblLayout w:type="fixed"/>
        <w:tblCellMar>
          <w:top w:w="0" w:type="dxa"/>
          <w:left w:w="0" w:type="dxa"/>
          <w:bottom w:w="0" w:type="dxa"/>
          <w:right w:w="0" w:type="dxa"/>
        </w:tblCellMar>
        <w:tblLook w:val="01E0"/>
      </w:tblPr>
      <w:tblGrid>
        <w:gridCol w:w="1280"/>
        <w:gridCol w:w="1150"/>
        <w:gridCol w:w="1153"/>
        <w:gridCol w:w="1154"/>
        <w:gridCol w:w="1152"/>
        <w:gridCol w:w="1156"/>
        <w:gridCol w:w="1157"/>
        <w:gridCol w:w="1602"/>
      </w:tblGrid>
      <w:tr>
        <w:trPr>
          <w:trHeight w:val="714" w:hRule="exact"/>
        </w:trPr>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4"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3" w:right="3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沈阳金建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1,355.66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1,412.21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r>
        <w:trPr>
          <w:trHeight w:val="71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嘉园环保</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4,289.34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4,426.15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r>
        <w:trPr>
          <w:trHeight w:val="71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鞍山易兴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646.55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r>
        <w:trPr>
          <w:trHeight w:val="71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广东龙泉</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362.73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bl>
    <w:p>
      <w:pPr>
        <w:spacing w:before="51"/>
        <w:ind w:left="1080" w:right="1117"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6"/>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1500" w:right="1117"/>
        <w:jc w:val="left"/>
      </w:pPr>
      <w:r>
        <w:rPr/>
        <w:t>报告期内，各收购标的公司均完成当期预测业绩。</w:t>
      </w:r>
    </w:p>
    <w:p>
      <w:pPr>
        <w:spacing w:line="240" w:lineRule="auto" w:before="1"/>
        <w:rPr>
          <w:rFonts w:ascii="宋体" w:hAnsi="宋体" w:cs="宋体" w:eastAsia="宋体" w:hint="default"/>
          <w:sz w:val="24"/>
          <w:szCs w:val="24"/>
        </w:rPr>
      </w:pPr>
    </w:p>
    <w:p>
      <w:pPr>
        <w:pStyle w:val="Heading2"/>
        <w:spacing w:line="240" w:lineRule="auto"/>
        <w:ind w:left="1079" w:right="1117"/>
        <w:jc w:val="left"/>
        <w:rPr>
          <w:b w:val="0"/>
          <w:bCs w:val="0"/>
        </w:rPr>
      </w:pPr>
      <w:bookmarkStart w:name="三、控股股东及其关联方对上市公司的非经营性占用资金情况" w:id="62"/>
      <w:bookmarkEnd w:id="62"/>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080" w:right="5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left="1080" w:right="1117"/>
        <w:jc w:val="left"/>
        <w:rPr>
          <w:b w:val="0"/>
          <w:bCs w:val="0"/>
        </w:rPr>
      </w:pPr>
      <w:bookmarkStart w:name="四、董事会对最近一期“非标准审计报告”相关情况的说明" w:id="63"/>
      <w:bookmarkEnd w:id="63"/>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080" w:right="1117"/>
        <w:jc w:val="left"/>
        <w:rPr>
          <w:b w:val="0"/>
          <w:bCs w:val="0"/>
        </w:rPr>
      </w:pPr>
      <w:bookmarkStart w:name="五、董事会、监事会、独立董事（如有）对会计师事务所本报告期“非标准审计报告”的说" w:id="64"/>
      <w:bookmarkEnd w:id="64"/>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079"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080" w:right="1117"/>
        <w:jc w:val="left"/>
        <w:rPr>
          <w:b w:val="0"/>
          <w:bCs w:val="0"/>
        </w:rPr>
      </w:pPr>
      <w:bookmarkStart w:name="六、董事会关于报告期会计政策、会计估计变更或重大会计差错更正的说明" w:id="65"/>
      <w:bookmarkEnd w:id="65"/>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080" w:right="1117"/>
        <w:jc w:val="left"/>
        <w:rPr>
          <w:b w:val="0"/>
          <w:bCs w:val="0"/>
        </w:rPr>
      </w:pPr>
      <w:bookmarkStart w:name="七、与上年度财务报告相比，合并报表范围发生变化的情况说明" w:id="66"/>
      <w:bookmarkEnd w:id="66"/>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4"/>
        <w:ind w:left="1079" w:right="712" w:firstLine="420"/>
        <w:jc w:val="left"/>
      </w:pPr>
      <w:r>
        <w:rPr>
          <w:spacing w:val="-1"/>
        </w:rPr>
        <w:t>较</w:t>
      </w:r>
      <w:r>
        <w:rPr>
          <w:rFonts w:ascii="宋体" w:hAnsi="宋体" w:cs="宋体" w:eastAsia="宋体" w:hint="default"/>
          <w:spacing w:val="-1"/>
        </w:rPr>
        <w:t>2014</w:t>
      </w:r>
      <w:r>
        <w:rPr>
          <w:spacing w:val="-1"/>
        </w:rPr>
        <w:t>年度财务报表相比，公司</w:t>
      </w:r>
      <w:r>
        <w:rPr>
          <w:rFonts w:ascii="宋体" w:hAnsi="宋体" w:cs="宋体" w:eastAsia="宋体" w:hint="default"/>
          <w:spacing w:val="-1"/>
        </w:rPr>
        <w:t>2015</w:t>
      </w:r>
      <w:r>
        <w:rPr>
          <w:spacing w:val="-1"/>
        </w:rPr>
        <w:t>年财务报表合并范围新增</w:t>
      </w:r>
      <w:r>
        <w:rPr>
          <w:rFonts w:ascii="宋体" w:hAnsi="宋体" w:cs="宋体" w:eastAsia="宋体" w:hint="default"/>
          <w:spacing w:val="-1"/>
        </w:rPr>
        <w:t>4</w:t>
      </w:r>
      <w:r>
        <w:rPr>
          <w:spacing w:val="-1"/>
        </w:rPr>
        <w:t>家，分别是汉威公用、北京威果、汉威</w:t>
      </w:r>
      <w:r>
        <w:rPr/>
        <w:t> 智能仪表、广东龙泉。</w:t>
      </w:r>
    </w:p>
    <w:p>
      <w:pPr>
        <w:spacing w:after="0" w:line="408"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left="1080" w:right="1117"/>
        <w:jc w:val="left"/>
        <w:rPr>
          <w:b w:val="0"/>
          <w:bCs w:val="0"/>
        </w:rPr>
      </w:pPr>
      <w:bookmarkStart w:name="八、聘任、解聘会计师事务所情况" w:id="67"/>
      <w:bookmarkEnd w:id="67"/>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075"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王晓玲、邓小强</w:t>
            </w:r>
          </w:p>
        </w:tc>
      </w:tr>
    </w:tbl>
    <w:p>
      <w:pPr>
        <w:spacing w:before="51"/>
        <w:ind w:left="1080" w:right="1117"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080" w:right="63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1079" w:right="1164" w:firstLine="420"/>
        <w:jc w:val="left"/>
      </w:pPr>
      <w:r>
        <w:rPr>
          <w:rFonts w:ascii="宋体" w:hAnsi="宋体" w:cs="宋体" w:eastAsia="宋体" w:hint="default"/>
        </w:rPr>
        <w:t>2014</w:t>
      </w:r>
      <w:r>
        <w:rPr/>
        <w:t>年</w:t>
      </w:r>
      <w:r>
        <w:rPr>
          <w:rFonts w:ascii="宋体" w:hAnsi="宋体" w:cs="宋体" w:eastAsia="宋体" w:hint="default"/>
        </w:rPr>
        <w:t>10</w:t>
      </w:r>
      <w:r>
        <w:rPr/>
        <w:t>月，公司因重大资产重组事项，聘请西南证券股份有限公司作为公司财务顾问，持续督导期 为</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17</w:t>
      </w:r>
      <w:r>
        <w:rPr/>
        <w:t>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日，期间共支付财务顾问费</w:t>
      </w:r>
      <w:r>
        <w:rPr>
          <w:rFonts w:ascii="宋体" w:hAnsi="宋体" w:cs="宋体" w:eastAsia="宋体" w:hint="default"/>
        </w:rPr>
        <w:t>1,300</w:t>
      </w:r>
      <w:r>
        <w:rPr/>
        <w:t>万元。</w:t>
      </w:r>
    </w:p>
    <w:p>
      <w:pPr>
        <w:spacing w:line="240" w:lineRule="auto" w:before="11"/>
        <w:rPr>
          <w:rFonts w:ascii="宋体" w:hAnsi="宋体" w:cs="宋体" w:eastAsia="宋体" w:hint="default"/>
          <w:sz w:val="18"/>
          <w:szCs w:val="18"/>
        </w:rPr>
      </w:pPr>
    </w:p>
    <w:p>
      <w:pPr>
        <w:pStyle w:val="Heading2"/>
        <w:spacing w:line="240" w:lineRule="auto"/>
        <w:ind w:left="1079" w:right="1117"/>
        <w:jc w:val="left"/>
        <w:rPr>
          <w:b w:val="0"/>
          <w:bCs w:val="0"/>
        </w:rPr>
      </w:pPr>
      <w:bookmarkStart w:name="九、年度报告披露后面临暂停上市和终止上市情况" w:id="68"/>
      <w:bookmarkEnd w:id="68"/>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079"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080" w:right="1117"/>
        <w:jc w:val="left"/>
        <w:rPr>
          <w:b w:val="0"/>
          <w:bCs w:val="0"/>
        </w:rPr>
      </w:pPr>
      <w:bookmarkStart w:name="十、破产重整相关事项" w:id="69"/>
      <w:bookmarkEnd w:id="69"/>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080" w:right="77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left="1080" w:right="1117"/>
        <w:jc w:val="left"/>
        <w:rPr>
          <w:b w:val="0"/>
          <w:bCs w:val="0"/>
        </w:rPr>
      </w:pPr>
      <w:bookmarkStart w:name="十一、重大诉讼、仲裁事项" w:id="70"/>
      <w:bookmarkEnd w:id="70"/>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080" w:right="77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left="1080" w:right="1117"/>
        <w:jc w:val="left"/>
        <w:rPr>
          <w:b w:val="0"/>
          <w:bCs w:val="0"/>
        </w:rPr>
      </w:pPr>
      <w:bookmarkStart w:name="十二、处罚及整改情况" w:id="71"/>
      <w:bookmarkEnd w:id="71"/>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080" w:right="79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left="1080" w:right="1117"/>
        <w:jc w:val="left"/>
        <w:rPr>
          <w:b w:val="0"/>
          <w:bCs w:val="0"/>
        </w:rPr>
      </w:pPr>
      <w:bookmarkStart w:name="十三、公司及其控股股东、实际控制人的诚信状况" w:id="72"/>
      <w:bookmarkEnd w:id="72"/>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080" w:right="1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报告期内公司及其控股股东、实际控制人不存在未履行法院生效判决、所负数额较大的债务到期未清偿等情况。</w:t>
      </w:r>
    </w:p>
    <w:p>
      <w:pPr>
        <w:spacing w:line="240" w:lineRule="auto" w:before="7"/>
        <w:rPr>
          <w:rFonts w:ascii="宋体" w:hAnsi="宋体" w:cs="宋体" w:eastAsia="宋体" w:hint="default"/>
          <w:sz w:val="19"/>
          <w:szCs w:val="19"/>
        </w:rPr>
      </w:pPr>
    </w:p>
    <w:p>
      <w:pPr>
        <w:pStyle w:val="Heading2"/>
        <w:spacing w:line="240" w:lineRule="auto"/>
        <w:ind w:left="1080" w:right="1117"/>
        <w:jc w:val="left"/>
        <w:rPr>
          <w:b w:val="0"/>
          <w:bCs w:val="0"/>
        </w:rPr>
      </w:pPr>
      <w:bookmarkStart w:name="十四、公司股权激励计划、员工持股计划或其他员工激励措施的实施情况" w:id="73"/>
      <w:bookmarkEnd w:id="73"/>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080" w:right="1074" w:firstLine="420"/>
        <w:jc w:val="both"/>
      </w:pPr>
      <w:r>
        <w:rPr>
          <w:rFonts w:ascii="宋体" w:hAnsi="宋体" w:cs="宋体" w:eastAsia="宋体" w:hint="default"/>
          <w:spacing w:val="-1"/>
        </w:rPr>
        <w:t>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22</w:t>
      </w:r>
      <w:r>
        <w:rPr>
          <w:spacing w:val="-1"/>
        </w:rPr>
        <w:t>日，公司第三届董事会第九次会议审议通过了《关于</w:t>
      </w:r>
      <w:r>
        <w:rPr>
          <w:rFonts w:ascii="宋体" w:hAnsi="宋体" w:cs="宋体" w:eastAsia="宋体" w:hint="default"/>
          <w:spacing w:val="-1"/>
        </w:rPr>
        <w:t>&lt;</w:t>
      </w:r>
      <w:r>
        <w:rPr>
          <w:spacing w:val="-1"/>
        </w:rPr>
        <w:t>河南汉威电子股份有限公司第一</w:t>
      </w:r>
      <w:r>
        <w:rPr/>
        <w:t> 期员工持股计划（草案）</w:t>
      </w:r>
      <w:r>
        <w:rPr>
          <w:rFonts w:ascii="宋体" w:hAnsi="宋体" w:cs="宋体" w:eastAsia="宋体" w:hint="default"/>
        </w:rPr>
        <w:t>&gt;</w:t>
      </w:r>
      <w:r>
        <w:rPr/>
        <w:t>及其摘要的议案》</w:t>
      </w:r>
      <w:r>
        <w:rPr>
          <w:spacing w:val="74"/>
        </w:rPr>
        <w:t> </w:t>
      </w:r>
      <w:r>
        <w:rPr/>
        <w:t>，本次员工持股计划的参加人员总人数不超过</w:t>
      </w:r>
      <w:r>
        <w:rPr>
          <w:rFonts w:ascii="宋体" w:hAnsi="宋体" w:cs="宋体" w:eastAsia="宋体" w:hint="default"/>
        </w:rPr>
        <w:t>70</w:t>
      </w:r>
      <w:r>
        <w:rPr/>
        <w:t>人（具体参</w:t>
      </w:r>
      <w:r>
        <w:rPr>
          <w:spacing w:val="-97"/>
        </w:rPr>
        <w:t> </w:t>
      </w:r>
      <w:r>
        <w:rPr>
          <w:spacing w:val="-97"/>
        </w:rPr>
      </w:r>
      <w:r>
        <w:rPr/>
        <w:t>加人数根据员工实际缴款情况确定），本员工持股计划设立后委托汇添富基金管理股份有限公司管理并全</w:t>
      </w:r>
      <w:r>
        <w:rPr>
          <w:spacing w:val="-34"/>
        </w:rPr>
        <w:t> </w:t>
      </w:r>
      <w:r>
        <w:rPr>
          <w:spacing w:val="-34"/>
        </w:rPr>
      </w:r>
      <w:r>
        <w:rPr/>
        <w:t>额认购汇添富基金管理股份有限公司设立的汇添富</w:t>
      </w:r>
      <w:r>
        <w:rPr>
          <w:rFonts w:ascii="宋体" w:hAnsi="宋体" w:cs="宋体" w:eastAsia="宋体" w:hint="default"/>
        </w:rPr>
        <w:t>-</w:t>
      </w:r>
      <w:r>
        <w:rPr/>
        <w:t>汉威电子</w:t>
      </w:r>
      <w:r>
        <w:rPr>
          <w:rFonts w:ascii="宋体" w:hAnsi="宋体" w:cs="宋体" w:eastAsia="宋体" w:hint="default"/>
        </w:rPr>
        <w:t>-</w:t>
      </w:r>
      <w:r>
        <w:rPr/>
        <w:t>双喜盛世 </w:t>
      </w:r>
      <w:r>
        <w:rPr>
          <w:rFonts w:ascii="宋体" w:hAnsi="宋体" w:cs="宋体" w:eastAsia="宋体" w:hint="default"/>
        </w:rPr>
        <w:t>51</w:t>
      </w:r>
      <w:r>
        <w:rPr>
          <w:rFonts w:ascii="宋体" w:hAnsi="宋体" w:cs="宋体" w:eastAsia="宋体" w:hint="default"/>
          <w:spacing w:val="82"/>
        </w:rPr>
        <w:t> </w:t>
      </w:r>
      <w:r>
        <w:rPr/>
        <w:t>号资产管理计划（下称“添威</w:t>
      </w:r>
    </w:p>
    <w:p>
      <w:pPr>
        <w:pStyle w:val="BodyText"/>
        <w:spacing w:line="408" w:lineRule="auto"/>
        <w:ind w:left="1079" w:right="971"/>
        <w:jc w:val="both"/>
      </w:pPr>
      <w:r>
        <w:rPr>
          <w:rFonts w:ascii="宋体" w:hAnsi="宋体" w:cs="宋体" w:eastAsia="宋体" w:hint="default"/>
        </w:rPr>
        <w:t>51 </w:t>
      </w:r>
      <w:r>
        <w:rPr/>
        <w:t>号资管计划”）中的次级份额。添威</w:t>
      </w:r>
      <w:r>
        <w:rPr>
          <w:rFonts w:ascii="宋体" w:hAnsi="宋体" w:cs="宋体" w:eastAsia="宋体" w:hint="default"/>
        </w:rPr>
        <w:t>51</w:t>
      </w:r>
      <w:r>
        <w:rPr/>
        <w:t>号资管计划份额上限为</w:t>
      </w:r>
      <w:r>
        <w:rPr>
          <w:rFonts w:ascii="宋体" w:hAnsi="宋体" w:cs="宋体" w:eastAsia="宋体" w:hint="default"/>
        </w:rPr>
        <w:t>9000</w:t>
      </w:r>
      <w:r>
        <w:rPr/>
        <w:t>万份，每份份额为</w:t>
      </w:r>
      <w:r>
        <w:rPr>
          <w:rFonts w:ascii="宋体" w:hAnsi="宋体" w:cs="宋体" w:eastAsia="宋体" w:hint="default"/>
        </w:rPr>
        <w:t>1.00 </w:t>
      </w:r>
      <w:r>
        <w:rPr/>
        <w:t>元，按照不</w:t>
      </w:r>
      <w:r>
        <w:rPr>
          <w:spacing w:val="-25"/>
        </w:rPr>
        <w:t> </w:t>
      </w:r>
      <w:r>
        <w:rPr/>
        <w:t>超过</w:t>
      </w:r>
      <w:r>
        <w:rPr>
          <w:rFonts w:ascii="宋体" w:hAnsi="宋体" w:cs="宋体" w:eastAsia="宋体" w:hint="default"/>
        </w:rPr>
        <w:t>2:1</w:t>
      </w:r>
      <w:r>
        <w:rPr/>
        <w:t>的比例设立优先级</w:t>
      </w:r>
      <w:r>
        <w:rPr>
          <w:rFonts w:ascii="宋体" w:hAnsi="宋体" w:cs="宋体" w:eastAsia="宋体" w:hint="default"/>
        </w:rPr>
        <w:t>A</w:t>
      </w:r>
      <w:r>
        <w:rPr/>
        <w:t>份额和次级份额，次级份额按照</w:t>
      </w:r>
      <w:r>
        <w:rPr>
          <w:rFonts w:ascii="宋体" w:hAnsi="宋体" w:cs="宋体" w:eastAsia="宋体" w:hint="default"/>
        </w:rPr>
        <w:t>2:1</w:t>
      </w:r>
      <w:r>
        <w:rPr/>
        <w:t>的比例设置次级</w:t>
      </w:r>
      <w:r>
        <w:rPr>
          <w:rFonts w:ascii="宋体" w:hAnsi="宋体" w:cs="宋体" w:eastAsia="宋体" w:hint="default"/>
        </w:rPr>
        <w:t>B</w:t>
      </w:r>
      <w:r>
        <w:rPr/>
        <w:t>份额和次级</w:t>
      </w:r>
      <w:r>
        <w:rPr>
          <w:rFonts w:ascii="宋体" w:hAnsi="宋体" w:cs="宋体" w:eastAsia="宋体" w:hint="default"/>
        </w:rPr>
        <w:t>C</w:t>
      </w:r>
      <w:r>
        <w:rPr/>
        <w:t>份额。公司员 工出资</w:t>
      </w:r>
      <w:r>
        <w:rPr>
          <w:rFonts w:ascii="宋体" w:hAnsi="宋体" w:cs="宋体" w:eastAsia="宋体" w:hint="default"/>
        </w:rPr>
        <w:t>2000</w:t>
      </w:r>
      <w:r>
        <w:rPr/>
        <w:t>万元全额认购添威</w:t>
      </w:r>
      <w:r>
        <w:rPr>
          <w:rFonts w:ascii="宋体" w:hAnsi="宋体" w:cs="宋体" w:eastAsia="宋体" w:hint="default"/>
        </w:rPr>
        <w:t>51</w:t>
      </w:r>
      <w:r>
        <w:rPr/>
        <w:t>号资管计划的次级</w:t>
      </w:r>
      <w:r>
        <w:rPr>
          <w:rFonts w:ascii="宋体" w:hAnsi="宋体" w:cs="宋体" w:eastAsia="宋体" w:hint="default"/>
        </w:rPr>
        <w:t>B</w:t>
      </w:r>
      <w:r>
        <w:rPr/>
        <w:t>份额，公司股东刘瑞玲、张艳丽、钟克创、肖延岭等</w:t>
      </w:r>
      <w:r>
        <w:rPr>
          <w:rFonts w:ascii="宋体" w:hAnsi="宋体" w:cs="宋体" w:eastAsia="宋体" w:hint="default"/>
        </w:rPr>
        <w:t>4</w:t>
      </w:r>
      <w:r>
        <w:rPr>
          <w:rFonts w:ascii="宋体" w:hAnsi="宋体" w:cs="宋体" w:eastAsia="宋体" w:hint="default"/>
          <w:spacing w:val="-25"/>
        </w:rPr>
        <w:t> </w:t>
      </w:r>
      <w:r>
        <w:rPr/>
        <w:t>人总计出资</w:t>
      </w:r>
      <w:r>
        <w:rPr>
          <w:rFonts w:ascii="宋体" w:hAnsi="宋体" w:cs="宋体" w:eastAsia="宋体" w:hint="default"/>
        </w:rPr>
        <w:t>1000</w:t>
      </w:r>
      <w:r>
        <w:rPr/>
        <w:t>万元全额认购添威</w:t>
      </w:r>
      <w:r>
        <w:rPr>
          <w:rFonts w:ascii="宋体" w:hAnsi="宋体" w:cs="宋体" w:eastAsia="宋体" w:hint="default"/>
        </w:rPr>
        <w:t>51</w:t>
      </w:r>
      <w:r>
        <w:rPr/>
        <w:t>号资管计划的次级</w:t>
      </w:r>
      <w:r>
        <w:rPr>
          <w:rFonts w:ascii="宋体" w:hAnsi="宋体" w:cs="宋体" w:eastAsia="宋体" w:hint="default"/>
        </w:rPr>
        <w:t>C</w:t>
      </w:r>
      <w:r>
        <w:rPr/>
        <w:t>份额，添威</w:t>
      </w:r>
      <w:r>
        <w:rPr>
          <w:rFonts w:ascii="宋体" w:hAnsi="宋体" w:cs="宋体" w:eastAsia="宋体" w:hint="default"/>
        </w:rPr>
        <w:t>51</w:t>
      </w:r>
      <w:r>
        <w:rPr/>
        <w:t>号资管计划主要投资范围为购买和持 有汉威电子股票。公司控股股东任红军先生为添威</w:t>
      </w:r>
      <w:r>
        <w:rPr>
          <w:rFonts w:ascii="宋体" w:hAnsi="宋体" w:cs="宋体" w:eastAsia="宋体" w:hint="default"/>
        </w:rPr>
        <w:t>51</w:t>
      </w:r>
      <w:r>
        <w:rPr/>
        <w:t>号资管计划中优先级</w:t>
      </w:r>
      <w:r>
        <w:rPr>
          <w:rFonts w:ascii="宋体" w:hAnsi="宋体" w:cs="宋体" w:eastAsia="宋体" w:hint="default"/>
        </w:rPr>
        <w:t>A</w:t>
      </w:r>
      <w:r>
        <w:rPr/>
        <w:t>份额的权益实现与次级</w:t>
      </w:r>
      <w:r>
        <w:rPr>
          <w:rFonts w:ascii="宋体" w:hAnsi="宋体" w:cs="宋体" w:eastAsia="宋体" w:hint="default"/>
        </w:rPr>
        <w:t>B</w:t>
      </w:r>
      <w:r>
        <w:rPr/>
        <w:t>份额的</w:t>
      </w:r>
      <w:r>
        <w:rPr>
          <w:spacing w:val="-22"/>
        </w:rPr>
        <w:t> </w:t>
      </w:r>
      <w:r>
        <w:rPr>
          <w:spacing w:val="-22"/>
        </w:rPr>
      </w:r>
      <w:r>
        <w:rPr/>
        <w:t>本金回收提供担保。其中优先级</w:t>
      </w:r>
      <w:r>
        <w:rPr>
          <w:rFonts w:ascii="宋体" w:hAnsi="宋体" w:cs="宋体" w:eastAsia="宋体" w:hint="default"/>
        </w:rPr>
        <w:t>A</w:t>
      </w:r>
      <w:r>
        <w:rPr/>
        <w:t>份额的权益实现包括：（</w:t>
      </w:r>
      <w:r>
        <w:rPr>
          <w:rFonts w:ascii="宋体" w:hAnsi="宋体" w:cs="宋体" w:eastAsia="宋体" w:hint="default"/>
        </w:rPr>
        <w:t>1</w:t>
      </w:r>
      <w:r>
        <w:rPr/>
        <w:t>）添威</w:t>
      </w:r>
      <w:r>
        <w:rPr>
          <w:rFonts w:ascii="宋体" w:hAnsi="宋体" w:cs="宋体" w:eastAsia="宋体" w:hint="default"/>
        </w:rPr>
        <w:t>51</w:t>
      </w:r>
      <w:r>
        <w:rPr/>
        <w:t>号资管计划优先级</w:t>
      </w:r>
      <w:r>
        <w:rPr>
          <w:rFonts w:ascii="宋体" w:hAnsi="宋体" w:cs="宋体" w:eastAsia="宋体" w:hint="default"/>
        </w:rPr>
        <w:t>A</w:t>
      </w:r>
      <w:r>
        <w:rPr/>
        <w:t>份额的本金回收；</w:t>
      </w:r>
    </w:p>
    <w:p>
      <w:pPr>
        <w:pStyle w:val="BodyText"/>
        <w:spacing w:line="408" w:lineRule="auto"/>
        <w:ind w:left="1080" w:right="1077"/>
        <w:jc w:val="both"/>
      </w:pPr>
      <w:r>
        <w:rPr>
          <w:spacing w:val="-3"/>
        </w:rPr>
        <w:t>（</w:t>
      </w:r>
      <w:r>
        <w:rPr>
          <w:rFonts w:ascii="宋体" w:hAnsi="宋体" w:cs="宋体" w:eastAsia="宋体" w:hint="default"/>
          <w:spacing w:val="-3"/>
        </w:rPr>
        <w:t>2</w:t>
      </w:r>
      <w:r>
        <w:rPr>
          <w:spacing w:val="-3"/>
        </w:rPr>
        <w:t>）添威</w:t>
      </w:r>
      <w:r>
        <w:rPr>
          <w:rFonts w:ascii="宋体" w:hAnsi="宋体" w:cs="宋体" w:eastAsia="宋体" w:hint="default"/>
          <w:spacing w:val="-3"/>
        </w:rPr>
        <w:t>51</w:t>
      </w:r>
      <w:r>
        <w:rPr>
          <w:spacing w:val="-3"/>
        </w:rPr>
        <w:t>号资管计划优先级</w:t>
      </w:r>
      <w:r>
        <w:rPr>
          <w:rFonts w:ascii="宋体" w:hAnsi="宋体" w:cs="宋体" w:eastAsia="宋体" w:hint="default"/>
          <w:spacing w:val="-3"/>
        </w:rPr>
        <w:t>A</w:t>
      </w:r>
      <w:r>
        <w:rPr>
          <w:spacing w:val="-3"/>
        </w:rPr>
        <w:t>份额按照约定的预期年基准收益率获得的收益。具体信息请查阅公司于</w:t>
      </w:r>
      <w:r>
        <w:rPr>
          <w:rFonts w:ascii="宋体" w:hAnsi="宋体" w:cs="宋体" w:eastAsia="宋体" w:hint="default"/>
          <w:spacing w:val="-3"/>
        </w:rPr>
        <w:t>2015</w:t>
      </w:r>
      <w:r>
        <w:rPr>
          <w:rFonts w:ascii="宋体" w:hAnsi="宋体" w:cs="宋体" w:eastAsia="宋体" w:hint="default"/>
          <w:spacing w:val="-81"/>
        </w:rPr>
        <w:t> </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23</w:t>
      </w:r>
      <w:r>
        <w:rPr>
          <w:spacing w:val="-1"/>
        </w:rPr>
        <w:t>日在巨潮资讯网刊登的公告。</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10</w:t>
      </w:r>
      <w:r>
        <w:rPr>
          <w:spacing w:val="-1"/>
        </w:rPr>
        <w:t>日，公司</w:t>
      </w:r>
      <w:r>
        <w:rPr>
          <w:rFonts w:ascii="宋体" w:hAnsi="宋体" w:cs="宋体" w:eastAsia="宋体" w:hint="default"/>
          <w:spacing w:val="-1"/>
        </w:rPr>
        <w:t>2015</w:t>
      </w:r>
      <w:r>
        <w:rPr>
          <w:spacing w:val="-1"/>
        </w:rPr>
        <w:t>年第一次临时股东大会审议通过了《关于</w:t>
      </w:r>
      <w:r>
        <w:rPr>
          <w:rFonts w:ascii="宋体" w:hAnsi="宋体" w:cs="宋体" w:eastAsia="宋体" w:hint="default"/>
          <w:spacing w:val="-1"/>
        </w:rPr>
        <w:t>&lt;</w:t>
      </w:r>
      <w:r>
        <w:rPr>
          <w:rFonts w:ascii="宋体" w:hAnsi="宋体" w:cs="宋体" w:eastAsia="宋体" w:hint="default"/>
          <w:spacing w:val="-79"/>
        </w:rPr>
        <w:t> </w:t>
      </w:r>
      <w:r>
        <w:rPr/>
        <w:t>河南汉威电子股份有限公司第一期员工持股计划</w:t>
      </w:r>
      <w:r>
        <w:rPr>
          <w:rFonts w:ascii="宋体" w:hAnsi="宋体" w:cs="宋体" w:eastAsia="宋体" w:hint="default"/>
        </w:rPr>
        <w:t>&gt;</w:t>
      </w:r>
      <w:r>
        <w:rPr/>
        <w:t>及其摘要的议案》。具体内容请查阅公司于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11</w:t>
      </w:r>
      <w:r>
        <w:rPr>
          <w:rFonts w:ascii="宋体" w:hAnsi="宋体" w:cs="宋体" w:eastAsia="宋体" w:hint="default"/>
          <w:spacing w:val="-27"/>
        </w:rPr>
        <w:t> </w:t>
      </w:r>
      <w:r>
        <w:rPr/>
        <w:t>日在中国证监会指定创业板信息披露网站刊登的公告。</w:t>
      </w:r>
    </w:p>
    <w:p>
      <w:pPr>
        <w:pStyle w:val="BodyText"/>
        <w:spacing w:line="408" w:lineRule="auto"/>
        <w:ind w:left="1079" w:right="1079" w:firstLine="420"/>
        <w:jc w:val="both"/>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15</w:t>
      </w:r>
      <w:r>
        <w:rPr/>
        <w:t>日，汇添富</w:t>
      </w:r>
      <w:r>
        <w:rPr>
          <w:rFonts w:ascii="宋体" w:hAnsi="宋体" w:cs="宋体" w:eastAsia="宋体" w:hint="default"/>
        </w:rPr>
        <w:t>-</w:t>
      </w:r>
      <w:r>
        <w:rPr/>
        <w:t>汉威电子</w:t>
      </w:r>
      <w:r>
        <w:rPr>
          <w:rFonts w:ascii="宋体" w:hAnsi="宋体" w:cs="宋体" w:eastAsia="宋体" w:hint="default"/>
        </w:rPr>
        <w:t>-</w:t>
      </w:r>
      <w:r>
        <w:rPr/>
        <w:t>双喜盛世</w:t>
      </w:r>
      <w:r>
        <w:rPr>
          <w:rFonts w:ascii="宋体" w:hAnsi="宋体" w:cs="宋体" w:eastAsia="宋体" w:hint="default"/>
        </w:rPr>
        <w:t>51</w:t>
      </w:r>
      <w:r>
        <w:rPr/>
        <w:t>号资产管理计划以大宗交易方式实施了股票购买， 购买的公司股票数量为</w:t>
      </w:r>
      <w:r>
        <w:rPr>
          <w:rFonts w:ascii="宋体" w:hAnsi="宋体" w:cs="宋体" w:eastAsia="宋体" w:hint="default"/>
        </w:rPr>
        <w:t>899,000</w:t>
      </w:r>
      <w:r>
        <w:rPr/>
        <w:t>股，购买价格为</w:t>
      </w:r>
      <w:r>
        <w:rPr>
          <w:rFonts w:ascii="宋体" w:hAnsi="宋体" w:cs="宋体" w:eastAsia="宋体" w:hint="default"/>
        </w:rPr>
        <w:t>98.10</w:t>
      </w:r>
      <w:r>
        <w:rPr/>
        <w:t>元</w:t>
      </w:r>
      <w:r>
        <w:rPr>
          <w:rFonts w:ascii="宋体" w:hAnsi="宋体" w:cs="宋体" w:eastAsia="宋体" w:hint="default"/>
        </w:rPr>
        <w:t>/</w:t>
      </w:r>
      <w:r>
        <w:rPr/>
        <w:t>股，资金总额为</w:t>
      </w:r>
      <w:r>
        <w:rPr>
          <w:rFonts w:ascii="宋体" w:hAnsi="宋体" w:cs="宋体" w:eastAsia="宋体" w:hint="default"/>
        </w:rPr>
        <w:t>9,000</w:t>
      </w:r>
      <w:r>
        <w:rPr/>
        <w:t>万元（具体内容请查阅公司</w:t>
      </w:r>
      <w:r>
        <w:rPr>
          <w:spacing w:val="-28"/>
        </w:rPr>
        <w:t> </w:t>
      </w:r>
      <w:r>
        <w:rPr>
          <w:spacing w:val="-28"/>
        </w:rPr>
      </w:r>
      <w:r>
        <w:rPr/>
        <w:t>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26</w:t>
      </w:r>
      <w:r>
        <w:rPr/>
        <w:t>日在中国证监会指定创业板信息披露网站刊登的公告）。</w:t>
      </w:r>
    </w:p>
    <w:p>
      <w:pPr>
        <w:pStyle w:val="BodyText"/>
        <w:spacing w:line="408" w:lineRule="auto"/>
        <w:ind w:left="1080" w:right="1088" w:firstLine="420"/>
        <w:jc w:val="both"/>
      </w:pPr>
      <w:r>
        <w:rPr/>
        <w:t>截至本报告公告日，公司员工持股计划按照资管计划协议正常运行中，不存在重大风险，后续如发生 相关事项公司将按规定及时履行信息披露义务。</w:t>
      </w:r>
    </w:p>
    <w:p>
      <w:pPr>
        <w:spacing w:line="240" w:lineRule="auto" w:before="11"/>
        <w:rPr>
          <w:rFonts w:ascii="宋体" w:hAnsi="宋体" w:cs="宋体" w:eastAsia="宋体" w:hint="default"/>
          <w:sz w:val="18"/>
          <w:szCs w:val="18"/>
        </w:rPr>
      </w:pPr>
    </w:p>
    <w:p>
      <w:pPr>
        <w:pStyle w:val="Heading2"/>
        <w:spacing w:line="240" w:lineRule="auto"/>
        <w:ind w:left="1079" w:right="0"/>
        <w:jc w:val="both"/>
        <w:rPr>
          <w:b w:val="0"/>
          <w:bCs w:val="0"/>
        </w:rPr>
      </w:pPr>
      <w:bookmarkStart w:name="十五、重大关联交易" w:id="74"/>
      <w:bookmarkEnd w:id="74"/>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079" w:right="0"/>
        <w:jc w:val="both"/>
        <w:rPr>
          <w:b w:val="0"/>
          <w:bCs w:val="0"/>
        </w:rPr>
      </w:pPr>
      <w:bookmarkStart w:name="1、与日常经营相关的关联交易" w:id="75"/>
      <w:bookmarkEnd w:id="75"/>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080"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080" w:right="0"/>
        <w:jc w:val="both"/>
        <w:rPr>
          <w:b w:val="0"/>
          <w:bCs w:val="0"/>
        </w:rPr>
      </w:pPr>
      <w:bookmarkStart w:name="2、资产或股权收购、出售发生的关联交易" w:id="76"/>
      <w:bookmarkEnd w:id="76"/>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079" w:right="64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3"/>
        <w:spacing w:line="240" w:lineRule="auto"/>
        <w:ind w:left="1079" w:right="0"/>
        <w:jc w:val="both"/>
        <w:rPr>
          <w:b w:val="0"/>
          <w:bCs w:val="0"/>
        </w:rPr>
      </w:pPr>
      <w:bookmarkStart w:name="3、共同对外投资的关联交易" w:id="77"/>
      <w:bookmarkEnd w:id="77"/>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before="0"/>
        <w:ind w:left="1079"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080" w:right="1117" w:firstLine="0"/>
        <w:jc w:val="left"/>
        <w:rPr>
          <w:rFonts w:ascii="宋体" w:hAnsi="宋体" w:cs="宋体" w:eastAsia="宋体" w:hint="default"/>
          <w:sz w:val="18"/>
          <w:szCs w:val="18"/>
        </w:rPr>
      </w:pPr>
      <w:r>
        <w:rPr>
          <w:rFonts w:ascii="宋体" w:hAnsi="宋体" w:cs="宋体" w:eastAsia="宋体" w:hint="default"/>
          <w:sz w:val="18"/>
          <w:szCs w:val="18"/>
        </w:rPr>
        <w:t>公司报告期未发生共同对外投资的关联交易。</w:t>
      </w:r>
    </w:p>
    <w:p>
      <w:pPr>
        <w:spacing w:line="240" w:lineRule="auto" w:before="10"/>
        <w:rPr>
          <w:rFonts w:ascii="宋体" w:hAnsi="宋体" w:cs="宋体" w:eastAsia="宋体" w:hint="default"/>
          <w:sz w:val="26"/>
          <w:szCs w:val="26"/>
        </w:rPr>
      </w:pPr>
    </w:p>
    <w:p>
      <w:pPr>
        <w:pStyle w:val="Heading3"/>
        <w:spacing w:line="240" w:lineRule="auto"/>
        <w:ind w:left="1080" w:right="1117"/>
        <w:jc w:val="left"/>
        <w:rPr>
          <w:b w:val="0"/>
          <w:bCs w:val="0"/>
        </w:rPr>
      </w:pPr>
      <w:bookmarkStart w:name="4、关联债权债务往来" w:id="78"/>
      <w:bookmarkEnd w:id="78"/>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080" w:right="77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080" w:right="1117"/>
        <w:jc w:val="left"/>
        <w:rPr>
          <w:b w:val="0"/>
          <w:bCs w:val="0"/>
        </w:rPr>
      </w:pPr>
      <w:bookmarkStart w:name="5、其他重大关联交易" w:id="79"/>
      <w:bookmarkEnd w:id="79"/>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080" w:right="81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left="1080" w:right="1117"/>
        <w:jc w:val="left"/>
        <w:rPr>
          <w:b w:val="0"/>
          <w:bCs w:val="0"/>
        </w:rPr>
      </w:pPr>
      <w:bookmarkStart w:name="十六、重大合同及其履行情况" w:id="80"/>
      <w:bookmarkEnd w:id="80"/>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080" w:right="1117"/>
        <w:jc w:val="left"/>
        <w:rPr>
          <w:b w:val="0"/>
          <w:bCs w:val="0"/>
        </w:rPr>
      </w:pPr>
      <w:bookmarkStart w:name="1、托管、承包、租赁事项情况" w:id="81"/>
      <w:bookmarkEnd w:id="81"/>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spacing w:before="0"/>
        <w:ind w:left="1080" w:right="1117" w:firstLine="0"/>
        <w:jc w:val="left"/>
        <w:rPr>
          <w:rFonts w:ascii="宋体" w:hAnsi="宋体" w:cs="宋体" w:eastAsia="宋体" w:hint="default"/>
          <w:sz w:val="21"/>
          <w:szCs w:val="21"/>
        </w:rPr>
      </w:pPr>
      <w:bookmarkStart w:name="（1）托管情况" w:id="82"/>
      <w:bookmarkEnd w:id="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080" w:right="84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079" w:right="1117"/>
        <w:jc w:val="left"/>
        <w:rPr>
          <w:b w:val="0"/>
          <w:bCs w:val="0"/>
        </w:rPr>
      </w:pPr>
      <w:bookmarkStart w:name="（2）承包情况" w:id="83"/>
      <w:bookmarkEnd w:id="83"/>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080" w:right="84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1079" w:right="1117"/>
        <w:jc w:val="left"/>
        <w:rPr>
          <w:b w:val="0"/>
          <w:bCs w:val="0"/>
        </w:rPr>
      </w:pPr>
      <w:bookmarkStart w:name="（3）租赁情况" w:id="84"/>
      <w:bookmarkEnd w:id="84"/>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080" w:right="9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40" w:lineRule="auto" w:before="59"/>
        <w:ind w:left="1500" w:right="1117"/>
        <w:jc w:val="left"/>
      </w:pPr>
      <w:r>
        <w:rPr/>
        <w:t>主要系公司将闲置房产对外出租，充分利用闲置资产的同时为公司增加收入。</w:t>
      </w:r>
    </w:p>
    <w:p>
      <w:pPr>
        <w:spacing w:line="240" w:lineRule="auto" w:before="11"/>
        <w:rPr>
          <w:rFonts w:ascii="宋体" w:hAnsi="宋体" w:cs="宋体" w:eastAsia="宋体" w:hint="default"/>
          <w:sz w:val="19"/>
          <w:szCs w:val="19"/>
        </w:rPr>
      </w:pPr>
    </w:p>
    <w:p>
      <w:pPr>
        <w:spacing w:before="0"/>
        <w:ind w:left="1080" w:right="1117"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line="240" w:lineRule="auto" w:before="10"/>
        <w:rPr>
          <w:rFonts w:ascii="宋体" w:hAnsi="宋体" w:cs="宋体" w:eastAsia="宋体" w:hint="default"/>
          <w:sz w:val="19"/>
          <w:szCs w:val="19"/>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1080"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080" w:right="1117"/>
        <w:jc w:val="left"/>
        <w:rPr>
          <w:b w:val="0"/>
          <w:bCs w:val="0"/>
        </w:rPr>
      </w:pPr>
      <w:bookmarkStart w:name="2、重大担保" w:id="85"/>
      <w:bookmarkEnd w:id="85"/>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080" w:right="1117"/>
        <w:jc w:val="left"/>
        <w:rPr>
          <w:b w:val="0"/>
          <w:bCs w:val="0"/>
        </w:rPr>
      </w:pPr>
      <w:bookmarkStart w:name="（1）担保情况" w:id="86"/>
      <w:bookmarkEnd w:id="86"/>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07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75" w:type="dxa"/>
        <w:tblLayout w:type="fixed"/>
        <w:tblCellMar>
          <w:top w:w="0" w:type="dxa"/>
          <w:left w:w="0" w:type="dxa"/>
          <w:bottom w:w="0" w:type="dxa"/>
          <w:right w:w="0" w:type="dxa"/>
        </w:tblCellMar>
        <w:tblLook w:val="01E0"/>
      </w:tblPr>
      <w:tblGrid>
        <w:gridCol w:w="1717"/>
        <w:gridCol w:w="913"/>
        <w:gridCol w:w="924"/>
        <w:gridCol w:w="1302"/>
        <w:gridCol w:w="1057"/>
        <w:gridCol w:w="1038"/>
        <w:gridCol w:w="1058"/>
        <w:gridCol w:w="783"/>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2"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郑州高新梧桐水务有 限公司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sz w:val="18"/>
              </w:rPr>
              <w:t>6,600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sz w:val="18"/>
              </w:rPr>
              <w:t>6,500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宋体" w:hAnsi="宋体" w:cs="宋体" w:eastAsia="宋体" w:hint="default"/>
                <w:sz w:val="18"/>
                <w:szCs w:val="18"/>
              </w:rPr>
              <w:t>A1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6,600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宋体" w:hAnsi="宋体" w:cs="宋体" w:eastAsia="宋体" w:hint="default"/>
                <w:sz w:val="18"/>
                <w:szCs w:val="18"/>
              </w:rPr>
              <w:t>A3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6,600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宋体" w:hAnsi="宋体" w:cs="宋体" w:eastAsia="宋体"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1"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8"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84"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6,600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6,500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6,600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5.33%</w:t>
            </w:r>
          </w:p>
        </w:tc>
      </w:tr>
      <w:tr>
        <w:trPr>
          <w:trHeight w:val="39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right="23"/>
              <w:jc w:val="right"/>
              <w:rPr>
                <w:rFonts w:ascii="宋体" w:hAnsi="宋体" w:cs="宋体" w:eastAsia="宋体" w:hint="default"/>
                <w:sz w:val="18"/>
                <w:szCs w:val="18"/>
              </w:rPr>
            </w:pPr>
            <w:r>
              <w:rPr>
                <w:rFonts w:ascii="宋体"/>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1"/>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保金额（</w:t>
            </w:r>
            <w:r>
              <w:rPr>
                <w:rFonts w:ascii="宋体" w:hAnsi="宋体" w:cs="宋体" w:eastAsia="宋体"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left="1080" w:right="1117"/>
        <w:jc w:val="left"/>
        <w:rPr>
          <w:b w:val="0"/>
          <w:bCs w:val="0"/>
        </w:rPr>
      </w:pPr>
      <w:bookmarkStart w:name="（2）违规对外担保情况" w:id="87"/>
      <w:bookmarkEnd w:id="87"/>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080" w:right="81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080" w:right="1117"/>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080" w:right="1117" w:firstLine="0"/>
        <w:jc w:val="left"/>
        <w:rPr>
          <w:rFonts w:ascii="宋体" w:hAnsi="宋体" w:cs="宋体" w:eastAsia="宋体" w:hint="default"/>
          <w:sz w:val="21"/>
          <w:szCs w:val="21"/>
        </w:rPr>
      </w:pPr>
      <w:bookmarkStart w:name="（1）委托理财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07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47" w:type="dxa"/>
        <w:tblLayout w:type="fixed"/>
        <w:tblCellMar>
          <w:top w:w="0" w:type="dxa"/>
          <w:left w:w="0" w:type="dxa"/>
          <w:bottom w:w="0" w:type="dxa"/>
          <w:right w:w="0" w:type="dxa"/>
        </w:tblCellMar>
        <w:tblLook w:val="01E0"/>
      </w:tblPr>
      <w:tblGrid>
        <w:gridCol w:w="820"/>
        <w:gridCol w:w="854"/>
        <w:gridCol w:w="859"/>
        <w:gridCol w:w="895"/>
        <w:gridCol w:w="826"/>
        <w:gridCol w:w="823"/>
        <w:gridCol w:w="821"/>
        <w:gridCol w:w="823"/>
        <w:gridCol w:w="822"/>
        <w:gridCol w:w="822"/>
        <w:gridCol w:w="822"/>
        <w:gridCol w:w="614"/>
      </w:tblGrid>
      <w:tr>
        <w:trPr>
          <w:trHeight w:val="1338" w:hRule="exact"/>
        </w:trPr>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14" w:right="45"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1" w:right="6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2" w:right="80"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3"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7"/>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4"/>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30"/>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962" w:hRule="exact"/>
        </w:trPr>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海通证券 股份有限 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both"/>
              <w:rPr>
                <w:rFonts w:ascii="宋体" w:hAnsi="宋体" w:cs="宋体" w:eastAsia="宋体" w:hint="default"/>
                <w:sz w:val="18"/>
                <w:szCs w:val="18"/>
              </w:rPr>
            </w:pPr>
            <w:r>
              <w:rPr>
                <w:rFonts w:ascii="宋体" w:hAnsi="宋体" w:cs="宋体" w:eastAsia="宋体" w:hint="default"/>
                <w:sz w:val="18"/>
                <w:szCs w:val="18"/>
              </w:rPr>
              <w:t>产品发行 人在产品 到期后按 约定一次 性支付本 金及收益</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23,000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209.84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209.84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8"/>
              <w:jc w:val="right"/>
              <w:rPr>
                <w:rFonts w:ascii="宋体" w:hAnsi="宋体" w:cs="宋体" w:eastAsia="宋体" w:hint="default"/>
                <w:sz w:val="18"/>
                <w:szCs w:val="18"/>
              </w:rPr>
            </w:pPr>
            <w:r>
              <w:rPr>
                <w:rFonts w:ascii="宋体" w:hAnsi="宋体" w:cs="宋体" w:eastAsia="宋体" w:hint="default"/>
                <w:sz w:val="18"/>
                <w:szCs w:val="18"/>
              </w:rPr>
              <w:t>收回</w:t>
            </w:r>
          </w:p>
        </w:tc>
      </w:tr>
      <w:tr>
        <w:trPr>
          <w:trHeight w:val="402"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23,000</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209.84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209.84</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0"/>
              <w:jc w:val="right"/>
              <w:rPr>
                <w:rFonts w:ascii="宋体" w:hAnsi="宋体" w:cs="宋体" w:eastAsia="宋体" w:hint="default"/>
                <w:sz w:val="18"/>
                <w:szCs w:val="18"/>
              </w:rPr>
            </w:pPr>
            <w:r>
              <w:rPr>
                <w:rFonts w:ascii="宋体"/>
                <w:sz w:val="18"/>
              </w:rPr>
              <w:t>--</w:t>
            </w:r>
          </w:p>
        </w:tc>
      </w:tr>
      <w:tr>
        <w:trPr>
          <w:trHeight w:val="402"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26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暂时闲置自有资金</w:t>
            </w:r>
          </w:p>
        </w:tc>
      </w:tr>
      <w:tr>
        <w:trPr>
          <w:trHeight w:val="714"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26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26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委托理财审批董事会公告披露 日期（如有</w:t>
            </w:r>
            <w:r>
              <w:rPr>
                <w:rFonts w:ascii="宋体" w:hAnsi="宋体" w:cs="宋体" w:eastAsia="宋体" w:hint="default"/>
                <w:sz w:val="18"/>
                <w:szCs w:val="18"/>
              </w:rPr>
              <w:t>)</w:t>
            </w:r>
          </w:p>
        </w:tc>
        <w:tc>
          <w:tcPr>
            <w:tcW w:w="726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委托理财审批股东会公告披露 日期（如有</w:t>
            </w:r>
            <w:r>
              <w:rPr>
                <w:rFonts w:ascii="宋体" w:hAnsi="宋体" w:cs="宋体" w:eastAsia="宋体" w:hint="default"/>
                <w:sz w:val="18"/>
                <w:szCs w:val="18"/>
              </w:rPr>
              <w:t>)</w:t>
            </w:r>
          </w:p>
        </w:tc>
        <w:tc>
          <w:tcPr>
            <w:tcW w:w="7269" w:type="dxa"/>
            <w:gridSpan w:val="9"/>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26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根据公司实际发展经营情况制定。</w:t>
            </w:r>
          </w:p>
        </w:tc>
      </w:tr>
    </w:tbl>
    <w:p>
      <w:pPr>
        <w:spacing w:line="240" w:lineRule="auto" w:before="2"/>
        <w:rPr>
          <w:rFonts w:ascii="宋体" w:hAnsi="宋体" w:cs="宋体" w:eastAsia="宋体" w:hint="default"/>
          <w:sz w:val="19"/>
          <w:szCs w:val="19"/>
        </w:rPr>
      </w:pPr>
    </w:p>
    <w:p>
      <w:pPr>
        <w:pStyle w:val="Heading3"/>
        <w:spacing w:line="240" w:lineRule="auto" w:before="35"/>
        <w:ind w:left="1080" w:right="1117"/>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079" w:right="84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079" w:right="1117"/>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080" w:right="81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5"/>
        <w:rPr>
          <w:rFonts w:ascii="宋体" w:hAnsi="宋体" w:cs="宋体" w:eastAsia="宋体" w:hint="default"/>
          <w:sz w:val="19"/>
          <w:szCs w:val="19"/>
        </w:rPr>
      </w:pPr>
    </w:p>
    <w:p>
      <w:pPr>
        <w:pStyle w:val="Heading2"/>
        <w:spacing w:line="240" w:lineRule="auto"/>
        <w:ind w:left="1080" w:right="1117"/>
        <w:jc w:val="left"/>
        <w:rPr>
          <w:b w:val="0"/>
          <w:bCs w:val="0"/>
        </w:rPr>
      </w:pPr>
      <w:bookmarkStart w:name="十七、其他重大事项的说明" w:id="92"/>
      <w:bookmarkEnd w:id="92"/>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1500" w:right="1117"/>
        <w:jc w:val="left"/>
      </w:pPr>
      <w:r>
        <w:rPr>
          <w:rFonts w:ascii="宋体" w:hAnsi="宋体" w:cs="宋体" w:eastAsia="宋体" w:hint="default"/>
        </w:rPr>
        <w:t>1</w:t>
      </w:r>
      <w:r>
        <w:rPr/>
        <w:t>、公司非公开发行股票（创业板）事项</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080" w:right="1077" w:firstLine="420"/>
        <w:jc w:val="both"/>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日，公司第三届董事会第十三次会议审议通过《关于公司非公开发行股票方案的议 </w:t>
      </w:r>
      <w:r>
        <w:rPr>
          <w:spacing w:val="-1"/>
        </w:rPr>
        <w:t>案》。本次非公开发行面向符合中国证监会规定的不超过</w:t>
      </w:r>
      <w:r>
        <w:rPr>
          <w:rFonts w:ascii="宋体" w:hAnsi="宋体" w:cs="宋体" w:eastAsia="宋体" w:hint="default"/>
          <w:spacing w:val="-1"/>
        </w:rPr>
        <w:t>5</w:t>
      </w:r>
      <w:r>
        <w:rPr>
          <w:spacing w:val="-1"/>
        </w:rPr>
        <w:t>名（含）的特定对象，根据发行对象申购报价的</w:t>
      </w:r>
      <w:r>
        <w:rPr>
          <w:spacing w:val="-79"/>
        </w:rPr>
        <w:t> </w:t>
      </w:r>
      <w:r>
        <w:rPr>
          <w:spacing w:val="-79"/>
        </w:rPr>
      </w:r>
      <w:r>
        <w:rPr>
          <w:spacing w:val="-3"/>
        </w:rPr>
        <w:t>情况，发行价格遵照竞价原则予以确定；本次非公开发行股票数量合计不超过</w:t>
      </w:r>
      <w:r>
        <w:rPr>
          <w:rFonts w:ascii="宋体" w:hAnsi="宋体" w:cs="宋体" w:eastAsia="宋体" w:hint="default"/>
          <w:spacing w:val="-3"/>
        </w:rPr>
        <w:t>3,700</w:t>
      </w:r>
      <w:r>
        <w:rPr>
          <w:spacing w:val="-3"/>
        </w:rPr>
        <w:t>万股（含</w:t>
      </w:r>
      <w:r>
        <w:rPr>
          <w:rFonts w:ascii="宋体" w:hAnsi="宋体" w:cs="宋体" w:eastAsia="宋体" w:hint="default"/>
          <w:spacing w:val="-3"/>
        </w:rPr>
        <w:t>3,700</w:t>
      </w:r>
      <w:r>
        <w:rPr>
          <w:spacing w:val="-3"/>
        </w:rPr>
        <w:t>万股），</w:t>
      </w:r>
      <w:r>
        <w:rPr>
          <w:spacing w:val="-77"/>
        </w:rPr>
        <w:t> </w:t>
      </w:r>
      <w:r>
        <w:rPr>
          <w:spacing w:val="-77"/>
        </w:rPr>
      </w:r>
      <w:r>
        <w:rPr/>
        <w:t>募集资金总额不超过</w:t>
      </w:r>
      <w:r>
        <w:rPr>
          <w:rFonts w:ascii="宋体" w:hAnsi="宋体" w:cs="宋体" w:eastAsia="宋体" w:hint="default"/>
        </w:rPr>
        <w:t>132,700.00</w:t>
      </w:r>
      <w:r>
        <w:rPr/>
        <w:t>万元（含</w:t>
      </w:r>
      <w:r>
        <w:rPr>
          <w:rFonts w:ascii="宋体" w:hAnsi="宋体" w:cs="宋体" w:eastAsia="宋体" w:hint="default"/>
        </w:rPr>
        <w:t>132,700.00</w:t>
      </w:r>
      <w:r>
        <w:rPr/>
        <w:t>万元），所有投资者均以现金认购公司非公开发行的</w:t>
      </w:r>
      <w:r>
        <w:rPr>
          <w:spacing w:val="-33"/>
        </w:rPr>
        <w:t> </w:t>
      </w:r>
      <w:r>
        <w:rPr>
          <w:spacing w:val="-33"/>
        </w:rPr>
      </w:r>
      <w:r>
        <w:rPr/>
        <w:t>股份。本次发行后，公司的实际控制人将不会发生变化；</w:t>
      </w:r>
    </w:p>
    <w:p>
      <w:pPr>
        <w:pStyle w:val="BodyText"/>
        <w:spacing w:line="240" w:lineRule="auto"/>
        <w:ind w:left="1500" w:right="1117"/>
        <w:jc w:val="left"/>
      </w:pPr>
      <w:r>
        <w:rPr/>
        <w:t>（</w:t>
      </w: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11</w:t>
      </w:r>
      <w:r>
        <w:rPr/>
        <w:t>日，公司召开</w:t>
      </w:r>
      <w:r>
        <w:rPr>
          <w:rFonts w:ascii="宋体" w:hAnsi="宋体" w:cs="宋体" w:eastAsia="宋体" w:hint="default"/>
        </w:rPr>
        <w:t>2015</w:t>
      </w:r>
      <w:r>
        <w:rPr/>
        <w:t>年第二次临时股东大会审议非公开发行相关的议案；</w:t>
      </w:r>
    </w:p>
    <w:p>
      <w:pPr>
        <w:spacing w:line="240" w:lineRule="auto" w:before="10"/>
        <w:rPr>
          <w:rFonts w:ascii="宋体" w:hAnsi="宋体" w:cs="宋体" w:eastAsia="宋体" w:hint="default"/>
          <w:sz w:val="14"/>
          <w:szCs w:val="14"/>
        </w:rPr>
      </w:pPr>
    </w:p>
    <w:p>
      <w:pPr>
        <w:pStyle w:val="BodyText"/>
        <w:spacing w:line="408" w:lineRule="auto" w:before="0"/>
        <w:ind w:left="1080" w:right="1078" w:firstLine="420"/>
        <w:jc w:val="both"/>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25</w:t>
      </w:r>
      <w:r>
        <w:rPr>
          <w:spacing w:val="-1"/>
        </w:rPr>
        <w:t>日，鉴于公司</w:t>
      </w:r>
      <w:r>
        <w:rPr>
          <w:rFonts w:ascii="宋体" w:hAnsi="宋体" w:cs="宋体" w:eastAsia="宋体" w:hint="default"/>
          <w:spacing w:val="-1"/>
        </w:rPr>
        <w:t>2015</w:t>
      </w:r>
      <w:r>
        <w:rPr>
          <w:spacing w:val="-1"/>
        </w:rPr>
        <w:t>年半年度资本公积金转增股本方案已经实施完毕，公司对本次非</w:t>
      </w:r>
      <w:r>
        <w:rPr/>
        <w:t> 公开发行股票发行数量上限由不超过</w:t>
      </w:r>
      <w:r>
        <w:rPr>
          <w:rFonts w:ascii="宋体" w:hAnsi="宋体" w:cs="宋体" w:eastAsia="宋体" w:hint="default"/>
        </w:rPr>
        <w:t>3,700</w:t>
      </w:r>
      <w:r>
        <w:rPr/>
        <w:t>万股调整为不超过</w:t>
      </w:r>
      <w:r>
        <w:rPr>
          <w:rFonts w:ascii="宋体" w:hAnsi="宋体" w:cs="宋体" w:eastAsia="宋体" w:hint="default"/>
        </w:rPr>
        <w:t>7,400</w:t>
      </w:r>
      <w:r>
        <w:rPr/>
        <w:t>万股（含</w:t>
      </w:r>
      <w:r>
        <w:rPr>
          <w:rFonts w:ascii="宋体" w:hAnsi="宋体" w:cs="宋体" w:eastAsia="宋体" w:hint="default"/>
        </w:rPr>
        <w:t>7,400</w:t>
      </w:r>
      <w:r>
        <w:rPr/>
        <w:t>万股）；</w:t>
      </w:r>
    </w:p>
    <w:p>
      <w:pPr>
        <w:pStyle w:val="BodyText"/>
        <w:spacing w:line="240" w:lineRule="auto"/>
        <w:ind w:left="1500" w:right="712"/>
        <w:jc w:val="left"/>
      </w:pPr>
      <w:r>
        <w:rPr>
          <w:spacing w:val="3"/>
        </w:rPr>
        <w:t>（</w:t>
      </w:r>
      <w:r>
        <w:rPr>
          <w:rFonts w:ascii="宋体" w:hAnsi="宋体" w:cs="宋体" w:eastAsia="宋体" w:hint="default"/>
          <w:spacing w:val="3"/>
        </w:rPr>
        <w:t>4</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22</w:t>
      </w:r>
      <w:r>
        <w:rPr>
          <w:spacing w:val="3"/>
        </w:rPr>
        <w:t>日收到中国证券监督管理委员会出具的《中国证监会行政许可申请受理通知书》</w:t>
      </w:r>
    </w:p>
    <w:p>
      <w:pPr>
        <w:spacing w:line="240" w:lineRule="auto" w:before="10"/>
        <w:rPr>
          <w:rFonts w:ascii="宋体" w:hAnsi="宋体" w:cs="宋体" w:eastAsia="宋体" w:hint="default"/>
          <w:sz w:val="14"/>
          <w:szCs w:val="14"/>
        </w:rPr>
      </w:pPr>
    </w:p>
    <w:p>
      <w:pPr>
        <w:pStyle w:val="BodyText"/>
        <w:spacing w:line="408" w:lineRule="auto" w:before="0"/>
        <w:ind w:left="1079" w:right="712"/>
        <w:jc w:val="left"/>
      </w:pPr>
      <w:r>
        <w:rPr>
          <w:spacing w:val="-1"/>
        </w:rPr>
        <w:t>（</w:t>
      </w:r>
      <w:r>
        <w:rPr>
          <w:rFonts w:ascii="宋体" w:hAnsi="宋体" w:cs="宋体" w:eastAsia="宋体" w:hint="default"/>
          <w:spacing w:val="-1"/>
        </w:rPr>
        <w:t>153658</w:t>
      </w:r>
      <w:r>
        <w:rPr>
          <w:spacing w:val="-1"/>
        </w:rPr>
        <w:t>号），中国证监会依法对公司提交的《上市公司非公开发行股票（创业板</w:t>
      </w:r>
      <w:r>
        <w:rPr>
          <w:rFonts w:ascii="宋体" w:hAnsi="宋体" w:cs="宋体" w:eastAsia="宋体" w:hint="default"/>
          <w:spacing w:val="-1"/>
        </w:rPr>
        <w:t>)</w:t>
      </w:r>
      <w:r>
        <w:rPr>
          <w:spacing w:val="-1"/>
        </w:rPr>
        <w:t>》行政许可申请材料进</w:t>
      </w:r>
      <w:r>
        <w:rPr>
          <w:spacing w:val="-78"/>
        </w:rPr>
        <w:t> </w:t>
      </w:r>
      <w:r>
        <w:rPr>
          <w:spacing w:val="-78"/>
        </w:rPr>
      </w:r>
      <w:r>
        <w:rPr/>
        <w:t>行了审查并决定对该行政许可申请予以受理；</w:t>
      </w:r>
    </w:p>
    <w:p>
      <w:pPr>
        <w:pStyle w:val="BodyText"/>
        <w:spacing w:line="408" w:lineRule="auto"/>
        <w:ind w:left="1079" w:right="1085" w:firstLine="420"/>
        <w:jc w:val="both"/>
      </w:pPr>
      <w:r>
        <w:rPr/>
        <w:t>（</w:t>
      </w:r>
      <w:r>
        <w:rPr>
          <w:rFonts w:ascii="宋体" w:hAnsi="宋体" w:cs="宋体" w:eastAsia="宋体" w:hint="default"/>
        </w:rPr>
        <w:t>5</w:t>
      </w:r>
      <w:r>
        <w:rPr/>
        <w:t>）</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日收到中国证券监督管理委员会出具的《中国证监会行政许可项目审查反馈意见通 知书》（</w:t>
      </w:r>
      <w:r>
        <w:rPr>
          <w:rFonts w:ascii="宋体" w:hAnsi="宋体" w:cs="宋体" w:eastAsia="宋体" w:hint="default"/>
        </w:rPr>
        <w:t>153658</w:t>
      </w:r>
      <w:r>
        <w:rPr/>
        <w:t>号），要求公司在</w:t>
      </w:r>
      <w:r>
        <w:rPr>
          <w:rFonts w:ascii="宋体" w:hAnsi="宋体" w:cs="宋体" w:eastAsia="宋体" w:hint="default"/>
        </w:rPr>
        <w:t>30</w:t>
      </w:r>
      <w:r>
        <w:rPr/>
        <w:t>日内就有关问题向中国证监会行政许可审查部门提交书面回复意见；</w:t>
      </w:r>
    </w:p>
    <w:p>
      <w:pPr>
        <w:pStyle w:val="BodyText"/>
        <w:spacing w:line="408" w:lineRule="auto"/>
        <w:ind w:left="1079" w:right="1079" w:firstLine="420"/>
        <w:jc w:val="both"/>
      </w:pPr>
      <w:r>
        <w:rPr/>
        <w:t>（</w:t>
      </w:r>
      <w:r>
        <w:rPr>
          <w:rFonts w:ascii="宋体" w:hAnsi="宋体" w:cs="宋体" w:eastAsia="宋体" w:hint="default"/>
        </w:rPr>
        <w:t>6</w:t>
      </w:r>
      <w:r>
        <w:rPr/>
        <w:t>）</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w:t>
      </w:r>
      <w:r>
        <w:rPr/>
        <w:t>日公司向中国证券监督管理委员会提交了《关于延期回复</w:t>
      </w:r>
      <w:r>
        <w:rPr>
          <w:rFonts w:ascii="宋体" w:hAnsi="宋体" w:cs="宋体" w:eastAsia="宋体" w:hint="default"/>
        </w:rPr>
        <w:t>&lt;</w:t>
      </w:r>
      <w:r>
        <w:rPr/>
        <w:t>河南汉威电子股份有限公 司非公开发行股票申请文件反馈意见</w:t>
      </w:r>
      <w:r>
        <w:rPr>
          <w:rFonts w:ascii="宋体" w:hAnsi="宋体" w:cs="宋体" w:eastAsia="宋体" w:hint="default"/>
        </w:rPr>
        <w:t>&gt;</w:t>
      </w:r>
      <w:r>
        <w:rPr/>
        <w:t>的申请》，回复时间延期至</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21</w:t>
      </w:r>
      <w:r>
        <w:rPr/>
        <w:t>日之前。</w:t>
      </w:r>
    </w:p>
    <w:p>
      <w:pPr>
        <w:pStyle w:val="BodyText"/>
        <w:spacing w:line="408" w:lineRule="auto"/>
        <w:ind w:left="1079" w:right="1073" w:firstLine="420"/>
        <w:jc w:val="both"/>
      </w:pPr>
      <w:r>
        <w:rPr/>
        <w:t>本次非公开发行股票事项具体信息请查阅公司于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22</w:t>
      </w:r>
      <w:r>
        <w:rPr/>
        <w:t>日、</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12</w:t>
      </w:r>
      <w:r>
        <w:rPr/>
        <w:t>日、</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25</w:t>
      </w:r>
      <w:r>
        <w:rPr/>
        <w:t>日、</w:t>
      </w:r>
      <w:r>
        <w:rPr>
          <w:spacing w:val="2"/>
        </w:rPr>
        <w:t>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23</w:t>
      </w:r>
      <w:r>
        <w:rPr/>
        <w:t>日、</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25</w:t>
      </w:r>
      <w:r>
        <w:rPr/>
        <w:t>日、</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4</w:t>
      </w:r>
      <w:r>
        <w:rPr/>
        <w:t>日在巨潮资讯网刊登的公告。</w:t>
      </w:r>
    </w:p>
    <w:p>
      <w:pPr>
        <w:pStyle w:val="BodyText"/>
        <w:spacing w:line="240" w:lineRule="auto"/>
        <w:ind w:left="1500" w:right="1117"/>
        <w:jc w:val="left"/>
      </w:pPr>
      <w:r>
        <w:rPr>
          <w:rFonts w:ascii="宋体" w:hAnsi="宋体" w:cs="宋体" w:eastAsia="宋体" w:hint="default"/>
        </w:rPr>
        <w:t>2</w:t>
      </w:r>
      <w:r>
        <w:rPr/>
        <w:t>、对外投资河南雪城软件有限公司</w:t>
      </w:r>
    </w:p>
    <w:p>
      <w:pPr>
        <w:spacing w:line="240" w:lineRule="auto" w:before="10"/>
        <w:rPr>
          <w:rFonts w:ascii="宋体" w:hAnsi="宋体" w:cs="宋体" w:eastAsia="宋体" w:hint="default"/>
          <w:sz w:val="14"/>
          <w:szCs w:val="14"/>
        </w:rPr>
      </w:pPr>
    </w:p>
    <w:p>
      <w:pPr>
        <w:pStyle w:val="BodyText"/>
        <w:spacing w:line="408" w:lineRule="auto" w:before="0"/>
        <w:ind w:left="1080" w:right="1075" w:firstLine="420"/>
        <w:jc w:val="both"/>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28</w:t>
      </w:r>
      <w:r>
        <w:rPr/>
        <w:t>日，公司第三届董事会第十八次会议审议通过了《关于使用自有资金投资河南雪城软件 </w:t>
      </w:r>
      <w:r>
        <w:rPr>
          <w:spacing w:val="-5"/>
        </w:rPr>
        <w:t>有限公司的议案》，公司以自有资金通过股权收购和增资扩股的方式收购雪城软件</w:t>
      </w:r>
      <w:r>
        <w:rPr>
          <w:rFonts w:ascii="宋体" w:hAnsi="宋体" w:cs="宋体" w:eastAsia="宋体" w:hint="default"/>
          <w:spacing w:val="-5"/>
        </w:rPr>
        <w:t>51%</w:t>
      </w:r>
      <w:r>
        <w:rPr>
          <w:spacing w:val="-5"/>
        </w:rPr>
        <w:t>股权；</w:t>
      </w:r>
      <w:r>
        <w:rPr>
          <w:rFonts w:ascii="宋体" w:hAnsi="宋体" w:cs="宋体" w:eastAsia="宋体" w:hint="default"/>
          <w:spacing w:val="-5"/>
        </w:rPr>
        <w:t>2016</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8</w:t>
      </w:r>
      <w:r>
        <w:rPr>
          <w:spacing w:val="-5"/>
        </w:rPr>
        <w:t>日，</w:t>
      </w:r>
      <w:r>
        <w:rPr>
          <w:spacing w:val="-76"/>
        </w:rPr>
        <w:t> </w:t>
      </w:r>
      <w:r>
        <w:rPr>
          <w:spacing w:val="-1"/>
        </w:rPr>
        <w:t>雪城软件收到了工商登记机关核发的《营业执照》。具体信息请查阅公司于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19</w:t>
      </w:r>
      <w:r>
        <w:rPr>
          <w:rFonts w:ascii="宋体" w:hAnsi="宋体" w:cs="宋体" w:eastAsia="宋体" w:hint="default"/>
          <w:spacing w:val="-76"/>
        </w:rPr>
        <w:t> </w:t>
      </w:r>
      <w:r>
        <w:rPr/>
        <w:t>日在巨潮资讯网刊登的公告。</w:t>
      </w:r>
    </w:p>
    <w:p>
      <w:pPr>
        <w:pStyle w:val="BodyText"/>
        <w:spacing w:line="240" w:lineRule="auto"/>
        <w:ind w:left="1500" w:right="1117"/>
        <w:jc w:val="left"/>
      </w:pPr>
      <w:r>
        <w:rPr>
          <w:rFonts w:ascii="宋体" w:hAnsi="宋体" w:cs="宋体" w:eastAsia="宋体" w:hint="default"/>
        </w:rPr>
        <w:t>3</w:t>
      </w:r>
      <w:r>
        <w:rPr/>
        <w:t>、设立上海威研融创实业有限公司</w:t>
      </w:r>
    </w:p>
    <w:p>
      <w:pPr>
        <w:spacing w:line="240" w:lineRule="auto" w:before="10"/>
        <w:rPr>
          <w:rFonts w:ascii="宋体" w:hAnsi="宋体" w:cs="宋体" w:eastAsia="宋体" w:hint="default"/>
          <w:sz w:val="14"/>
          <w:szCs w:val="14"/>
        </w:rPr>
      </w:pPr>
    </w:p>
    <w:p>
      <w:pPr>
        <w:pStyle w:val="BodyText"/>
        <w:spacing w:line="408" w:lineRule="auto" w:before="0"/>
        <w:ind w:left="1079" w:right="1076" w:firstLine="420"/>
        <w:jc w:val="both"/>
      </w:pP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28</w:t>
      </w:r>
      <w:r>
        <w:rPr>
          <w:spacing w:val="-3"/>
        </w:rPr>
        <w:t>日，公司第三届董事会第十八次会议审议通过了《关于拟设立全资子公司的议案》，</w:t>
      </w:r>
      <w:r>
        <w:rPr>
          <w:rFonts w:ascii="宋体" w:hAnsi="宋体" w:cs="宋体" w:eastAsia="宋体" w:hint="default"/>
          <w:spacing w:val="-3"/>
        </w:rPr>
        <w:t>2016</w:t>
      </w:r>
      <w:r>
        <w:rPr>
          <w:rFonts w:ascii="宋体" w:hAnsi="宋体" w:cs="宋体" w:eastAsia="宋体" w:hint="default"/>
        </w:rPr>
        <w:t> </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12</w:t>
      </w:r>
      <w:r>
        <w:rPr>
          <w:spacing w:val="-1"/>
        </w:rPr>
        <w:t>日，新设子公司上海威研融创实业有限公司收到了工商登记机关核发的《营业执照》。具体信息请</w:t>
      </w:r>
      <w:r>
        <w:rPr>
          <w:spacing w:val="-77"/>
        </w:rPr>
        <w:t> </w:t>
      </w:r>
      <w:r>
        <w:rPr>
          <w:spacing w:val="-77"/>
        </w:rPr>
      </w:r>
      <w:r>
        <w:rPr/>
        <w:t>查阅公司于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29</w:t>
      </w:r>
      <w:r>
        <w:rPr/>
        <w:t>日、</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20</w:t>
      </w:r>
      <w:r>
        <w:rPr/>
        <w:t>日在巨潮资讯网刊登的公告。</w:t>
      </w:r>
    </w:p>
    <w:p>
      <w:pPr>
        <w:pStyle w:val="BodyText"/>
        <w:spacing w:line="240" w:lineRule="auto"/>
        <w:ind w:left="1500" w:right="1117"/>
        <w:jc w:val="left"/>
      </w:pPr>
      <w:r>
        <w:rPr>
          <w:rFonts w:ascii="宋体" w:hAnsi="宋体" w:cs="宋体" w:eastAsia="宋体" w:hint="default"/>
        </w:rPr>
        <w:t>4</w:t>
      </w:r>
      <w:r>
        <w:rPr/>
        <w:t>、对外投资郑州德析检测技术有限公司</w:t>
      </w:r>
    </w:p>
    <w:p>
      <w:pPr>
        <w:spacing w:line="240" w:lineRule="auto" w:before="10"/>
        <w:rPr>
          <w:rFonts w:ascii="宋体" w:hAnsi="宋体" w:cs="宋体" w:eastAsia="宋体" w:hint="default"/>
          <w:sz w:val="14"/>
          <w:szCs w:val="14"/>
        </w:rPr>
      </w:pPr>
    </w:p>
    <w:p>
      <w:pPr>
        <w:pStyle w:val="BodyText"/>
        <w:spacing w:line="408" w:lineRule="auto" w:before="0"/>
        <w:ind w:left="1080" w:right="1078" w:firstLine="420"/>
        <w:jc w:val="both"/>
      </w:pP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4</w:t>
      </w:r>
      <w:r>
        <w:rPr/>
        <w:t>日，公司第三届董事会第十九次会议审议通过了《关于使用自有资金投资郑州德析检测技 </w:t>
      </w:r>
      <w:r>
        <w:rPr>
          <w:spacing w:val="-1"/>
        </w:rPr>
        <w:t>术有限公司的议案》，公司通过增资的方式持有郑州德析检测技术有限公司</w:t>
      </w:r>
      <w:r>
        <w:rPr>
          <w:rFonts w:ascii="宋体" w:hAnsi="宋体" w:cs="宋体" w:eastAsia="宋体" w:hint="default"/>
          <w:spacing w:val="-1"/>
        </w:rPr>
        <w:t>51%</w:t>
      </w:r>
      <w:r>
        <w:rPr>
          <w:spacing w:val="-1"/>
        </w:rPr>
        <w:t>的股权，涉及的资金总额为</w:t>
      </w:r>
      <w:r>
        <w:rPr>
          <w:spacing w:val="-80"/>
        </w:rPr>
        <w:t> </w:t>
      </w:r>
      <w:r>
        <w:rPr>
          <w:spacing w:val="-80"/>
        </w:rPr>
      </w:r>
      <w:r>
        <w:rPr>
          <w:rFonts w:ascii="宋体" w:hAnsi="宋体" w:cs="宋体" w:eastAsia="宋体" w:hint="default"/>
        </w:rPr>
        <w:t>350</w:t>
      </w:r>
      <w:r>
        <w:rPr/>
        <w:t>万元。具体信息请查阅公司于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7</w:t>
      </w:r>
      <w:r>
        <w:rPr/>
        <w:t>日在巨潮资讯网刊登的公告。</w:t>
      </w:r>
    </w:p>
    <w:p>
      <w:pPr>
        <w:spacing w:after="0" w:line="408"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left="1080" w:right="1117"/>
        <w:jc w:val="left"/>
        <w:rPr>
          <w:b w:val="0"/>
          <w:bCs w:val="0"/>
        </w:rPr>
      </w:pPr>
      <w:bookmarkStart w:name="十八、公司子公司重大事项" w:id="93"/>
      <w:bookmarkEnd w:id="93"/>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1500" w:right="1117"/>
        <w:jc w:val="left"/>
      </w:pPr>
      <w:r>
        <w:rPr>
          <w:rFonts w:ascii="宋体" w:hAnsi="宋体" w:cs="宋体" w:eastAsia="宋体" w:hint="default"/>
        </w:rPr>
        <w:t>1</w:t>
      </w:r>
      <w:r>
        <w:rPr/>
        <w:t>、公司与国开发展基金有限公司合作事项</w:t>
      </w:r>
    </w:p>
    <w:p>
      <w:pPr>
        <w:spacing w:line="240" w:lineRule="auto" w:before="10"/>
        <w:rPr>
          <w:rFonts w:ascii="宋体" w:hAnsi="宋体" w:cs="宋体" w:eastAsia="宋体" w:hint="default"/>
          <w:sz w:val="14"/>
          <w:szCs w:val="14"/>
        </w:rPr>
      </w:pPr>
    </w:p>
    <w:p>
      <w:pPr>
        <w:pStyle w:val="BodyText"/>
        <w:spacing w:line="408" w:lineRule="auto" w:before="0"/>
        <w:ind w:left="1080" w:right="712" w:firstLine="420"/>
        <w:jc w:val="left"/>
      </w:pPr>
      <w:r>
        <w:rPr>
          <w:rFonts w:ascii="宋体" w:hAnsi="宋体" w:cs="宋体" w:eastAsia="宋体" w:hint="default"/>
          <w:spacing w:val="-5"/>
        </w:rPr>
        <w:t>2015</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w:t>
      </w:r>
      <w:r>
        <w:rPr>
          <w:spacing w:val="-5"/>
        </w:rPr>
        <w:t>日，公司第三届董事会十七次会议审议通过了《关于与国开发展基金有限公司合作的议案》，</w:t>
      </w:r>
      <w:r>
        <w:rPr/>
        <w:t> 国开发展基金有限公司、汉威智源、高新热力及公司签署了《国开发展基金投资合同》，同意国开发展基</w:t>
      </w:r>
      <w:r>
        <w:rPr>
          <w:spacing w:val="-34"/>
        </w:rPr>
        <w:t> </w:t>
      </w:r>
      <w:r>
        <w:rPr>
          <w:spacing w:val="-34"/>
        </w:rPr>
      </w:r>
      <w:r>
        <w:rPr/>
        <w:t>金以人民币</w:t>
      </w:r>
      <w:r>
        <w:rPr>
          <w:rFonts w:ascii="宋体" w:hAnsi="宋体" w:cs="宋体" w:eastAsia="宋体" w:hint="default"/>
        </w:rPr>
        <w:t>4,900</w:t>
      </w:r>
      <w:r>
        <w:rPr/>
        <w:t>万元对公司的下属子公司高新热力以夹层投资方式进行增资（汉威智源是公司的控股子公 司，高新热力是汉威智源的全资子公司）。本次增资的资金用于高新热力公司的“基于物联网的城市热力</w:t>
      </w:r>
      <w:r>
        <w:rPr>
          <w:spacing w:val="-25"/>
        </w:rPr>
        <w:t> </w:t>
      </w:r>
      <w:r>
        <w:rPr>
          <w:spacing w:val="-25"/>
        </w:rPr>
      </w:r>
      <w:r>
        <w:rPr/>
        <w:t>公共服务平台建设项目”，投资期限为</w:t>
      </w:r>
      <w:r>
        <w:rPr>
          <w:rFonts w:ascii="宋体" w:hAnsi="宋体" w:cs="宋体" w:eastAsia="宋体" w:hint="default"/>
        </w:rPr>
        <w:t>10</w:t>
      </w:r>
      <w:r>
        <w:rPr/>
        <w:t>年，增资后国开发展基金有限公司拥有高新热力</w:t>
      </w:r>
      <w:r>
        <w:rPr>
          <w:rFonts w:ascii="宋体" w:hAnsi="宋体" w:cs="宋体" w:eastAsia="宋体" w:hint="default"/>
        </w:rPr>
        <w:t>24.7%</w:t>
      </w:r>
      <w:r>
        <w:rPr/>
        <w:t>股权。具体 信息请查阅公司于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04</w:t>
      </w:r>
      <w:r>
        <w:rPr/>
        <w:t>日在巨潮资讯网刊登的公告。</w:t>
      </w:r>
    </w:p>
    <w:p>
      <w:pPr>
        <w:spacing w:line="240" w:lineRule="auto" w:before="11"/>
        <w:rPr>
          <w:rFonts w:ascii="宋体" w:hAnsi="宋体" w:cs="宋体" w:eastAsia="宋体" w:hint="default"/>
          <w:sz w:val="18"/>
          <w:szCs w:val="18"/>
        </w:rPr>
      </w:pPr>
    </w:p>
    <w:p>
      <w:pPr>
        <w:pStyle w:val="Heading2"/>
        <w:spacing w:line="240" w:lineRule="auto"/>
        <w:ind w:left="1080" w:right="1117"/>
        <w:jc w:val="left"/>
        <w:rPr>
          <w:b w:val="0"/>
          <w:bCs w:val="0"/>
        </w:rPr>
      </w:pPr>
      <w:bookmarkStart w:name="十九、社会责任情况" w:id="94"/>
      <w:bookmarkEnd w:id="94"/>
      <w:r>
        <w:rPr>
          <w:b w:val="0"/>
          <w:bCs w:val="0"/>
        </w:rPr>
      </w:r>
      <w:r>
        <w:rPr/>
        <w:t>十九、社会责任情况</w:t>
      </w:r>
      <w:r>
        <w:rPr>
          <w:b w:val="0"/>
          <w:bCs w:val="0"/>
        </w:rPr>
      </w:r>
    </w:p>
    <w:p>
      <w:pPr>
        <w:spacing w:line="240" w:lineRule="auto" w:before="7"/>
        <w:rPr>
          <w:rFonts w:ascii="宋体" w:hAnsi="宋体" w:cs="宋体" w:eastAsia="宋体" w:hint="default"/>
          <w:b/>
          <w:bCs/>
          <w:sz w:val="32"/>
          <w:szCs w:val="32"/>
        </w:rPr>
      </w:pPr>
    </w:p>
    <w:p>
      <w:pPr>
        <w:spacing w:before="0"/>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BodyText"/>
        <w:spacing w:line="240" w:lineRule="auto" w:before="0"/>
        <w:ind w:left="1500" w:right="1117"/>
        <w:jc w:val="left"/>
      </w:pPr>
      <w:r>
        <w:rPr/>
        <w:t>具体内容请查看公司于在巨潮资讯网刊登的《</w:t>
      </w:r>
      <w:r>
        <w:rPr>
          <w:rFonts w:ascii="Times New Roman" w:hAnsi="Times New Roman" w:cs="Times New Roman" w:eastAsia="Times New Roman" w:hint="default"/>
        </w:rPr>
        <w:t>2015</w:t>
      </w:r>
      <w:r>
        <w:rPr/>
        <w:t>年度社会责任报告》。</w:t>
      </w:r>
    </w:p>
    <w:p>
      <w:pPr>
        <w:spacing w:line="240" w:lineRule="auto" w:before="8"/>
        <w:rPr>
          <w:rFonts w:ascii="宋体" w:hAnsi="宋体" w:cs="宋体" w:eastAsia="宋体" w:hint="default"/>
          <w:sz w:val="18"/>
          <w:szCs w:val="18"/>
        </w:rPr>
      </w:pPr>
    </w:p>
    <w:p>
      <w:pPr>
        <w:spacing w:before="0"/>
        <w:ind w:left="1080" w:right="1117"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240" w:lineRule="auto" w:before="11"/>
        <w:rPr>
          <w:rFonts w:ascii="宋体" w:hAnsi="宋体" w:cs="宋体" w:eastAsia="宋体" w:hint="default"/>
          <w:sz w:val="20"/>
          <w:szCs w:val="20"/>
        </w:rPr>
      </w:pPr>
    </w:p>
    <w:p>
      <w:pPr>
        <w:spacing w:line="489" w:lineRule="auto" w:before="0"/>
        <w:ind w:left="1080" w:right="90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是否发布社会责任报告</w:t>
      </w:r>
    </w:p>
    <w:p>
      <w:pPr>
        <w:spacing w:before="85"/>
        <w:ind w:left="1080"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075" w:type="dxa"/>
        <w:tblLayout w:type="fixed"/>
        <w:tblCellMar>
          <w:top w:w="0" w:type="dxa"/>
          <w:left w:w="0" w:type="dxa"/>
          <w:bottom w:w="0" w:type="dxa"/>
          <w:right w:w="0" w:type="dxa"/>
        </w:tblCellMar>
        <w:tblLook w:val="01E0"/>
      </w:tblPr>
      <w:tblGrid>
        <w:gridCol w:w="1480"/>
        <w:gridCol w:w="1482"/>
        <w:gridCol w:w="1481"/>
        <w:gridCol w:w="1481"/>
        <w:gridCol w:w="1851"/>
        <w:gridCol w:w="1794"/>
      </w:tblGrid>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企业社会责任报告</w:t>
            </w:r>
          </w:p>
        </w:tc>
      </w:tr>
      <w:tr>
        <w:trPr>
          <w:trHeight w:val="402" w:hRule="exact"/>
        </w:trPr>
        <w:tc>
          <w:tcPr>
            <w:tcW w:w="1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企业性质</w:t>
            </w:r>
          </w:p>
        </w:tc>
        <w:tc>
          <w:tcPr>
            <w:tcW w:w="148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556" w:right="103" w:hanging="450"/>
              <w:jc w:val="left"/>
              <w:rPr>
                <w:rFonts w:ascii="宋体" w:hAnsi="宋体" w:cs="宋体" w:eastAsia="宋体" w:hint="default"/>
                <w:sz w:val="18"/>
                <w:szCs w:val="18"/>
              </w:rPr>
            </w:pPr>
            <w:r>
              <w:rPr>
                <w:rFonts w:ascii="宋体" w:hAnsi="宋体" w:cs="宋体" w:eastAsia="宋体" w:hint="default"/>
                <w:sz w:val="18"/>
                <w:szCs w:val="18"/>
              </w:rPr>
              <w:t>是否含环境方面 信息</w:t>
            </w:r>
          </w:p>
        </w:tc>
        <w:tc>
          <w:tcPr>
            <w:tcW w:w="14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555" w:right="105" w:hanging="450"/>
              <w:jc w:val="left"/>
              <w:rPr>
                <w:rFonts w:ascii="宋体" w:hAnsi="宋体" w:cs="宋体" w:eastAsia="宋体" w:hint="default"/>
                <w:sz w:val="18"/>
                <w:szCs w:val="18"/>
              </w:rPr>
            </w:pPr>
            <w:r>
              <w:rPr>
                <w:rFonts w:ascii="宋体" w:hAnsi="宋体" w:cs="宋体" w:eastAsia="宋体" w:hint="default"/>
                <w:sz w:val="18"/>
                <w:szCs w:val="18"/>
              </w:rPr>
              <w:t>是否含社会方面 信息</w:t>
            </w:r>
          </w:p>
        </w:tc>
        <w:tc>
          <w:tcPr>
            <w:tcW w:w="14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375" w:right="103" w:hanging="270"/>
              <w:jc w:val="left"/>
              <w:rPr>
                <w:rFonts w:ascii="宋体" w:hAnsi="宋体" w:cs="宋体" w:eastAsia="宋体" w:hint="default"/>
                <w:sz w:val="18"/>
                <w:szCs w:val="18"/>
              </w:rPr>
            </w:pPr>
            <w:r>
              <w:rPr>
                <w:rFonts w:ascii="宋体" w:hAnsi="宋体" w:cs="宋体" w:eastAsia="宋体" w:hint="default"/>
                <w:sz w:val="18"/>
                <w:szCs w:val="18"/>
              </w:rPr>
              <w:t>是否含公司治理 方面信息</w:t>
            </w:r>
          </w:p>
        </w:tc>
        <w:tc>
          <w:tcPr>
            <w:tcW w:w="36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报告披露标准</w:t>
            </w:r>
          </w:p>
        </w:tc>
      </w:tr>
      <w:tr>
        <w:trPr>
          <w:trHeight w:val="401" w:hRule="exact"/>
        </w:trPr>
        <w:tc>
          <w:tcPr>
            <w:tcW w:w="1480" w:type="dxa"/>
            <w:vMerge/>
            <w:tcBorders>
              <w:left w:val="single" w:sz="4" w:space="0" w:color="000000"/>
              <w:bottom w:val="single" w:sz="4" w:space="0" w:color="000000"/>
              <w:right w:val="single" w:sz="4" w:space="0" w:color="000000"/>
            </w:tcBorders>
            <w:shd w:val="clear" w:color="auto" w:fill="D2D2D2"/>
          </w:tcPr>
          <w:p>
            <w:pPr/>
          </w:p>
        </w:tc>
        <w:tc>
          <w:tcPr>
            <w:tcW w:w="1482" w:type="dxa"/>
            <w:vMerge/>
            <w:tcBorders>
              <w:left w:val="single" w:sz="4" w:space="0" w:color="000000"/>
              <w:bottom w:val="single" w:sz="4" w:space="0" w:color="000000"/>
              <w:right w:val="single" w:sz="4" w:space="0" w:color="000000"/>
            </w:tcBorders>
            <w:shd w:val="clear" w:color="auto" w:fill="D2D2D2"/>
          </w:tcPr>
          <w:p>
            <w:pPr/>
          </w:p>
        </w:tc>
        <w:tc>
          <w:tcPr>
            <w:tcW w:w="1481" w:type="dxa"/>
            <w:vMerge/>
            <w:tcBorders>
              <w:left w:val="single" w:sz="4" w:space="0" w:color="000000"/>
              <w:bottom w:val="single" w:sz="4" w:space="0" w:color="000000"/>
              <w:right w:val="single" w:sz="4" w:space="0" w:color="000000"/>
            </w:tcBorders>
            <w:shd w:val="clear" w:color="auto" w:fill="D2D2D2"/>
          </w:tcPr>
          <w:p>
            <w:pPr/>
          </w:p>
        </w:tc>
        <w:tc>
          <w:tcPr>
            <w:tcW w:w="1481" w:type="dxa"/>
            <w:vMerge/>
            <w:tcBorders>
              <w:left w:val="single" w:sz="4" w:space="0" w:color="000000"/>
              <w:bottom w:val="single" w:sz="4" w:space="0" w:color="000000"/>
              <w:right w:val="single" w:sz="4" w:space="0" w:color="000000"/>
            </w:tcBorders>
            <w:shd w:val="clear" w:color="auto" w:fill="D2D2D2"/>
          </w:tcPr>
          <w:p>
            <w:pP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国内标准</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1" w:right="0"/>
              <w:jc w:val="left"/>
              <w:rPr>
                <w:rFonts w:ascii="宋体" w:hAnsi="宋体" w:cs="宋体" w:eastAsia="宋体" w:hint="default"/>
                <w:sz w:val="18"/>
                <w:szCs w:val="18"/>
              </w:rPr>
            </w:pPr>
            <w:r>
              <w:rPr>
                <w:rFonts w:ascii="宋体" w:hAnsi="宋体" w:cs="宋体" w:eastAsia="宋体" w:hint="default"/>
                <w:sz w:val="18"/>
                <w:szCs w:val="18"/>
              </w:rPr>
              <w:t>国外标准</w:t>
            </w:r>
          </w:p>
        </w:tc>
      </w:tr>
      <w:tr>
        <w:trPr>
          <w:trHeight w:val="1651"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私企</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6"/>
              <w:jc w:val="left"/>
              <w:rPr>
                <w:rFonts w:ascii="宋体" w:hAnsi="宋体" w:cs="宋体" w:eastAsia="宋体" w:hint="default"/>
                <w:sz w:val="18"/>
                <w:szCs w:val="18"/>
              </w:rPr>
            </w:pPr>
            <w:r>
              <w:rPr>
                <w:rFonts w:ascii="宋体" w:hAnsi="宋体" w:cs="宋体" w:eastAsia="宋体" w:hint="default"/>
                <w:sz w:val="18"/>
                <w:szCs w:val="18"/>
              </w:rPr>
              <w:t>《中国企业社会责任 报告编写指南</w:t>
            </w:r>
          </w:p>
          <w:p>
            <w:pPr>
              <w:pStyle w:val="TableParagraph"/>
              <w:spacing w:line="309" w:lineRule="auto" w:before="19"/>
              <w:ind w:left="22" w:right="22"/>
              <w:jc w:val="left"/>
              <w:rPr>
                <w:rFonts w:ascii="宋体" w:hAnsi="宋体" w:cs="宋体" w:eastAsia="宋体" w:hint="default"/>
                <w:sz w:val="18"/>
                <w:szCs w:val="18"/>
              </w:rPr>
            </w:pPr>
            <w:r>
              <w:rPr>
                <w:rFonts w:ascii="Times New Roman" w:hAnsi="Times New Roman" w:cs="Times New Roman" w:eastAsia="Times New Roman" w:hint="default"/>
                <w:spacing w:val="-12"/>
                <w:w w:val="99"/>
                <w:sz w:val="18"/>
                <w:szCs w:val="18"/>
              </w:rPr>
              <w:t>CASS-CSR2.0</w:t>
            </w:r>
            <w:r>
              <w:rPr>
                <w:rFonts w:ascii="宋体" w:hAnsi="宋体" w:cs="宋体" w:eastAsia="宋体" w:hint="default"/>
                <w:spacing w:val="-12"/>
                <w:w w:val="99"/>
                <w:sz w:val="18"/>
                <w:szCs w:val="18"/>
              </w:rPr>
              <w:t>》、《深圳</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证券交易所上市公司</w:t>
            </w:r>
            <w:r>
              <w:rPr>
                <w:rFonts w:ascii="宋体" w:hAnsi="宋体" w:cs="宋体" w:eastAsia="宋体" w:hint="default"/>
                <w:w w:val="99"/>
                <w:sz w:val="18"/>
                <w:szCs w:val="18"/>
              </w:rPr>
              <w:t> </w:t>
            </w:r>
            <w:r>
              <w:rPr>
                <w:rFonts w:ascii="宋体" w:hAnsi="宋体" w:cs="宋体" w:eastAsia="宋体" w:hint="default"/>
                <w:spacing w:val="-12"/>
                <w:w w:val="99"/>
                <w:sz w:val="18"/>
                <w:szCs w:val="18"/>
              </w:rPr>
              <w:t>社会责任指引》。</w:t>
            </w:r>
            <w:r>
              <w:rPr>
                <w:rFonts w:ascii="宋体" w:hAnsi="宋体" w:cs="宋体" w:eastAsia="宋体" w:hint="default"/>
                <w:spacing w:val="-12"/>
                <w:sz w:val="18"/>
                <w:szCs w:val="18"/>
              </w:rPr>
            </w:r>
          </w:p>
        </w:tc>
        <w:tc>
          <w:tcPr>
            <w:tcW w:w="1794" w:type="dxa"/>
            <w:tcBorders>
              <w:top w:val="single" w:sz="4" w:space="0" w:color="000000"/>
              <w:left w:val="single" w:sz="4" w:space="0" w:color="000000"/>
              <w:bottom w:val="single" w:sz="4" w:space="0" w:color="000000"/>
              <w:right w:val="single" w:sz="4" w:space="0" w:color="000000"/>
            </w:tcBorders>
          </w:tcPr>
          <w:p>
            <w:pPr/>
          </w:p>
        </w:tc>
      </w:tr>
    </w:tbl>
    <w:p>
      <w:pPr>
        <w:spacing w:before="51"/>
        <w:ind w:left="1080" w:right="1117" w:firstLine="0"/>
        <w:jc w:val="left"/>
        <w:rPr>
          <w:rFonts w:ascii="宋体" w:hAnsi="宋体" w:cs="宋体" w:eastAsia="宋体" w:hint="default"/>
          <w:sz w:val="18"/>
          <w:szCs w:val="18"/>
        </w:rPr>
      </w:pPr>
      <w:r>
        <w:rPr>
          <w:rFonts w:ascii="宋体" w:hAnsi="宋体" w:cs="宋体" w:eastAsia="宋体" w:hint="default"/>
          <w:sz w:val="18"/>
          <w:szCs w:val="18"/>
        </w:rPr>
        <w:t>具体情况说明</w:t>
      </w:r>
    </w:p>
    <w:p>
      <w:pPr>
        <w:spacing w:line="240" w:lineRule="auto" w:before="13"/>
        <w:rPr>
          <w:rFonts w:ascii="宋体" w:hAnsi="宋体" w:cs="宋体" w:eastAsia="宋体" w:hint="default"/>
          <w:sz w:val="7"/>
          <w:szCs w:val="7"/>
        </w:rPr>
      </w:pPr>
    </w:p>
    <w:tbl>
      <w:tblPr>
        <w:tblW w:w="0" w:type="auto"/>
        <w:jc w:val="left"/>
        <w:tblInd w:w="1075"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公司是否通过环境管理体系认证（</w:t>
            </w:r>
            <w:r>
              <w:rPr>
                <w:rFonts w:ascii="宋体" w:hAnsi="宋体" w:cs="宋体" w:eastAsia="宋体" w:hint="default"/>
                <w:sz w:val="18"/>
                <w:szCs w:val="18"/>
              </w:rPr>
              <w:t>ISO14001</w:t>
            </w:r>
            <w:r>
              <w:rPr>
                <w:rFonts w:ascii="宋体" w:hAnsi="宋体" w:cs="宋体" w:eastAsia="宋体" w:hint="default"/>
                <w:sz w:val="18"/>
                <w:szCs w:val="18"/>
              </w:rPr>
              <w:t>）</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公司年度环保投支出金额（万元）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公司“废气、废水、废渣”三废减排绩效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w:t>
            </w:r>
          </w:p>
        </w:tc>
      </w:tr>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公司投资于雇员个人知识和技能提高以提升雇员职业发展 能力的投入（万元）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60.96</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公司的社会公益捐赠（资金、物资、无偿专业服务）金额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381" w:lineRule="exact"/>
        <w:ind w:left="107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773;top:14;width:2;height:353" coordorigin="4773,14" coordsize="2,353">
              <v:shape style="position:absolute;left:4773;top:14;width:2;height:353" coordorigin="4773,14" coordsize="0,353" path="m4773,14l4773,367e" filled="false" stroked="true" strokeweight="1.140pt" strokecolor="#d2d2d2">
                <v:path arrowok="t"/>
              </v:shape>
            </v:group>
            <v:group style="position:absolute;left:32;top:14;width:4729;height:353" coordorigin="32,14" coordsize="4729,353">
              <v:shape style="position:absolute;left:32;top:14;width:4729;height:353" coordorigin="32,14" coordsize="4729,353" path="m32,367l4761,367,4761,14,32,14,32,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top:10;width:4785;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7"/>
          <w:szCs w:val="17"/>
        </w:rPr>
      </w:pPr>
    </w:p>
    <w:p>
      <w:pPr>
        <w:pStyle w:val="Heading2"/>
        <w:spacing w:line="240" w:lineRule="auto" w:before="26"/>
        <w:ind w:left="1080" w:right="1117"/>
        <w:jc w:val="left"/>
        <w:rPr>
          <w:b w:val="0"/>
          <w:bCs w:val="0"/>
        </w:rPr>
      </w:pPr>
      <w:bookmarkStart w:name="二十、公司债券相关情况" w:id="95"/>
      <w:bookmarkEnd w:id="95"/>
      <w:r>
        <w:rPr>
          <w:b w:val="0"/>
          <w:bCs w:val="0"/>
        </w:rPr>
      </w:r>
      <w:r>
        <w:rPr/>
        <w:t>二十、公司债券相关情况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080" w:right="2166"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117"/>
        <w:jc w:val="left"/>
        <w:rPr>
          <w:b w:val="0"/>
          <w:bCs w:val="0"/>
        </w:rPr>
      </w:pPr>
      <w:bookmarkStart w:name="第六节 股份变动及股东情况" w:id="96"/>
      <w:bookmarkEnd w:id="9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股份变动情况" w:id="97"/>
      <w:bookmarkEnd w:id="9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股份变动情况" w:id="98"/>
      <w:bookmarkEnd w:id="9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2002"/>
        <w:gridCol w:w="1058"/>
        <w:gridCol w:w="686"/>
        <w:gridCol w:w="552"/>
        <w:gridCol w:w="605"/>
        <w:gridCol w:w="1045"/>
        <w:gridCol w:w="956"/>
        <w:gridCol w:w="1047"/>
        <w:gridCol w:w="1045"/>
        <w:gridCol w:w="686"/>
      </w:tblGrid>
      <w:tr>
        <w:trPr>
          <w:trHeight w:val="402" w:hRule="exact"/>
        </w:trPr>
        <w:tc>
          <w:tcPr>
            <w:tcW w:w="2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0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2" w:type="dxa"/>
            <w:vMerge w:val="restart"/>
            <w:tcBorders>
              <w:top w:val="nil" w:sz="6" w:space="0" w:color="auto"/>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2"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52" w:type="dxa"/>
            <w:vMerge/>
            <w:tcBorders>
              <w:left w:val="single" w:sz="4" w:space="0" w:color="000000"/>
              <w:right w:val="single" w:sz="4" w:space="0" w:color="000000"/>
            </w:tcBorders>
            <w:shd w:val="clear" w:color="auto" w:fill="D2D2D2"/>
          </w:tcPr>
          <w:p>
            <w:pPr/>
          </w:p>
        </w:tc>
        <w:tc>
          <w:tcPr>
            <w:tcW w:w="6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2"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605"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1047"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2"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64,014,946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43.69%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55,424,543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-8,351,626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47,072,917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111,087,863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37.91%</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0.48%</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0.48%</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63,314,946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43.22%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54,724,543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-8,351,626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46,372,917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109,687,863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37.43%</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5,849,609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3.99%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5,849,609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5,849,609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11,699,218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57,465,337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39.22%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48,874,934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-8,351,626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40,523,308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97,988,645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33.44%</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82,496,457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56.31%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91,086,860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8,351,626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99,438,486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181,934,943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62.09%</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82,496,457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56.31%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91,086,860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8,351,626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99,438,486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181,934,943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62.09%</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146,511,403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146,511,403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146,511,403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293,022,806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30" w:firstLine="420"/>
        <w:jc w:val="both"/>
      </w:pPr>
      <w:r>
        <w:rPr>
          <w:rFonts w:ascii="宋体" w:hAnsi="宋体" w:cs="宋体" w:eastAsia="宋体" w:hint="default"/>
          <w:spacing w:val="-1"/>
        </w:rPr>
        <w:t>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25</w:t>
      </w:r>
      <w:r>
        <w:rPr>
          <w:spacing w:val="-1"/>
        </w:rPr>
        <w:t>日，公司第三届董事会第十四次会议审议通过《关于</w:t>
      </w:r>
      <w:r>
        <w:rPr>
          <w:rFonts w:ascii="宋体" w:hAnsi="宋体" w:cs="宋体" w:eastAsia="宋体" w:hint="default"/>
          <w:spacing w:val="-1"/>
        </w:rPr>
        <w:t>2015</w:t>
      </w:r>
      <w:r>
        <w:rPr>
          <w:spacing w:val="-1"/>
        </w:rPr>
        <w:t>年半年度资本公积金转增股</w:t>
      </w:r>
      <w:r>
        <w:rPr/>
        <w:t> </w:t>
      </w:r>
      <w:r>
        <w:rPr>
          <w:spacing w:val="-1"/>
        </w:rPr>
        <w:t>本方案的议案》，以截至</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日公司股份总数</w:t>
      </w:r>
      <w:r>
        <w:rPr>
          <w:rFonts w:ascii="宋体" w:hAnsi="宋体" w:cs="宋体" w:eastAsia="宋体" w:hint="default"/>
          <w:spacing w:val="-1"/>
        </w:rPr>
        <w:t>146,511,403</w:t>
      </w:r>
      <w:r>
        <w:rPr>
          <w:spacing w:val="-1"/>
        </w:rPr>
        <w:t>股为基数，以资本公积金向全体股东每</w:t>
      </w:r>
      <w:r>
        <w:rPr>
          <w:spacing w:val="-81"/>
        </w:rPr>
        <w:t> </w:t>
      </w:r>
      <w:r>
        <w:rPr>
          <w:spacing w:val="-81"/>
        </w:rPr>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股，共计转增股本</w:t>
      </w:r>
      <w:r>
        <w:rPr>
          <w:rFonts w:ascii="宋体" w:hAnsi="宋体" w:cs="宋体" w:eastAsia="宋体" w:hint="default"/>
          <w:spacing w:val="-1"/>
        </w:rPr>
        <w:t>146,511,403</w:t>
      </w:r>
      <w:r>
        <w:rPr>
          <w:spacing w:val="-1"/>
        </w:rPr>
        <w:t>股，转增后公司总股本变更为</w:t>
      </w:r>
      <w:r>
        <w:rPr>
          <w:rFonts w:ascii="宋体" w:hAnsi="宋体" w:cs="宋体" w:eastAsia="宋体" w:hint="default"/>
          <w:spacing w:val="-1"/>
        </w:rPr>
        <w:t>293,022,806</w:t>
      </w:r>
      <w:r>
        <w:rPr>
          <w:spacing w:val="-1"/>
        </w:rPr>
        <w:t>股，本次分配不送红</w:t>
      </w:r>
      <w:r>
        <w:rPr>
          <w:spacing w:val="-74"/>
        </w:rPr>
        <w:t> </w:t>
      </w:r>
      <w:r>
        <w:rPr>
          <w:spacing w:val="-74"/>
        </w:rPr>
      </w:r>
      <w:r>
        <w:rPr/>
        <w:t>股、不进行现金分红；</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11</w:t>
      </w:r>
      <w:r>
        <w:rPr/>
        <w:t>日，公司召开</w:t>
      </w:r>
      <w:r>
        <w:rPr>
          <w:rFonts w:ascii="宋体" w:hAnsi="宋体" w:cs="宋体" w:eastAsia="宋体" w:hint="default"/>
        </w:rPr>
        <w:t>2015</w:t>
      </w:r>
      <w:r>
        <w:rPr/>
        <w:t>年第二次临时股东大会审议通过该分配方案；</w:t>
      </w:r>
      <w:r>
        <w:rPr>
          <w:rFonts w:ascii="宋体" w:hAnsi="宋体" w:cs="宋体" w:eastAsia="宋体" w:hint="default"/>
        </w:rPr>
        <w:t>2015</w:t>
      </w:r>
      <w:r>
        <w:rPr>
          <w:rFonts w:ascii="宋体" w:hAnsi="宋体" w:cs="宋体" w:eastAsia="宋体" w:hint="default"/>
          <w:spacing w:val="-28"/>
        </w:rPr>
        <w:t> </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13</w:t>
      </w:r>
      <w:r>
        <w:rPr>
          <w:spacing w:val="-1"/>
        </w:rPr>
        <w:t>日，公司在巨潮资讯网刊登了《</w:t>
      </w:r>
      <w:r>
        <w:rPr>
          <w:rFonts w:ascii="宋体" w:hAnsi="宋体" w:cs="宋体" w:eastAsia="宋体" w:hint="default"/>
          <w:spacing w:val="-1"/>
        </w:rPr>
        <w:t>2015</w:t>
      </w:r>
      <w:r>
        <w:rPr>
          <w:spacing w:val="-1"/>
        </w:rPr>
        <w:t>年半年度资本公积转增股本实施公告》，并以</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19</w:t>
      </w:r>
      <w:r>
        <w:rPr>
          <w:rFonts w:ascii="宋体" w:hAnsi="宋体" w:cs="宋体" w:eastAsia="宋体" w:hint="default"/>
          <w:spacing w:val="-83"/>
        </w:rPr>
        <w:t> </w:t>
      </w:r>
      <w:r>
        <w:rPr>
          <w:spacing w:val="-1"/>
        </w:rPr>
        <w:t>日为股权登记日，</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spacing w:val="-1"/>
        </w:rPr>
        <w:t>日为除权日，截至本报告披露日，该次权益分派方案已经实施完毕。具体</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1933" w:hanging="420"/>
        <w:jc w:val="left"/>
      </w:pPr>
      <w:r>
        <w:rPr/>
        <w:t>信息请查阅公司于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26</w:t>
      </w:r>
      <w:r>
        <w:rPr/>
        <w:t>日、</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12</w:t>
      </w:r>
      <w:r>
        <w:rPr/>
        <w:t>日、</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13</w:t>
      </w:r>
      <w:r>
        <w:rPr/>
        <w:t>日在巨潮资讯网刊登的公告。 </w:t>
      </w:r>
      <w:r>
        <w:rPr>
          <w:rFonts w:ascii="宋体" w:hAnsi="宋体" w:cs="宋体" w:eastAsia="宋体" w:hint="default"/>
        </w:rPr>
        <w:t>2</w:t>
      </w:r>
      <w:r>
        <w:rPr/>
        <w:t>、报告期内，公司董事、监事、高级管理人员所持股份按照</w:t>
      </w:r>
      <w:r>
        <w:rPr>
          <w:rFonts w:ascii="宋体" w:hAnsi="宋体" w:cs="宋体" w:eastAsia="宋体" w:hint="default"/>
        </w:rPr>
        <w:t>25%</w:t>
      </w:r>
      <w:r>
        <w:rPr/>
        <w:t>自动解除锁定。</w:t>
      </w:r>
    </w:p>
    <w:p>
      <w:pPr>
        <w:spacing w:before="112"/>
        <w:ind w:left="1133" w:right="1117"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12"/>
        <w:rPr>
          <w:rFonts w:ascii="宋体" w:hAnsi="宋体" w:cs="宋体" w:eastAsia="宋体" w:hint="default"/>
          <w:sz w:val="20"/>
          <w:szCs w:val="20"/>
        </w:rPr>
      </w:pPr>
    </w:p>
    <w:p>
      <w:pPr>
        <w:spacing w:line="489" w:lineRule="auto" w:before="0"/>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489" w:lineRule="auto" w:before="85"/>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85"/>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408" w:lineRule="auto" w:before="0"/>
        <w:ind w:right="712" w:firstLine="420"/>
        <w:jc w:val="left"/>
      </w:pP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11</w:t>
      </w:r>
      <w:r>
        <w:rPr>
          <w:spacing w:val="-1"/>
        </w:rPr>
        <w:t>日，公司</w:t>
      </w:r>
      <w:r>
        <w:rPr>
          <w:rFonts w:ascii="宋体" w:hAnsi="宋体" w:cs="宋体" w:eastAsia="宋体" w:hint="default"/>
          <w:spacing w:val="-1"/>
        </w:rPr>
        <w:t>2015</w:t>
      </w:r>
      <w:r>
        <w:rPr>
          <w:spacing w:val="-1"/>
        </w:rPr>
        <w:t>年第二次临时股东大会审议通过了</w:t>
      </w:r>
      <w:r>
        <w:rPr>
          <w:rFonts w:ascii="宋体" w:hAnsi="宋体" w:cs="宋体" w:eastAsia="宋体" w:hint="default"/>
          <w:spacing w:val="-1"/>
        </w:rPr>
        <w:t>2015</w:t>
      </w:r>
      <w:r>
        <w:rPr>
          <w:spacing w:val="-1"/>
        </w:rPr>
        <w:t>年半年度资本公积金转增股本方案，</w:t>
      </w:r>
      <w:r>
        <w:rPr/>
        <w:t> 公司以截至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日公司总股本</w:t>
      </w:r>
      <w:r>
        <w:rPr>
          <w:rFonts w:ascii="宋体" w:hAnsi="宋体" w:cs="宋体" w:eastAsia="宋体" w:hint="default"/>
        </w:rPr>
        <w:t>146,511,403</w:t>
      </w:r>
      <w:r>
        <w:rPr/>
        <w:t>股为基数，以资本公积金向全体股东每</w:t>
      </w:r>
      <w:r>
        <w:rPr>
          <w:rFonts w:ascii="宋体" w:hAnsi="宋体" w:cs="宋体" w:eastAsia="宋体" w:hint="default"/>
        </w:rPr>
        <w:t>10</w:t>
      </w:r>
      <w:r>
        <w:rPr/>
        <w:t>股转增</w:t>
      </w:r>
      <w:r>
        <w:rPr>
          <w:rFonts w:ascii="宋体" w:hAnsi="宋体" w:cs="宋体" w:eastAsia="宋体" w:hint="default"/>
        </w:rPr>
        <w:t>10</w:t>
      </w:r>
      <w:r>
        <w:rPr/>
        <w:t>股；</w:t>
      </w:r>
      <w:r>
        <w:rPr>
          <w:spacing w:val="-28"/>
        </w:rPr>
        <w:t> </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19</w:t>
      </w:r>
      <w:r>
        <w:rPr/>
        <w:t>日为股权登记日，</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20</w:t>
      </w:r>
      <w:r>
        <w:rPr/>
        <w:t>日为除权日，转增后公司总股本变更为</w:t>
      </w:r>
      <w:r>
        <w:rPr>
          <w:rFonts w:ascii="宋体" w:hAnsi="宋体" w:cs="宋体" w:eastAsia="宋体" w:hint="default"/>
        </w:rPr>
        <w:t>293,022,806</w:t>
      </w:r>
      <w:r>
        <w:rPr/>
        <w:t>股</w:t>
      </w:r>
      <w:r>
        <w:rPr>
          <w:rFonts w:ascii="宋体" w:hAnsi="宋体" w:cs="宋体" w:eastAsia="宋体" w:hint="default"/>
        </w:rPr>
        <w:t>,</w:t>
      </w:r>
      <w:r>
        <w:rPr/>
        <w:t>股份</w:t>
      </w:r>
      <w:r>
        <w:rPr>
          <w:spacing w:val="1"/>
        </w:rPr>
        <w:t> </w:t>
      </w:r>
      <w:r>
        <w:rPr/>
        <w:t>变动后对报告期以及以前年度基本每股收益、稀释每股收益等财务指标进行追溯调整（以归属于上市公司</w:t>
      </w:r>
      <w:r>
        <w:rPr/>
        <w:t> 普通股股东的净利润为口径）：</w:t>
      </w:r>
    </w:p>
    <w:p>
      <w:pPr>
        <w:spacing w:line="240" w:lineRule="auto" w:before="10"/>
        <w:rPr>
          <w:rFonts w:ascii="宋体" w:hAnsi="宋体" w:cs="宋体" w:eastAsia="宋体" w:hint="default"/>
          <w:sz w:val="8"/>
          <w:szCs w:val="8"/>
        </w:rPr>
      </w:pPr>
    </w:p>
    <w:p>
      <w:pPr>
        <w:pStyle w:val="BodyText"/>
        <w:spacing w:line="240" w:lineRule="auto" w:before="35"/>
        <w:ind w:left="0" w:right="1026"/>
        <w:jc w:val="right"/>
      </w:pPr>
      <w:r>
        <w:rPr/>
        <w:pict>
          <v:shape style="position:absolute;margin-left:55.860001pt;margin-top:-6.566313pt;width:484.05pt;height:68.4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6"/>
                    <w:gridCol w:w="2420"/>
                    <w:gridCol w:w="1940"/>
                    <w:gridCol w:w="3693"/>
                  </w:tblGrid>
                  <w:tr>
                    <w:trPr>
                      <w:trHeight w:val="65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基本每股收益（元）</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稀释每股收益（元）</w:t>
                        </w:r>
                      </w:p>
                    </w:tc>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3"/>
                          <w:jc w:val="center"/>
                          <w:rPr>
                            <w:rFonts w:ascii="宋体" w:hAnsi="宋体" w:cs="宋体" w:eastAsia="宋体" w:hint="default"/>
                            <w:sz w:val="21"/>
                            <w:szCs w:val="21"/>
                          </w:rPr>
                        </w:pPr>
                        <w:r>
                          <w:rPr>
                            <w:rFonts w:ascii="宋体" w:hAnsi="宋体" w:cs="宋体" w:eastAsia="宋体" w:hint="default"/>
                            <w:sz w:val="21"/>
                            <w:szCs w:val="21"/>
                          </w:rPr>
                          <w:t>归属于公司普通股东的每股净资产（元</w:t>
                        </w:r>
                      </w:p>
                    </w:tc>
                  </w:tr>
                  <w:tr>
                    <w:trPr>
                      <w:trHeight w:val="34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0.24</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0.24</w:t>
                        </w:r>
                      </w:p>
                    </w:tc>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3.93</w:t>
                        </w:r>
                      </w:p>
                    </w:tc>
                  </w:tr>
                  <w:tr>
                    <w:trPr>
                      <w:trHeight w:val="34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0.27</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0.27</w:t>
                        </w:r>
                      </w:p>
                    </w:tc>
                    <w:tc>
                      <w:tcPr>
                        <w:tcW w:w="369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4.16</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2、限售股份变动情况" w:id="99"/>
      <w:bookmarkEnd w:id="9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75" w:type="dxa"/>
        <w:tblLayout w:type="fixed"/>
        <w:tblCellMar>
          <w:top w:w="0" w:type="dxa"/>
          <w:left w:w="0" w:type="dxa"/>
          <w:bottom w:w="0" w:type="dxa"/>
          <w:right w:w="0" w:type="dxa"/>
        </w:tblCellMar>
        <w:tblLook w:val="01E0"/>
      </w:tblPr>
      <w:tblGrid>
        <w:gridCol w:w="1188"/>
        <w:gridCol w:w="1418"/>
        <w:gridCol w:w="1559"/>
        <w:gridCol w:w="1536"/>
        <w:gridCol w:w="1349"/>
        <w:gridCol w:w="1349"/>
        <w:gridCol w:w="1346"/>
      </w:tblGrid>
      <w:tr>
        <w:trPr>
          <w:trHeight w:val="402"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2"/>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31,700,000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7,918,565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23,986,537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47,767,972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在任期间按照每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解除锁定</w:t>
            </w:r>
          </w:p>
        </w:tc>
      </w:tr>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尚剑红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2,215,067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2,215,067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4,430,134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在任期间按照每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解除锁定</w:t>
            </w:r>
          </w:p>
        </w:tc>
      </w:tr>
      <w:tr>
        <w:trPr>
          <w:trHeight w:val="63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1,555,335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375,000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1,180,335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2,360,670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3"/>
                <w:sz w:val="18"/>
                <w:szCs w:val="18"/>
              </w:rPr>
              <w:t>在任期间按照每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解除锁定</w:t>
            </w:r>
          </w:p>
        </w:tc>
      </w:tr>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1,143,439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26,214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1,148,350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2,265,575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3"/>
                <w:sz w:val="18"/>
                <w:szCs w:val="18"/>
              </w:rPr>
              <w:t>在任期间按照每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解除锁定</w:t>
            </w:r>
          </w:p>
        </w:tc>
      </w:tr>
      <w:tr>
        <w:trPr>
          <w:trHeight w:val="63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922,500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225,000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697,500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1,395,000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在任期间按照每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解除锁定</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5" w:type="dxa"/>
        <w:tblLayout w:type="fixed"/>
        <w:tblCellMar>
          <w:top w:w="0" w:type="dxa"/>
          <w:left w:w="0" w:type="dxa"/>
          <w:bottom w:w="0" w:type="dxa"/>
          <w:right w:w="0" w:type="dxa"/>
        </w:tblCellMar>
        <w:tblLook w:val="01E0"/>
      </w:tblPr>
      <w:tblGrid>
        <w:gridCol w:w="1188"/>
        <w:gridCol w:w="1418"/>
        <w:gridCol w:w="1559"/>
        <w:gridCol w:w="1536"/>
        <w:gridCol w:w="1349"/>
        <w:gridCol w:w="1349"/>
        <w:gridCol w:w="1346"/>
      </w:tblGrid>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130,534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32,634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198,350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在任期间按照每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解除锁定</w:t>
            </w:r>
          </w:p>
        </w:tc>
      </w:tr>
      <w:tr>
        <w:trPr>
          <w:trHeight w:val="63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51,660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12,915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38,745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77,490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3"/>
                <w:sz w:val="18"/>
                <w:szCs w:val="18"/>
              </w:rPr>
              <w:t>在任期间按照每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解除锁定</w:t>
            </w:r>
          </w:p>
        </w:tc>
      </w:tr>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李志刚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
              <w:jc w:val="left"/>
              <w:rPr>
                <w:rFonts w:ascii="宋体" w:hAnsi="宋体" w:cs="宋体" w:eastAsia="宋体" w:hint="default"/>
                <w:sz w:val="18"/>
                <w:szCs w:val="18"/>
              </w:rPr>
            </w:pPr>
            <w:r>
              <w:rPr>
                <w:rFonts w:ascii="宋体" w:hAnsi="宋体" w:cs="宋体" w:eastAsia="宋体" w:hint="default"/>
                <w:spacing w:val="3"/>
                <w:sz w:val="18"/>
                <w:szCs w:val="18"/>
              </w:rPr>
              <w:t>不足 </w:t>
            </w:r>
            <w:r>
              <w:rPr>
                <w:rFonts w:ascii="宋体" w:hAnsi="宋体" w:cs="宋体" w:eastAsia="宋体" w:hint="default"/>
                <w:sz w:val="18"/>
                <w:szCs w:val="18"/>
              </w:rPr>
              <w:t>1000</w:t>
            </w:r>
            <w:r>
              <w:rPr>
                <w:rFonts w:ascii="宋体" w:hAnsi="宋体" w:cs="宋体" w:eastAsia="宋体" w:hint="default"/>
                <w:spacing w:val="11"/>
                <w:sz w:val="18"/>
                <w:szCs w:val="18"/>
              </w:rPr>
              <w:t> </w:t>
            </w:r>
            <w:r>
              <w:rPr>
                <w:rFonts w:ascii="宋体" w:hAnsi="宋体" w:cs="宋体" w:eastAsia="宋体" w:hint="default"/>
                <w:spacing w:val="8"/>
                <w:sz w:val="18"/>
                <w:szCs w:val="18"/>
              </w:rPr>
              <w:t>股已 </w:t>
            </w:r>
            <w:r>
              <w:rPr>
                <w:rFonts w:ascii="宋体" w:hAnsi="宋体" w:cs="宋体" w:eastAsia="宋体" w:hint="default"/>
                <w:sz w:val="18"/>
                <w:szCs w:val="18"/>
              </w:rPr>
              <w:t>经全部解除锁定</w:t>
            </w:r>
          </w:p>
        </w:tc>
      </w:tr>
      <w:tr>
        <w:trPr>
          <w:trHeight w:val="125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陈泽枝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8,521,511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8,521,511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17,043,022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根据资产重大重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组非公开发行股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票解锁条件分三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次进行解锁</w:t>
            </w:r>
          </w:p>
        </w:tc>
      </w:tr>
      <w:tr>
        <w:trPr>
          <w:trHeight w:val="125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李泽清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3,940,333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3,940,333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7,880,666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both"/>
              <w:rPr>
                <w:rFonts w:ascii="宋体" w:hAnsi="宋体" w:cs="宋体" w:eastAsia="宋体" w:hint="default"/>
                <w:sz w:val="18"/>
                <w:szCs w:val="18"/>
              </w:rPr>
            </w:pPr>
            <w:r>
              <w:rPr>
                <w:rFonts w:ascii="宋体" w:hAnsi="宋体" w:cs="宋体" w:eastAsia="宋体" w:hint="default"/>
                <w:spacing w:val="3"/>
                <w:sz w:val="18"/>
                <w:szCs w:val="18"/>
              </w:rPr>
              <w:t>根据资产重大重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组非公开发行股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票解锁条件分三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次进行解锁</w:t>
            </w:r>
          </w:p>
        </w:tc>
      </w:tr>
      <w:tr>
        <w:trPr>
          <w:trHeight w:val="125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高孔兴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2,461,315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2,461,315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4,922,630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根据资产重大重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组非公开发行股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票解锁条件分三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次进行解锁</w:t>
            </w:r>
          </w:p>
        </w:tc>
      </w:tr>
      <w:tr>
        <w:trPr>
          <w:trHeight w:val="125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许金炉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668,670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668,670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1,337,340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根据资产重大重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组非公开发行股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票解锁条件分三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次进行解锁</w:t>
            </w:r>
          </w:p>
        </w:tc>
      </w:tr>
      <w:tr>
        <w:trPr>
          <w:trHeight w:val="125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刘智良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471,037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471,037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942,074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2" w:right="22"/>
              <w:jc w:val="both"/>
              <w:rPr>
                <w:rFonts w:ascii="宋体" w:hAnsi="宋体" w:cs="宋体" w:eastAsia="宋体" w:hint="default"/>
                <w:sz w:val="18"/>
                <w:szCs w:val="18"/>
              </w:rPr>
            </w:pPr>
            <w:r>
              <w:rPr>
                <w:rFonts w:ascii="宋体" w:hAnsi="宋体" w:cs="宋体" w:eastAsia="宋体" w:hint="default"/>
                <w:spacing w:val="3"/>
                <w:sz w:val="18"/>
                <w:szCs w:val="18"/>
              </w:rPr>
              <w:t>根据资产重大重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组非公开发行股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票解锁条件分三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次进行解锁</w:t>
            </w:r>
          </w:p>
        </w:tc>
      </w:tr>
      <w:tr>
        <w:trPr>
          <w:trHeight w:val="125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黄开坚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339,495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339,495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678,990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根据资产重大重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组非公开发行股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票解锁条件分三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次进行解锁</w:t>
            </w:r>
          </w:p>
        </w:tc>
      </w:tr>
      <w:tr>
        <w:trPr>
          <w:trHeight w:val="125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8"/>
                <w:sz w:val="18"/>
                <w:szCs w:val="18"/>
              </w:rPr>
              <w:t>芜湖华顺置业</w:t>
            </w:r>
            <w:r>
              <w:rPr>
                <w:rFonts w:ascii="宋体" w:hAnsi="宋体" w:cs="宋体" w:eastAsia="宋体" w:hint="default"/>
                <w:sz w:val="18"/>
                <w:szCs w:val="18"/>
              </w:rPr>
              <w:t> </w:t>
            </w:r>
            <w:r>
              <w:rPr>
                <w:rFonts w:ascii="宋体" w:hAnsi="宋体" w:cs="宋体" w:eastAsia="宋体" w:hint="default"/>
                <w:spacing w:val="8"/>
                <w:sz w:val="18"/>
                <w:szCs w:val="18"/>
              </w:rPr>
              <w:t>投资有限责任</w:t>
            </w:r>
            <w:r>
              <w:rPr>
                <w:rFonts w:ascii="宋体" w:hAnsi="宋体" w:cs="宋体" w:eastAsia="宋体" w:hint="default"/>
                <w:sz w:val="18"/>
                <w:szCs w:val="18"/>
              </w:rPr>
              <w:t>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858,553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858,553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1,717,106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根据资产重大重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组非公开发行股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票解锁条件分三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次进行解锁</w:t>
            </w:r>
          </w:p>
        </w:tc>
      </w:tr>
      <w:tr>
        <w:trPr>
          <w:trHeight w:val="63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缪品章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1,034,006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1,034,006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2,068,012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979,185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979,185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1,958,370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393,374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393,374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786,748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63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梁一红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393,374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393,374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786,748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刘光江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349,989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349,989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699,978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5" w:type="dxa"/>
        <w:tblLayout w:type="fixed"/>
        <w:tblCellMar>
          <w:top w:w="0" w:type="dxa"/>
          <w:left w:w="0" w:type="dxa"/>
          <w:bottom w:w="0" w:type="dxa"/>
          <w:right w:w="0" w:type="dxa"/>
        </w:tblCellMar>
        <w:tblLook w:val="01E0"/>
      </w:tblPr>
      <w:tblGrid>
        <w:gridCol w:w="1188"/>
        <w:gridCol w:w="1418"/>
        <w:gridCol w:w="1559"/>
        <w:gridCol w:w="1536"/>
        <w:gridCol w:w="1349"/>
        <w:gridCol w:w="1349"/>
        <w:gridCol w:w="1346"/>
      </w:tblGrid>
      <w:tr>
        <w:trPr>
          <w:trHeight w:val="63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邱宇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97,219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97,219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194,438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63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97,219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97,219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194,438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165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pacing w:val="8"/>
                <w:sz w:val="18"/>
                <w:szCs w:val="18"/>
              </w:rPr>
              <w:t>北信瑞丰基金</w:t>
            </w:r>
          </w:p>
          <w:p>
            <w:pPr>
              <w:pStyle w:val="TableParagraph"/>
              <w:spacing w:line="319" w:lineRule="auto" w:before="75"/>
              <w:ind w:left="22" w:right="23"/>
              <w:jc w:val="both"/>
              <w:rPr>
                <w:rFonts w:ascii="宋体" w:hAnsi="宋体" w:cs="宋体" w:eastAsia="宋体" w:hint="default"/>
                <w:sz w:val="18"/>
                <w:szCs w:val="18"/>
              </w:rPr>
            </w:pPr>
            <w:r>
              <w:rPr>
                <w:rFonts w:ascii="宋体" w:hAnsi="宋体" w:cs="宋体" w:eastAsia="宋体" w:hint="default"/>
                <w:spacing w:val="8"/>
                <w:sz w:val="18"/>
                <w:szCs w:val="18"/>
              </w:rPr>
              <w:t>－宁波银行－</w:t>
            </w:r>
            <w:r>
              <w:rPr>
                <w:rFonts w:ascii="宋体" w:hAnsi="宋体" w:cs="宋体" w:eastAsia="宋体" w:hint="default"/>
                <w:sz w:val="18"/>
                <w:szCs w:val="18"/>
              </w:rPr>
              <w:t> </w:t>
            </w:r>
            <w:r>
              <w:rPr>
                <w:rFonts w:ascii="宋体" w:hAnsi="宋体" w:cs="宋体" w:eastAsia="宋体" w:hint="default"/>
                <w:spacing w:val="8"/>
                <w:sz w:val="18"/>
                <w:szCs w:val="18"/>
              </w:rPr>
              <w:t>北信瑞丰基金</w:t>
            </w:r>
            <w:r>
              <w:rPr>
                <w:rFonts w:ascii="宋体" w:hAnsi="宋体" w:cs="宋体" w:eastAsia="宋体" w:hint="default"/>
                <w:sz w:val="18"/>
                <w:szCs w:val="18"/>
              </w:rPr>
              <w:t> 丰庆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号资产 管理计划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3,000,000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165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pacing w:val="8"/>
                <w:sz w:val="18"/>
                <w:szCs w:val="18"/>
              </w:rPr>
              <w:t>第一创业证券</w:t>
            </w:r>
          </w:p>
          <w:p>
            <w:pPr>
              <w:pStyle w:val="TableParagraph"/>
              <w:spacing w:line="319" w:lineRule="auto" w:before="75"/>
              <w:ind w:left="22" w:right="21"/>
              <w:jc w:val="both"/>
              <w:rPr>
                <w:rFonts w:ascii="宋体" w:hAnsi="宋体" w:cs="宋体" w:eastAsia="宋体" w:hint="default"/>
                <w:sz w:val="18"/>
                <w:szCs w:val="18"/>
              </w:rPr>
            </w:pPr>
            <w:r>
              <w:rPr>
                <w:rFonts w:ascii="宋体" w:hAnsi="宋体" w:cs="宋体" w:eastAsia="宋体" w:hint="default"/>
                <w:spacing w:val="8"/>
                <w:sz w:val="18"/>
                <w:szCs w:val="18"/>
              </w:rPr>
              <w:t>－兴业银行－</w:t>
            </w:r>
            <w:r>
              <w:rPr>
                <w:rFonts w:ascii="宋体" w:hAnsi="宋体" w:cs="宋体" w:eastAsia="宋体" w:hint="default"/>
                <w:sz w:val="18"/>
                <w:szCs w:val="18"/>
              </w:rPr>
              <w:t> </w:t>
            </w:r>
            <w:r>
              <w:rPr>
                <w:rFonts w:ascii="宋体" w:hAnsi="宋体" w:cs="宋体" w:eastAsia="宋体" w:hint="default"/>
                <w:spacing w:val="8"/>
                <w:sz w:val="18"/>
                <w:szCs w:val="18"/>
              </w:rPr>
              <w:t>一创启程定增</w:t>
            </w:r>
            <w:r>
              <w:rPr>
                <w:rFonts w:ascii="宋体" w:hAnsi="宋体" w:cs="宋体" w:eastAsia="宋体" w:hint="default"/>
                <w:sz w:val="18"/>
                <w:szCs w:val="18"/>
              </w:rPr>
              <w:t> </w:t>
            </w:r>
            <w:r>
              <w:rPr>
                <w:rFonts w:ascii="宋体" w:hAnsi="宋体" w:cs="宋体" w:eastAsia="宋体" w:hint="default"/>
                <w:sz w:val="18"/>
                <w:szCs w:val="18"/>
              </w:rPr>
              <w:t>2</w:t>
            </w:r>
            <w:r>
              <w:rPr>
                <w:rFonts w:ascii="宋体" w:hAnsi="宋体" w:cs="宋体" w:eastAsia="宋体" w:hint="default"/>
                <w:spacing w:val="13"/>
                <w:sz w:val="18"/>
                <w:szCs w:val="18"/>
              </w:rPr>
              <w:t> </w:t>
            </w:r>
            <w:r>
              <w:rPr>
                <w:rFonts w:ascii="宋体" w:hAnsi="宋体" w:cs="宋体" w:eastAsia="宋体" w:hint="default"/>
                <w:spacing w:val="7"/>
                <w:sz w:val="18"/>
                <w:szCs w:val="18"/>
              </w:rPr>
              <w:t>号集合资产</w:t>
            </w:r>
            <w:r>
              <w:rPr>
                <w:rFonts w:ascii="宋体" w:hAnsi="宋体" w:cs="宋体" w:eastAsia="宋体" w:hint="default"/>
                <w:sz w:val="18"/>
                <w:szCs w:val="18"/>
              </w:rPr>
              <w:t> 管理计划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1,050,000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1,050,000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2,100,000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196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pacing w:val="8"/>
                <w:sz w:val="18"/>
                <w:szCs w:val="18"/>
              </w:rPr>
              <w:t>国投瑞银资本</w:t>
            </w:r>
          </w:p>
          <w:p>
            <w:pPr>
              <w:pStyle w:val="TableParagraph"/>
              <w:spacing w:line="319" w:lineRule="auto" w:before="75"/>
              <w:ind w:left="22" w:right="23"/>
              <w:jc w:val="both"/>
              <w:rPr>
                <w:rFonts w:ascii="宋体" w:hAnsi="宋体" w:cs="宋体" w:eastAsia="宋体" w:hint="default"/>
                <w:sz w:val="18"/>
                <w:szCs w:val="18"/>
              </w:rPr>
            </w:pPr>
            <w:r>
              <w:rPr>
                <w:rFonts w:ascii="宋体" w:hAnsi="宋体" w:cs="宋体" w:eastAsia="宋体" w:hint="default"/>
                <w:spacing w:val="8"/>
                <w:sz w:val="18"/>
                <w:szCs w:val="18"/>
              </w:rPr>
              <w:t>－民生银行－</w:t>
            </w:r>
            <w:r>
              <w:rPr>
                <w:rFonts w:ascii="宋体" w:hAnsi="宋体" w:cs="宋体" w:eastAsia="宋体" w:hint="default"/>
                <w:sz w:val="18"/>
                <w:szCs w:val="18"/>
              </w:rPr>
              <w:t> </w:t>
            </w:r>
            <w:r>
              <w:rPr>
                <w:rFonts w:ascii="宋体" w:hAnsi="宋体" w:cs="宋体" w:eastAsia="宋体" w:hint="default"/>
                <w:spacing w:val="8"/>
                <w:sz w:val="18"/>
                <w:szCs w:val="18"/>
              </w:rPr>
              <w:t>国投瑞银资本</w:t>
            </w:r>
            <w:r>
              <w:rPr>
                <w:rFonts w:ascii="宋体" w:hAnsi="宋体" w:cs="宋体" w:eastAsia="宋体" w:hint="default"/>
                <w:sz w:val="18"/>
                <w:szCs w:val="18"/>
              </w:rPr>
              <w:t> </w:t>
            </w:r>
            <w:r>
              <w:rPr>
                <w:rFonts w:ascii="宋体" w:hAnsi="宋体" w:cs="宋体" w:eastAsia="宋体" w:hint="default"/>
                <w:spacing w:val="8"/>
                <w:sz w:val="18"/>
                <w:szCs w:val="18"/>
              </w:rPr>
              <w:t>瑞银证券定向</w:t>
            </w:r>
            <w:r>
              <w:rPr>
                <w:rFonts w:ascii="宋体" w:hAnsi="宋体" w:cs="宋体" w:eastAsia="宋体" w:hint="default"/>
                <w:sz w:val="18"/>
                <w:szCs w:val="18"/>
              </w:rPr>
              <w:t> 增发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号专项 资产管理计划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71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华宝信托有限</w:t>
            </w:r>
            <w:r>
              <w:rPr>
                <w:rFonts w:ascii="宋体" w:hAnsi="宋体" w:cs="宋体" w:eastAsia="宋体" w:hint="default"/>
                <w:sz w:val="18"/>
                <w:szCs w:val="18"/>
              </w:rPr>
              <w:t> 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165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中国建设银行</w:t>
            </w:r>
            <w:r>
              <w:rPr>
                <w:rFonts w:ascii="宋体" w:hAnsi="宋体" w:cs="宋体" w:eastAsia="宋体" w:hint="default"/>
                <w:sz w:val="18"/>
                <w:szCs w:val="18"/>
              </w:rPr>
              <w:t> </w:t>
            </w:r>
            <w:r>
              <w:rPr>
                <w:rFonts w:ascii="宋体" w:hAnsi="宋体" w:cs="宋体" w:eastAsia="宋体" w:hint="default"/>
                <w:spacing w:val="8"/>
                <w:sz w:val="18"/>
                <w:szCs w:val="18"/>
              </w:rPr>
              <w:t>股份有限公司</w:t>
            </w:r>
          </w:p>
          <w:p>
            <w:pPr>
              <w:pStyle w:val="TableParagraph"/>
              <w:spacing w:line="319" w:lineRule="auto" w:before="19"/>
              <w:ind w:left="22" w:right="22"/>
              <w:jc w:val="both"/>
              <w:rPr>
                <w:rFonts w:ascii="宋体" w:hAnsi="宋体" w:cs="宋体" w:eastAsia="宋体" w:hint="default"/>
                <w:sz w:val="18"/>
                <w:szCs w:val="18"/>
              </w:rPr>
            </w:pPr>
            <w:r>
              <w:rPr>
                <w:rFonts w:ascii="宋体" w:hAnsi="宋体" w:cs="宋体" w:eastAsia="宋体" w:hint="default"/>
                <w:spacing w:val="8"/>
                <w:sz w:val="18"/>
                <w:szCs w:val="18"/>
              </w:rPr>
              <w:t>－兴全社会责</w:t>
            </w:r>
            <w:r>
              <w:rPr>
                <w:rFonts w:ascii="宋体" w:hAnsi="宋体" w:cs="宋体" w:eastAsia="宋体" w:hint="default"/>
                <w:sz w:val="18"/>
                <w:szCs w:val="18"/>
              </w:rPr>
              <w:t> </w:t>
            </w:r>
            <w:r>
              <w:rPr>
                <w:rFonts w:ascii="宋体" w:hAnsi="宋体" w:cs="宋体" w:eastAsia="宋体" w:hint="default"/>
                <w:spacing w:val="8"/>
                <w:sz w:val="18"/>
                <w:szCs w:val="18"/>
              </w:rPr>
              <w:t>任股票型证券</w:t>
            </w:r>
            <w:r>
              <w:rPr>
                <w:rFonts w:ascii="宋体" w:hAnsi="宋体" w:cs="宋体" w:eastAsia="宋体" w:hint="default"/>
                <w:sz w:val="18"/>
                <w:szCs w:val="18"/>
              </w:rPr>
              <w:t> 投资基金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121,056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121,056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242,112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165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pacing w:val="8"/>
                <w:sz w:val="18"/>
                <w:szCs w:val="18"/>
              </w:rPr>
              <w:t>兴业全球基金</w:t>
            </w:r>
          </w:p>
          <w:p>
            <w:pPr>
              <w:pStyle w:val="TableParagraph"/>
              <w:spacing w:line="319" w:lineRule="auto" w:before="75"/>
              <w:ind w:left="22" w:right="22"/>
              <w:jc w:val="both"/>
              <w:rPr>
                <w:rFonts w:ascii="宋体" w:hAnsi="宋体" w:cs="宋体" w:eastAsia="宋体" w:hint="default"/>
                <w:sz w:val="18"/>
                <w:szCs w:val="18"/>
              </w:rPr>
            </w:pPr>
            <w:r>
              <w:rPr>
                <w:rFonts w:ascii="宋体" w:hAnsi="宋体" w:cs="宋体" w:eastAsia="宋体" w:hint="default"/>
                <w:spacing w:val="8"/>
                <w:sz w:val="18"/>
                <w:szCs w:val="18"/>
              </w:rPr>
              <w:t>－光大银行－</w:t>
            </w:r>
            <w:r>
              <w:rPr>
                <w:rFonts w:ascii="宋体" w:hAnsi="宋体" w:cs="宋体" w:eastAsia="宋体" w:hint="default"/>
                <w:sz w:val="18"/>
                <w:szCs w:val="18"/>
              </w:rPr>
              <w:t> </w:t>
            </w:r>
            <w:r>
              <w:rPr>
                <w:rFonts w:ascii="宋体" w:hAnsi="宋体" w:cs="宋体" w:eastAsia="宋体" w:hint="default"/>
                <w:spacing w:val="8"/>
                <w:sz w:val="18"/>
                <w:szCs w:val="18"/>
              </w:rPr>
              <w:t>兴全广源特定</w:t>
            </w:r>
            <w:r>
              <w:rPr>
                <w:rFonts w:ascii="宋体" w:hAnsi="宋体" w:cs="宋体" w:eastAsia="宋体" w:hint="default"/>
                <w:sz w:val="18"/>
                <w:szCs w:val="18"/>
              </w:rPr>
              <w:t> </w:t>
            </w:r>
            <w:r>
              <w:rPr>
                <w:rFonts w:ascii="宋体" w:hAnsi="宋体" w:cs="宋体" w:eastAsia="宋体" w:hint="default"/>
                <w:spacing w:val="8"/>
                <w:sz w:val="18"/>
                <w:szCs w:val="18"/>
              </w:rPr>
              <w:t>多客户资产管</w:t>
            </w:r>
            <w:r>
              <w:rPr>
                <w:rFonts w:ascii="宋体" w:hAnsi="宋体" w:cs="宋体" w:eastAsia="宋体" w:hint="default"/>
                <w:sz w:val="18"/>
                <w:szCs w:val="18"/>
              </w:rPr>
              <w:t> 理计划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20,000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402"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64,014,946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8,590,403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55,663,320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111,087,863</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1117"/>
        <w:jc w:val="left"/>
        <w:rPr>
          <w:b w:val="0"/>
          <w:bCs w:val="0"/>
        </w:rPr>
      </w:pPr>
      <w:bookmarkStart w:name="二、证券发行与上市情况" w:id="100"/>
      <w:bookmarkEnd w:id="10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报告期内证券发行（不含优先股）情况" w:id="101"/>
      <w:bookmarkEnd w:id="10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117"/>
        <w:jc w:val="left"/>
        <w:rPr>
          <w:b w:val="0"/>
          <w:bCs w:val="0"/>
        </w:rPr>
      </w:pPr>
      <w:bookmarkStart w:name="2、公司股份总数及股东结构的变动、公司资产和负债结构的变动情况说明" w:id="102"/>
      <w:bookmarkEnd w:id="10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30" w:firstLine="420"/>
        <w:jc w:val="both"/>
      </w:pP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25</w:t>
      </w:r>
      <w:r>
        <w:rPr/>
        <w:t>日，公司第三届董事会第十四次会议审议通过《关于</w:t>
      </w:r>
      <w:r>
        <w:rPr>
          <w:rFonts w:ascii="宋体" w:hAnsi="宋体" w:cs="宋体" w:eastAsia="宋体" w:hint="default"/>
        </w:rPr>
        <w:t>2015</w:t>
      </w:r>
      <w:r>
        <w:rPr/>
        <w:t>年半年度资本公积金转增股本 </w:t>
      </w:r>
      <w:r>
        <w:rPr>
          <w:spacing w:val="-1"/>
        </w:rPr>
        <w:t>方案的议案》，以截至</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日公司股本总数</w:t>
      </w:r>
      <w:r>
        <w:rPr>
          <w:rFonts w:ascii="宋体" w:hAnsi="宋体" w:cs="宋体" w:eastAsia="宋体" w:hint="default"/>
          <w:spacing w:val="-1"/>
        </w:rPr>
        <w:t>146,511,403</w:t>
      </w:r>
      <w:r>
        <w:rPr>
          <w:spacing w:val="-1"/>
        </w:rPr>
        <w:t>股为基数，以资本公积金向全体股东每</w:t>
      </w:r>
      <w:r>
        <w:rPr>
          <w:rFonts w:ascii="宋体" w:hAnsi="宋体" w:cs="宋体" w:eastAsia="宋体" w:hint="default"/>
          <w:spacing w:val="-1"/>
        </w:rPr>
        <w:t>10</w:t>
      </w:r>
      <w:r>
        <w:rPr>
          <w:rFonts w:ascii="宋体" w:hAnsi="宋体" w:cs="宋体" w:eastAsia="宋体" w:hint="default"/>
          <w:spacing w:val="-78"/>
        </w:rPr>
        <w:t> </w:t>
      </w:r>
      <w:r>
        <w:rPr>
          <w:spacing w:val="-4"/>
        </w:rPr>
        <w:t>股转增</w:t>
      </w:r>
      <w:r>
        <w:rPr>
          <w:rFonts w:ascii="宋体" w:hAnsi="宋体" w:cs="宋体" w:eastAsia="宋体" w:hint="default"/>
          <w:spacing w:val="-4"/>
        </w:rPr>
        <w:t>10</w:t>
      </w:r>
      <w:r>
        <w:rPr>
          <w:spacing w:val="-4"/>
        </w:rPr>
        <w:t>股，共计转增股本</w:t>
      </w:r>
      <w:r>
        <w:rPr>
          <w:rFonts w:ascii="宋体" w:hAnsi="宋体" w:cs="宋体" w:eastAsia="宋体" w:hint="default"/>
          <w:spacing w:val="-4"/>
        </w:rPr>
        <w:t>146,511,403</w:t>
      </w:r>
      <w:r>
        <w:rPr>
          <w:spacing w:val="-4"/>
        </w:rPr>
        <w:t>股，转增后公司总股本变更为</w:t>
      </w:r>
      <w:r>
        <w:rPr>
          <w:rFonts w:ascii="宋体" w:hAnsi="宋体" w:cs="宋体" w:eastAsia="宋体" w:hint="default"/>
          <w:spacing w:val="-4"/>
        </w:rPr>
        <w:t>293,022,806</w:t>
      </w:r>
      <w:r>
        <w:rPr>
          <w:spacing w:val="-4"/>
        </w:rPr>
        <w:t>股，本次分配不送红股、</w:t>
      </w:r>
      <w:r>
        <w:rPr/>
        <w:t> 不进行现金分红；</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11</w:t>
      </w:r>
      <w:r>
        <w:rPr/>
        <w:t>日，公司召开</w:t>
      </w:r>
      <w:r>
        <w:rPr>
          <w:rFonts w:ascii="宋体" w:hAnsi="宋体" w:cs="宋体" w:eastAsia="宋体" w:hint="default"/>
        </w:rPr>
        <w:t>2015</w:t>
      </w:r>
      <w:r>
        <w:rPr/>
        <w:t>年第二次临时股东大会审议通过该分配方案；</w:t>
      </w:r>
      <w:r>
        <w:rPr>
          <w:rFonts w:ascii="宋体" w:hAnsi="宋体" w:cs="宋体" w:eastAsia="宋体" w:hint="default"/>
        </w:rPr>
        <w:t>2015</w:t>
      </w:r>
      <w:r>
        <w:rPr/>
        <w:t>年</w:t>
      </w:r>
      <w:r>
        <w:rPr>
          <w:rFonts w:ascii="宋体" w:hAnsi="宋体" w:cs="宋体" w:eastAsia="宋体" w:hint="default"/>
        </w:rPr>
        <w:t>10</w:t>
      </w:r>
      <w:r>
        <w:rPr>
          <w:rFonts w:ascii="宋体" w:hAnsi="宋体" w:cs="宋体" w:eastAsia="宋体" w:hint="default"/>
          <w:spacing w:val="-30"/>
        </w:rPr>
        <w:t> </w:t>
      </w:r>
      <w:r>
        <w:rPr>
          <w:spacing w:val="-1"/>
        </w:rPr>
        <w:t>月</w:t>
      </w:r>
      <w:r>
        <w:rPr>
          <w:rFonts w:ascii="宋体" w:hAnsi="宋体" w:cs="宋体" w:eastAsia="宋体" w:hint="default"/>
          <w:spacing w:val="-1"/>
        </w:rPr>
        <w:t>13</w:t>
      </w:r>
      <w:r>
        <w:rPr>
          <w:spacing w:val="-1"/>
        </w:rPr>
        <w:t>日，公司在巨潮资讯网刊登了《</w:t>
      </w:r>
      <w:r>
        <w:rPr>
          <w:rFonts w:ascii="宋体" w:hAnsi="宋体" w:cs="宋体" w:eastAsia="宋体" w:hint="default"/>
          <w:spacing w:val="-1"/>
        </w:rPr>
        <w:t>2015</w:t>
      </w:r>
      <w:r>
        <w:rPr>
          <w:spacing w:val="-1"/>
        </w:rPr>
        <w:t>年半年度资本公积转增股本实施公告》，并以</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19</w:t>
      </w:r>
      <w:r>
        <w:rPr>
          <w:spacing w:val="-1"/>
        </w:rPr>
        <w:t>日为</w:t>
      </w:r>
      <w:r>
        <w:rPr>
          <w:spacing w:val="-86"/>
        </w:rPr>
        <w:t> </w:t>
      </w:r>
      <w:r>
        <w:rPr>
          <w:spacing w:val="-1"/>
        </w:rPr>
        <w:t>股权登记日，</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spacing w:val="-1"/>
        </w:rPr>
        <w:t>日为除权日，截至本报告披露日，该次权益分派方案已经实施完毕。具体信息</w:t>
      </w:r>
      <w:r>
        <w:rPr>
          <w:spacing w:val="-84"/>
        </w:rPr>
        <w:t> </w:t>
      </w:r>
      <w:r>
        <w:rPr>
          <w:spacing w:val="-84"/>
        </w:rPr>
      </w:r>
      <w:r>
        <w:rPr/>
        <w:t>请查阅公司于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26</w:t>
      </w:r>
      <w:r>
        <w:rPr/>
        <w:t>日、</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12</w:t>
      </w:r>
      <w:r>
        <w:rPr/>
        <w:t>日、</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13</w:t>
      </w:r>
      <w:r>
        <w:rPr/>
        <w:t>日在巨潮资讯网刊登的公告。</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3、现存的内部职工股情况" w:id="103"/>
      <w:bookmarkEnd w:id="10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三、股东和实际控制人情况" w:id="104"/>
      <w:bookmarkEnd w:id="10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公司股东数量及持股情况" w:id="105"/>
      <w:bookmarkEnd w:id="10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281"/>
        <w:gridCol w:w="103"/>
        <w:gridCol w:w="784"/>
        <w:gridCol w:w="259"/>
        <w:gridCol w:w="964"/>
        <w:gridCol w:w="162"/>
        <w:gridCol w:w="759"/>
        <w:gridCol w:w="997"/>
        <w:gridCol w:w="1241"/>
        <w:gridCol w:w="719"/>
        <w:gridCol w:w="556"/>
        <w:gridCol w:w="845"/>
        <w:gridCol w:w="1026"/>
      </w:tblGrid>
      <w:tr>
        <w:trPr>
          <w:trHeight w:val="161" w:hRule="exact"/>
        </w:trPr>
        <w:tc>
          <w:tcPr>
            <w:tcW w:w="1281" w:type="dxa"/>
            <w:vMerge w:val="restart"/>
            <w:tcBorders>
              <w:top w:val="single" w:sz="4" w:space="0" w:color="000000"/>
              <w:left w:val="single" w:sz="4" w:space="0" w:color="000000"/>
              <w:right w:val="single" w:sz="4" w:space="0" w:color="000000"/>
            </w:tcBorders>
            <w:shd w:val="clear" w:color="auto" w:fill="D2D2D2"/>
          </w:tcPr>
          <w:p>
            <w:pPr/>
          </w:p>
        </w:tc>
        <w:tc>
          <w:tcPr>
            <w:tcW w:w="887"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sz w:val="18"/>
              </w:rPr>
              <w:t>18,164</w:t>
            </w:r>
          </w:p>
        </w:tc>
        <w:tc>
          <w:tcPr>
            <w:tcW w:w="138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59"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sz w:val="18"/>
              </w:rPr>
              <w:t>16,653</w:t>
            </w:r>
          </w:p>
        </w:tc>
        <w:tc>
          <w:tcPr>
            <w:tcW w:w="2237" w:type="dxa"/>
            <w:gridSpan w:val="2"/>
            <w:vMerge w:val="restart"/>
            <w:tcBorders>
              <w:top w:val="single" w:sz="4" w:space="0" w:color="000000"/>
              <w:left w:val="single" w:sz="4" w:space="0" w:color="000000"/>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4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1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026"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56" w:hRule="exact"/>
        </w:trPr>
        <w:tc>
          <w:tcPr>
            <w:tcW w:w="1281" w:type="dxa"/>
            <w:vMerge/>
            <w:tcBorders>
              <w:left w:val="single" w:sz="4" w:space="0" w:color="000000"/>
              <w:bottom w:val="nil" w:sz="6" w:space="0" w:color="auto"/>
              <w:right w:val="single" w:sz="4" w:space="0" w:color="000000"/>
            </w:tcBorders>
            <w:shd w:val="clear" w:color="auto" w:fill="D2D2D2"/>
          </w:tcPr>
          <w:p>
            <w:pPr/>
          </w:p>
        </w:tc>
        <w:tc>
          <w:tcPr>
            <w:tcW w:w="887" w:type="dxa"/>
            <w:gridSpan w:val="2"/>
            <w:vMerge/>
            <w:tcBorders>
              <w:left w:val="single" w:sz="9" w:space="0" w:color="D2D2D2"/>
              <w:right w:val="single" w:sz="10" w:space="0" w:color="D2D2D2"/>
            </w:tcBorders>
          </w:tcPr>
          <w:p>
            <w:pPr/>
          </w:p>
        </w:tc>
        <w:tc>
          <w:tcPr>
            <w:tcW w:w="138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759" w:type="dxa"/>
            <w:vMerge/>
            <w:tcBorders>
              <w:left w:val="single" w:sz="9" w:space="0" w:color="D2D2D2"/>
              <w:right w:val="single" w:sz="9" w:space="0" w:color="D2D2D2"/>
            </w:tcBorders>
          </w:tcPr>
          <w:p>
            <w:pPr/>
          </w:p>
        </w:tc>
        <w:tc>
          <w:tcPr>
            <w:tcW w:w="2237" w:type="dxa"/>
            <w:gridSpan w:val="2"/>
            <w:vMerge/>
            <w:tcBorders>
              <w:left w:val="single" w:sz="4" w:space="0" w:color="000000"/>
              <w:bottom w:val="nil" w:sz="6" w:space="0" w:color="auto"/>
              <w:right w:val="single" w:sz="4" w:space="0" w:color="000000"/>
            </w:tcBorders>
            <w:shd w:val="clear" w:color="auto" w:fill="D2D2D2"/>
          </w:tcPr>
          <w:p>
            <w:pPr/>
          </w:p>
        </w:tc>
        <w:tc>
          <w:tcPr>
            <w:tcW w:w="719" w:type="dxa"/>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026" w:type="dxa"/>
            <w:vMerge/>
            <w:tcBorders>
              <w:left w:val="single" w:sz="13" w:space="0" w:color="D2D2D2"/>
              <w:right w:val="single" w:sz="4" w:space="0" w:color="000000"/>
            </w:tcBorders>
          </w:tcPr>
          <w:p>
            <w:pPr/>
          </w:p>
        </w:tc>
      </w:tr>
      <w:tr>
        <w:trPr>
          <w:trHeight w:val="704" w:hRule="exact"/>
        </w:trPr>
        <w:tc>
          <w:tcPr>
            <w:tcW w:w="12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887" w:type="dxa"/>
            <w:gridSpan w:val="2"/>
            <w:vMerge/>
            <w:tcBorders>
              <w:left w:val="single" w:sz="9" w:space="0" w:color="D2D2D2"/>
              <w:right w:val="single" w:sz="10" w:space="0" w:color="D2D2D2"/>
            </w:tcBorders>
          </w:tcPr>
          <w:p>
            <w:pPr/>
          </w:p>
        </w:tc>
        <w:tc>
          <w:tcPr>
            <w:tcW w:w="1385" w:type="dxa"/>
            <w:gridSpan w:val="3"/>
            <w:vMerge/>
            <w:tcBorders>
              <w:left w:val="single" w:sz="4" w:space="0" w:color="000000"/>
              <w:right w:val="single" w:sz="4" w:space="0" w:color="000000"/>
            </w:tcBorders>
            <w:shd w:val="clear" w:color="auto" w:fill="D2D2D2"/>
          </w:tcPr>
          <w:p>
            <w:pPr/>
          </w:p>
        </w:tc>
        <w:tc>
          <w:tcPr>
            <w:tcW w:w="759" w:type="dxa"/>
            <w:vMerge/>
            <w:tcBorders>
              <w:left w:val="single" w:sz="9" w:space="0" w:color="D2D2D2"/>
              <w:right w:val="single" w:sz="9" w:space="0" w:color="D2D2D2"/>
            </w:tcBorders>
          </w:tcPr>
          <w:p>
            <w:pPr/>
          </w:p>
        </w:tc>
        <w:tc>
          <w:tcPr>
            <w:tcW w:w="223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7" w:right="83"/>
              <w:jc w:val="left"/>
              <w:rPr>
                <w:rFonts w:ascii="宋体" w:hAnsi="宋体" w:cs="宋体" w:eastAsia="宋体" w:hint="default"/>
                <w:sz w:val="18"/>
                <w:szCs w:val="18"/>
              </w:rPr>
            </w:pPr>
            <w:r>
              <w:rPr>
                <w:rFonts w:ascii="宋体" w:hAnsi="宋体" w:cs="宋体" w:eastAsia="宋体" w:hint="default"/>
                <w:sz w:val="18"/>
                <w:szCs w:val="18"/>
              </w:rPr>
              <w:t>报告期末表决权恢复的优先 股股东总数</w:t>
            </w:r>
          </w:p>
        </w:tc>
        <w:tc>
          <w:tcPr>
            <w:tcW w:w="719" w:type="dxa"/>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026" w:type="dxa"/>
            <w:vMerge/>
            <w:tcBorders>
              <w:left w:val="single" w:sz="13" w:space="0" w:color="D2D2D2"/>
              <w:right w:val="single" w:sz="4" w:space="0" w:color="000000"/>
            </w:tcBorders>
          </w:tcPr>
          <w:p>
            <w:pPr/>
          </w:p>
        </w:tc>
      </w:tr>
      <w:tr>
        <w:trPr>
          <w:trHeight w:val="156" w:hRule="exact"/>
        </w:trPr>
        <w:tc>
          <w:tcPr>
            <w:tcW w:w="1281" w:type="dxa"/>
            <w:vMerge w:val="restart"/>
            <w:tcBorders>
              <w:top w:val="nil" w:sz="6" w:space="0" w:color="auto"/>
              <w:left w:val="single" w:sz="4" w:space="0" w:color="000000"/>
              <w:right w:val="single" w:sz="4" w:space="0" w:color="000000"/>
            </w:tcBorders>
            <w:shd w:val="clear" w:color="auto" w:fill="D2D2D2"/>
          </w:tcPr>
          <w:p>
            <w:pPr/>
          </w:p>
        </w:tc>
        <w:tc>
          <w:tcPr>
            <w:tcW w:w="887" w:type="dxa"/>
            <w:gridSpan w:val="2"/>
            <w:vMerge/>
            <w:tcBorders>
              <w:left w:val="single" w:sz="9" w:space="0" w:color="D2D2D2"/>
              <w:right w:val="single" w:sz="10" w:space="0" w:color="D2D2D2"/>
            </w:tcBorders>
          </w:tcPr>
          <w:p>
            <w:pPr/>
          </w:p>
        </w:tc>
        <w:tc>
          <w:tcPr>
            <w:tcW w:w="1385" w:type="dxa"/>
            <w:gridSpan w:val="3"/>
            <w:vMerge/>
            <w:tcBorders>
              <w:left w:val="single" w:sz="4" w:space="0" w:color="000000"/>
              <w:bottom w:val="nil" w:sz="6" w:space="0" w:color="auto"/>
              <w:right w:val="single" w:sz="4" w:space="0" w:color="000000"/>
            </w:tcBorders>
            <w:shd w:val="clear" w:color="auto" w:fill="D2D2D2"/>
          </w:tcPr>
          <w:p>
            <w:pPr/>
          </w:p>
        </w:tc>
        <w:tc>
          <w:tcPr>
            <w:tcW w:w="759" w:type="dxa"/>
            <w:vMerge/>
            <w:tcBorders>
              <w:left w:val="single" w:sz="9" w:space="0" w:color="D2D2D2"/>
              <w:right w:val="single" w:sz="9" w:space="0" w:color="D2D2D2"/>
            </w:tcBorders>
          </w:tcPr>
          <w:p>
            <w:pPr/>
          </w:p>
        </w:tc>
        <w:tc>
          <w:tcPr>
            <w:tcW w:w="2237" w:type="dxa"/>
            <w:gridSpan w:val="2"/>
            <w:vMerge w:val="restart"/>
            <w:tcBorders>
              <w:top w:val="nil" w:sz="6" w:space="0" w:color="auto"/>
              <w:left w:val="single" w:sz="4" w:space="0" w:color="000000"/>
              <w:right w:val="single" w:sz="4" w:space="0" w:color="000000"/>
            </w:tcBorders>
            <w:shd w:val="clear" w:color="auto" w:fill="D2D2D2"/>
          </w:tcPr>
          <w:p>
            <w:pPr/>
          </w:p>
        </w:tc>
        <w:tc>
          <w:tcPr>
            <w:tcW w:w="719" w:type="dxa"/>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026" w:type="dxa"/>
            <w:vMerge/>
            <w:tcBorders>
              <w:left w:val="single" w:sz="13" w:space="0" w:color="D2D2D2"/>
              <w:right w:val="single" w:sz="4" w:space="0" w:color="000000"/>
            </w:tcBorders>
          </w:tcPr>
          <w:p>
            <w:pPr/>
          </w:p>
        </w:tc>
      </w:tr>
      <w:tr>
        <w:trPr>
          <w:trHeight w:val="166" w:hRule="exact"/>
        </w:trPr>
        <w:tc>
          <w:tcPr>
            <w:tcW w:w="1281" w:type="dxa"/>
            <w:vMerge/>
            <w:tcBorders>
              <w:left w:val="single" w:sz="4" w:space="0" w:color="000000"/>
              <w:bottom w:val="single" w:sz="4" w:space="0" w:color="000000"/>
              <w:right w:val="single" w:sz="4" w:space="0" w:color="000000"/>
            </w:tcBorders>
            <w:shd w:val="clear" w:color="auto" w:fill="D2D2D2"/>
          </w:tcPr>
          <w:p>
            <w:pPr/>
          </w:p>
        </w:tc>
        <w:tc>
          <w:tcPr>
            <w:tcW w:w="887" w:type="dxa"/>
            <w:gridSpan w:val="2"/>
            <w:vMerge/>
            <w:tcBorders>
              <w:left w:val="single" w:sz="9" w:space="0" w:color="D2D2D2"/>
              <w:bottom w:val="single" w:sz="4" w:space="0" w:color="000000"/>
              <w:right w:val="single" w:sz="10" w:space="0" w:color="D2D2D2"/>
            </w:tcBorders>
          </w:tcPr>
          <w:p>
            <w:pPr/>
          </w:p>
        </w:tc>
        <w:tc>
          <w:tcPr>
            <w:tcW w:w="138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59" w:type="dxa"/>
            <w:vMerge/>
            <w:tcBorders>
              <w:left w:val="single" w:sz="9" w:space="0" w:color="D2D2D2"/>
              <w:bottom w:val="single" w:sz="4" w:space="0" w:color="000000"/>
              <w:right w:val="single" w:sz="9" w:space="0" w:color="D2D2D2"/>
            </w:tcBorders>
          </w:tcPr>
          <w:p>
            <w:pPr/>
          </w:p>
        </w:tc>
        <w:tc>
          <w:tcPr>
            <w:tcW w:w="2237" w:type="dxa"/>
            <w:gridSpan w:val="2"/>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13" w:space="0" w:color="D2D2D2"/>
            </w:tcBorders>
          </w:tcPr>
          <w:p>
            <w:pPr/>
          </w:p>
        </w:tc>
        <w:tc>
          <w:tcPr>
            <w:tcW w:w="1401" w:type="dxa"/>
            <w:gridSpan w:val="2"/>
            <w:vMerge/>
            <w:tcBorders>
              <w:left w:val="single" w:sz="4" w:space="0" w:color="000000"/>
              <w:bottom w:val="single" w:sz="4" w:space="0" w:color="000000"/>
              <w:right w:val="single" w:sz="4" w:space="0" w:color="000000"/>
            </w:tcBorders>
            <w:shd w:val="clear" w:color="auto" w:fill="D2D2D2"/>
          </w:tcPr>
          <w:p>
            <w:pPr/>
          </w:p>
        </w:tc>
        <w:tc>
          <w:tcPr>
            <w:tcW w:w="1026" w:type="dxa"/>
            <w:vMerge/>
            <w:tcBorders>
              <w:left w:val="single" w:sz="13" w:space="0" w:color="D2D2D2"/>
              <w:bottom w:val="single" w:sz="4" w:space="0" w:color="000000"/>
              <w:right w:val="single" w:sz="4" w:space="0" w:color="000000"/>
            </w:tcBorders>
          </w:tcPr>
          <w:p>
            <w:pPr/>
          </w:p>
        </w:tc>
      </w:tr>
      <w:tr>
        <w:trPr>
          <w:trHeight w:val="392" w:hRule="exact"/>
        </w:trPr>
        <w:tc>
          <w:tcPr>
            <w:tcW w:w="969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5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211" w:hRule="exact"/>
        </w:trPr>
        <w:tc>
          <w:tcPr>
            <w:tcW w:w="13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04" w:right="-1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62" w:right="2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75" w:right="73"/>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1"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8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3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4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1" w:type="dxa"/>
            <w:gridSpan w:val="2"/>
            <w:vMerge/>
            <w:tcBorders>
              <w:left w:val="single" w:sz="4" w:space="0" w:color="000000"/>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75" w:type="dxa"/>
            <w:gridSpan w:val="2"/>
            <w:vMerge/>
            <w:tcBorders>
              <w:left w:val="single" w:sz="4" w:space="0" w:color="000000"/>
              <w:right w:val="single" w:sz="4" w:space="0" w:color="000000"/>
            </w:tcBorders>
            <w:shd w:val="clear" w:color="auto" w:fill="D2D2D2"/>
          </w:tcPr>
          <w:p>
            <w:pPr/>
          </w:p>
        </w:tc>
        <w:tc>
          <w:tcPr>
            <w:tcW w:w="1871"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84" w:type="dxa"/>
            <w:gridSpan w:val="2"/>
            <w:vMerge/>
            <w:tcBorders>
              <w:left w:val="single" w:sz="4" w:space="0" w:color="000000"/>
              <w:bottom w:val="nil" w:sz="6" w:space="0" w:color="auto"/>
              <w:right w:val="single" w:sz="4" w:space="0" w:color="000000"/>
            </w:tcBorders>
            <w:shd w:val="clear" w:color="auto" w:fill="D2D2D2"/>
          </w:tcPr>
          <w:p>
            <w:pPr/>
          </w:p>
        </w:tc>
        <w:tc>
          <w:tcPr>
            <w:tcW w:w="1043" w:type="dxa"/>
            <w:gridSpan w:val="2"/>
            <w:vMerge/>
            <w:tcBorders>
              <w:left w:val="single" w:sz="4" w:space="0" w:color="000000"/>
              <w:bottom w:val="nil" w:sz="6" w:space="0" w:color="auto"/>
              <w:right w:val="single" w:sz="4" w:space="0" w:color="000000"/>
            </w:tcBorders>
            <w:shd w:val="clear" w:color="auto" w:fill="D2D2D2"/>
          </w:tcPr>
          <w:p>
            <w:pPr/>
          </w:p>
        </w:tc>
        <w:tc>
          <w:tcPr>
            <w:tcW w:w="964" w:type="dxa"/>
            <w:vMerge/>
            <w:tcBorders>
              <w:left w:val="single" w:sz="4" w:space="0" w:color="000000"/>
              <w:bottom w:val="nil" w:sz="6" w:space="0" w:color="auto"/>
              <w:right w:val="single" w:sz="4" w:space="0" w:color="000000"/>
            </w:tcBorders>
            <w:shd w:val="clear" w:color="auto" w:fill="D2D2D2"/>
          </w:tcPr>
          <w:p>
            <w:pPr/>
          </w:p>
        </w:tc>
        <w:tc>
          <w:tcPr>
            <w:tcW w:w="921" w:type="dxa"/>
            <w:gridSpan w:val="2"/>
            <w:vMerge/>
            <w:tcBorders>
              <w:left w:val="single" w:sz="4" w:space="0" w:color="000000"/>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75" w:type="dxa"/>
            <w:gridSpan w:val="2"/>
            <w:vMerge/>
            <w:tcBorders>
              <w:left w:val="single" w:sz="4" w:space="0" w:color="000000"/>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3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1" w:type="dxa"/>
            <w:gridSpan w:val="2"/>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275" w:type="dxa"/>
            <w:gridSpan w:val="2"/>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6"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21.74%</w:t>
            </w:r>
          </w:p>
        </w:tc>
        <w:tc>
          <w:tcPr>
            <w:tcW w:w="92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left="26" w:right="-15"/>
              <w:jc w:val="left"/>
              <w:rPr>
                <w:rFonts w:ascii="宋体" w:hAnsi="宋体" w:cs="宋体" w:eastAsia="宋体" w:hint="default"/>
                <w:sz w:val="18"/>
                <w:szCs w:val="18"/>
              </w:rPr>
            </w:pPr>
            <w:r>
              <w:rPr>
                <w:rFonts w:ascii="宋体"/>
                <w:sz w:val="18"/>
              </w:rPr>
              <w:t>63,690,629</w:t>
            </w:r>
          </w:p>
        </w:tc>
        <w:tc>
          <w:tcPr>
            <w:tcW w:w="99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31,982,049</w:t>
            </w:r>
          </w:p>
        </w:tc>
        <w:tc>
          <w:tcPr>
            <w:tcW w:w="124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47,767,972</w:t>
            </w:r>
          </w:p>
        </w:tc>
        <w:tc>
          <w:tcPr>
            <w:tcW w:w="1275"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sz w:val="18"/>
              </w:rPr>
              <w:t>15,922,657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30,000,000</w:t>
            </w:r>
          </w:p>
        </w:tc>
      </w:tr>
      <w:tr>
        <w:trPr>
          <w:trHeight w:val="402" w:hRule="exact"/>
        </w:trPr>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钟超</w:t>
            </w:r>
          </w:p>
        </w:tc>
        <w:tc>
          <w:tcPr>
            <w:tcW w:w="1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6.54%</w:t>
            </w:r>
          </w:p>
        </w:tc>
        <w:tc>
          <w:tcPr>
            <w:tcW w:w="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15"/>
              <w:jc w:val="left"/>
              <w:rPr>
                <w:rFonts w:ascii="宋体" w:hAnsi="宋体" w:cs="宋体" w:eastAsia="宋体" w:hint="default"/>
                <w:sz w:val="18"/>
                <w:szCs w:val="18"/>
              </w:rPr>
            </w:pPr>
            <w:r>
              <w:rPr>
                <w:rFonts w:ascii="宋体"/>
                <w:sz w:val="18"/>
              </w:rPr>
              <w:t>19,154,280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4,577,140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sz w:val="18"/>
              </w:rPr>
              <w:t>19,154,280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5.82%</w:t>
            </w:r>
          </w:p>
        </w:tc>
        <w:tc>
          <w:tcPr>
            <w:tcW w:w="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15"/>
              <w:jc w:val="left"/>
              <w:rPr>
                <w:rFonts w:ascii="宋体" w:hAnsi="宋体" w:cs="宋体" w:eastAsia="宋体" w:hint="default"/>
                <w:sz w:val="18"/>
                <w:szCs w:val="18"/>
              </w:rPr>
            </w:pPr>
            <w:r>
              <w:rPr>
                <w:rFonts w:ascii="宋体"/>
                <w:sz w:val="18"/>
              </w:rPr>
              <w:t>17,043,022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8,521,511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17,043,022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17,040,000</w:t>
            </w:r>
          </w:p>
        </w:tc>
      </w:tr>
      <w:tr>
        <w:trPr>
          <w:trHeight w:val="1338" w:hRule="exact"/>
        </w:trPr>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9"/>
                <w:sz w:val="18"/>
                <w:szCs w:val="18"/>
              </w:rPr>
              <w:t>交通银行股份有</w:t>
            </w:r>
            <w:r>
              <w:rPr>
                <w:rFonts w:ascii="宋体" w:hAnsi="宋体" w:cs="宋体" w:eastAsia="宋体" w:hint="default"/>
                <w:sz w:val="18"/>
                <w:szCs w:val="18"/>
              </w:rPr>
              <w:t> </w:t>
            </w:r>
            <w:r>
              <w:rPr>
                <w:rFonts w:ascii="宋体" w:hAnsi="宋体" w:cs="宋体" w:eastAsia="宋体" w:hint="default"/>
                <w:spacing w:val="9"/>
                <w:sz w:val="18"/>
                <w:szCs w:val="18"/>
              </w:rPr>
              <w:t>限公司－易方达</w:t>
            </w:r>
            <w:r>
              <w:rPr>
                <w:rFonts w:ascii="宋体" w:hAnsi="宋体" w:cs="宋体" w:eastAsia="宋体" w:hint="default"/>
                <w:sz w:val="18"/>
                <w:szCs w:val="18"/>
              </w:rPr>
              <w:t> </w:t>
            </w:r>
            <w:r>
              <w:rPr>
                <w:rFonts w:ascii="宋体" w:hAnsi="宋体" w:cs="宋体" w:eastAsia="宋体" w:hint="default"/>
                <w:spacing w:val="9"/>
                <w:sz w:val="18"/>
                <w:szCs w:val="18"/>
              </w:rPr>
              <w:t>科讯混合型证券</w:t>
            </w:r>
            <w:r>
              <w:rPr>
                <w:rFonts w:ascii="宋体" w:hAnsi="宋体" w:cs="宋体" w:eastAsia="宋体" w:hint="default"/>
                <w:sz w:val="18"/>
                <w:szCs w:val="18"/>
              </w:rPr>
              <w:t> 投资基金</w:t>
            </w:r>
          </w:p>
        </w:tc>
        <w:tc>
          <w:tcPr>
            <w:tcW w:w="1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4.55%</w:t>
            </w:r>
          </w:p>
        </w:tc>
        <w:tc>
          <w:tcPr>
            <w:tcW w:w="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15"/>
              <w:jc w:val="left"/>
              <w:rPr>
                <w:rFonts w:ascii="宋体" w:hAnsi="宋体" w:cs="宋体" w:eastAsia="宋体" w:hint="default"/>
                <w:sz w:val="18"/>
                <w:szCs w:val="18"/>
              </w:rPr>
            </w:pPr>
            <w:r>
              <w:rPr>
                <w:rFonts w:ascii="宋体"/>
                <w:sz w:val="18"/>
              </w:rPr>
              <w:t>13,333,042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12,426,029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sz w:val="18"/>
              </w:rPr>
              <w:t>13,333,042</w:t>
            </w:r>
          </w:p>
        </w:tc>
        <w:tc>
          <w:tcPr>
            <w:tcW w:w="845"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2.69%</w:t>
            </w:r>
          </w:p>
        </w:tc>
        <w:tc>
          <w:tcPr>
            <w:tcW w:w="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15"/>
              <w:jc w:val="left"/>
              <w:rPr>
                <w:rFonts w:ascii="宋体" w:hAnsi="宋体" w:cs="宋体" w:eastAsia="宋体" w:hint="default"/>
                <w:sz w:val="18"/>
                <w:szCs w:val="18"/>
              </w:rPr>
            </w:pPr>
            <w:r>
              <w:rPr>
                <w:rFonts w:ascii="宋体"/>
                <w:sz w:val="18"/>
              </w:rPr>
              <w:t>7,880,666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3,940,333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7,880,666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2,500,000</w:t>
            </w:r>
          </w:p>
        </w:tc>
      </w:tr>
      <w:tr>
        <w:trPr>
          <w:trHeight w:val="986" w:hRule="exact"/>
        </w:trPr>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9"/>
                <w:sz w:val="18"/>
                <w:szCs w:val="18"/>
              </w:rPr>
              <w:t>北信瑞丰基金－</w:t>
            </w:r>
            <w:r>
              <w:rPr>
                <w:rFonts w:ascii="宋体" w:hAnsi="宋体" w:cs="宋体" w:eastAsia="宋体" w:hint="default"/>
                <w:sz w:val="18"/>
                <w:szCs w:val="18"/>
              </w:rPr>
              <w:t> </w:t>
            </w:r>
            <w:r>
              <w:rPr>
                <w:rFonts w:ascii="宋体" w:hAnsi="宋体" w:cs="宋体" w:eastAsia="宋体" w:hint="default"/>
                <w:spacing w:val="9"/>
                <w:sz w:val="18"/>
                <w:szCs w:val="18"/>
              </w:rPr>
              <w:t>宁波银行－北信</w:t>
            </w:r>
            <w:r>
              <w:rPr>
                <w:rFonts w:ascii="宋体" w:hAnsi="宋体" w:cs="宋体" w:eastAsia="宋体" w:hint="default"/>
                <w:sz w:val="18"/>
                <w:szCs w:val="18"/>
              </w:rPr>
              <w:t> </w:t>
            </w:r>
            <w:r>
              <w:rPr>
                <w:rFonts w:ascii="宋体" w:hAnsi="宋体" w:cs="宋体" w:eastAsia="宋体" w:hint="default"/>
                <w:spacing w:val="8"/>
                <w:sz w:val="18"/>
                <w:szCs w:val="18"/>
              </w:rPr>
              <w:t>瑞丰基金丰庆</w:t>
            </w:r>
            <w:r>
              <w:rPr>
                <w:rFonts w:ascii="宋体" w:hAnsi="宋体" w:cs="宋体" w:eastAsia="宋体" w:hint="default"/>
                <w:spacing w:val="15"/>
                <w:sz w:val="18"/>
                <w:szCs w:val="18"/>
              </w:rPr>
              <w:t> </w:t>
            </w:r>
            <w:r>
              <w:rPr>
                <w:rFonts w:ascii="宋体" w:hAnsi="宋体" w:cs="宋体" w:eastAsia="宋体" w:hint="default"/>
                <w:sz w:val="18"/>
                <w:szCs w:val="18"/>
              </w:rPr>
              <w:t>1</w:t>
            </w:r>
          </w:p>
        </w:tc>
        <w:tc>
          <w:tcPr>
            <w:tcW w:w="1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2.05%</w:t>
            </w:r>
          </w:p>
        </w:tc>
        <w:tc>
          <w:tcPr>
            <w:tcW w:w="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16" w:right="-15"/>
              <w:jc w:val="left"/>
              <w:rPr>
                <w:rFonts w:ascii="宋体" w:hAnsi="宋体" w:cs="宋体" w:eastAsia="宋体" w:hint="default"/>
                <w:sz w:val="18"/>
                <w:szCs w:val="18"/>
              </w:rPr>
            </w:pPr>
            <w:r>
              <w:rPr>
                <w:rFonts w:ascii="宋体"/>
                <w:sz w:val="18"/>
              </w:rPr>
              <w:t>6,000,000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3,000,000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6,000,000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384"/>
        <w:gridCol w:w="1043"/>
        <w:gridCol w:w="719"/>
        <w:gridCol w:w="245"/>
        <w:gridCol w:w="960"/>
        <w:gridCol w:w="958"/>
        <w:gridCol w:w="1241"/>
        <w:gridCol w:w="674"/>
        <w:gridCol w:w="601"/>
        <w:gridCol w:w="613"/>
        <w:gridCol w:w="238"/>
        <w:gridCol w:w="1020"/>
      </w:tblGrid>
      <w:tr>
        <w:trPr>
          <w:trHeight w:val="36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6"/>
              <w:jc w:val="center"/>
              <w:rPr>
                <w:rFonts w:ascii="宋体" w:hAnsi="宋体" w:cs="宋体" w:eastAsia="宋体" w:hint="default"/>
                <w:sz w:val="18"/>
                <w:szCs w:val="18"/>
              </w:rPr>
            </w:pPr>
            <w:r>
              <w:rPr>
                <w:rFonts w:ascii="宋体" w:hAnsi="宋体" w:cs="宋体" w:eastAsia="宋体" w:hint="default"/>
                <w:sz w:val="18"/>
                <w:szCs w:val="18"/>
              </w:rPr>
              <w:t>号资产管理计划</w:t>
            </w:r>
          </w:p>
        </w:tc>
        <w:tc>
          <w:tcPr>
            <w:tcW w:w="1043" w:type="dxa"/>
            <w:tcBorders>
              <w:top w:val="single" w:sz="4" w:space="0" w:color="000000"/>
              <w:left w:val="single" w:sz="4" w:space="0" w:color="000000"/>
              <w:bottom w:val="single" w:sz="4" w:space="0" w:color="000000"/>
              <w:right w:val="single" w:sz="4" w:space="0" w:color="000000"/>
            </w:tcBorders>
          </w:tcPr>
          <w:p>
            <w:pPr/>
          </w:p>
        </w:tc>
        <w:tc>
          <w:tcPr>
            <w:tcW w:w="964"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both"/>
              <w:rPr>
                <w:rFonts w:ascii="宋体" w:hAnsi="宋体" w:cs="宋体" w:eastAsia="宋体" w:hint="default"/>
                <w:sz w:val="18"/>
                <w:szCs w:val="18"/>
              </w:rPr>
            </w:pPr>
            <w:r>
              <w:rPr>
                <w:rFonts w:ascii="宋体" w:hAnsi="宋体" w:cs="宋体" w:eastAsia="宋体" w:hint="default"/>
                <w:spacing w:val="9"/>
                <w:sz w:val="18"/>
                <w:szCs w:val="18"/>
              </w:rPr>
              <w:t>华融国际信托有</w:t>
            </w:r>
            <w:r>
              <w:rPr>
                <w:rFonts w:ascii="宋体" w:hAnsi="宋体" w:cs="宋体" w:eastAsia="宋体" w:hint="default"/>
                <w:sz w:val="18"/>
                <w:szCs w:val="18"/>
              </w:rPr>
              <w:t> </w:t>
            </w:r>
            <w:r>
              <w:rPr>
                <w:rFonts w:ascii="宋体" w:hAnsi="宋体" w:cs="宋体" w:eastAsia="宋体" w:hint="default"/>
                <w:spacing w:val="20"/>
                <w:sz w:val="18"/>
                <w:szCs w:val="18"/>
              </w:rPr>
              <w:t>限责任公司</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华 融·汇盈</w:t>
            </w:r>
            <w:r>
              <w:rPr>
                <w:rFonts w:ascii="宋体" w:hAnsi="宋体" w:cs="宋体" w:eastAsia="宋体" w:hint="default"/>
                <w:spacing w:val="-56"/>
                <w:sz w:val="18"/>
                <w:szCs w:val="18"/>
              </w:rPr>
              <w:t> </w:t>
            </w:r>
            <w:r>
              <w:rPr>
                <w:rFonts w:ascii="宋体" w:hAnsi="宋体" w:cs="宋体" w:eastAsia="宋体" w:hint="default"/>
                <w:sz w:val="18"/>
                <w:szCs w:val="18"/>
              </w:rPr>
              <w:t>32</w:t>
            </w:r>
            <w:r>
              <w:rPr>
                <w:rFonts w:ascii="宋体" w:hAnsi="宋体" w:cs="宋体" w:eastAsia="宋体" w:hint="default"/>
                <w:spacing w:val="-57"/>
                <w:sz w:val="18"/>
                <w:szCs w:val="18"/>
              </w:rPr>
              <w:t> </w:t>
            </w:r>
            <w:r>
              <w:rPr>
                <w:rFonts w:ascii="宋体" w:hAnsi="宋体" w:cs="宋体" w:eastAsia="宋体" w:hint="default"/>
                <w:sz w:val="18"/>
                <w:szCs w:val="18"/>
              </w:rPr>
              <w:t>号证</w:t>
            </w:r>
            <w:r>
              <w:rPr>
                <w:rFonts w:ascii="宋体" w:hAnsi="宋体" w:cs="宋体" w:eastAsia="宋体" w:hint="default"/>
                <w:spacing w:val="1"/>
                <w:sz w:val="18"/>
                <w:szCs w:val="18"/>
              </w:rPr>
              <w:t> </w:t>
            </w:r>
            <w:r>
              <w:rPr>
                <w:rFonts w:ascii="宋体" w:hAnsi="宋体" w:cs="宋体" w:eastAsia="宋体" w:hint="default"/>
                <w:spacing w:val="9"/>
                <w:sz w:val="18"/>
                <w:szCs w:val="18"/>
              </w:rPr>
              <w:t>券投资单一资金</w:t>
            </w:r>
            <w:r>
              <w:rPr>
                <w:rFonts w:ascii="宋体" w:hAnsi="宋体" w:cs="宋体" w:eastAsia="宋体" w:hint="default"/>
                <w:sz w:val="18"/>
                <w:szCs w:val="18"/>
              </w:rPr>
              <w:t> 信托</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sz w:val="18"/>
              </w:rPr>
              <w:t>1.87%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5,483,668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2,741,834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sz w:val="18"/>
              </w:rPr>
              <w:t>5,483,668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全国社保基金六</w:t>
            </w:r>
            <w:r>
              <w:rPr>
                <w:rFonts w:ascii="宋体" w:hAnsi="宋体" w:cs="宋体" w:eastAsia="宋体" w:hint="default"/>
                <w:sz w:val="18"/>
                <w:szCs w:val="18"/>
              </w:rPr>
              <w:t> 零一组合</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sz w:val="18"/>
              </w:rPr>
              <w:t>1.82%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5,340,745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5,340,745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sz w:val="18"/>
              </w:rPr>
              <w:t>5,340,745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高孔兴</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0" w:right="0"/>
              <w:jc w:val="left"/>
              <w:rPr>
                <w:rFonts w:ascii="宋体" w:hAnsi="宋体" w:cs="宋体" w:eastAsia="宋体" w:hint="default"/>
                <w:sz w:val="18"/>
                <w:szCs w:val="18"/>
              </w:rPr>
            </w:pPr>
            <w:r>
              <w:rPr>
                <w:rFonts w:ascii="宋体"/>
                <w:sz w:val="18"/>
              </w:rPr>
              <w:t>1.68%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4,922,630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2461315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4,922,630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 w:right="0"/>
              <w:jc w:val="left"/>
              <w:rPr>
                <w:rFonts w:ascii="宋体" w:hAnsi="宋体" w:cs="宋体" w:eastAsia="宋体" w:hint="default"/>
                <w:sz w:val="18"/>
                <w:szCs w:val="18"/>
              </w:rPr>
            </w:pPr>
            <w:r>
              <w:rPr>
                <w:rFonts w:ascii="宋体"/>
                <w:sz w:val="18"/>
              </w:rPr>
              <w:t>1,764,520</w:t>
            </w: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尚剑红</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0" w:right="0"/>
              <w:jc w:val="left"/>
              <w:rPr>
                <w:rFonts w:ascii="宋体" w:hAnsi="宋体" w:cs="宋体" w:eastAsia="宋体" w:hint="default"/>
                <w:sz w:val="18"/>
                <w:szCs w:val="18"/>
              </w:rPr>
            </w:pPr>
            <w:r>
              <w:rPr>
                <w:rFonts w:ascii="宋体"/>
                <w:sz w:val="18"/>
              </w:rPr>
              <w:t>1.51%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4,430,134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2215067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4,430,134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名股东的情况</w:t>
            </w:r>
          </w:p>
        </w:tc>
        <w:tc>
          <w:tcPr>
            <w:tcW w:w="726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268"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任红军与钟超系夫妻关系，公司未知前十名其他股东之间是否存在关联关系，也未知是否属 于《上市公司收购管理办法》规定的一致行动人。</w:t>
            </w: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5" w:hRule="exact"/>
        </w:trPr>
        <w:tc>
          <w:tcPr>
            <w:tcW w:w="314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07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47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14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7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7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146" w:type="dxa"/>
            <w:gridSpan w:val="3"/>
            <w:vMerge/>
            <w:tcBorders>
              <w:left w:val="single" w:sz="4" w:space="0" w:color="000000"/>
              <w:bottom w:val="nil" w:sz="6" w:space="0" w:color="auto"/>
              <w:right w:val="single" w:sz="4" w:space="0" w:color="000000"/>
            </w:tcBorders>
            <w:shd w:val="clear" w:color="auto" w:fill="D2D2D2"/>
          </w:tcPr>
          <w:p>
            <w:pPr/>
          </w:p>
        </w:tc>
        <w:tc>
          <w:tcPr>
            <w:tcW w:w="4077" w:type="dxa"/>
            <w:gridSpan w:val="5"/>
            <w:vMerge/>
            <w:tcBorders>
              <w:left w:val="single" w:sz="4" w:space="0" w:color="000000"/>
              <w:bottom w:val="nil" w:sz="6" w:space="0" w:color="auto"/>
              <w:right w:val="single" w:sz="4" w:space="0" w:color="000000"/>
            </w:tcBorders>
            <w:shd w:val="clear" w:color="auto" w:fill="D2D2D2"/>
          </w:tcPr>
          <w:p>
            <w:pPr/>
          </w:p>
        </w:tc>
        <w:tc>
          <w:tcPr>
            <w:tcW w:w="12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4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07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gridSpan w:val="2"/>
            <w:vMerge/>
            <w:tcBorders>
              <w:left w:val="single" w:sz="4" w:space="0" w:color="000000"/>
              <w:bottom w:val="single" w:sz="4" w:space="0" w:color="000000"/>
              <w:right w:val="single" w:sz="4" w:space="0" w:color="000000"/>
            </w:tcBorders>
            <w:shd w:val="clear" w:color="auto" w:fill="D2D2D2"/>
          </w:tcPr>
          <w:p>
            <w:pPr/>
          </w:p>
        </w:tc>
        <w:tc>
          <w:tcPr>
            <w:tcW w:w="125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19,154,280</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宋体" w:hAnsi="宋体" w:cs="宋体" w:eastAsia="宋体" w:hint="default"/>
                <w:sz w:val="18"/>
                <w:szCs w:val="18"/>
              </w:rPr>
            </w:pPr>
            <w:r>
              <w:rPr>
                <w:rFonts w:ascii="宋体"/>
                <w:sz w:val="18"/>
              </w:rPr>
              <w:t>19,154,280</w:t>
            </w:r>
          </w:p>
        </w:tc>
      </w:tr>
      <w:tr>
        <w:trPr>
          <w:trHeight w:val="402"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15,922,657</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宋体" w:hAnsi="宋体" w:cs="宋体" w:eastAsia="宋体" w:hint="default"/>
                <w:sz w:val="18"/>
                <w:szCs w:val="18"/>
              </w:rPr>
            </w:pPr>
            <w:r>
              <w:rPr>
                <w:rFonts w:ascii="宋体"/>
                <w:sz w:val="18"/>
              </w:rPr>
              <w:t>15,922,657</w:t>
            </w:r>
          </w:p>
        </w:tc>
      </w:tr>
      <w:tr>
        <w:trPr>
          <w:trHeight w:val="714"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交通银行股份有限公司－易方达科讯混 合型证券投资基金</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13,333,042</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sz w:val="18"/>
              </w:rPr>
              <w:t>13,333,042</w:t>
            </w:r>
          </w:p>
        </w:tc>
      </w:tr>
      <w:tr>
        <w:trPr>
          <w:trHeight w:val="714"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r>
              <w:rPr>
                <w:rFonts w:ascii="宋体" w:hAnsi="宋体" w:cs="宋体" w:eastAsia="宋体" w:hint="default"/>
                <w:sz w:val="18"/>
                <w:szCs w:val="18"/>
              </w:rPr>
              <w:t>-</w:t>
            </w:r>
            <w:r>
              <w:rPr>
                <w:rFonts w:ascii="宋体" w:hAnsi="宋体" w:cs="宋体" w:eastAsia="宋体" w:hint="default"/>
                <w:sz w:val="18"/>
                <w:szCs w:val="18"/>
              </w:rPr>
              <w:t>华融·汇 盈</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号证券投资单一资金信托</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5,483,668</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5,483,668</w:t>
            </w:r>
          </w:p>
        </w:tc>
      </w:tr>
      <w:tr>
        <w:trPr>
          <w:trHeight w:val="402"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全国社保基金六零一组合</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5,340,745</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5,340,745</w:t>
            </w:r>
          </w:p>
        </w:tc>
      </w:tr>
      <w:tr>
        <w:trPr>
          <w:trHeight w:val="402"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3,497,320</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3,497,320</w:t>
            </w:r>
          </w:p>
        </w:tc>
      </w:tr>
      <w:tr>
        <w:trPr>
          <w:trHeight w:val="714"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 证券投资基金</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3,074,775</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3,074,775</w:t>
            </w:r>
          </w:p>
        </w:tc>
      </w:tr>
      <w:tr>
        <w:trPr>
          <w:trHeight w:val="714"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中国工商银行股份有限公司－易方达新 兴成长灵活配置混合型证券投资基金</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2,921,625</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2,921,625</w:t>
            </w:r>
          </w:p>
        </w:tc>
      </w:tr>
      <w:tr>
        <w:trPr>
          <w:trHeight w:val="714"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易方达基金－建设银行－中国人寿－中 国人寿委托易方达基金股票型组合</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2,342,770</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2,342,770</w:t>
            </w:r>
          </w:p>
        </w:tc>
      </w:tr>
      <w:tr>
        <w:trPr>
          <w:trHeight w:val="402" w:hRule="exact"/>
        </w:trPr>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肖延岭</w:t>
            </w:r>
          </w:p>
        </w:tc>
        <w:tc>
          <w:tcPr>
            <w:tcW w:w="4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2,200,000</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2,200,000</w:t>
            </w:r>
          </w:p>
        </w:tc>
      </w:tr>
      <w:tr>
        <w:trPr>
          <w:trHeight w:val="1026" w:hRule="exact"/>
        </w:trPr>
        <w:tc>
          <w:tcPr>
            <w:tcW w:w="31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pacing w:val="-4"/>
                <w:sz w:val="18"/>
                <w:szCs w:val="18"/>
              </w:rPr>
              <w:t>名无限售流通股股东之间，以及前</w:t>
            </w:r>
          </w:p>
          <w:p>
            <w:pPr>
              <w:pStyle w:val="TableParagraph"/>
              <w:spacing w:line="319" w:lineRule="auto" w:before="75"/>
              <w:ind w:left="22" w:right="97"/>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 之间关联关系或一致行动的说明</w:t>
            </w:r>
          </w:p>
        </w:tc>
        <w:tc>
          <w:tcPr>
            <w:tcW w:w="654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任红军与钟超系夫妻关系，钟超与钟克创系姐弟关系，公司未知前十名无限售条件 股东之间是否存在关联关系，也未知是否属于《上市公司收购管理办法》规定的一 致行动人。</w:t>
            </w:r>
          </w:p>
        </w:tc>
      </w:tr>
      <w:tr>
        <w:trPr>
          <w:trHeight w:val="714" w:hRule="exact"/>
        </w:trPr>
        <w:tc>
          <w:tcPr>
            <w:tcW w:w="31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245" w:type="dxa"/>
            <w:tcBorders>
              <w:top w:val="single" w:sz="4" w:space="0" w:color="000000"/>
              <w:left w:val="single" w:sz="4" w:space="0" w:color="000000"/>
              <w:bottom w:val="single" w:sz="4" w:space="0" w:color="000000"/>
              <w:right w:val="nil" w:sz="6" w:space="0" w:color="auto"/>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0"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
        </w:tc>
        <w:tc>
          <w:tcPr>
            <w:tcW w:w="674" w:type="dxa"/>
            <w:tcBorders>
              <w:top w:val="single" w:sz="4" w:space="0" w:color="000000"/>
              <w:left w:val="nil" w:sz="6" w:space="0" w:color="auto"/>
              <w:bottom w:val="single" w:sz="4" w:space="0" w:color="000000"/>
              <w:right w:val="nil" w:sz="6" w:space="0" w:color="auto"/>
            </w:tcBorders>
          </w:tcPr>
          <w:p>
            <w:pPr/>
          </w:p>
        </w:tc>
        <w:tc>
          <w:tcPr>
            <w:tcW w:w="601" w:type="dxa"/>
            <w:tcBorders>
              <w:top w:val="single" w:sz="4" w:space="0" w:color="000000"/>
              <w:left w:val="nil" w:sz="6" w:space="0" w:color="auto"/>
              <w:bottom w:val="single" w:sz="4" w:space="0" w:color="000000"/>
              <w:right w:val="nil" w:sz="6" w:space="0" w:color="auto"/>
            </w:tcBorders>
          </w:tcPr>
          <w:p>
            <w:pPr/>
          </w:p>
        </w:tc>
        <w:tc>
          <w:tcPr>
            <w:tcW w:w="613" w:type="dxa"/>
            <w:tcBorders>
              <w:top w:val="single" w:sz="4" w:space="0" w:color="000000"/>
              <w:left w:val="nil" w:sz="6" w:space="0" w:color="auto"/>
              <w:bottom w:val="single" w:sz="4" w:space="0" w:color="000000"/>
              <w:right w:val="nil" w:sz="6" w:space="0" w:color="auto"/>
            </w:tcBorders>
          </w:tcPr>
          <w:p>
            <w:pPr/>
          </w:p>
        </w:tc>
        <w:tc>
          <w:tcPr>
            <w:tcW w:w="238" w:type="dxa"/>
            <w:tcBorders>
              <w:top w:val="single" w:sz="4" w:space="0" w:color="000000"/>
              <w:left w:val="nil" w:sz="6" w:space="0" w:color="auto"/>
              <w:bottom w:val="single" w:sz="4" w:space="0" w:color="000000"/>
              <w:right w:val="nil" w:sz="6" w:space="0" w:color="auto"/>
            </w:tcBorders>
          </w:tcPr>
          <w:p>
            <w:pPr/>
          </w:p>
        </w:tc>
        <w:tc>
          <w:tcPr>
            <w:tcW w:w="1020" w:type="dxa"/>
            <w:tcBorders>
              <w:top w:val="single" w:sz="4" w:space="0" w:color="000000"/>
              <w:left w:val="nil" w:sz="6" w:space="0" w:color="auto"/>
              <w:bottom w:val="single" w:sz="4" w:space="0" w:color="000000"/>
              <w:right w:val="single" w:sz="4" w:space="0" w:color="000000"/>
            </w:tcBorders>
          </w:tcPr>
          <w:p>
            <w:pPr/>
          </w:p>
        </w:tc>
      </w:tr>
    </w:tbl>
    <w:p>
      <w:pPr>
        <w:spacing w:before="51"/>
        <w:ind w:left="1134" w:right="1117" w:firstLine="0"/>
        <w:jc w:val="left"/>
        <w:rPr>
          <w:rFonts w:ascii="宋体" w:hAnsi="宋体" w:cs="宋体" w:eastAsia="宋体" w:hint="default"/>
          <w:sz w:val="18"/>
          <w:szCs w:val="18"/>
        </w:rPr>
      </w:pPr>
      <w:r>
        <w:rPr/>
        <w:pict>
          <v:group style="position:absolute;margin-left:212.839996pt;margin-top:-35.718281pt;width:327pt;height:28.05pt;mso-position-horizontal-relative:page;mso-position-vertical-relative:paragraph;z-index:-995464" coordorigin="4257,-714" coordsize="6540,561">
            <v:group style="position:absolute;left:4257;top:-714;width:6540;height:156" coordorigin="4257,-714" coordsize="6540,156">
              <v:shape style="position:absolute;left:4257;top:-714;width:6540;height:156" coordorigin="4257,-714" coordsize="6540,156" path="m4257,-558l10796,-558,10796,-714,4257,-714,4257,-558xe" filled="true" fillcolor="#ffffff" stroked="false">
                <v:path arrowok="t"/>
                <v:fill type="solid"/>
              </v:shape>
            </v:group>
            <v:group style="position:absolute;left:4269;top:-558;width:2;height:393" coordorigin="4269,-558" coordsize="2,393">
              <v:shape style="position:absolute;left:4269;top:-558;width:2;height:393" coordorigin="4269,-558" coordsize="0,393" path="m4269,-558l4269,-166e" filled="false" stroked="true" strokeweight="1.2pt" strokecolor="#ffffff">
                <v:path arrowok="t"/>
              </v:shape>
            </v:group>
            <v:group style="position:absolute;left:4281;top:-558;width:6493;height:393" coordorigin="4281,-558" coordsize="6493,393">
              <v:shape style="position:absolute;left:4281;top:-558;width:6493;height:393" coordorigin="4281,-558" coordsize="6493,393" path="m4281,-166l10774,-166,10774,-558,4281,-558,4281,-166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133" w:right="1117"/>
        <w:jc w:val="left"/>
        <w:rPr>
          <w:b w:val="0"/>
          <w:bCs w:val="0"/>
        </w:rPr>
      </w:pPr>
      <w:bookmarkStart w:name="2、公司控股股东情况" w:id="106"/>
      <w:bookmarkEnd w:id="10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任红军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34" w:right="111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left="1133" w:right="1117"/>
        <w:jc w:val="left"/>
        <w:rPr>
          <w:b w:val="0"/>
          <w:bCs w:val="0"/>
        </w:rPr>
      </w:pPr>
      <w:bookmarkStart w:name="3、公司实际控制人情况" w:id="107"/>
      <w:bookmarkEnd w:id="10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64" w:type="dxa"/>
        <w:tblLayout w:type="fixed"/>
        <w:tblCellMar>
          <w:top w:w="0" w:type="dxa"/>
          <w:left w:w="0" w:type="dxa"/>
          <w:bottom w:w="0" w:type="dxa"/>
          <w:right w:w="0" w:type="dxa"/>
        </w:tblCellMar>
        <w:tblLook w:val="01E0"/>
      </w:tblPr>
      <w:tblGrid>
        <w:gridCol w:w="3328"/>
        <w:gridCol w:w="2121"/>
        <w:gridCol w:w="4121"/>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任红军</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钟超</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任红军先生和钟超女士系夫妻关系。任红军先生目前任职公司董事长；钟超目 前任职郑州大学一附院主管护师，不担任公司任何职务。</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34" w:right="111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4"/>
        <w:rPr>
          <w:rFonts w:ascii="宋体" w:hAnsi="宋体" w:cs="宋体" w:eastAsia="宋体" w:hint="default"/>
          <w:sz w:val="24"/>
          <w:szCs w:val="24"/>
        </w:rPr>
      </w:pPr>
    </w:p>
    <w:p>
      <w:pPr>
        <w:spacing w:line="2850" w:lineRule="exact"/>
        <w:ind w:left="2338"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591050" cy="1809750"/>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8" cstate="print"/>
                    <a:stretch>
                      <a:fillRect/>
                    </a:stretch>
                  </pic:blipFill>
                  <pic:spPr>
                    <a:xfrm>
                      <a:off x="0" y="0"/>
                      <a:ext cx="4591050" cy="1809750"/>
                    </a:xfrm>
                    <a:prstGeom prst="rect">
                      <a:avLst/>
                    </a:prstGeom>
                  </pic:spPr>
                </pic:pic>
              </a:graphicData>
            </a:graphic>
          </wp:inline>
        </w:drawing>
      </w:r>
      <w:r>
        <w:rPr>
          <w:rFonts w:ascii="宋体" w:hAnsi="宋体" w:cs="宋体" w:eastAsia="宋体" w:hint="default"/>
          <w:position w:val="-56"/>
          <w:sz w:val="20"/>
          <w:szCs w:val="20"/>
        </w:rPr>
      </w:r>
    </w:p>
    <w:p>
      <w:pPr>
        <w:spacing w:after="0" w:line="2850"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spacing w:before="26"/>
        <w:ind w:left="1133" w:right="1117"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4、其他持股在10%以上的法人股东" w:id="108"/>
      <w:bookmarkEnd w:id="10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5、控股股东、实际控制人、重组方及其他承诺主体股份限制减持情况" w:id="109"/>
      <w:bookmarkEnd w:id="10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七节 优先股相关情况" w:id="110"/>
      <w:bookmarkEnd w:id="11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117"/>
        <w:jc w:val="left"/>
        <w:rPr>
          <w:b w:val="0"/>
          <w:bCs w:val="0"/>
        </w:rPr>
      </w:pPr>
      <w:bookmarkStart w:name="第八节 董事、监事、高级管理人员和员工情况" w:id="111"/>
      <w:bookmarkEnd w:id="11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7"/>
        <w:jc w:val="left"/>
        <w:rPr>
          <w:b w:val="0"/>
          <w:bCs w:val="0"/>
        </w:rPr>
      </w:pPr>
      <w:bookmarkStart w:name="一、 董事、监事和高级管理人员持股变动" w:id="112"/>
      <w:bookmarkEnd w:id="112"/>
      <w:r>
        <w:rPr>
          <w:b w:val="0"/>
          <w:bCs w:val="0"/>
        </w:rPr>
      </w:r>
      <w:r>
        <w:rPr/>
        <w:t>一、</w:t>
      </w:r>
      <w:r>
        <w:rPr>
          <w:spacing w:val="-108"/>
        </w:rPr>
        <w:t> </w:t>
      </w:r>
      <w:r>
        <w:rPr/>
        <w:t>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758"/>
        <w:gridCol w:w="1254"/>
        <w:gridCol w:w="852"/>
        <w:gridCol w:w="426"/>
        <w:gridCol w:w="504"/>
        <w:gridCol w:w="758"/>
        <w:gridCol w:w="758"/>
        <w:gridCol w:w="955"/>
        <w:gridCol w:w="831"/>
        <w:gridCol w:w="686"/>
        <w:gridCol w:w="955"/>
        <w:gridCol w:w="956"/>
      </w:tblGrid>
      <w:tr>
        <w:trPr>
          <w:trHeight w:val="1258" w:hRule="exact"/>
        </w:trPr>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04" w:right="10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4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67" w:right="6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12" w:right="20"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31,708,580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273,469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31,708,580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63,690,629</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张潇君</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94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董事、副总经 </w:t>
            </w:r>
            <w:r>
              <w:rPr>
                <w:rFonts w:ascii="宋体" w:hAnsi="宋体" w:cs="宋体" w:eastAsia="宋体" w:hint="default"/>
                <w:spacing w:val="-9"/>
                <w:sz w:val="18"/>
                <w:szCs w:val="18"/>
              </w:rPr>
              <w:t>理、财务负责人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1,573,780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1,573,780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3,147,560</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9"/>
                <w:sz w:val="18"/>
                <w:szCs w:val="18"/>
              </w:rPr>
              <w:t>董事、总工程师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130,534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3,400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114,534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232,468</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9"/>
                <w:sz w:val="18"/>
                <w:szCs w:val="18"/>
              </w:rPr>
              <w:t>董事、副总经理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51,660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51,660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103,320</w:t>
            </w:r>
          </w:p>
        </w:tc>
      </w:tr>
      <w:tr>
        <w:trPr>
          <w:trHeight w:val="94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高天增</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930,000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930,000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1,860,000</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1,489,634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41,500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136,300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1,353,334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2,748,168</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李志刚</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200</w:t>
            </w:r>
          </w:p>
        </w:tc>
      </w:tr>
      <w:tr>
        <w:trPr>
          <w:trHeight w:val="94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刘威</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01" w:type="dxa"/>
        <w:tblLayout w:type="fixed"/>
        <w:tblCellMar>
          <w:top w:w="0" w:type="dxa"/>
          <w:left w:w="0" w:type="dxa"/>
          <w:bottom w:w="0" w:type="dxa"/>
          <w:right w:w="0" w:type="dxa"/>
        </w:tblCellMar>
        <w:tblLook w:val="01E0"/>
      </w:tblPr>
      <w:tblGrid>
        <w:gridCol w:w="758"/>
        <w:gridCol w:w="1254"/>
        <w:gridCol w:w="852"/>
        <w:gridCol w:w="426"/>
        <w:gridCol w:w="504"/>
        <w:gridCol w:w="758"/>
        <w:gridCol w:w="758"/>
        <w:gridCol w:w="955"/>
        <w:gridCol w:w="831"/>
        <w:gridCol w:w="686"/>
        <w:gridCol w:w="955"/>
        <w:gridCol w:w="956"/>
      </w:tblGrid>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赵向阳</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94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徐克</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尚剑红</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2,215,067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2,215,067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4,430,134</w:t>
            </w: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肖锋</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副总经理、董事</w:t>
            </w:r>
            <w:r>
              <w:rPr>
                <w:rFonts w:ascii="宋体" w:hAnsi="宋体" w:cs="宋体" w:eastAsia="宋体" w:hint="default"/>
                <w:sz w:val="18"/>
                <w:szCs w:val="18"/>
              </w:rPr>
              <w:t> 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94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王思鹏</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庄行方</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23" w:hRule="exact"/>
        </w:trPr>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9"/>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7" w:right="0"/>
              <w:jc w:val="left"/>
              <w:rPr>
                <w:rFonts w:ascii="宋体" w:hAnsi="宋体" w:cs="宋体" w:eastAsia="宋体" w:hint="default"/>
                <w:sz w:val="18"/>
                <w:szCs w:val="18"/>
              </w:rPr>
            </w:pPr>
            <w:r>
              <w:rPr>
                <w:rFonts w:ascii="宋体"/>
                <w:sz w:val="18"/>
              </w:rPr>
              <w:t>--</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38,099,355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318,369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152,300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37,947,055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76,212,479</w:t>
            </w:r>
          </w:p>
        </w:tc>
      </w:tr>
    </w:tbl>
    <w:p>
      <w:pPr>
        <w:spacing w:line="240" w:lineRule="auto" w:before="2"/>
        <w:rPr>
          <w:rFonts w:ascii="宋体" w:hAnsi="宋体" w:cs="宋体" w:eastAsia="宋体" w:hint="default"/>
          <w:b/>
          <w:bCs/>
          <w:sz w:val="18"/>
          <w:szCs w:val="18"/>
        </w:rPr>
      </w:pPr>
    </w:p>
    <w:p>
      <w:pPr>
        <w:spacing w:before="26"/>
        <w:ind w:left="1134" w:right="1117" w:firstLine="0"/>
        <w:jc w:val="left"/>
        <w:rPr>
          <w:rFonts w:ascii="宋体" w:hAnsi="宋体" w:cs="宋体" w:eastAsia="宋体" w:hint="default"/>
          <w:sz w:val="24"/>
          <w:szCs w:val="24"/>
        </w:rPr>
      </w:pPr>
      <w:bookmarkStart w:name="二、 公司董事、监事、高级管理人员变动情况" w:id="113"/>
      <w:bookmarkEnd w:id="113"/>
      <w:r>
        <w:rPr/>
      </w:r>
      <w:r>
        <w:rPr>
          <w:rFonts w:ascii="宋体" w:hAnsi="宋体" w:cs="宋体" w:eastAsia="宋体" w:hint="default"/>
          <w:b/>
          <w:bCs/>
          <w:sz w:val="24"/>
          <w:szCs w:val="24"/>
        </w:rPr>
        <w:t>二、</w:t>
      </w:r>
      <w:r>
        <w:rPr>
          <w:rFonts w:ascii="宋体" w:hAnsi="宋体" w:cs="宋体" w:eastAsia="宋体" w:hint="default"/>
          <w:b/>
          <w:bCs/>
          <w:spacing w:val="-110"/>
          <w:sz w:val="24"/>
          <w:szCs w:val="24"/>
        </w:rPr>
        <w:t> </w:t>
      </w:r>
      <w:r>
        <w:rPr>
          <w:rFonts w:ascii="宋体" w:hAnsi="宋体" w:cs="宋体" w:eastAsia="宋体" w:hint="default"/>
          <w:b/>
          <w:bCs/>
          <w:sz w:val="24"/>
          <w:szCs w:val="24"/>
        </w:rPr>
        <w:t>公司董事、监事、高级管理人员变动情况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1348"/>
        <w:gridCol w:w="1348"/>
        <w:gridCol w:w="1348"/>
        <w:gridCol w:w="1702"/>
        <w:gridCol w:w="3950"/>
      </w:tblGrid>
      <w:tr>
        <w:trPr>
          <w:trHeight w:val="402" w:hRule="exact"/>
        </w:trPr>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因公司工作调整原因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因个人及工作调整原因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庄行方</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因个人工作原因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王思鹏</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因个人工作原因</w:t>
            </w:r>
          </w:p>
        </w:tc>
      </w:tr>
    </w:tbl>
    <w:p>
      <w:pPr>
        <w:spacing w:line="240" w:lineRule="auto" w:before="2"/>
        <w:rPr>
          <w:rFonts w:ascii="宋体" w:hAnsi="宋体" w:cs="宋体" w:eastAsia="宋体" w:hint="default"/>
          <w:b/>
          <w:bCs/>
          <w:sz w:val="18"/>
          <w:szCs w:val="18"/>
        </w:rPr>
      </w:pPr>
    </w:p>
    <w:p>
      <w:pPr>
        <w:spacing w:before="26"/>
        <w:ind w:left="1134" w:right="1117" w:firstLine="0"/>
        <w:jc w:val="left"/>
        <w:rPr>
          <w:rFonts w:ascii="宋体" w:hAnsi="宋体" w:cs="宋体" w:eastAsia="宋体" w:hint="default"/>
          <w:sz w:val="24"/>
          <w:szCs w:val="24"/>
        </w:rPr>
      </w:pPr>
      <w:bookmarkStart w:name="三、任职情况" w:id="114"/>
      <w:bookmarkEnd w:id="114"/>
      <w:r>
        <w:rPr/>
      </w:r>
      <w:r>
        <w:rPr>
          <w:rFonts w:ascii="宋体" w:hAnsi="宋体" w:cs="宋体" w:eastAsia="宋体" w:hint="default"/>
          <w:b/>
          <w:bCs/>
          <w:sz w:val="24"/>
          <w:szCs w:val="24"/>
        </w:rPr>
        <w:t>三、任职情况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2"/>
          <w:szCs w:val="12"/>
        </w:rPr>
      </w:pPr>
    </w:p>
    <w:p>
      <w:pPr>
        <w:pStyle w:val="BodyText"/>
        <w:spacing w:line="240" w:lineRule="auto" w:before="0"/>
        <w:ind w:left="1553" w:right="1117"/>
        <w:jc w:val="left"/>
      </w:pPr>
      <w:r>
        <w:rPr>
          <w:rFonts w:ascii="宋体" w:hAnsi="宋体" w:cs="宋体" w:eastAsia="宋体" w:hint="default"/>
        </w:rPr>
        <w:t>1</w:t>
      </w:r>
      <w:r>
        <w:rPr/>
        <w:t>、第三届董事会成员</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spacing w:val="-2"/>
        </w:rPr>
        <w:t>任红军，男，</w:t>
      </w:r>
      <w:r>
        <w:rPr>
          <w:rFonts w:ascii="宋体" w:hAnsi="宋体" w:cs="宋体" w:eastAsia="宋体" w:hint="default"/>
          <w:spacing w:val="-2"/>
        </w:rPr>
        <w:t>1967</w:t>
      </w:r>
      <w:r>
        <w:rPr>
          <w:rFonts w:ascii="宋体" w:hAnsi="宋体" w:cs="宋体" w:eastAsia="宋体" w:hint="default"/>
          <w:spacing w:val="-41"/>
        </w:rPr>
        <w:t> </w:t>
      </w:r>
      <w:r>
        <w:rPr>
          <w:spacing w:val="-2"/>
        </w:rPr>
        <w:t>年出生，中国国籍，</w:t>
      </w:r>
      <w:r>
        <w:rPr>
          <w:rFonts w:ascii="宋体" w:hAnsi="宋体" w:cs="宋体" w:eastAsia="宋体" w:hint="default"/>
          <w:spacing w:val="-2"/>
        </w:rPr>
        <w:t>EMBA</w:t>
      </w:r>
      <w:r>
        <w:rPr>
          <w:spacing w:val="-2"/>
        </w:rPr>
        <w:t>，高级工程师，历任郑州晶体管厂技术员、工程师，郑州</w:t>
      </w:r>
      <w:r>
        <w:rPr/>
        <w:t> 汽车客运总公司下属科达电子厂高级工程师、副厂长，自 </w:t>
      </w:r>
      <w:r>
        <w:rPr>
          <w:rFonts w:ascii="宋体" w:hAnsi="宋体" w:cs="宋体" w:eastAsia="宋体" w:hint="default"/>
        </w:rPr>
        <w:t>1998</w:t>
      </w:r>
      <w:r>
        <w:rPr>
          <w:rFonts w:ascii="宋体" w:hAnsi="宋体" w:cs="宋体" w:eastAsia="宋体" w:hint="default"/>
          <w:spacing w:val="-24"/>
        </w:rPr>
        <w:t> </w:t>
      </w:r>
      <w:r>
        <w:rPr/>
        <w:t>年创立公司前身河南汉威电子有限公司以 来一直在汉威电子任职。现为公司第三届董事会董事长。</w:t>
      </w:r>
    </w:p>
    <w:p>
      <w:pPr>
        <w:pStyle w:val="BodyText"/>
        <w:spacing w:line="408" w:lineRule="auto"/>
        <w:ind w:left="1134" w:right="1130" w:firstLine="420"/>
        <w:jc w:val="both"/>
      </w:pPr>
      <w:r>
        <w:rPr>
          <w:spacing w:val="-3"/>
        </w:rPr>
        <w:t>张潇君，男，</w:t>
      </w:r>
      <w:r>
        <w:rPr>
          <w:rFonts w:ascii="宋体" w:hAnsi="宋体" w:cs="宋体" w:eastAsia="宋体" w:hint="default"/>
          <w:spacing w:val="-3"/>
        </w:rPr>
        <w:t>1965</w:t>
      </w:r>
      <w:r>
        <w:rPr>
          <w:rFonts w:ascii="宋体" w:hAnsi="宋体" w:cs="宋体" w:eastAsia="宋体" w:hint="default"/>
          <w:spacing w:val="-29"/>
        </w:rPr>
        <w:t> </w:t>
      </w:r>
      <w:r>
        <w:rPr>
          <w:spacing w:val="-2"/>
        </w:rPr>
        <w:t>年出生，硕士研究生学历，中共党员，工程师。历任河南能源化工集团有限责任公</w:t>
      </w:r>
      <w:r>
        <w:rPr/>
        <w:t> </w:t>
      </w:r>
      <w:r>
        <w:rPr>
          <w:spacing w:val="-1"/>
        </w:rPr>
        <w:t>司董事，河南省煤气集团有限公司董事长、党委书记，开封空分集团有限责任公司董事长、党委书记，洛</w:t>
      </w:r>
      <w:r>
        <w:rPr>
          <w:spacing w:val="-83"/>
        </w:rPr>
        <w:t> </w:t>
      </w:r>
      <w:r>
        <w:rPr>
          <w:spacing w:val="-83"/>
        </w:rPr>
      </w:r>
      <w:r>
        <w:rPr/>
        <w:t>阳</w:t>
      </w:r>
      <w:r>
        <w:rPr>
          <w:spacing w:val="-48"/>
        </w:rPr>
        <w:t> </w:t>
      </w:r>
      <w:r>
        <w:rPr>
          <w:rFonts w:ascii="宋体" w:hAnsi="宋体" w:cs="宋体" w:eastAsia="宋体" w:hint="default"/>
        </w:rPr>
        <w:t>LYC</w:t>
      </w:r>
      <w:r>
        <w:rPr>
          <w:rFonts w:ascii="宋体" w:hAnsi="宋体" w:cs="宋体" w:eastAsia="宋体" w:hint="default"/>
          <w:spacing w:val="-47"/>
        </w:rPr>
        <w:t> </w:t>
      </w:r>
      <w:r>
        <w:rPr/>
        <w:t>轴承有限公司董事长、党委书记，</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月起就职于汉威电子。现任公司第三届董事会董事、 公司总经理。</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4" w:right="1131" w:firstLine="420"/>
        <w:jc w:val="both"/>
      </w:pPr>
      <w:r>
        <w:rPr>
          <w:spacing w:val="-3"/>
        </w:rPr>
        <w:t>刘瑞玲，女，</w:t>
      </w:r>
      <w:r>
        <w:rPr>
          <w:rFonts w:ascii="宋体" w:hAnsi="宋体" w:cs="宋体" w:eastAsia="宋体" w:hint="default"/>
          <w:spacing w:val="-3"/>
        </w:rPr>
        <w:t>1972</w:t>
      </w:r>
      <w:r>
        <w:rPr>
          <w:rFonts w:ascii="宋体" w:hAnsi="宋体" w:cs="宋体" w:eastAsia="宋体" w:hint="default"/>
          <w:spacing w:val="-28"/>
        </w:rPr>
        <w:t> </w:t>
      </w:r>
      <w:r>
        <w:rPr>
          <w:spacing w:val="-2"/>
        </w:rPr>
        <w:t>年出生，中国国籍，</w:t>
      </w:r>
      <w:r>
        <w:rPr>
          <w:rFonts w:ascii="宋体" w:hAnsi="宋体" w:cs="宋体" w:eastAsia="宋体" w:hint="default"/>
          <w:spacing w:val="-2"/>
        </w:rPr>
        <w:t>EMBA</w:t>
      </w:r>
      <w:r>
        <w:rPr>
          <w:spacing w:val="-2"/>
        </w:rPr>
        <w:t>，曾任职于郑州晶体管厂核算处、郑州汽车客运总公司下</w:t>
      </w:r>
      <w:r>
        <w:rPr/>
        <w:t> 属科达电子厂会计科，</w:t>
      </w:r>
      <w:r>
        <w:rPr>
          <w:rFonts w:ascii="宋体" w:hAnsi="宋体" w:cs="宋体" w:eastAsia="宋体" w:hint="default"/>
        </w:rPr>
        <w:t>1998</w:t>
      </w:r>
      <w:r>
        <w:rPr>
          <w:rFonts w:ascii="宋体" w:hAnsi="宋体" w:cs="宋体" w:eastAsia="宋体" w:hint="default"/>
          <w:spacing w:val="-78"/>
        </w:rPr>
        <w:t> </w:t>
      </w:r>
      <w:r>
        <w:rPr/>
        <w:t>年</w:t>
      </w:r>
      <w:r>
        <w:rPr>
          <w:spacing w:val="-78"/>
        </w:rPr>
        <w:t> </w:t>
      </w:r>
      <w:r>
        <w:rPr>
          <w:rFonts w:ascii="宋体" w:hAnsi="宋体" w:cs="宋体" w:eastAsia="宋体" w:hint="default"/>
        </w:rPr>
        <w:t>9</w:t>
      </w:r>
      <w:r>
        <w:rPr>
          <w:rFonts w:ascii="宋体" w:hAnsi="宋体" w:cs="宋体" w:eastAsia="宋体" w:hint="default"/>
          <w:spacing w:val="-77"/>
        </w:rPr>
        <w:t> </w:t>
      </w:r>
      <w:r>
        <w:rPr/>
        <w:t>月起就职于汉威电子。现任公司第三届董事会董事、副总经理、财务负责 人。</w:t>
      </w:r>
    </w:p>
    <w:p>
      <w:pPr>
        <w:pStyle w:val="BodyText"/>
        <w:spacing w:line="408" w:lineRule="auto"/>
        <w:ind w:left="1134" w:right="1130" w:firstLine="420"/>
        <w:jc w:val="both"/>
      </w:pPr>
      <w:r>
        <w:rPr>
          <w:spacing w:val="-3"/>
        </w:rPr>
        <w:t>焦桂东，男，</w:t>
      </w:r>
      <w:r>
        <w:rPr>
          <w:rFonts w:ascii="宋体" w:hAnsi="宋体" w:cs="宋体" w:eastAsia="宋体" w:hint="default"/>
          <w:spacing w:val="-3"/>
        </w:rPr>
        <w:t>1972</w:t>
      </w:r>
      <w:r>
        <w:rPr>
          <w:rFonts w:ascii="宋体" w:hAnsi="宋体" w:cs="宋体" w:eastAsia="宋体" w:hint="default"/>
          <w:spacing w:val="-30"/>
        </w:rPr>
        <w:t> </w:t>
      </w:r>
      <w:r>
        <w:rPr>
          <w:spacing w:val="-2"/>
        </w:rPr>
        <w:t>年出生，中国国籍，大学专科学历。曾任职于广东东莞励扬集团横江电子厂、浙江</w:t>
      </w:r>
      <w:r>
        <w:rPr/>
        <w:t> 庄吉集团郑州分公司、郑州三华科技实业有限公司。现任公司第三届董事会董事、公司副总经理。</w:t>
      </w:r>
    </w:p>
    <w:p>
      <w:pPr>
        <w:pStyle w:val="BodyText"/>
        <w:spacing w:line="408" w:lineRule="auto"/>
        <w:ind w:left="1134" w:right="1031" w:firstLine="420"/>
        <w:jc w:val="both"/>
      </w:pPr>
      <w:r>
        <w:rPr>
          <w:spacing w:val="-3"/>
        </w:rPr>
        <w:t>张小水，男，</w:t>
      </w:r>
      <w:r>
        <w:rPr>
          <w:rFonts w:ascii="宋体" w:hAnsi="宋体" w:cs="宋体" w:eastAsia="宋体" w:hint="default"/>
          <w:spacing w:val="-3"/>
        </w:rPr>
        <w:t>1963</w:t>
      </w:r>
      <w:r>
        <w:rPr>
          <w:rFonts w:ascii="宋体" w:hAnsi="宋体" w:cs="宋体" w:eastAsia="宋体" w:hint="default"/>
          <w:spacing w:val="-69"/>
        </w:rPr>
        <w:t> </w:t>
      </w:r>
      <w:r>
        <w:rPr/>
        <w:t>年出生，中国国籍，大学本科学历，高级工程师，曾任职于郑州晶体管厂、郑州汽 车客运总公司下属科达电子，</w:t>
      </w:r>
      <w:r>
        <w:rPr>
          <w:rFonts w:ascii="宋体" w:hAnsi="宋体" w:cs="宋体" w:eastAsia="宋体" w:hint="default"/>
        </w:rPr>
        <w:t>2008</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5"/>
        </w:rPr>
        <w:t> </w:t>
      </w:r>
      <w:r>
        <w:rPr/>
        <w:t>月起担任公司总工程师。现任公司第三届董事会董事、总工程师。</w:t>
      </w:r>
    </w:p>
    <w:p>
      <w:pPr>
        <w:pStyle w:val="BodyText"/>
        <w:spacing w:line="408" w:lineRule="auto"/>
        <w:ind w:right="1130" w:firstLine="420"/>
        <w:jc w:val="both"/>
      </w:pPr>
      <w:r>
        <w:rPr>
          <w:spacing w:val="-3"/>
        </w:rPr>
        <w:t>高天增，男，</w:t>
      </w:r>
      <w:r>
        <w:rPr>
          <w:rFonts w:ascii="宋体" w:hAnsi="宋体" w:cs="宋体" w:eastAsia="宋体" w:hint="default"/>
          <w:spacing w:val="-3"/>
        </w:rPr>
        <w:t>1960</w:t>
      </w:r>
      <w:r>
        <w:rPr>
          <w:rFonts w:ascii="宋体" w:hAnsi="宋体" w:cs="宋体" w:eastAsia="宋体" w:hint="default"/>
          <w:spacing w:val="-32"/>
        </w:rPr>
        <w:t> </w:t>
      </w:r>
      <w:r>
        <w:rPr>
          <w:spacing w:val="-2"/>
        </w:rPr>
        <w:t>年出生，中国国籍，中国农业大学博士，现任河南广安生物科技股份有限公司董事</w:t>
      </w:r>
      <w:r>
        <w:rPr/>
        <w:t> 长兼总裁。现任公司第三届董事会董事。</w:t>
      </w:r>
    </w:p>
    <w:p>
      <w:pPr>
        <w:pStyle w:val="BodyText"/>
        <w:spacing w:line="408" w:lineRule="auto"/>
        <w:ind w:right="1130" w:firstLine="420"/>
        <w:jc w:val="both"/>
      </w:pPr>
      <w:r>
        <w:rPr>
          <w:spacing w:val="-3"/>
        </w:rPr>
        <w:t>李颖江，男，</w:t>
      </w:r>
      <w:r>
        <w:rPr>
          <w:rFonts w:ascii="宋体" w:hAnsi="宋体" w:cs="宋体" w:eastAsia="宋体" w:hint="default"/>
          <w:spacing w:val="-3"/>
        </w:rPr>
        <w:t>1959</w:t>
      </w:r>
      <w:r>
        <w:rPr>
          <w:rFonts w:ascii="宋体" w:hAnsi="宋体" w:cs="宋体" w:eastAsia="宋体" w:hint="default"/>
          <w:spacing w:val="-30"/>
        </w:rPr>
        <w:t> </w:t>
      </w:r>
      <w:r>
        <w:rPr>
          <w:spacing w:val="-2"/>
        </w:rPr>
        <w:t>年出生，中国国籍，大学学历。曾任化学工业部设计公司职员、化学工业部管理干</w:t>
      </w:r>
      <w:r>
        <w:rPr/>
        <w:t> </w:t>
      </w:r>
      <w:r>
        <w:rPr>
          <w:spacing w:val="-1"/>
        </w:rPr>
        <w:t>部学院主任科员、《中国石油和化工》杂志社首席摄影记者、广告发行部主任。现任中国石油和化学工业</w:t>
      </w:r>
      <w:r>
        <w:rPr>
          <w:spacing w:val="-83"/>
        </w:rPr>
        <w:t> </w:t>
      </w:r>
      <w:r>
        <w:rPr>
          <w:spacing w:val="-83"/>
        </w:rPr>
      </w:r>
      <w:r>
        <w:rPr>
          <w:spacing w:val="-1"/>
        </w:rPr>
        <w:t>联合会中国化工经济技术发展中心首席摄影师、《中国石油和化工经济分析》副研究员、多氟多化工股份</w:t>
      </w:r>
      <w:r>
        <w:rPr>
          <w:spacing w:val="-84"/>
        </w:rPr>
        <w:t> </w:t>
      </w:r>
      <w:r>
        <w:rPr>
          <w:spacing w:val="-84"/>
        </w:rPr>
      </w:r>
      <w:r>
        <w:rPr/>
        <w:t>有限公司独立董事。现任公司第三届董事会独立董事。</w:t>
      </w:r>
    </w:p>
    <w:p>
      <w:pPr>
        <w:pStyle w:val="BodyText"/>
        <w:spacing w:line="408" w:lineRule="auto"/>
        <w:ind w:right="1129" w:firstLine="420"/>
        <w:jc w:val="both"/>
      </w:pPr>
      <w:r>
        <w:rPr>
          <w:spacing w:val="-3"/>
        </w:rPr>
        <w:t>刘威，男，</w:t>
      </w:r>
      <w:r>
        <w:rPr>
          <w:rFonts w:ascii="宋体" w:hAnsi="宋体" w:cs="宋体" w:eastAsia="宋体" w:hint="default"/>
          <w:spacing w:val="-3"/>
        </w:rPr>
        <w:t>1977</w:t>
      </w:r>
      <w:r>
        <w:rPr>
          <w:rFonts w:ascii="宋体" w:hAnsi="宋体" w:cs="宋体" w:eastAsia="宋体" w:hint="default"/>
          <w:spacing w:val="-68"/>
        </w:rPr>
        <w:t> </w:t>
      </w:r>
      <w:r>
        <w:rPr/>
        <w:t>年出生，中国国籍，大学本科学历，毕业于上海对外经贸大学，现任奇虎</w:t>
      </w:r>
      <w:r>
        <w:rPr>
          <w:spacing w:val="-67"/>
        </w:rPr>
        <w:t> </w:t>
      </w:r>
      <w:r>
        <w:rPr>
          <w:rFonts w:ascii="宋体" w:hAnsi="宋体" w:cs="宋体" w:eastAsia="宋体" w:hint="default"/>
        </w:rPr>
        <w:t>360</w:t>
      </w:r>
      <w:r>
        <w:rPr>
          <w:rFonts w:ascii="宋体" w:hAnsi="宋体" w:cs="宋体" w:eastAsia="宋体" w:hint="default"/>
          <w:spacing w:val="-68"/>
        </w:rPr>
        <w:t> </w:t>
      </w:r>
      <w:r>
        <w:rPr/>
        <w:t>科技有 限公司资本总经理。现任公司第三届董事会独立董事。</w:t>
      </w:r>
    </w:p>
    <w:p>
      <w:pPr>
        <w:pStyle w:val="BodyText"/>
        <w:spacing w:line="408" w:lineRule="auto"/>
        <w:ind w:right="1130" w:firstLine="420"/>
        <w:jc w:val="both"/>
      </w:pPr>
      <w:r>
        <w:rPr>
          <w:spacing w:val="-3"/>
        </w:rPr>
        <w:t>赵向阳，男，</w:t>
      </w:r>
      <w:r>
        <w:rPr>
          <w:rFonts w:ascii="宋体" w:hAnsi="宋体" w:cs="宋体" w:eastAsia="宋体" w:hint="default"/>
          <w:spacing w:val="-3"/>
        </w:rPr>
        <w:t>1969</w:t>
      </w:r>
      <w:r>
        <w:rPr>
          <w:rFonts w:ascii="宋体" w:hAnsi="宋体" w:cs="宋体" w:eastAsia="宋体" w:hint="default"/>
          <w:spacing w:val="-62"/>
        </w:rPr>
        <w:t> </w:t>
      </w:r>
      <w:r>
        <w:rPr/>
        <w:t>年出生，中国国籍，硕士研究生学历，毕业于西安交通大学</w:t>
      </w:r>
      <w:r>
        <w:rPr>
          <w:spacing w:val="-62"/>
        </w:rPr>
        <w:t> </w:t>
      </w:r>
      <w:r>
        <w:rPr>
          <w:rFonts w:ascii="宋体" w:hAnsi="宋体" w:cs="宋体" w:eastAsia="宋体" w:hint="default"/>
        </w:rPr>
        <w:t>MPACC</w:t>
      </w:r>
      <w:r>
        <w:rPr>
          <w:rFonts w:ascii="宋体" w:hAnsi="宋体" w:cs="宋体" w:eastAsia="宋体" w:hint="default"/>
          <w:spacing w:val="-61"/>
        </w:rPr>
        <w:t> </w:t>
      </w:r>
      <w:r>
        <w:rPr>
          <w:spacing w:val="-3"/>
        </w:rPr>
        <w:t>专业，现任陕西</w:t>
      </w:r>
      <w:r>
        <w:rPr/>
        <w:t> 中庆会计师事务所有限责任公司副主任会计师。现任公司第三届董事会独立董事。</w:t>
      </w:r>
    </w:p>
    <w:p>
      <w:pPr>
        <w:pStyle w:val="BodyText"/>
        <w:spacing w:line="240" w:lineRule="auto"/>
        <w:ind w:left="1553" w:right="1117"/>
        <w:jc w:val="left"/>
      </w:pPr>
      <w:r>
        <w:rPr>
          <w:rFonts w:ascii="宋体" w:hAnsi="宋体" w:cs="宋体" w:eastAsia="宋体" w:hint="default"/>
        </w:rPr>
        <w:t>2</w:t>
      </w:r>
      <w:r>
        <w:rPr/>
        <w:t>、第三届监事会成员</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spacing w:val="-3"/>
        </w:rPr>
        <w:t>张艳丽，女，</w:t>
      </w:r>
      <w:r>
        <w:rPr>
          <w:rFonts w:ascii="宋体" w:hAnsi="宋体" w:cs="宋体" w:eastAsia="宋体" w:hint="default"/>
          <w:spacing w:val="-3"/>
        </w:rPr>
        <w:t>1972</w:t>
      </w:r>
      <w:r>
        <w:rPr>
          <w:rFonts w:ascii="宋体" w:hAnsi="宋体" w:cs="宋体" w:eastAsia="宋体" w:hint="default"/>
          <w:spacing w:val="-30"/>
        </w:rPr>
        <w:t> </w:t>
      </w:r>
      <w:r>
        <w:rPr>
          <w:spacing w:val="-2"/>
        </w:rPr>
        <w:t>年出生，中国国籍，大学专科学历。曾任职于郑州晶体管厂、郑州汽车客运总公司</w:t>
      </w:r>
      <w:r>
        <w:rPr/>
        <w:t> </w:t>
      </w:r>
      <w:r>
        <w:rPr>
          <w:spacing w:val="-4"/>
        </w:rPr>
        <w:t>下属科达电子厂，</w:t>
      </w:r>
      <w:r>
        <w:rPr>
          <w:rFonts w:ascii="宋体" w:hAnsi="宋体" w:cs="宋体" w:eastAsia="宋体" w:hint="default"/>
          <w:spacing w:val="-4"/>
        </w:rPr>
        <w:t>1998</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月起就职于公司前身河南汉威电子有限公司。现任公司第三届监事会监事会主 席。</w:t>
      </w:r>
    </w:p>
    <w:p>
      <w:pPr>
        <w:pStyle w:val="BodyText"/>
        <w:spacing w:line="408" w:lineRule="auto"/>
        <w:ind w:right="1128" w:firstLine="420"/>
        <w:jc w:val="both"/>
      </w:pPr>
      <w:r>
        <w:rPr/>
        <w:t>尚中锋，男，</w:t>
      </w:r>
      <w:r>
        <w:rPr>
          <w:rFonts w:ascii="宋体" w:hAnsi="宋体" w:cs="宋体" w:eastAsia="宋体" w:hint="default"/>
        </w:rPr>
        <w:t>1972</w:t>
      </w:r>
      <w:r>
        <w:rPr>
          <w:rFonts w:ascii="宋体" w:hAnsi="宋体" w:cs="宋体" w:eastAsia="宋体" w:hint="default"/>
          <w:spacing w:val="75"/>
        </w:rPr>
        <w:t> </w:t>
      </w:r>
      <w:r>
        <w:rPr/>
        <w:t>年出生，中国国籍，毕业于郑州大学化学系，曾任职于郑州市油泵油嘴厂，</w:t>
      </w:r>
      <w:r>
        <w:rPr>
          <w:rFonts w:ascii="宋体" w:hAnsi="宋体" w:cs="宋体" w:eastAsia="宋体" w:hint="default"/>
        </w:rPr>
        <w:t>2000 </w:t>
      </w:r>
      <w:r>
        <w:rPr/>
        <w:t>年起就职于公司前身河南汉威电子有限公司。现任公司第三届监事会监事。</w:t>
      </w:r>
    </w:p>
    <w:p>
      <w:pPr>
        <w:pStyle w:val="BodyText"/>
        <w:spacing w:line="408" w:lineRule="auto"/>
        <w:ind w:right="1130" w:firstLine="420"/>
        <w:jc w:val="both"/>
      </w:pPr>
      <w:r>
        <w:rPr/>
        <w:t>李志刚，男，</w:t>
      </w:r>
      <w:r>
        <w:rPr>
          <w:rFonts w:ascii="宋体" w:hAnsi="宋体" w:cs="宋体" w:eastAsia="宋体" w:hint="default"/>
        </w:rPr>
        <w:t>1978</w:t>
      </w:r>
      <w:r>
        <w:rPr>
          <w:rFonts w:ascii="宋体" w:hAnsi="宋体" w:cs="宋体" w:eastAsia="宋体" w:hint="default"/>
          <w:spacing w:val="-32"/>
        </w:rPr>
        <w:t> </w:t>
      </w:r>
      <w:r>
        <w:rPr/>
        <w:t>年出生，中国国籍，大学专科学历，</w:t>
      </w:r>
      <w:r>
        <w:rPr>
          <w:rFonts w:ascii="宋体" w:hAnsi="宋体" w:cs="宋体" w:eastAsia="宋体" w:hint="default"/>
        </w:rPr>
        <w:t>EMBA</w:t>
      </w:r>
      <w:r>
        <w:rPr/>
        <w:t>，</w:t>
      </w:r>
      <w:r>
        <w:rPr>
          <w:rFonts w:ascii="宋体" w:hAnsi="宋体" w:cs="宋体" w:eastAsia="宋体" w:hint="default"/>
        </w:rPr>
        <w:t>2005</w:t>
      </w:r>
      <w:r>
        <w:rPr>
          <w:rFonts w:ascii="宋体" w:hAnsi="宋体" w:cs="宋体" w:eastAsia="宋体" w:hint="default"/>
          <w:spacing w:val="-32"/>
        </w:rPr>
        <w:t> </w:t>
      </w:r>
      <w:r>
        <w:rPr/>
        <w:t>年</w:t>
      </w:r>
      <w:r>
        <w:rPr>
          <w:spacing w:val="-34"/>
        </w:rPr>
        <w:t> </w:t>
      </w:r>
      <w:r>
        <w:rPr>
          <w:rFonts w:ascii="宋体" w:hAnsi="宋体" w:cs="宋体" w:eastAsia="宋体" w:hint="default"/>
        </w:rPr>
        <w:t>3</w:t>
      </w:r>
      <w:r>
        <w:rPr>
          <w:rFonts w:ascii="宋体" w:hAnsi="宋体" w:cs="宋体" w:eastAsia="宋体" w:hint="default"/>
          <w:spacing w:val="-32"/>
        </w:rPr>
        <w:t> </w:t>
      </w:r>
      <w:r>
        <w:rPr/>
        <w:t>月起任职于汉威电子。</w:t>
      </w:r>
      <w:r>
        <w:rPr>
          <w:rFonts w:ascii="宋体" w:hAnsi="宋体" w:cs="宋体" w:eastAsia="宋体" w:hint="default"/>
        </w:rPr>
        <w:t>2013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日当选公司第三届监事会职工监事。现任公司技术总监（非高级管理人员）。</w:t>
      </w:r>
    </w:p>
    <w:p>
      <w:pPr>
        <w:pStyle w:val="BodyText"/>
        <w:spacing w:line="408" w:lineRule="auto"/>
        <w:ind w:left="1553" w:right="4243"/>
        <w:jc w:val="left"/>
      </w:pPr>
      <w:r>
        <w:rPr>
          <w:rFonts w:ascii="宋体" w:hAnsi="宋体" w:cs="宋体" w:eastAsia="宋体" w:hint="default"/>
        </w:rPr>
        <w:t>3</w:t>
      </w:r>
      <w:r>
        <w:rPr/>
        <w:t>、高级管理人员 张潇君，现任公司总经理，简历详见本节之“董事会成员”介绍。</w:t>
      </w:r>
    </w:p>
    <w:p>
      <w:pPr>
        <w:pStyle w:val="BodyText"/>
        <w:spacing w:line="408" w:lineRule="auto"/>
        <w:ind w:right="1132" w:firstLine="420"/>
        <w:jc w:val="both"/>
      </w:pPr>
      <w:r>
        <w:rPr/>
        <w:t>徐克，男，</w:t>
      </w:r>
      <w:r>
        <w:rPr>
          <w:rFonts w:ascii="宋体" w:hAnsi="宋体" w:cs="宋体" w:eastAsia="宋体" w:hint="default"/>
        </w:rPr>
        <w:t>1965</w:t>
      </w:r>
      <w:r>
        <w:rPr>
          <w:rFonts w:ascii="宋体" w:hAnsi="宋体" w:cs="宋体" w:eastAsia="宋体" w:hint="default"/>
          <w:spacing w:val="-58"/>
        </w:rPr>
        <w:t> </w:t>
      </w:r>
      <w:r>
        <w:rPr/>
        <w:t>年出生，中国国籍，</w:t>
      </w:r>
      <w:r>
        <w:rPr>
          <w:rFonts w:ascii="宋体" w:hAnsi="宋体" w:cs="宋体" w:eastAsia="宋体" w:hint="default"/>
        </w:rPr>
        <w:t>MBA</w:t>
      </w:r>
      <w:r>
        <w:rPr/>
        <w:t>，曾就职于河南恒星科技股份有限公司，</w:t>
      </w:r>
      <w:r>
        <w:rPr>
          <w:rFonts w:ascii="宋体" w:hAnsi="宋体" w:cs="宋体" w:eastAsia="宋体" w:hint="default"/>
        </w:rPr>
        <w:t>2012</w:t>
      </w:r>
      <w:r>
        <w:rPr>
          <w:rFonts w:ascii="宋体" w:hAnsi="宋体" w:cs="宋体" w:eastAsia="宋体" w:hint="default"/>
          <w:spacing w:val="-58"/>
        </w:rPr>
        <w:t> </w:t>
      </w:r>
      <w:r>
        <w:rPr/>
        <w:t>年</w:t>
      </w:r>
      <w:r>
        <w:rPr>
          <w:spacing w:val="-59"/>
        </w:rPr>
        <w:t> </w:t>
      </w:r>
      <w:r>
        <w:rPr>
          <w:rFonts w:ascii="宋体" w:hAnsi="宋体" w:cs="宋体" w:eastAsia="宋体" w:hint="default"/>
        </w:rPr>
        <w:t>4</w:t>
      </w:r>
      <w:r>
        <w:rPr>
          <w:rFonts w:ascii="宋体" w:hAnsi="宋体" w:cs="宋体" w:eastAsia="宋体" w:hint="default"/>
          <w:spacing w:val="-57"/>
        </w:rPr>
        <w:t> </w:t>
      </w:r>
      <w:r>
        <w:rPr/>
        <w:t>月</w:t>
      </w:r>
      <w:r>
        <w:rPr>
          <w:spacing w:val="-59"/>
        </w:rPr>
        <w:t> </w:t>
      </w:r>
      <w:r>
        <w:rPr>
          <w:rFonts w:ascii="宋体" w:hAnsi="宋体" w:cs="宋体" w:eastAsia="宋体" w:hint="default"/>
        </w:rPr>
        <w:t>6</w:t>
      </w:r>
      <w:r>
        <w:rPr>
          <w:rFonts w:ascii="宋体" w:hAnsi="宋体" w:cs="宋体" w:eastAsia="宋体" w:hint="default"/>
          <w:spacing w:val="-57"/>
        </w:rPr>
        <w:t> </w:t>
      </w:r>
      <w:r>
        <w:rPr/>
        <w:t>日起 就职于汉威电子。现任公司副总经理。</w:t>
      </w:r>
    </w:p>
    <w:p>
      <w:pPr>
        <w:pStyle w:val="BodyText"/>
        <w:spacing w:line="240" w:lineRule="auto"/>
        <w:ind w:left="1553" w:right="1117"/>
        <w:jc w:val="left"/>
      </w:pPr>
      <w:r>
        <w:rPr/>
        <w:t>刘瑞玲，现任公司副总经理、财务负责人，简历详见本节之“董事会成员”介绍。</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4033"/>
        <w:jc w:val="left"/>
      </w:pPr>
      <w:r>
        <w:rPr/>
        <w:t>张小水，现任公司总工程师，简历详见本节之“董事会成员”介绍。 焦桂东，现任公司副总经理，简历详见本节之“董事会成员”介绍。</w:t>
      </w:r>
    </w:p>
    <w:p>
      <w:pPr>
        <w:pStyle w:val="BodyText"/>
        <w:spacing w:line="408" w:lineRule="auto"/>
        <w:ind w:right="1119" w:firstLine="420"/>
        <w:jc w:val="left"/>
        <w:rPr>
          <w:rFonts w:ascii="宋体" w:hAnsi="宋体" w:cs="宋体" w:eastAsia="宋体" w:hint="default"/>
        </w:rPr>
      </w:pPr>
      <w:r>
        <w:rPr>
          <w:spacing w:val="-3"/>
        </w:rPr>
        <w:t>尚剑红，男，</w:t>
      </w:r>
      <w:r>
        <w:rPr>
          <w:rFonts w:ascii="宋体" w:hAnsi="宋体" w:cs="宋体" w:eastAsia="宋体" w:hint="default"/>
          <w:spacing w:val="-3"/>
        </w:rPr>
        <w:t>1968</w:t>
      </w:r>
      <w:r>
        <w:rPr>
          <w:rFonts w:ascii="宋体" w:hAnsi="宋体" w:cs="宋体" w:eastAsia="宋体" w:hint="default"/>
          <w:spacing w:val="-30"/>
        </w:rPr>
        <w:t> </w:t>
      </w:r>
      <w:r>
        <w:rPr>
          <w:spacing w:val="-2"/>
        </w:rPr>
        <w:t>年出生，中国国籍，博士研究生学历，地理信息系统行业知名专家，沈阳市青年科</w:t>
      </w:r>
      <w:r>
        <w:rPr/>
        <w:t> 技工作者协会会员，中国地理信息系统协会委员，历任沈阳市环境监测中心信息部主任等职务。</w:t>
      </w:r>
      <w:r>
        <w:rPr>
          <w:rFonts w:ascii="宋体" w:hAnsi="宋体" w:cs="宋体" w:eastAsia="宋体" w:hint="default"/>
        </w:rPr>
        <w:t>2014</w:t>
      </w:r>
      <w:r>
        <w:rPr>
          <w:rFonts w:ascii="宋体" w:hAnsi="宋体" w:cs="宋体" w:eastAsia="宋体" w:hint="default"/>
          <w:spacing w:val="-65"/>
        </w:rPr>
        <w:t> </w:t>
      </w:r>
      <w:r>
        <w:rPr/>
        <w:t>年</w:t>
      </w:r>
      <w:r>
        <w:rPr>
          <w:spacing w:val="-66"/>
        </w:rPr>
        <w:t> </w:t>
      </w:r>
      <w:r>
        <w:rPr>
          <w:rFonts w:ascii="宋体" w:hAnsi="宋体" w:cs="宋体" w:eastAsia="宋体" w:hint="default"/>
        </w:rPr>
        <w:t>1</w:t>
      </w:r>
    </w:p>
    <w:p>
      <w:pPr>
        <w:pStyle w:val="BodyText"/>
        <w:spacing w:line="408" w:lineRule="auto"/>
        <w:ind w:left="1554" w:right="1114" w:hanging="420"/>
        <w:jc w:val="left"/>
      </w:pPr>
      <w:r>
        <w:rPr/>
        <w:t>月</w:t>
      </w:r>
      <w:r>
        <w:rPr>
          <w:spacing w:val="-54"/>
        </w:rPr>
        <w:t> </w:t>
      </w:r>
      <w:r>
        <w:rPr>
          <w:rFonts w:ascii="宋体" w:hAnsi="宋体" w:cs="宋体" w:eastAsia="宋体" w:hint="default"/>
        </w:rPr>
        <w:t>17</w:t>
      </w:r>
      <w:r>
        <w:rPr>
          <w:rFonts w:ascii="宋体" w:hAnsi="宋体" w:cs="宋体" w:eastAsia="宋体" w:hint="default"/>
          <w:spacing w:val="-53"/>
        </w:rPr>
        <w:t> </w:t>
      </w:r>
      <w:r>
        <w:rPr/>
        <w:t>日第三届董事会第一次会议上被聘为公司副总经理，同时任职沈阳金建公司总经理和董事。 </w:t>
      </w:r>
      <w:r>
        <w:rPr>
          <w:spacing w:val="-3"/>
        </w:rPr>
        <w:t>肖锋，男，</w:t>
      </w:r>
      <w:r>
        <w:rPr>
          <w:rFonts w:ascii="宋体" w:hAnsi="宋体" w:cs="宋体" w:eastAsia="宋体" w:hint="default"/>
          <w:spacing w:val="-3"/>
        </w:rPr>
        <w:t>1982</w:t>
      </w:r>
      <w:r>
        <w:rPr>
          <w:rFonts w:ascii="宋体" w:hAnsi="宋体" w:cs="宋体" w:eastAsia="宋体" w:hint="default"/>
          <w:spacing w:val="-26"/>
        </w:rPr>
        <w:t> </w:t>
      </w:r>
      <w:r>
        <w:rPr>
          <w:spacing w:val="-2"/>
        </w:rPr>
        <w:t>年出生，中国国籍，大学本科学历，毕业于郑州大学法学院，现任公司第三届董事会</w:t>
      </w:r>
    </w:p>
    <w:p>
      <w:pPr>
        <w:pStyle w:val="BodyText"/>
        <w:spacing w:line="408" w:lineRule="auto"/>
        <w:ind w:left="1134" w:right="1118"/>
        <w:jc w:val="left"/>
      </w:pPr>
      <w:r>
        <w:rPr/>
        <w:t>秘书。</w:t>
      </w:r>
      <w:r>
        <w:rPr>
          <w:rFonts w:ascii="宋体" w:hAnsi="宋体" w:cs="宋体" w:eastAsia="宋体" w:hint="default"/>
        </w:rPr>
        <w:t>2009</w:t>
      </w:r>
      <w:r>
        <w:rPr>
          <w:rFonts w:ascii="宋体" w:hAnsi="宋体" w:cs="宋体" w:eastAsia="宋体" w:hint="default"/>
          <w:spacing w:val="-44"/>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月取得深圳证券交易所颁发的《董事会秘书资格证书》，任职资格符合《深圳证券交易 所创业板股票上市规则》、《公司章程》的有关规定。</w:t>
      </w:r>
    </w:p>
    <w:p>
      <w:pPr>
        <w:spacing w:before="34"/>
        <w:ind w:left="1134" w:right="111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162"/>
        <w:gridCol w:w="1985"/>
        <w:gridCol w:w="1984"/>
        <w:gridCol w:w="1561"/>
        <w:gridCol w:w="1559"/>
        <w:gridCol w:w="1444"/>
      </w:tblGrid>
      <w:tr>
        <w:trPr>
          <w:trHeight w:val="634"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6" w:right="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3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全国气湿敏传感技术专 业委员会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传感器分会副理事长</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传感器分会副秘书长</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5"/>
                <w:sz w:val="18"/>
                <w:szCs w:val="18"/>
              </w:rPr>
              <w:t>法定代表人、执行董事兼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高天增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河南广安生物科技股份 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中国石油和化学工业联 </w:t>
            </w:r>
            <w:r>
              <w:rPr>
                <w:rFonts w:ascii="宋体" w:hAnsi="宋体" w:cs="宋体" w:eastAsia="宋体" w:hint="default"/>
                <w:spacing w:val="-5"/>
                <w:sz w:val="18"/>
                <w:szCs w:val="18"/>
              </w:rPr>
              <w:t>合会《中国石油和化工经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济分析》杂志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副研究员</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肖锋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162"/>
        <w:gridCol w:w="1985"/>
        <w:gridCol w:w="1984"/>
        <w:gridCol w:w="1561"/>
        <w:gridCol w:w="1559"/>
        <w:gridCol w:w="1444"/>
      </w:tblGrid>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肖锋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华夏海纳</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肖锋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肖锋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肖锋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50"/>
              <w:jc w:val="left"/>
              <w:rPr>
                <w:rFonts w:ascii="宋体" w:hAnsi="宋体" w:cs="宋体" w:eastAsia="宋体" w:hint="default"/>
                <w:sz w:val="18"/>
                <w:szCs w:val="18"/>
              </w:rPr>
            </w:pPr>
            <w:r>
              <w:rPr>
                <w:rFonts w:ascii="宋体" w:hAnsi="宋体" w:cs="宋体" w:eastAsia="宋体" w:hint="default"/>
                <w:sz w:val="18"/>
                <w:szCs w:val="18"/>
              </w:rPr>
              <w:t>上海威研融创实业有限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李志刚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李志刚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李志刚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李志刚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上海威研融创实业有限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法定代表人、执行董事兼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尚剑红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尚剑红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尚剑红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中国石油和化学工业联 </w:t>
            </w:r>
            <w:r>
              <w:rPr>
                <w:rFonts w:ascii="宋体" w:hAnsi="宋体" w:cs="宋体" w:eastAsia="宋体" w:hint="default"/>
                <w:spacing w:val="-5"/>
                <w:sz w:val="18"/>
                <w:szCs w:val="18"/>
              </w:rPr>
              <w:t>合会《中国石油和化工经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济分析》杂志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副研究员</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5"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50"/>
              <w:jc w:val="left"/>
              <w:rPr>
                <w:rFonts w:ascii="宋体" w:hAnsi="宋体" w:cs="宋体" w:eastAsia="宋体" w:hint="default"/>
                <w:sz w:val="18"/>
                <w:szCs w:val="18"/>
              </w:rPr>
            </w:pPr>
            <w:r>
              <w:rPr>
                <w:rFonts w:ascii="宋体" w:hAnsi="宋体" w:cs="宋体" w:eastAsia="宋体" w:hint="default"/>
                <w:sz w:val="18"/>
                <w:szCs w:val="18"/>
              </w:rPr>
              <w:t>多氟多化工股份有限公 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北京奇虎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科技有限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资本部经理</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同程网络科技有限公司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5"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赵向阳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50"/>
              <w:jc w:val="left"/>
              <w:rPr>
                <w:rFonts w:ascii="宋体" w:hAnsi="宋体" w:cs="宋体" w:eastAsia="宋体" w:hint="default"/>
                <w:sz w:val="18"/>
                <w:szCs w:val="18"/>
              </w:rPr>
            </w:pPr>
            <w:r>
              <w:rPr>
                <w:rFonts w:ascii="宋体" w:hAnsi="宋体" w:cs="宋体" w:eastAsia="宋体" w:hint="default"/>
                <w:sz w:val="18"/>
                <w:szCs w:val="18"/>
              </w:rPr>
              <w:t>陕西中庆会计师事务所 有限责任公司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副主任会计师</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赵向阳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山东美晨科技股份有限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5"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6" w:right="3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53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四、董事、监事、高级管理人员报酬情况" w:id="115"/>
      <w:bookmarkEnd w:id="115"/>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
        <w:rPr>
          <w:rFonts w:ascii="宋体" w:hAnsi="宋体" w:cs="宋体" w:eastAsia="宋体" w:hint="default"/>
          <w:sz w:val="8"/>
          <w:szCs w:val="8"/>
        </w:rPr>
      </w:pPr>
    </w:p>
    <w:tbl>
      <w:tblPr>
        <w:tblW w:w="0" w:type="auto"/>
        <w:jc w:val="left"/>
        <w:tblInd w:w="1117" w:type="dxa"/>
        <w:tblLayout w:type="fixed"/>
        <w:tblCellMar>
          <w:top w:w="0" w:type="dxa"/>
          <w:left w:w="0" w:type="dxa"/>
          <w:bottom w:w="0" w:type="dxa"/>
          <w:right w:w="0" w:type="dxa"/>
        </w:tblCellMar>
        <w:tblLook w:val="01E0"/>
      </w:tblPr>
      <w:tblGrid>
        <w:gridCol w:w="2131"/>
        <w:gridCol w:w="7528"/>
      </w:tblGrid>
      <w:tr>
        <w:trPr>
          <w:trHeight w:val="977" w:hRule="exact"/>
        </w:trPr>
        <w:tc>
          <w:tcPr>
            <w:tcW w:w="2131"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报酬的决策程序</w:t>
            </w:r>
          </w:p>
        </w:tc>
        <w:tc>
          <w:tcPr>
            <w:tcW w:w="7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、第三届董事会第十次会议审议通过了关于</w:t>
            </w:r>
            <w:r>
              <w:rPr>
                <w:rFonts w:ascii="宋体" w:hAnsi="宋体" w:cs="宋体" w:eastAsia="宋体" w:hint="default"/>
                <w:sz w:val="18"/>
                <w:szCs w:val="18"/>
              </w:rPr>
              <w:t>2015</w:t>
            </w:r>
            <w:r>
              <w:rPr>
                <w:rFonts w:ascii="宋体" w:hAnsi="宋体" w:cs="宋体" w:eastAsia="宋体" w:hint="default"/>
                <w:sz w:val="18"/>
                <w:szCs w:val="18"/>
              </w:rPr>
              <w:t>年度公司董事和高级管理人员薪酬的议案。</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、第三届监事会第八次会议审议通过关于</w:t>
            </w:r>
            <w:r>
              <w:rPr>
                <w:rFonts w:ascii="宋体" w:hAnsi="宋体" w:cs="宋体" w:eastAsia="宋体" w:hint="default"/>
                <w:sz w:val="18"/>
                <w:szCs w:val="18"/>
              </w:rPr>
              <w:t>2015</w:t>
            </w:r>
            <w:r>
              <w:rPr>
                <w:rFonts w:ascii="宋体" w:hAnsi="宋体" w:cs="宋体" w:eastAsia="宋体" w:hint="default"/>
                <w:sz w:val="18"/>
                <w:szCs w:val="18"/>
              </w:rPr>
              <w:t>年度监事薪酬的议案。</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年年度股东大会审议通过关于</w:t>
            </w:r>
            <w:r>
              <w:rPr>
                <w:rFonts w:ascii="宋体" w:hAnsi="宋体" w:cs="宋体" w:eastAsia="宋体" w:hint="default"/>
                <w:sz w:val="18"/>
                <w:szCs w:val="18"/>
              </w:rPr>
              <w:t>2015</w:t>
            </w:r>
            <w:r>
              <w:rPr>
                <w:rFonts w:ascii="宋体" w:hAnsi="宋体" w:cs="宋体" w:eastAsia="宋体" w:hint="default"/>
                <w:sz w:val="18"/>
                <w:szCs w:val="18"/>
              </w:rPr>
              <w:t>年公司董事、监事薪酬的议案。</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2131"/>
        <w:gridCol w:w="7528"/>
      </w:tblGrid>
      <w:tr>
        <w:trPr>
          <w:trHeight w:val="976" w:hRule="exact"/>
        </w:trPr>
        <w:tc>
          <w:tcPr>
            <w:tcW w:w="2131"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报酬确定依据</w:t>
            </w:r>
          </w:p>
        </w:tc>
        <w:tc>
          <w:tcPr>
            <w:tcW w:w="752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both"/>
              <w:rPr>
                <w:rFonts w:ascii="宋体" w:hAnsi="宋体" w:cs="宋体" w:eastAsia="宋体" w:hint="default"/>
                <w:sz w:val="18"/>
                <w:szCs w:val="18"/>
              </w:rPr>
            </w:pPr>
            <w:r>
              <w:rPr>
                <w:rFonts w:ascii="宋体" w:hAnsi="宋体" w:cs="宋体" w:eastAsia="宋体" w:hint="default"/>
                <w:spacing w:val="-2"/>
                <w:sz w:val="18"/>
                <w:szCs w:val="18"/>
              </w:rPr>
              <w:t>除董事长、独立董事外，公司不向董事、监事支付薪酬；兼任公司高级管理人员或公司其他岗位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职务的公司董事、监事，按其所任岗位职务的薪酬制度领取报酬。依据</w:t>
            </w:r>
            <w:r>
              <w:rPr>
                <w:rFonts w:ascii="宋体" w:hAnsi="宋体" w:cs="宋体" w:eastAsia="宋体" w:hint="default"/>
                <w:spacing w:val="-2"/>
                <w:sz w:val="18"/>
                <w:szCs w:val="18"/>
              </w:rPr>
              <w:t>2015</w:t>
            </w:r>
            <w:r>
              <w:rPr>
                <w:rFonts w:ascii="宋体" w:hAnsi="宋体" w:cs="宋体" w:eastAsia="宋体" w:hint="default"/>
                <w:spacing w:val="-2"/>
                <w:sz w:val="18"/>
                <w:szCs w:val="18"/>
              </w:rPr>
              <w:t>年年度规划，高级管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理人员的薪酬从经营指标和管理指标两个方面进行考核，按期发放。</w:t>
            </w:r>
          </w:p>
        </w:tc>
      </w:tr>
      <w:tr>
        <w:trPr>
          <w:trHeight w:val="665" w:hRule="exact"/>
        </w:trPr>
        <w:tc>
          <w:tcPr>
            <w:tcW w:w="2131"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319" w:lineRule="auto" w:before="21"/>
              <w:ind w:left="2" w:right="0"/>
              <w:jc w:val="left"/>
              <w:rPr>
                <w:rFonts w:ascii="宋体" w:hAnsi="宋体" w:cs="宋体" w:eastAsia="宋体" w:hint="default"/>
                <w:sz w:val="18"/>
                <w:szCs w:val="18"/>
              </w:rPr>
            </w:pPr>
            <w:r>
              <w:rPr>
                <w:rFonts w:ascii="宋体" w:hAnsi="宋体" w:cs="宋体" w:eastAsia="宋体" w:hint="default"/>
                <w:spacing w:val="-5"/>
                <w:sz w:val="18"/>
                <w:szCs w:val="18"/>
              </w:rPr>
              <w:t>董事、监事和高级管理人员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报酬的实际支付情况</w:t>
            </w:r>
          </w:p>
        </w:tc>
        <w:tc>
          <w:tcPr>
            <w:tcW w:w="7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公司向董事、监事、高级管理人员实际支付薪酬的情况见下表。</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162"/>
        <w:gridCol w:w="2410"/>
        <w:gridCol w:w="1134"/>
        <w:gridCol w:w="1134"/>
        <w:gridCol w:w="1086"/>
        <w:gridCol w:w="1385"/>
        <w:gridCol w:w="1384"/>
      </w:tblGrid>
      <w:tr>
        <w:trPr>
          <w:trHeight w:val="634"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7" w:right="5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6" w:right="55"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任红军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49</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30.64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张潇君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51</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10.06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刘瑞玲</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董事、副总经理、财务负责人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44</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24.4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张小水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董事、总工程师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52</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21.78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焦桂东</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44</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24.55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高天增</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56</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张艳丽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44</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19.39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尚中锋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44</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17.39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李志刚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38</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23.16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李颖江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57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赵向阳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47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1.46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徐克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51</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35.03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尚剑红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48</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45.79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肖锋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34</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庄行方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69</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王思鹏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53</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278.65</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6" w:right="0"/>
              <w:jc w:val="left"/>
              <w:rPr>
                <w:rFonts w:ascii="宋体" w:hAnsi="宋体" w:cs="宋体" w:eastAsia="宋体" w:hint="default"/>
                <w:sz w:val="18"/>
                <w:szCs w:val="18"/>
              </w:rPr>
            </w:pPr>
            <w:r>
              <w:rPr>
                <w:rFonts w:ascii="宋体"/>
                <w:sz w:val="18"/>
              </w:rPr>
              <w:t>--</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五、公司员工情况" w:id="116"/>
      <w:bookmarkEnd w:id="11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员工数量、专业构成及教育程度" w:id="117"/>
      <w:bookmarkEnd w:id="11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75" w:type="dxa"/>
        <w:tblLayout w:type="fixed"/>
        <w:tblCellMar>
          <w:top w:w="0" w:type="dxa"/>
          <w:left w:w="0" w:type="dxa"/>
          <w:bottom w:w="0" w:type="dxa"/>
          <w:right w:w="0" w:type="dxa"/>
        </w:tblCellMar>
        <w:tblLook w:val="01E0"/>
      </w:tblPr>
      <w:tblGrid>
        <w:gridCol w:w="4762"/>
        <w:gridCol w:w="4797"/>
      </w:tblGrid>
      <w:tr>
        <w:trPr>
          <w:trHeight w:val="32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493</w:t>
            </w:r>
          </w:p>
        </w:tc>
      </w:tr>
      <w:tr>
        <w:trPr>
          <w:trHeight w:val="32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946</w:t>
            </w:r>
          </w:p>
        </w:tc>
      </w:tr>
      <w:tr>
        <w:trPr>
          <w:trHeight w:val="32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1,439</w:t>
            </w:r>
          </w:p>
        </w:tc>
      </w:tr>
      <w:tr>
        <w:trPr>
          <w:trHeight w:val="32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1,439</w:t>
            </w:r>
          </w:p>
        </w:tc>
      </w:tr>
      <w:tr>
        <w:trPr>
          <w:trHeight w:val="32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r>
      <w:tr>
        <w:trPr>
          <w:trHeight w:val="31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6"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473</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64" w:type="dxa"/>
        <w:tblLayout w:type="fixed"/>
        <w:tblCellMar>
          <w:top w:w="0" w:type="dxa"/>
          <w:left w:w="0" w:type="dxa"/>
          <w:bottom w:w="0" w:type="dxa"/>
          <w:right w:w="0" w:type="dxa"/>
        </w:tblCellMar>
        <w:tblLook w:val="01E0"/>
      </w:tblPr>
      <w:tblGrid>
        <w:gridCol w:w="4779"/>
        <w:gridCol w:w="4791"/>
      </w:tblGrid>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367</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234</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305</w:t>
            </w:r>
          </w:p>
        </w:tc>
      </w:tr>
      <w:tr>
        <w:trPr>
          <w:trHeight w:val="32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1,439</w:t>
            </w:r>
          </w:p>
        </w:tc>
      </w:tr>
      <w:tr>
        <w:trPr>
          <w:trHeight w:val="31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519</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555</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293</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1,439</w:t>
            </w:r>
          </w:p>
        </w:tc>
      </w:tr>
    </w:tbl>
    <w:p>
      <w:pPr>
        <w:spacing w:line="240" w:lineRule="auto" w:before="2"/>
        <w:rPr>
          <w:rFonts w:ascii="宋体" w:hAnsi="宋体" w:cs="宋体" w:eastAsia="宋体" w:hint="default"/>
          <w:b/>
          <w:bCs/>
          <w:sz w:val="19"/>
          <w:szCs w:val="19"/>
        </w:rPr>
      </w:pPr>
    </w:p>
    <w:p>
      <w:pPr>
        <w:spacing w:before="35"/>
        <w:ind w:left="1134" w:right="1117" w:firstLine="0"/>
        <w:jc w:val="left"/>
        <w:rPr>
          <w:rFonts w:ascii="宋体" w:hAnsi="宋体" w:cs="宋体" w:eastAsia="宋体" w:hint="default"/>
          <w:sz w:val="21"/>
          <w:szCs w:val="21"/>
        </w:rPr>
      </w:pPr>
      <w:bookmarkStart w:name="2、薪酬政策" w:id="118"/>
      <w:bookmarkEnd w:id="1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408" w:lineRule="auto" w:before="0"/>
        <w:ind w:left="1134" w:right="1141" w:firstLine="420"/>
        <w:jc w:val="both"/>
      </w:pPr>
      <w:r>
        <w:rPr>
          <w:rFonts w:ascii="宋体" w:hAnsi="宋体" w:cs="宋体" w:eastAsia="宋体" w:hint="default"/>
        </w:rPr>
        <w:t>1</w:t>
      </w:r>
      <w:r>
        <w:rPr/>
        <w:t>、公司追求薪酬系统的简明化和科学化，同时在设计及实施的过程中始终遵从于以下原则：公平公 正原则、激励性原则、竞争性原则、市场化原则；</w:t>
      </w:r>
    </w:p>
    <w:p>
      <w:pPr>
        <w:pStyle w:val="BodyText"/>
        <w:spacing w:line="240" w:lineRule="auto"/>
        <w:ind w:left="1554" w:right="1117"/>
        <w:jc w:val="left"/>
      </w:pPr>
      <w:r>
        <w:rPr>
          <w:rFonts w:ascii="宋体" w:hAnsi="宋体" w:cs="宋体" w:eastAsia="宋体" w:hint="default"/>
        </w:rPr>
        <w:t>2</w:t>
      </w:r>
      <w:r>
        <w:rPr/>
        <w:t>、公司参照实行薪酬总额管理，坚持通过提高公司业绩、劳动生产率以获取薪酬提升的原则。</w:t>
      </w:r>
    </w:p>
    <w:p>
      <w:pPr>
        <w:spacing w:line="240" w:lineRule="auto" w:before="0"/>
        <w:rPr>
          <w:rFonts w:ascii="宋体" w:hAnsi="宋体" w:cs="宋体" w:eastAsia="宋体" w:hint="default"/>
          <w:sz w:val="20"/>
          <w:szCs w:val="20"/>
        </w:rPr>
      </w:pPr>
    </w:p>
    <w:p>
      <w:pPr>
        <w:pStyle w:val="Heading3"/>
        <w:spacing w:line="240" w:lineRule="auto" w:before="154"/>
        <w:ind w:right="1117"/>
        <w:jc w:val="left"/>
        <w:rPr>
          <w:b w:val="0"/>
          <w:bCs w:val="0"/>
        </w:rPr>
      </w:pPr>
      <w:bookmarkStart w:name="3、培训计划" w:id="119"/>
      <w:bookmarkEnd w:id="11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rFonts w:ascii="宋体" w:hAnsi="宋体" w:cs="宋体" w:eastAsia="宋体" w:hint="default"/>
          <w:spacing w:val="-1"/>
        </w:rPr>
        <w:t>2015</w:t>
      </w:r>
      <w:r>
        <w:rPr>
          <w:spacing w:val="-1"/>
        </w:rPr>
        <w:t>年公司一如既往开展重视对基层员工的培训，除了固有的新员工培训、内部日常培训外，公司还</w:t>
      </w:r>
      <w:r>
        <w:rPr/>
        <w:t> </w:t>
      </w:r>
      <w:r>
        <w:rPr>
          <w:spacing w:val="-1"/>
        </w:rPr>
        <w:t>通过微信群、内刊及公众号、</w:t>
      </w:r>
      <w:r>
        <w:rPr>
          <w:rFonts w:ascii="宋体" w:hAnsi="宋体" w:cs="宋体" w:eastAsia="宋体" w:hint="default"/>
          <w:spacing w:val="-1"/>
        </w:rPr>
        <w:t>OA</w:t>
      </w:r>
      <w:r>
        <w:rPr>
          <w:spacing w:val="-1"/>
        </w:rPr>
        <w:t>知识管理系统多渠道、多形式的开展培训工作，极大的提高了员工的综合</w:t>
      </w:r>
      <w:r>
        <w:rPr>
          <w:spacing w:val="-86"/>
        </w:rPr>
        <w:t> </w:t>
      </w:r>
      <w:r>
        <w:rPr>
          <w:spacing w:val="-86"/>
        </w:rPr>
      </w:r>
      <w:r>
        <w:rPr/>
        <w:t>素质和业务能力。</w:t>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4、劳务外包情况" w:id="120"/>
      <w:bookmarkEnd w:id="12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九节 公司治理" w:id="121"/>
      <w:bookmarkEnd w:id="12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2"/>
      <w:bookmarkEnd w:id="122"/>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712" w:firstLine="420"/>
        <w:jc w:val="left"/>
      </w:pPr>
      <w:r>
        <w:rPr/>
        <w:t>报告期内，公司严格按照《公司法》、《证券法》、《上市公司治理准则》、《深圳证券交易所创业 板股票上市规则》、《创业板上市公司规范运作指引》和其他有关法律法规的要求，不断完善公司法人治 理结构，建立健全公司内部管理和控制制度，努力做好信息披露工作及投资者关系管理。截至报告期末，</w:t>
      </w:r>
      <w:r>
        <w:rPr>
          <w:spacing w:val="-35"/>
        </w:rPr>
        <w:t> </w:t>
      </w:r>
      <w:r>
        <w:rPr>
          <w:spacing w:val="-35"/>
        </w:rPr>
      </w:r>
      <w:r>
        <w:rPr/>
        <w:t>公司治理结构的实际情况符合中国证监会发布的有关上市公司治理的规范性文件的要求。</w:t>
      </w:r>
    </w:p>
    <w:p>
      <w:pPr>
        <w:pStyle w:val="BodyText"/>
        <w:spacing w:line="408" w:lineRule="auto"/>
        <w:ind w:left="1553" w:right="712"/>
        <w:jc w:val="left"/>
      </w:pPr>
      <w:r>
        <w:rPr/>
        <w:t>（一）独立性 公司严格按照《公司法》、《证券法》等有关法律、法规和《公司章程》的要求规范运作，在业务、</w:t>
      </w:r>
    </w:p>
    <w:p>
      <w:pPr>
        <w:pStyle w:val="BodyText"/>
        <w:spacing w:line="408" w:lineRule="auto"/>
        <w:ind w:right="1132"/>
        <w:jc w:val="both"/>
      </w:pPr>
      <w:r>
        <w:rPr>
          <w:spacing w:val="-1"/>
        </w:rPr>
        <w:t>资产、人员、机构和财务等方面与公司股东相互独立，拥有独立完整的采购、生产、销售、研发系统，具</w:t>
      </w:r>
      <w:r>
        <w:rPr>
          <w:spacing w:val="-85"/>
        </w:rPr>
        <w:t> </w:t>
      </w:r>
      <w:r>
        <w:rPr>
          <w:spacing w:val="-85"/>
        </w:rPr>
      </w:r>
      <w:r>
        <w:rPr/>
        <w:t>备面向市场自主经营的能力。</w:t>
      </w:r>
    </w:p>
    <w:p>
      <w:pPr>
        <w:pStyle w:val="BodyText"/>
        <w:spacing w:line="408" w:lineRule="auto"/>
        <w:ind w:left="1134" w:right="1131" w:firstLine="420"/>
        <w:jc w:val="both"/>
      </w:pPr>
      <w:r>
        <w:rPr>
          <w:rFonts w:ascii="宋体" w:hAnsi="宋体" w:cs="宋体" w:eastAsia="宋体" w:hint="default"/>
        </w:rPr>
        <w:t>1</w:t>
      </w:r>
      <w:r>
        <w:rPr/>
        <w:t>、公司的人员独立。公司的董事、监事均严格按照《公司法》、《公司章程》的有关规定产生，履 </w:t>
      </w:r>
      <w:r>
        <w:rPr>
          <w:spacing w:val="-1"/>
        </w:rPr>
        <w:t>行了合法程序；公司高级管理人员核心技术人员等人员专职在公司工作，并在公司领取薪酬。公司已建立</w:t>
      </w:r>
      <w:r>
        <w:rPr>
          <w:spacing w:val="-83"/>
        </w:rPr>
        <w:t> </w:t>
      </w:r>
      <w:r>
        <w:rPr>
          <w:spacing w:val="-83"/>
        </w:rPr>
      </w:r>
      <w:r>
        <w:rPr/>
        <w:t>独立的劳动、人事、社会保障体系及工资管理体系，与员工签订了劳动合同。</w:t>
      </w:r>
    </w:p>
    <w:p>
      <w:pPr>
        <w:pStyle w:val="BodyText"/>
        <w:spacing w:line="408" w:lineRule="auto"/>
        <w:ind w:right="712" w:firstLine="420"/>
        <w:jc w:val="left"/>
      </w:pPr>
      <w:r>
        <w:rPr>
          <w:rFonts w:ascii="宋体" w:hAnsi="宋体" w:cs="宋体" w:eastAsia="宋体" w:hint="default"/>
        </w:rPr>
        <w:t>2</w:t>
      </w:r>
      <w:r>
        <w:rPr/>
        <w:t>、公司的资产独立完整、权属清晰。公司具备与生产经营有关的生产系统、辅助生产系统和配套设 施，合法拥有与生产经营有关的土地、厂房、机器设备以及商标、专利、非专利技术的所有权和使用权，</w:t>
      </w:r>
      <w:r>
        <w:rPr>
          <w:spacing w:val="-35"/>
        </w:rPr>
        <w:t> </w:t>
      </w:r>
      <w:r>
        <w:rPr>
          <w:spacing w:val="-35"/>
        </w:rPr>
      </w:r>
      <w:r>
        <w:rPr/>
        <w:t>资产具有完整性。</w:t>
      </w:r>
    </w:p>
    <w:p>
      <w:pPr>
        <w:pStyle w:val="BodyText"/>
        <w:spacing w:line="408" w:lineRule="auto"/>
        <w:ind w:right="1117" w:firstLine="420"/>
        <w:jc w:val="left"/>
      </w:pPr>
      <w:r>
        <w:rPr>
          <w:rFonts w:ascii="宋体" w:hAnsi="宋体" w:cs="宋体" w:eastAsia="宋体" w:hint="default"/>
        </w:rPr>
        <w:t>3</w:t>
      </w:r>
      <w:r>
        <w:rPr/>
        <w:t>、公司财务独立。公司有独立的财务部门，配备了专职的财务会计人员，独立进行会计核算和财务 决策。公司开设有独立的银行帐号，并依法独立进行纳税申报和履行纳税义务。</w:t>
      </w:r>
    </w:p>
    <w:p>
      <w:pPr>
        <w:pStyle w:val="BodyText"/>
        <w:spacing w:line="408" w:lineRule="auto"/>
        <w:ind w:right="1117" w:firstLine="420"/>
        <w:jc w:val="left"/>
      </w:pPr>
      <w:r>
        <w:rPr>
          <w:rFonts w:ascii="宋体" w:hAnsi="宋体" w:cs="宋体" w:eastAsia="宋体" w:hint="default"/>
        </w:rPr>
        <w:t>4</w:t>
      </w:r>
      <w:r>
        <w:rPr/>
        <w:t>、公司建立健全了独立的股东大会、董事会、监事会、经理的法人治理结构、组织结构，制定了完 善的岗位职责和管理制度，各部门按照规定的职责独立运作。</w:t>
      </w:r>
    </w:p>
    <w:p>
      <w:pPr>
        <w:pStyle w:val="BodyText"/>
        <w:spacing w:line="408" w:lineRule="auto"/>
        <w:ind w:right="712" w:firstLine="420"/>
        <w:jc w:val="left"/>
      </w:pPr>
      <w:r>
        <w:rPr>
          <w:rFonts w:ascii="宋体" w:hAnsi="宋体" w:cs="宋体" w:eastAsia="宋体" w:hint="default"/>
        </w:rPr>
        <w:t>5</w:t>
      </w:r>
      <w:r>
        <w:rPr/>
        <w:t>、公司业务独立。公司具备独立、完整的产供销系统，拥有独立的决策和执行机构，并拥有独立的 业务，具有面向市场的自主经营能力；公司股东及其控制的其他企业没有从事与公司相同或相近的业务。</w:t>
      </w:r>
    </w:p>
    <w:p>
      <w:pPr>
        <w:pStyle w:val="BodyText"/>
        <w:spacing w:line="408" w:lineRule="auto"/>
        <w:ind w:left="1554" w:right="1117"/>
        <w:jc w:val="left"/>
      </w:pPr>
      <w:r>
        <w:rPr/>
        <w:t>（二）股东与股东大会 </w:t>
      </w:r>
      <w:r>
        <w:rPr>
          <w:spacing w:val="-1"/>
        </w:rPr>
        <w:t>公司严格按照《创业板上市公司规范运作指引》、《上市公司股东大会规则》等规定的要求召集、召</w:t>
      </w:r>
    </w:p>
    <w:p>
      <w:pPr>
        <w:pStyle w:val="BodyText"/>
        <w:spacing w:line="408" w:lineRule="auto"/>
        <w:ind w:left="1134" w:right="1131"/>
        <w:jc w:val="both"/>
      </w:pPr>
      <w:r>
        <w:rPr>
          <w:spacing w:val="-1"/>
        </w:rPr>
        <w:t>开股东大会，平等对待所有股东，特别是保证中小股东享有平等地位，并尽可能为股东参加股东大会提供</w:t>
      </w:r>
      <w:r>
        <w:rPr>
          <w:spacing w:val="-83"/>
        </w:rPr>
        <w:t> </w:t>
      </w:r>
      <w:r>
        <w:rPr>
          <w:spacing w:val="-83"/>
        </w:rPr>
      </w:r>
      <w:r>
        <w:rPr>
          <w:spacing w:val="-1"/>
        </w:rPr>
        <w:t>便利。在《公司章程》、《股东大会议事规则》中明确规定了股东大会的召集、召开及表决程序、股东的</w:t>
      </w:r>
      <w:r>
        <w:rPr>
          <w:spacing w:val="-86"/>
        </w:rPr>
        <w:t> </w:t>
      </w:r>
      <w:r>
        <w:rPr>
          <w:spacing w:val="-86"/>
        </w:rPr>
      </w:r>
      <w:r>
        <w:rPr/>
        <w:t>参会资格和对董事会的授权原则等，董事会在报告期内做到认真审议并安排股东大会的审议事项等。</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1117"/>
        <w:jc w:val="left"/>
      </w:pPr>
      <w:r>
        <w:rPr/>
        <w:t>（三）公司与控股股东 </w:t>
      </w:r>
      <w:r>
        <w:rPr>
          <w:spacing w:val="-1"/>
        </w:rPr>
        <w:t>公司控股股东严格按照《上市公司治理准则》、《深圳证券交易所创业板股票上市规则》、《公司章</w:t>
      </w:r>
    </w:p>
    <w:p>
      <w:pPr>
        <w:pStyle w:val="BodyText"/>
        <w:spacing w:line="408" w:lineRule="auto"/>
        <w:ind w:right="712"/>
        <w:jc w:val="left"/>
      </w:pPr>
      <w:r>
        <w:rPr/>
        <w:t>程》规范自己的行为，通过股东大会依法行使出资人的权利，没有采取任何其他方式直接或间接地干预公 司的决策及依法开展的生产经营活动，没有损害公司及其他股东的利益；公司与控股股东在业务、人员、</w:t>
      </w:r>
      <w:r>
        <w:rPr>
          <w:spacing w:val="-35"/>
        </w:rPr>
        <w:t> </w:t>
      </w:r>
      <w:r>
        <w:rPr>
          <w:spacing w:val="-35"/>
        </w:rPr>
      </w:r>
      <w:r>
        <w:rPr/>
        <w:t>资产、机构和财务方面做到相互独立；公司的重大决策能按照规范的程序由股东大会和董事会作出。控股</w:t>
      </w:r>
      <w:r>
        <w:rPr/>
        <w:t> 股东与公司之间无非经营性关联交易，公司没有为控股股东及其下属企业提供担保。</w:t>
      </w:r>
    </w:p>
    <w:p>
      <w:pPr>
        <w:pStyle w:val="BodyText"/>
        <w:spacing w:line="408" w:lineRule="auto"/>
        <w:ind w:left="1553" w:right="1117"/>
        <w:jc w:val="left"/>
      </w:pPr>
      <w:r>
        <w:rPr/>
        <w:t>（四）董事与董事会 </w:t>
      </w:r>
      <w:r>
        <w:rPr>
          <w:spacing w:val="-1"/>
        </w:rPr>
        <w:t>公司在《公司章程》、《董事会议事规则》中规定规范、透明的董事选聘程序，并严格执行。公司董</w:t>
      </w:r>
    </w:p>
    <w:p>
      <w:pPr>
        <w:pStyle w:val="BodyText"/>
        <w:spacing w:line="408" w:lineRule="auto"/>
        <w:ind w:right="1131"/>
        <w:jc w:val="both"/>
      </w:pPr>
      <w:r>
        <w:rPr>
          <w:spacing w:val="-1"/>
        </w:rPr>
        <w:t>事会设董事</w:t>
      </w:r>
      <w:r>
        <w:rPr>
          <w:rFonts w:ascii="宋体" w:hAnsi="宋体" w:cs="宋体" w:eastAsia="宋体" w:hint="default"/>
          <w:spacing w:val="-1"/>
        </w:rPr>
        <w:t>9</w:t>
      </w:r>
      <w:r>
        <w:rPr>
          <w:spacing w:val="-1"/>
        </w:rPr>
        <w:t>名，其中独立董事</w:t>
      </w:r>
      <w:r>
        <w:rPr>
          <w:rFonts w:ascii="宋体" w:hAnsi="宋体" w:cs="宋体" w:eastAsia="宋体" w:hint="default"/>
          <w:spacing w:val="-1"/>
        </w:rPr>
        <w:t>3</w:t>
      </w:r>
      <w:r>
        <w:rPr>
          <w:spacing w:val="-1"/>
        </w:rPr>
        <w:t>名，董事会的人数及人员构成符合法律、法规和《公司章程》的要求。各</w:t>
      </w:r>
      <w:r>
        <w:rPr>
          <w:spacing w:val="-84"/>
        </w:rPr>
        <w:t> </w:t>
      </w:r>
      <w:r>
        <w:rPr>
          <w:spacing w:val="-84"/>
        </w:rPr>
      </w:r>
      <w:r>
        <w:rPr>
          <w:spacing w:val="-1"/>
        </w:rPr>
        <w:t>位董事能够依据规定开展工作，勤勉尽责地履行职责和义务，同时积极参加相关培训。独立董事能够不受</w:t>
      </w:r>
      <w:r>
        <w:rPr>
          <w:spacing w:val="-83"/>
        </w:rPr>
        <w:t> </w:t>
      </w:r>
      <w:r>
        <w:rPr>
          <w:spacing w:val="-83"/>
        </w:rPr>
      </w:r>
      <w:r>
        <w:rPr>
          <w:spacing w:val="-1"/>
        </w:rPr>
        <w:t>公司主要股东、实际控制人以及其他与公司存在利害关系的单位或个人的影响，独立履行职责，对公司的</w:t>
      </w:r>
      <w:r>
        <w:rPr>
          <w:spacing w:val="-83"/>
        </w:rPr>
        <w:t> </w:t>
      </w:r>
      <w:r>
        <w:rPr>
          <w:spacing w:val="-83"/>
        </w:rPr>
      </w:r>
      <w:r>
        <w:rPr/>
        <w:t>重大事项均能发表独立意见。</w:t>
      </w:r>
    </w:p>
    <w:p>
      <w:pPr>
        <w:pStyle w:val="BodyText"/>
        <w:spacing w:line="408" w:lineRule="auto"/>
        <w:ind w:left="1553" w:right="712"/>
        <w:jc w:val="left"/>
      </w:pPr>
      <w:r>
        <w:rPr/>
        <w:t>（五）监事与监事会 公司监事会严格按照《公司法》、《公司章程》和《监事会议事规则》的有关规定，认真履行职责，</w:t>
      </w:r>
    </w:p>
    <w:p>
      <w:pPr>
        <w:pStyle w:val="BodyText"/>
        <w:spacing w:line="408" w:lineRule="auto"/>
        <w:ind w:right="712"/>
        <w:jc w:val="left"/>
      </w:pPr>
      <w:r>
        <w:rPr/>
        <w:t>对公司财务状况、重大事项以及公司董事、经理和其他高级管理人员履行职责的合法合规性进行监督。公 司监事会设监事</w:t>
      </w:r>
      <w:r>
        <w:rPr>
          <w:rFonts w:ascii="宋体" w:hAnsi="宋体" w:cs="宋体" w:eastAsia="宋体" w:hint="default"/>
        </w:rPr>
        <w:t>3</w:t>
      </w:r>
      <w:r>
        <w:rPr/>
        <w:t>名，其中职工监事</w:t>
      </w:r>
      <w:r>
        <w:rPr>
          <w:rFonts w:ascii="宋体" w:hAnsi="宋体" w:cs="宋体" w:eastAsia="宋体" w:hint="default"/>
        </w:rPr>
        <w:t>1</w:t>
      </w:r>
      <w:r>
        <w:rPr/>
        <w:t>名，公司监事会的人数、成员构成及监事的任职资格符合相关法律、</w:t>
      </w:r>
      <w:r>
        <w:rPr>
          <w:spacing w:val="-36"/>
        </w:rPr>
        <w:t> </w:t>
      </w:r>
      <w:r>
        <w:rPr>
          <w:spacing w:val="-36"/>
        </w:rPr>
      </w:r>
      <w:r>
        <w:rPr/>
        <w:t>法规的要求。监事会能够严格按照《监事会议事规则》的要求召集、召开监事会，表决程序符合法律、法</w:t>
      </w:r>
      <w:r>
        <w:rPr/>
        <w:t> 规的要求。</w:t>
      </w:r>
    </w:p>
    <w:p>
      <w:pPr>
        <w:pStyle w:val="BodyText"/>
        <w:spacing w:line="408" w:lineRule="auto"/>
        <w:ind w:left="1554" w:right="712"/>
        <w:jc w:val="left"/>
      </w:pPr>
      <w:r>
        <w:rPr/>
        <w:t>（六）绩效评价与激励约束机制 公司已建立工作绩效评价体系，使员工的收入与工作绩效挂钩；高级管理人员的聘任能够做到公开、</w:t>
      </w:r>
    </w:p>
    <w:p>
      <w:pPr>
        <w:pStyle w:val="BodyText"/>
        <w:spacing w:line="240" w:lineRule="auto"/>
        <w:ind w:left="1134" w:right="1117"/>
        <w:jc w:val="left"/>
      </w:pPr>
      <w:r>
        <w:rPr/>
        <w:t>透明，符合法律、法规的规定；公司建立了经理人员的薪酬与公司业绩和个人业绩相挂钩的激励机制。</w:t>
      </w:r>
    </w:p>
    <w:p>
      <w:pPr>
        <w:spacing w:line="240" w:lineRule="auto" w:before="10"/>
        <w:rPr>
          <w:rFonts w:ascii="宋体" w:hAnsi="宋体" w:cs="宋体" w:eastAsia="宋体" w:hint="default"/>
          <w:sz w:val="14"/>
          <w:szCs w:val="14"/>
        </w:rPr>
      </w:pPr>
    </w:p>
    <w:p>
      <w:pPr>
        <w:pStyle w:val="BodyText"/>
        <w:spacing w:line="408" w:lineRule="auto" w:before="0"/>
        <w:ind w:left="1553" w:right="1117"/>
        <w:jc w:val="left"/>
      </w:pPr>
      <w:r>
        <w:rPr/>
        <w:t>（七）相关利益者 </w:t>
      </w:r>
      <w:r>
        <w:rPr>
          <w:spacing w:val="-1"/>
        </w:rPr>
        <w:t>公司能够充分尊重银行及其他债权人、员工、消费者、供应商、经销商等利益相关者的合法权利，与</w:t>
      </w:r>
    </w:p>
    <w:p>
      <w:pPr>
        <w:pStyle w:val="BodyText"/>
        <w:spacing w:line="240" w:lineRule="auto"/>
        <w:ind w:right="1117"/>
        <w:jc w:val="left"/>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1554" w:right="712"/>
        <w:jc w:val="left"/>
      </w:pPr>
      <w:r>
        <w:rPr/>
        <w:t>（八）关于信息披露与透明度 公司根据《深圳证券交易所创业板股票上市规则》、《上市公司信息披露管理办法》、《公司章程》</w:t>
      </w:r>
    </w:p>
    <w:p>
      <w:pPr>
        <w:pStyle w:val="BodyText"/>
        <w:spacing w:line="408" w:lineRule="auto"/>
        <w:ind w:left="1134" w:right="1117"/>
        <w:jc w:val="left"/>
      </w:pPr>
      <w:r>
        <w:rPr>
          <w:spacing w:val="-1"/>
        </w:rPr>
        <w:t>以及公司《信息披露基本制度》等相关法规制度的规定，认真履行信息披露义务。公司指定董事会秘书负</w:t>
      </w:r>
      <w:r>
        <w:rPr>
          <w:spacing w:val="-86"/>
        </w:rPr>
        <w:t> </w:t>
      </w:r>
      <w:r>
        <w:rPr>
          <w:spacing w:val="-86"/>
        </w:rPr>
      </w:r>
      <w:r>
        <w:rPr/>
        <w:t>责信息披露工作，并负责投资者关系管理，确保公司所有股东能够以平等的机会获得信息。</w:t>
      </w:r>
    </w:p>
    <w:p>
      <w:pPr>
        <w:pStyle w:val="BodyText"/>
        <w:spacing w:line="408" w:lineRule="auto"/>
        <w:ind w:right="1117" w:firstLine="420"/>
        <w:jc w:val="left"/>
      </w:pPr>
      <w:r>
        <w:rPr>
          <w:spacing w:val="-1"/>
        </w:rPr>
        <w:t>公司指定《证券时报》和巨潮资讯网（</w:t>
      </w:r>
      <w:hyperlink r:id="rId11">
        <w:r>
          <w:rPr>
            <w:rFonts w:ascii="宋体" w:hAnsi="宋体" w:cs="宋体" w:eastAsia="宋体" w:hint="default"/>
            <w:spacing w:val="-1"/>
          </w:rPr>
          <w:t>http://www.cninfo.com.cn</w:t>
        </w:r>
      </w:hyperlink>
      <w:r>
        <w:rPr>
          <w:spacing w:val="-1"/>
        </w:rPr>
        <w:t>）为公司信息披露的指定报纸和网</w:t>
      </w:r>
      <w:r>
        <w:rPr/>
        <w:t> 站。</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2563"/>
        <w:jc w:val="left"/>
      </w:pPr>
      <w:r>
        <w:rPr/>
        <w:t>（九）投资者关系管理情况 报告期内，公司严格执行《投资者关系管理制度》，认真做好投资者关系管理工作： </w:t>
      </w:r>
      <w:r>
        <w:rPr>
          <w:rFonts w:ascii="宋体" w:hAnsi="宋体" w:cs="宋体" w:eastAsia="宋体" w:hint="default"/>
        </w:rPr>
        <w:t>1</w:t>
      </w:r>
      <w:r>
        <w:rPr/>
        <w:t>、日常工作</w:t>
      </w:r>
    </w:p>
    <w:p>
      <w:pPr>
        <w:pStyle w:val="BodyText"/>
        <w:spacing w:line="408" w:lineRule="auto"/>
        <w:ind w:right="1132" w:firstLine="420"/>
        <w:jc w:val="both"/>
      </w:pPr>
      <w:r>
        <w:rPr>
          <w:spacing w:val="-3"/>
        </w:rPr>
        <w:t>（</w:t>
      </w:r>
      <w:r>
        <w:rPr>
          <w:rFonts w:ascii="宋体" w:hAnsi="宋体" w:cs="宋体" w:eastAsia="宋体" w:hint="default"/>
          <w:spacing w:val="-3"/>
        </w:rPr>
        <w:t>1</w:t>
      </w:r>
      <w:r>
        <w:rPr>
          <w:spacing w:val="-3"/>
        </w:rPr>
        <w:t>）积极做好投资者关系管理工作档案的建立和保管，合理、妥善地安排个人投资者、机构投资者、</w:t>
      </w:r>
      <w:r>
        <w:rPr/>
        <w:t> 行业分析师等相关人员到公司进行调研，并切实做好相关信息的保密工作。</w:t>
      </w:r>
    </w:p>
    <w:p>
      <w:pPr>
        <w:pStyle w:val="BodyText"/>
        <w:spacing w:line="408" w:lineRule="auto"/>
        <w:ind w:right="1117" w:firstLine="420"/>
        <w:jc w:val="left"/>
      </w:pPr>
      <w:r>
        <w:rPr/>
        <w:t>（</w:t>
      </w:r>
      <w:r>
        <w:rPr>
          <w:rFonts w:ascii="宋体" w:hAnsi="宋体" w:cs="宋体" w:eastAsia="宋体" w:hint="default"/>
        </w:rPr>
        <w:t>2</w:t>
      </w:r>
      <w:r>
        <w:rPr/>
        <w:t>）通过公司网站、投资者关系管理电话、电子信箱、互动平台等多种渠道与投资者加强沟通，解 答投资者的疑问。</w:t>
      </w:r>
    </w:p>
    <w:p>
      <w:pPr>
        <w:pStyle w:val="BodyText"/>
        <w:spacing w:line="240" w:lineRule="auto"/>
        <w:ind w:left="1553" w:right="1117"/>
        <w:jc w:val="left"/>
      </w:pPr>
      <w:r>
        <w:rPr>
          <w:rFonts w:ascii="宋体" w:hAnsi="宋体" w:cs="宋体" w:eastAsia="宋体" w:hint="default"/>
        </w:rPr>
        <w:t>2</w:t>
      </w:r>
      <w:r>
        <w:rPr/>
        <w:t>、互动交流</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t>（</w:t>
      </w:r>
      <w:r>
        <w:rPr>
          <w:rFonts w:ascii="宋体" w:hAnsi="宋体" w:cs="宋体" w:eastAsia="宋体" w:hint="default"/>
        </w:rPr>
        <w:t>1</w:t>
      </w:r>
      <w:r>
        <w:rPr/>
        <w:t>）报告期内，公司于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日通过投资者互动平台（</w:t>
      </w:r>
      <w:hyperlink r:id="rId19">
        <w:r>
          <w:rPr>
            <w:rFonts w:ascii="宋体" w:hAnsi="宋体" w:cs="宋体" w:eastAsia="宋体" w:hint="default"/>
          </w:rPr>
          <w:t>http://irm.p5w.net</w:t>
        </w:r>
      </w:hyperlink>
      <w:r>
        <w:rPr/>
        <w:t>）举行了</w:t>
      </w:r>
      <w:r>
        <w:rPr>
          <w:rFonts w:ascii="宋体" w:hAnsi="宋体" w:cs="宋体" w:eastAsia="宋体" w:hint="default"/>
        </w:rPr>
        <w:t>2014</w:t>
      </w:r>
      <w:r>
        <w:rPr/>
        <w:t>年年</w:t>
      </w:r>
      <w:r>
        <w:rPr>
          <w:spacing w:val="1"/>
        </w:rPr>
        <w:t> </w:t>
      </w:r>
      <w:r>
        <w:rPr>
          <w:spacing w:val="-1"/>
        </w:rPr>
        <w:t>度报告网上业绩说明会，公司董事长任红军先生，总经理徐克先生，董事会秘书肖锋、财务负责人刘瑞玲</w:t>
      </w:r>
      <w:r>
        <w:rPr>
          <w:spacing w:val="-86"/>
        </w:rPr>
        <w:t> </w:t>
      </w:r>
      <w:r>
        <w:rPr>
          <w:spacing w:val="-86"/>
        </w:rPr>
      </w:r>
      <w:r>
        <w:rPr/>
        <w:t>女士，独立董事李颖江先生参加了网上说明会，与广大投资者进行坦诚的沟通和交流。</w:t>
      </w:r>
    </w:p>
    <w:p>
      <w:pPr>
        <w:pStyle w:val="BodyText"/>
        <w:spacing w:line="408" w:lineRule="auto"/>
        <w:ind w:left="1134" w:right="1035" w:firstLine="420"/>
        <w:jc w:val="both"/>
      </w:pPr>
      <w:r>
        <w:rPr>
          <w:spacing w:val="-3"/>
        </w:rPr>
        <w:t>（</w:t>
      </w:r>
      <w:r>
        <w:rPr>
          <w:rFonts w:ascii="宋体" w:hAnsi="宋体" w:cs="宋体" w:eastAsia="宋体" w:hint="default"/>
          <w:spacing w:val="-3"/>
        </w:rPr>
        <w:t>2</w:t>
      </w:r>
      <w:r>
        <w:rPr>
          <w:spacing w:val="-3"/>
        </w:rPr>
        <w:t>）报告期内，公司通过“投资者关系互动平台”（</w:t>
      </w:r>
      <w:hyperlink r:id="rId20">
        <w:r>
          <w:rPr>
            <w:rFonts w:ascii="宋体" w:hAnsi="宋体" w:cs="宋体" w:eastAsia="宋体" w:hint="default"/>
            <w:spacing w:val="-3"/>
          </w:rPr>
          <w:t>http://ircs.p5w.net/ircs/ssgs/index.do</w:t>
        </w:r>
      </w:hyperlink>
      <w:r>
        <w:rPr>
          <w:spacing w:val="-3"/>
        </w:rPr>
        <w:t>），</w:t>
      </w:r>
      <w:r>
        <w:rPr>
          <w:spacing w:val="-32"/>
        </w:rPr>
        <w:t> </w:t>
      </w:r>
      <w:r>
        <w:rPr>
          <w:spacing w:val="-5"/>
        </w:rPr>
        <w:t>就投资者关心的问题进行了充分、深入、详细的分析、说明和答复，建立了投资者与公司之间规范、直接、</w:t>
      </w:r>
      <w:r>
        <w:rPr/>
        <w:t> 快速的交流与沟通渠道，提高了公司规范运作水平，更好的保护了投资者特别是中小投资者的合法权益。</w:t>
      </w:r>
    </w:p>
    <w:p>
      <w:pPr>
        <w:pStyle w:val="BodyText"/>
        <w:spacing w:line="408" w:lineRule="auto"/>
        <w:ind w:left="1554" w:right="1117"/>
        <w:jc w:val="left"/>
      </w:pPr>
      <w:r>
        <w:rPr>
          <w:rFonts w:ascii="宋体" w:hAnsi="宋体" w:cs="宋体" w:eastAsia="宋体" w:hint="default"/>
        </w:rPr>
        <w:t>(</w:t>
      </w:r>
      <w:r>
        <w:rPr/>
        <w:t>十</w:t>
      </w:r>
      <w:r>
        <w:rPr>
          <w:rFonts w:ascii="宋体" w:hAnsi="宋体" w:cs="宋体" w:eastAsia="宋体" w:hint="default"/>
        </w:rPr>
        <w:t>)</w:t>
      </w:r>
      <w:r>
        <w:rPr/>
        <w:t>公司董事长、独立董事及其他董事履行职责情况 </w:t>
      </w:r>
      <w:r>
        <w:rPr>
          <w:rFonts w:ascii="宋体" w:hAnsi="宋体" w:cs="宋体" w:eastAsia="宋体" w:hint="default"/>
        </w:rPr>
        <w:t>1</w:t>
      </w:r>
      <w:r>
        <w:rPr/>
        <w:t>、报告期内，公司全体董事严格按照《公司法》、《证券法》、《深圳证券交易所创业板上市公司</w:t>
      </w:r>
    </w:p>
    <w:p>
      <w:pPr>
        <w:pStyle w:val="BodyText"/>
        <w:spacing w:line="408" w:lineRule="auto"/>
        <w:ind w:left="1134" w:right="1131"/>
        <w:jc w:val="both"/>
      </w:pPr>
      <w:r>
        <w:rPr>
          <w:spacing w:val="-1"/>
        </w:rPr>
        <w:t>规范运作指引》等法律、法规及规章制度的规定和要求，履行董事职责，积极参加相关培训，提高规范运</w:t>
      </w:r>
      <w:r>
        <w:rPr>
          <w:spacing w:val="-83"/>
        </w:rPr>
        <w:t> </w:t>
      </w:r>
      <w:r>
        <w:rPr>
          <w:spacing w:val="-83"/>
        </w:rPr>
      </w:r>
      <w:r>
        <w:rPr>
          <w:spacing w:val="-1"/>
        </w:rPr>
        <w:t>作水平。董事在董事会会议投票表决重大事项或其他对公司有重大影响的事项时，严格遵循公司董事会议</w:t>
      </w:r>
      <w:r>
        <w:rPr>
          <w:spacing w:val="-81"/>
        </w:rPr>
        <w:t> </w:t>
      </w:r>
      <w:r>
        <w:rPr>
          <w:spacing w:val="-81"/>
        </w:rPr>
      </w:r>
      <w:r>
        <w:rPr/>
        <w:t>事规则的有关审议规定，审慎决策，切实保护公司和股东特别是社会公众股股东的利益。</w:t>
      </w:r>
    </w:p>
    <w:p>
      <w:pPr>
        <w:pStyle w:val="BodyText"/>
        <w:spacing w:line="408" w:lineRule="auto"/>
        <w:ind w:right="1032" w:firstLine="420"/>
        <w:jc w:val="both"/>
      </w:pPr>
      <w:r>
        <w:rPr>
          <w:rFonts w:ascii="宋体" w:hAnsi="宋体" w:cs="宋体" w:eastAsia="宋体" w:hint="default"/>
        </w:rPr>
        <w:t>2</w:t>
      </w:r>
      <w:r>
        <w:rPr/>
        <w:t>、公司董事长在履行职责时，严格按照《公司法》、《证券法》、《深圳证券交易所创业板上市公 司规范运作指引》和《公司章程》规定，行使董事长职权，履行职责。在召集、主持董事会会议时，积极 推动公司治理工作和内部控制建设、督促执行股东大会和董事会的各项决议，确保董事会依法正常运作。</w:t>
      </w:r>
    </w:p>
    <w:p>
      <w:pPr>
        <w:pStyle w:val="BodyText"/>
        <w:spacing w:line="405" w:lineRule="auto"/>
        <w:ind w:left="1134" w:right="1117" w:firstLine="420"/>
        <w:jc w:val="left"/>
        <w:rPr>
          <w:sz w:val="18"/>
          <w:szCs w:val="18"/>
        </w:rPr>
      </w:pPr>
      <w:r>
        <w:rPr>
          <w:rFonts w:ascii="宋体" w:hAnsi="宋体" w:cs="宋体" w:eastAsia="宋体" w:hint="default"/>
        </w:rPr>
        <w:t>3</w:t>
      </w:r>
      <w:r>
        <w:rPr/>
        <w:t>、公司独立董事认真履行职责，积极准时出席相关会议，认真审议各项议案，客观的发表自己的看 </w:t>
      </w:r>
      <w:r>
        <w:rPr>
          <w:spacing w:val="-1"/>
        </w:rPr>
        <w:t>法及观点，努力维护公司整体利益及中小股东的合法权益。同时积极深入公司现场调查，了解公司生产经</w:t>
      </w:r>
      <w:r>
        <w:rPr>
          <w:spacing w:val="-83"/>
        </w:rPr>
        <w:t> </w:t>
      </w:r>
      <w:r>
        <w:rPr>
          <w:spacing w:val="-83"/>
        </w:rPr>
      </w:r>
      <w:r>
        <w:rPr>
          <w:spacing w:val="-1"/>
        </w:rPr>
        <w:t>营状况和内部控制的建设及董事会及股东会决议的执行情况，为公司经营和发展提出合理意见和建议。独</w:t>
      </w:r>
      <w:r>
        <w:rPr>
          <w:spacing w:val="-81"/>
        </w:rPr>
        <w:t> </w:t>
      </w:r>
      <w:r>
        <w:rPr>
          <w:spacing w:val="-81"/>
        </w:rPr>
      </w:r>
      <w:r>
        <w:rPr/>
        <w:t>立董事对</w:t>
      </w:r>
      <w:r>
        <w:rPr>
          <w:rFonts w:ascii="宋体" w:hAnsi="宋体" w:cs="宋体" w:eastAsia="宋体" w:hint="default"/>
        </w:rPr>
        <w:t>2015</w:t>
      </w:r>
      <w:r>
        <w:rPr/>
        <w:t>年度公司审议的各项事项没有提出异议。 </w:t>
      </w:r>
      <w:r>
        <w:rPr>
          <w:sz w:val="18"/>
          <w:szCs w:val="18"/>
        </w:rPr>
        <w:t>公司治理的实际状况与中国证监会发布的有关上市公司治理的规范性文件是否存在重大差异</w:t>
      </w:r>
    </w:p>
    <w:p>
      <w:pPr>
        <w:spacing w:line="338" w:lineRule="auto" w:before="0"/>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二、公司相对于控股股东在业务、人员、资产、机构、财务等方面的独立情况" w:id="123"/>
      <w:bookmarkEnd w:id="12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134" w:right="1117"/>
        <w:jc w:val="left"/>
        <w:rPr>
          <w:b w:val="0"/>
          <w:bCs w:val="0"/>
        </w:rPr>
      </w:pPr>
      <w:bookmarkStart w:name="三、同业竞争情况" w:id="124"/>
      <w:bookmarkEnd w:id="12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四、报告期内召开的年度股东大会和临时股东大会的有关情况" w:id="125"/>
      <w:bookmarkEnd w:id="12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本报告期股东大会情况" w:id="126"/>
      <w:bookmarkEnd w:id="12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44" w:type="dxa"/>
        <w:tblLayout w:type="fixed"/>
        <w:tblCellMar>
          <w:top w:w="0" w:type="dxa"/>
          <w:left w:w="0" w:type="dxa"/>
          <w:bottom w:w="0" w:type="dxa"/>
          <w:right w:w="0" w:type="dxa"/>
        </w:tblCellMar>
        <w:tblLook w:val="01E0"/>
      </w:tblPr>
      <w:tblGrid>
        <w:gridCol w:w="2272"/>
        <w:gridCol w:w="1276"/>
        <w:gridCol w:w="1416"/>
        <w:gridCol w:w="1559"/>
        <w:gridCol w:w="1611"/>
        <w:gridCol w:w="1676"/>
      </w:tblGrid>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8"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公告编号为</w:t>
            </w:r>
          </w:p>
          <w:p>
            <w:pPr>
              <w:pStyle w:val="TableParagraph"/>
              <w:spacing w:line="240" w:lineRule="auto" w:before="19"/>
              <w:ind w:left="22" w:right="0"/>
              <w:jc w:val="left"/>
              <w:rPr>
                <w:rFonts w:ascii="宋体" w:hAnsi="宋体" w:cs="宋体" w:eastAsia="宋体" w:hint="default"/>
                <w:sz w:val="18"/>
                <w:szCs w:val="18"/>
              </w:rPr>
            </w:pPr>
            <w:r>
              <w:rPr>
                <w:rFonts w:ascii="宋体"/>
                <w:sz w:val="18"/>
              </w:rPr>
              <w:t>2015-012</w:t>
            </w:r>
          </w:p>
        </w:tc>
      </w:tr>
      <w:tr>
        <w:trPr>
          <w:trHeight w:val="1258"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公告编号为</w:t>
            </w:r>
          </w:p>
          <w:p>
            <w:pPr>
              <w:pStyle w:val="TableParagraph"/>
              <w:spacing w:line="240" w:lineRule="auto" w:before="19"/>
              <w:ind w:left="22" w:right="0"/>
              <w:jc w:val="left"/>
              <w:rPr>
                <w:rFonts w:ascii="宋体" w:hAnsi="宋体" w:cs="宋体" w:eastAsia="宋体" w:hint="default"/>
                <w:sz w:val="18"/>
                <w:szCs w:val="18"/>
              </w:rPr>
            </w:pPr>
            <w:r>
              <w:rPr>
                <w:rFonts w:ascii="宋体"/>
                <w:sz w:val="18"/>
              </w:rPr>
              <w:t>2015-035</w:t>
            </w:r>
          </w:p>
        </w:tc>
      </w:tr>
      <w:tr>
        <w:trPr>
          <w:trHeight w:val="1259"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公告编号为</w:t>
            </w:r>
          </w:p>
          <w:p>
            <w:pPr>
              <w:pStyle w:val="TableParagraph"/>
              <w:spacing w:line="240" w:lineRule="auto" w:before="17"/>
              <w:ind w:left="22" w:right="0"/>
              <w:jc w:val="left"/>
              <w:rPr>
                <w:rFonts w:ascii="宋体" w:hAnsi="宋体" w:cs="宋体" w:eastAsia="宋体" w:hint="default"/>
                <w:sz w:val="18"/>
                <w:szCs w:val="18"/>
              </w:rPr>
            </w:pPr>
            <w:r>
              <w:rPr>
                <w:rFonts w:ascii="宋体"/>
                <w:sz w:val="18"/>
              </w:rPr>
              <w:t>2015-078</w:t>
            </w:r>
          </w:p>
        </w:tc>
      </w:tr>
    </w:tbl>
    <w:p>
      <w:pPr>
        <w:spacing w:line="240" w:lineRule="auto" w:before="2"/>
        <w:rPr>
          <w:rFonts w:ascii="宋体" w:hAnsi="宋体" w:cs="宋体" w:eastAsia="宋体" w:hint="default"/>
          <w:b/>
          <w:bCs/>
          <w:sz w:val="19"/>
          <w:szCs w:val="19"/>
        </w:rPr>
      </w:pPr>
    </w:p>
    <w:p>
      <w:pPr>
        <w:spacing w:before="35"/>
        <w:ind w:left="1134" w:right="1117" w:firstLine="0"/>
        <w:jc w:val="left"/>
        <w:rPr>
          <w:rFonts w:ascii="宋体" w:hAnsi="宋体" w:cs="宋体" w:eastAsia="宋体" w:hint="default"/>
          <w:sz w:val="21"/>
          <w:szCs w:val="21"/>
        </w:rPr>
      </w:pPr>
      <w:bookmarkStart w:name="2、表决权恢复的优先股股东请求召开临时股东大会" w:id="127"/>
      <w:bookmarkEnd w:id="1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五、报告期内独立董事履行职责的情况" w:id="128"/>
      <w:bookmarkEnd w:id="12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独立董事出席董事会及股东大会的情况" w:id="129"/>
      <w:bookmarkEnd w:id="12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1643"/>
        <w:gridCol w:w="1340"/>
        <w:gridCol w:w="1343"/>
        <w:gridCol w:w="1342"/>
        <w:gridCol w:w="1342"/>
        <w:gridCol w:w="1343"/>
        <w:gridCol w:w="1342"/>
      </w:tblGrid>
      <w:tr>
        <w:trPr>
          <w:trHeight w:val="32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634" w:hRule="exact"/>
        </w:trPr>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14" w:right="3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85" w:right="3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5" w:right="3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2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庄行方</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王思鹏</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刘威</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赵向阳</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3</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spacing w:before="35"/>
        <w:ind w:left="1133" w:right="1117" w:firstLine="0"/>
        <w:jc w:val="left"/>
        <w:rPr>
          <w:rFonts w:ascii="宋体" w:hAnsi="宋体" w:cs="宋体" w:eastAsia="宋体" w:hint="default"/>
          <w:sz w:val="21"/>
          <w:szCs w:val="21"/>
        </w:rPr>
      </w:pPr>
      <w:bookmarkStart w:name="2、独立董事对公司有关事项提出异议的情况" w:id="130"/>
      <w:bookmarkEnd w:id="1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133" w:right="1117"/>
        <w:jc w:val="left"/>
        <w:rPr>
          <w:b w:val="0"/>
          <w:bCs w:val="0"/>
        </w:rPr>
      </w:pPr>
      <w:bookmarkStart w:name="3、独立董事履行职责的其他说明" w:id="131"/>
      <w:bookmarkEnd w:id="13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130" w:firstLine="420"/>
        <w:jc w:val="both"/>
      </w:pPr>
      <w:r>
        <w:rPr>
          <w:rFonts w:ascii="宋体" w:hAnsi="宋体" w:cs="宋体" w:eastAsia="宋体" w:hint="default"/>
          <w:spacing w:val="-1"/>
        </w:rPr>
        <w:t>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22</w:t>
      </w:r>
      <w:r>
        <w:rPr>
          <w:spacing w:val="-1"/>
        </w:rPr>
        <w:t>日公司召开第三届董事会第九次会议，独立董事就使用自有资金投资郑州汉威公用事</w:t>
      </w:r>
      <w:r>
        <w:rPr/>
        <w:t> </w:t>
      </w:r>
      <w:r>
        <w:rPr>
          <w:spacing w:val="-1"/>
        </w:rPr>
        <w:t>业科技有限公司、公司第一期员工持股计划及其摘要、聘任</w:t>
      </w:r>
      <w:r>
        <w:rPr>
          <w:rFonts w:ascii="宋体" w:hAnsi="宋体" w:cs="宋体" w:eastAsia="宋体" w:hint="default"/>
          <w:spacing w:val="-1"/>
        </w:rPr>
        <w:t>2014</w:t>
      </w:r>
      <w:r>
        <w:rPr>
          <w:spacing w:val="-1"/>
        </w:rPr>
        <w:t>年度财务审计机构、变更会计政策的相关</w:t>
      </w:r>
      <w:r>
        <w:rPr>
          <w:spacing w:val="-83"/>
        </w:rPr>
        <w:t> </w:t>
      </w:r>
      <w:r>
        <w:rPr>
          <w:spacing w:val="-83"/>
        </w:rPr>
      </w:r>
      <w:r>
        <w:rPr/>
        <w:t>事项发表了独立意见并被公司采纳。</w:t>
      </w:r>
    </w:p>
    <w:p>
      <w:pPr>
        <w:pStyle w:val="BodyText"/>
        <w:spacing w:line="408" w:lineRule="auto"/>
        <w:ind w:right="712" w:firstLine="420"/>
        <w:jc w:val="left"/>
      </w:pPr>
      <w:r>
        <w:rPr>
          <w:rFonts w:ascii="宋体" w:hAnsi="宋体" w:cs="宋体" w:eastAsia="宋体" w:hint="default"/>
          <w:spacing w:val="-5"/>
        </w:rPr>
        <w:t>2</w:t>
      </w:r>
      <w:r>
        <w:rPr>
          <w:spacing w:val="-5"/>
        </w:rPr>
        <w:t>、</w:t>
      </w:r>
      <w:r>
        <w:rPr>
          <w:rFonts w:ascii="宋体" w:hAnsi="宋体" w:cs="宋体" w:eastAsia="宋体" w:hint="default"/>
          <w:spacing w:val="-5"/>
        </w:rPr>
        <w:t>2015</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26</w:t>
      </w:r>
      <w:r>
        <w:rPr>
          <w:spacing w:val="-5"/>
        </w:rPr>
        <w:t>日，独立董事就公司</w:t>
      </w:r>
      <w:r>
        <w:rPr>
          <w:rFonts w:ascii="宋体" w:hAnsi="宋体" w:cs="宋体" w:eastAsia="宋体" w:hint="default"/>
          <w:spacing w:val="-5"/>
        </w:rPr>
        <w:t>2014</w:t>
      </w:r>
      <w:r>
        <w:rPr>
          <w:spacing w:val="-5"/>
        </w:rPr>
        <w:t>年度关联交易事项、</w:t>
      </w:r>
      <w:r>
        <w:rPr>
          <w:rFonts w:ascii="宋体" w:hAnsi="宋体" w:cs="宋体" w:eastAsia="宋体" w:hint="default"/>
          <w:spacing w:val="-5"/>
        </w:rPr>
        <w:t>2014</w:t>
      </w:r>
      <w:r>
        <w:rPr>
          <w:spacing w:val="-5"/>
        </w:rPr>
        <w:t>年度公司对外担保及资金占用情况、</w:t>
      </w:r>
      <w:r>
        <w:rPr/>
        <w:t> 公司</w:t>
      </w:r>
      <w:r>
        <w:rPr>
          <w:rFonts w:ascii="宋体" w:hAnsi="宋体" w:cs="宋体" w:eastAsia="宋体" w:hint="default"/>
        </w:rPr>
        <w:t>2014</w:t>
      </w:r>
      <w:r>
        <w:rPr/>
        <w:t>年度内部控制自我评价报告、</w:t>
      </w:r>
      <w:r>
        <w:rPr>
          <w:rFonts w:ascii="宋体" w:hAnsi="宋体" w:cs="宋体" w:eastAsia="宋体" w:hint="default"/>
        </w:rPr>
        <w:t>2014</w:t>
      </w:r>
      <w:r>
        <w:rPr/>
        <w:t>年度募集资金存放与使用情况、</w:t>
      </w:r>
      <w:r>
        <w:rPr>
          <w:rFonts w:ascii="宋体" w:hAnsi="宋体" w:cs="宋体" w:eastAsia="宋体" w:hint="default"/>
        </w:rPr>
        <w:t>2014</w:t>
      </w:r>
      <w:r>
        <w:rPr/>
        <w:t>年度利润分配、公司</w:t>
      </w:r>
      <w:r>
        <w:rPr>
          <w:rFonts w:ascii="宋体" w:hAnsi="宋体" w:cs="宋体" w:eastAsia="宋体" w:hint="default"/>
        </w:rPr>
        <w:t>2015 </w:t>
      </w:r>
      <w:r>
        <w:rPr>
          <w:spacing w:val="-3"/>
        </w:rPr>
        <w:t>年董事及高级管理人员薪酬计划员工持股计划、聘任</w:t>
      </w:r>
      <w:r>
        <w:rPr>
          <w:rFonts w:ascii="宋体" w:hAnsi="宋体" w:cs="宋体" w:eastAsia="宋体" w:hint="default"/>
          <w:spacing w:val="-3"/>
        </w:rPr>
        <w:t>2015</w:t>
      </w:r>
      <w:r>
        <w:rPr>
          <w:spacing w:val="-3"/>
        </w:rPr>
        <w:t>年度财务审计机构、提名第三届董事会独立董事、</w:t>
      </w:r>
      <w:r>
        <w:rPr>
          <w:spacing w:val="-87"/>
        </w:rPr>
        <w:t> </w:t>
      </w:r>
      <w:r>
        <w:rPr>
          <w:spacing w:val="-87"/>
        </w:rPr>
      </w:r>
      <w:r>
        <w:rPr/>
        <w:t>聘任高级管理人员、公司办理</w:t>
      </w:r>
      <w:r>
        <w:rPr>
          <w:rFonts w:ascii="宋体" w:hAnsi="宋体" w:cs="宋体" w:eastAsia="宋体" w:hint="default"/>
        </w:rPr>
        <w:t>2015</w:t>
      </w:r>
      <w:r>
        <w:rPr/>
        <w:t>年度银行综合授信业务的相关事项发表了独立意见并被公司采纳。</w:t>
      </w:r>
    </w:p>
    <w:p>
      <w:pPr>
        <w:pStyle w:val="BodyText"/>
        <w:spacing w:line="408" w:lineRule="auto"/>
        <w:ind w:left="1134" w:right="1131" w:firstLine="420"/>
        <w:jc w:val="both"/>
      </w:pPr>
      <w:r>
        <w:rPr>
          <w:rFonts w:ascii="宋体" w:hAnsi="宋体" w:cs="宋体" w:eastAsia="宋体" w:hint="default"/>
          <w:spacing w:val="-1"/>
        </w:rPr>
        <w:t>3</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22</w:t>
      </w:r>
      <w:r>
        <w:rPr>
          <w:spacing w:val="-1"/>
        </w:rPr>
        <w:t>日，公司就关于使用闲置自有资金购买理财产品的相关事项发表了独立意见并被公司</w:t>
      </w:r>
      <w:r>
        <w:rPr/>
        <w:t> 采纳。</w:t>
      </w:r>
    </w:p>
    <w:p>
      <w:pPr>
        <w:pStyle w:val="BodyText"/>
        <w:spacing w:line="408" w:lineRule="auto"/>
        <w:ind w:right="1130" w:firstLine="420"/>
        <w:jc w:val="both"/>
      </w:pPr>
      <w:r>
        <w:rPr>
          <w:rFonts w:ascii="宋体" w:hAnsi="宋体" w:cs="宋体" w:eastAsia="宋体" w:hint="default"/>
          <w:spacing w:val="-1"/>
        </w:rPr>
        <w:t>4</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21</w:t>
      </w:r>
      <w:r>
        <w:rPr>
          <w:spacing w:val="-1"/>
        </w:rPr>
        <w:t>日，独立董事就公司第三届董事会第十三次会议拟审议的《关于公司符合非公开发行</w:t>
      </w:r>
      <w:r>
        <w:rPr/>
        <w:t> </w:t>
      </w:r>
      <w:r>
        <w:rPr>
          <w:spacing w:val="-5"/>
        </w:rPr>
        <w:t>股票条件的议案》、《关于公司非公开发行股票方案的议案》、《关于公司非公开发行股票预案的议案》、</w:t>
      </w:r>
    </w:p>
    <w:p>
      <w:pPr>
        <w:pStyle w:val="BodyText"/>
        <w:spacing w:line="408" w:lineRule="auto"/>
        <w:ind w:left="1553" w:right="712" w:hanging="420"/>
        <w:jc w:val="left"/>
      </w:pPr>
      <w:r>
        <w:rPr>
          <w:spacing w:val="-1"/>
        </w:rPr>
        <w:t>《关于公司非公开发行方案的论证分析报告的议案》等公司非公开发行股票的相关事项发表事前认可意见。</w:t>
      </w:r>
      <w:r>
        <w:rPr>
          <w:spacing w:val="-81"/>
        </w:rPr>
        <w:t> </w:t>
      </w:r>
      <w:r>
        <w:rPr>
          <w:spacing w:val="-81"/>
        </w:rPr>
      </w: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日公司召开第三届董事会第十三次会议，独立董事就非公开发行股票的资格和各项条</w:t>
      </w:r>
    </w:p>
    <w:p>
      <w:pPr>
        <w:pStyle w:val="BodyText"/>
        <w:spacing w:line="408" w:lineRule="auto"/>
        <w:ind w:left="1134" w:right="712"/>
        <w:jc w:val="left"/>
      </w:pPr>
      <w:r>
        <w:rPr/>
        <w:t>件、非公开发行股票方案、非公开发行股票预案、非公开发行股票发行方案论证分析报告、公司前次募集 资金使用情况的报告、投资郑州汉威智源科技有限公司的事项的相关事项发表了独立意见并被公司采纳。</w:t>
      </w:r>
    </w:p>
    <w:p>
      <w:pPr>
        <w:pStyle w:val="BodyText"/>
        <w:spacing w:line="408" w:lineRule="auto"/>
        <w:ind w:right="1130" w:firstLine="420"/>
        <w:jc w:val="both"/>
      </w:pPr>
      <w:r>
        <w:rPr>
          <w:rFonts w:ascii="宋体" w:hAnsi="宋体" w:cs="宋体" w:eastAsia="宋体" w:hint="default"/>
          <w:spacing w:val="-1"/>
        </w:rPr>
        <w:t>6</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25</w:t>
      </w:r>
      <w:r>
        <w:rPr>
          <w:spacing w:val="-1"/>
        </w:rPr>
        <w:t>日，公司召开第三届董事会第十四次会议，独立董事就</w:t>
      </w:r>
      <w:r>
        <w:rPr>
          <w:rFonts w:ascii="宋体" w:hAnsi="宋体" w:cs="宋体" w:eastAsia="宋体" w:hint="default"/>
          <w:spacing w:val="-1"/>
        </w:rPr>
        <w:t>2015</w:t>
      </w:r>
      <w:r>
        <w:rPr>
          <w:spacing w:val="-1"/>
        </w:rPr>
        <w:t>年上半年度公司控股股东</w:t>
      </w:r>
      <w:r>
        <w:rPr/>
        <w:t> </w:t>
      </w:r>
      <w:r>
        <w:rPr>
          <w:spacing w:val="-1"/>
        </w:rPr>
        <w:t>及其他关联方占用公司资金及公司、</w:t>
      </w:r>
      <w:r>
        <w:rPr>
          <w:rFonts w:ascii="宋体" w:hAnsi="宋体" w:cs="宋体" w:eastAsia="宋体" w:hint="default"/>
          <w:spacing w:val="-1"/>
        </w:rPr>
        <w:t>2015</w:t>
      </w:r>
      <w:r>
        <w:rPr>
          <w:spacing w:val="-1"/>
        </w:rPr>
        <w:t>年上半年度关联交易事项、</w:t>
      </w:r>
      <w:r>
        <w:rPr>
          <w:rFonts w:ascii="宋体" w:hAnsi="宋体" w:cs="宋体" w:eastAsia="宋体" w:hint="default"/>
          <w:spacing w:val="-1"/>
        </w:rPr>
        <w:t>2015</w:t>
      </w:r>
      <w:r>
        <w:rPr>
          <w:spacing w:val="-1"/>
        </w:rPr>
        <w:t>年上半年度募集资金存放与使用</w:t>
      </w:r>
      <w:r>
        <w:rPr>
          <w:spacing w:val="-80"/>
        </w:rPr>
        <w:t> </w:t>
      </w:r>
      <w:r>
        <w:rPr>
          <w:spacing w:val="-80"/>
        </w:rPr>
      </w:r>
      <w:r>
        <w:rPr>
          <w:spacing w:val="-1"/>
        </w:rPr>
        <w:t>情况、</w:t>
      </w:r>
      <w:r>
        <w:rPr>
          <w:rFonts w:ascii="宋体" w:hAnsi="宋体" w:cs="宋体" w:eastAsia="宋体" w:hint="default"/>
          <w:spacing w:val="-1"/>
        </w:rPr>
        <w:t>2015</w:t>
      </w:r>
      <w:r>
        <w:rPr>
          <w:spacing w:val="-1"/>
        </w:rPr>
        <w:t>年半年度资本公积金转增股本事项、增补公司第三届董事会独立董事、为郑州高新梧桐水务有</w:t>
      </w:r>
      <w:r>
        <w:rPr>
          <w:spacing w:val="-80"/>
        </w:rPr>
        <w:t> </w:t>
      </w:r>
      <w:r>
        <w:rPr>
          <w:spacing w:val="-80"/>
        </w:rPr>
      </w:r>
      <w:r>
        <w:rPr/>
        <w:t>限公司提供担保的相关事项发表了独立意见并被公司采纳。</w:t>
      </w:r>
    </w:p>
    <w:p>
      <w:pPr>
        <w:pStyle w:val="BodyText"/>
        <w:spacing w:line="408" w:lineRule="auto"/>
        <w:ind w:right="1131" w:firstLine="420"/>
        <w:jc w:val="both"/>
      </w:pPr>
      <w:r>
        <w:rPr>
          <w:rFonts w:ascii="宋体" w:hAnsi="宋体" w:cs="宋体" w:eastAsia="宋体" w:hint="default"/>
          <w:spacing w:val="-1"/>
        </w:rPr>
        <w:t>7</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14</w:t>
      </w:r>
      <w:r>
        <w:rPr>
          <w:spacing w:val="-1"/>
        </w:rPr>
        <w:t>日，公司召开第三届董事会第十五次会议，独立董事就使用自有资金投资广东龙泉科</w:t>
      </w:r>
      <w:r>
        <w:rPr/>
        <w:t> 技有限公司的相关事项发表了独立意见并被公司采纳。</w:t>
      </w:r>
    </w:p>
    <w:p>
      <w:pPr>
        <w:pStyle w:val="BodyText"/>
        <w:spacing w:line="240" w:lineRule="auto"/>
        <w:ind w:left="1554" w:right="1117"/>
        <w:jc w:val="left"/>
      </w:pPr>
      <w:r>
        <w:rPr>
          <w:rFonts w:ascii="宋体" w:hAnsi="宋体" w:cs="宋体" w:eastAsia="宋体" w:hint="default"/>
        </w:rPr>
        <w:t>8</w:t>
      </w:r>
      <w:r>
        <w:rPr/>
        <w:t>、</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28</w:t>
      </w:r>
      <w:r>
        <w:rPr/>
        <w:t>日，公司召开第三届董事会第十八次会议，独立董事就使用自有资金投资河南雪城</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3"/>
        <w:jc w:val="both"/>
      </w:pPr>
      <w:r>
        <w:rPr>
          <w:spacing w:val="-1"/>
        </w:rPr>
        <w:t>软件有限公司、增补董事、聘任高级管理人员、节余募集资金永久补充流动资金、拟设立全资子公司的相</w:t>
      </w:r>
      <w:r>
        <w:rPr>
          <w:spacing w:val="-86"/>
        </w:rPr>
        <w:t> </w:t>
      </w:r>
      <w:r>
        <w:rPr>
          <w:spacing w:val="-86"/>
        </w:rPr>
      </w:r>
      <w:r>
        <w:rPr/>
        <w:t>关事项发表了独立意见并被公司采纳。</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六、董事会下设专门委员会在报告期内履行职责情况" w:id="132"/>
      <w:bookmarkEnd w:id="13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53" w:right="1117"/>
        <w:jc w:val="left"/>
      </w:pPr>
      <w:r>
        <w:rPr/>
        <w:t>（一）审计委员会履职情况 </w:t>
      </w:r>
      <w:r>
        <w:rPr>
          <w:spacing w:val="-1"/>
        </w:rPr>
        <w:t>报告期内，审计委员会根据《公司法》、《证券法》、《上市公司治理准则》、《内部审计制度》及</w:t>
      </w:r>
    </w:p>
    <w:p>
      <w:pPr>
        <w:pStyle w:val="BodyText"/>
        <w:spacing w:line="386" w:lineRule="auto"/>
        <w:ind w:right="1129"/>
        <w:jc w:val="both"/>
      </w:pPr>
      <w:r>
        <w:rPr/>
        <w:t>《董事会专门委员会工作细则》等有关规定，积极履行职责。报告期内，审计委员会共召开了</w:t>
      </w:r>
      <w:r>
        <w:rPr>
          <w:rFonts w:ascii="Times New Roman" w:hAnsi="Times New Roman" w:cs="Times New Roman" w:eastAsia="Times New Roman" w:hint="default"/>
        </w:rPr>
        <w:t>4</w:t>
      </w:r>
      <w:r>
        <w:rPr/>
        <w:t>次会议，</w:t>
      </w:r>
      <w:r>
        <w:rPr>
          <w:spacing w:val="-24"/>
        </w:rPr>
        <w:t> </w:t>
      </w:r>
      <w:r>
        <w:rPr>
          <w:spacing w:val="-24"/>
        </w:rPr>
      </w:r>
      <w:r>
        <w:rPr>
          <w:rFonts w:ascii="Times New Roman" w:hAnsi="Times New Roman" w:cs="Times New Roman" w:eastAsia="Times New Roman" w:hint="default"/>
          <w:spacing w:val="-1"/>
        </w:rPr>
        <w:t>2015</w:t>
      </w:r>
      <w:r>
        <w:rPr>
          <w:spacing w:val="-1"/>
        </w:rPr>
        <w:t>年第一次会议审议了</w:t>
      </w:r>
      <w:r>
        <w:rPr>
          <w:rFonts w:ascii="Times New Roman" w:hAnsi="Times New Roman" w:cs="Times New Roman" w:eastAsia="Times New Roman" w:hint="default"/>
          <w:spacing w:val="-1"/>
        </w:rPr>
        <w:t>2014</w:t>
      </w:r>
      <w:r>
        <w:rPr>
          <w:spacing w:val="-1"/>
        </w:rPr>
        <w:t>年度报告相关事项和</w:t>
      </w:r>
      <w:r>
        <w:rPr>
          <w:rFonts w:ascii="Times New Roman" w:hAnsi="Times New Roman" w:cs="Times New Roman" w:eastAsia="Times New Roman" w:hint="default"/>
          <w:spacing w:val="-1"/>
        </w:rPr>
        <w:t>2014</w:t>
      </w:r>
      <w:r>
        <w:rPr>
          <w:spacing w:val="-1"/>
        </w:rPr>
        <w:t>年第四季度内审工作总结；</w:t>
      </w:r>
      <w:r>
        <w:rPr>
          <w:rFonts w:ascii="Times New Roman" w:hAnsi="Times New Roman" w:cs="Times New Roman" w:eastAsia="Times New Roman" w:hint="default"/>
          <w:spacing w:val="-1"/>
        </w:rPr>
        <w:t>2015</w:t>
      </w:r>
      <w:r>
        <w:rPr>
          <w:spacing w:val="-1"/>
        </w:rPr>
        <w:t>年第二次会议审议</w:t>
      </w:r>
      <w:r>
        <w:rPr>
          <w:spacing w:val="-77"/>
        </w:rPr>
        <w:t> </w:t>
      </w:r>
      <w:r>
        <w:rPr>
          <w:spacing w:val="-77"/>
        </w:rPr>
      </w:r>
      <w:r>
        <w:rPr>
          <w:spacing w:val="-1"/>
        </w:rPr>
        <w:t>了</w:t>
      </w:r>
      <w:r>
        <w:rPr>
          <w:rFonts w:ascii="Times New Roman" w:hAnsi="Times New Roman" w:cs="Times New Roman" w:eastAsia="Times New Roman" w:hint="default"/>
          <w:spacing w:val="-1"/>
        </w:rPr>
        <w:t>2015</w:t>
      </w:r>
      <w:r>
        <w:rPr>
          <w:spacing w:val="-1"/>
        </w:rPr>
        <w:t>年第一季度报告相关事项和</w:t>
      </w:r>
      <w:r>
        <w:rPr>
          <w:rFonts w:ascii="Times New Roman" w:hAnsi="Times New Roman" w:cs="Times New Roman" w:eastAsia="Times New Roman" w:hint="default"/>
          <w:spacing w:val="-1"/>
        </w:rPr>
        <w:t>2015</w:t>
      </w:r>
      <w:r>
        <w:rPr>
          <w:spacing w:val="-1"/>
        </w:rPr>
        <w:t>年第一季度内审工作总结；</w:t>
      </w:r>
      <w:r>
        <w:rPr>
          <w:rFonts w:ascii="Times New Roman" w:hAnsi="Times New Roman" w:cs="Times New Roman" w:eastAsia="Times New Roman" w:hint="default"/>
          <w:spacing w:val="-1"/>
        </w:rPr>
        <w:t>2015</w:t>
      </w:r>
      <w:r>
        <w:rPr>
          <w:spacing w:val="-1"/>
        </w:rPr>
        <w:t>年第三次会议审议了</w:t>
      </w:r>
      <w:r>
        <w:rPr>
          <w:rFonts w:ascii="Times New Roman" w:hAnsi="Times New Roman" w:cs="Times New Roman" w:eastAsia="Times New Roman" w:hint="default"/>
          <w:spacing w:val="-1"/>
        </w:rPr>
        <w:t>2015</w:t>
      </w:r>
      <w:r>
        <w:rPr>
          <w:spacing w:val="-1"/>
        </w:rPr>
        <w:t>年半年度</w:t>
      </w:r>
      <w:r>
        <w:rPr>
          <w:spacing w:val="-75"/>
        </w:rPr>
        <w:t> </w:t>
      </w:r>
      <w:r>
        <w:rPr>
          <w:spacing w:val="-75"/>
        </w:rPr>
      </w:r>
      <w:r>
        <w:rPr>
          <w:spacing w:val="3"/>
        </w:rPr>
        <w:t>报告相关事项和</w:t>
      </w:r>
      <w:r>
        <w:rPr>
          <w:rFonts w:ascii="Times New Roman" w:hAnsi="Times New Roman" w:cs="Times New Roman" w:eastAsia="Times New Roman" w:hint="default"/>
          <w:spacing w:val="3"/>
        </w:rPr>
        <w:t>2015</w:t>
      </w:r>
      <w:r>
        <w:rPr>
          <w:spacing w:val="3"/>
        </w:rPr>
        <w:t>年半年度内审工作总结；</w:t>
      </w:r>
      <w:r>
        <w:rPr>
          <w:rFonts w:ascii="Times New Roman" w:hAnsi="Times New Roman" w:cs="Times New Roman" w:eastAsia="Times New Roman" w:hint="default"/>
          <w:spacing w:val="3"/>
        </w:rPr>
        <w:t>2015</w:t>
      </w:r>
      <w:r>
        <w:rPr>
          <w:spacing w:val="3"/>
        </w:rPr>
        <w:t>年第四次会议审议了</w:t>
      </w:r>
      <w:r>
        <w:rPr>
          <w:rFonts w:ascii="Times New Roman" w:hAnsi="Times New Roman" w:cs="Times New Roman" w:eastAsia="Times New Roman" w:hint="default"/>
          <w:spacing w:val="3"/>
        </w:rPr>
        <w:t>2015</w:t>
      </w:r>
      <w:r>
        <w:rPr>
          <w:spacing w:val="3"/>
        </w:rPr>
        <w:t>年第三季度报告相关事项和</w:t>
      </w:r>
      <w:r>
        <w:rPr>
          <w:spacing w:val="-94"/>
        </w:rPr>
        <w:t> </w:t>
      </w:r>
      <w:r>
        <w:rPr>
          <w:spacing w:val="-94"/>
        </w:rPr>
      </w:r>
      <w:r>
        <w:rPr>
          <w:rFonts w:ascii="Times New Roman" w:hAnsi="Times New Roman" w:cs="Times New Roman" w:eastAsia="Times New Roman" w:hint="default"/>
        </w:rPr>
        <w:t>2015</w:t>
      </w:r>
      <w:r>
        <w:rPr/>
        <w:t>年第三季度内审工作总结。</w:t>
      </w:r>
    </w:p>
    <w:p>
      <w:pPr>
        <w:pStyle w:val="BodyText"/>
        <w:spacing w:line="408" w:lineRule="auto" w:before="35"/>
        <w:ind w:left="1554" w:right="1117"/>
        <w:jc w:val="left"/>
      </w:pPr>
      <w:r>
        <w:rPr/>
        <w:t>（二）薪酬与考核委员会履职情况 </w:t>
      </w:r>
      <w:r>
        <w:rPr>
          <w:spacing w:val="-1"/>
        </w:rPr>
        <w:t>报告期内，薪酬与考核委员会对公司董事、监事和高级管理人员的薪酬情况进行了审核，认为其薪酬</w:t>
      </w:r>
    </w:p>
    <w:p>
      <w:pPr>
        <w:pStyle w:val="BodyText"/>
        <w:spacing w:line="403" w:lineRule="auto"/>
        <w:ind w:right="712"/>
        <w:jc w:val="left"/>
      </w:pPr>
      <w:r>
        <w:rPr/>
        <w:t>标准和年度薪酬总额的确定符合公司相关薪酬管理制度的规定。同时，薪酬与考核委员会不断探讨绩效考 </w:t>
      </w:r>
      <w:r>
        <w:rPr>
          <w:spacing w:val="-5"/>
        </w:rPr>
        <w:t>核体系的进一步完善，为充分调动公司及公司控股子公司董事、监事、高级管理人员和核心员工的积极性，</w:t>
      </w:r>
      <w:r>
        <w:rPr>
          <w:spacing w:val="-103"/>
        </w:rPr>
        <w:t> </w:t>
      </w:r>
      <w:r>
        <w:rPr>
          <w:spacing w:val="-103"/>
        </w:rPr>
      </w:r>
      <w:r>
        <w:rPr/>
        <w:t>增强公司管理团队和核心员工对实现公司健康、持续发展的责任感、使命感，有效地将股东利益、公司利</w:t>
      </w:r>
      <w:r>
        <w:rPr/>
        <w:t> 益和公司员工利益结合在一起，使各方共同关注公司的长远发展，减少管理者的短期行为。报告期内，薪 酬与考核委员会认为，公司董事、监事和高级管理人员根据各自的分工，认真履行了相应的职责，较好的 完成了其工作目标。</w:t>
      </w:r>
      <w:r>
        <w:rPr>
          <w:spacing w:val="-22"/>
        </w:rPr>
        <w:t> </w:t>
      </w:r>
      <w:r>
        <w:rPr/>
        <w:t>报告期内，薪酬与考核委员会召开了</w:t>
      </w:r>
      <w:r>
        <w:rPr>
          <w:rFonts w:ascii="Times New Roman" w:hAnsi="Times New Roman" w:cs="Times New Roman" w:eastAsia="Times New Roman" w:hint="default"/>
        </w:rPr>
        <w:t>1</w:t>
      </w:r>
      <w:r>
        <w:rPr/>
        <w:t>次会议，对公司</w:t>
      </w:r>
      <w:r>
        <w:rPr>
          <w:rFonts w:ascii="Times New Roman" w:hAnsi="Times New Roman" w:cs="Times New Roman" w:eastAsia="Times New Roman" w:hint="default"/>
        </w:rPr>
        <w:t>2014</w:t>
      </w:r>
      <w:r>
        <w:rPr/>
        <w:t>年主要财务指标和经营目 </w:t>
      </w:r>
      <w:r>
        <w:rPr>
          <w:spacing w:val="-3"/>
        </w:rPr>
        <w:t>标完成情况、董事和高级管理人员绩效评价总结、</w:t>
      </w:r>
      <w:r>
        <w:rPr>
          <w:rFonts w:ascii="Times New Roman" w:hAnsi="Times New Roman" w:cs="Times New Roman" w:eastAsia="Times New Roman" w:hint="default"/>
          <w:spacing w:val="-3"/>
        </w:rPr>
        <w:t>2015</w:t>
      </w:r>
      <w:r>
        <w:rPr>
          <w:spacing w:val="-3"/>
        </w:rPr>
        <w:t>年董事监事和高级管理人员的薪酬事项进行了审核，</w:t>
      </w:r>
      <w:r>
        <w:rPr>
          <w:spacing w:val="-86"/>
        </w:rPr>
        <w:t> </w:t>
      </w:r>
      <w:r>
        <w:rPr>
          <w:spacing w:val="-86"/>
        </w:rPr>
      </w:r>
      <w:r>
        <w:rPr/>
        <w:t>并提交给董事会审议。</w:t>
      </w:r>
    </w:p>
    <w:p>
      <w:pPr>
        <w:pStyle w:val="BodyText"/>
        <w:spacing w:line="408" w:lineRule="auto" w:before="50"/>
        <w:ind w:left="1553" w:right="1117"/>
        <w:jc w:val="left"/>
      </w:pPr>
      <w:r>
        <w:rPr/>
        <w:t>（三）提名委员会履职情况 </w:t>
      </w:r>
      <w:r>
        <w:rPr>
          <w:spacing w:val="-1"/>
        </w:rPr>
        <w:t>报告期内，提名委员会按照《董事会专门委员会工作细则》履行职责，提名委员会认为公司董事会人</w:t>
      </w:r>
    </w:p>
    <w:p>
      <w:pPr>
        <w:pStyle w:val="BodyText"/>
        <w:spacing w:line="398" w:lineRule="auto"/>
        <w:ind w:right="1133"/>
        <w:jc w:val="both"/>
      </w:pPr>
      <w:r>
        <w:rPr>
          <w:spacing w:val="-1"/>
        </w:rPr>
        <w:t>员结构合理，高管团队具有丰富的行业经验和管理经验，完全胜任各自的工作。报告期内，提名委员会召</w:t>
      </w:r>
      <w:r>
        <w:rPr>
          <w:spacing w:val="-86"/>
        </w:rPr>
        <w:t> </w:t>
      </w:r>
      <w:r>
        <w:rPr>
          <w:spacing w:val="-86"/>
        </w:rPr>
      </w:r>
      <w:r>
        <w:rPr/>
        <w:t>开了</w:t>
      </w:r>
      <w:r>
        <w:rPr>
          <w:rFonts w:ascii="Times New Roman" w:hAnsi="Times New Roman" w:cs="Times New Roman" w:eastAsia="Times New Roman" w:hint="default"/>
        </w:rPr>
        <w:t>3</w:t>
      </w:r>
      <w:r>
        <w:rPr/>
        <w:t>次会议，对公司聘任董事会秘书肖锋先生、独立董事刘威先生和赵向阳先生以及总经理张潇君先生</w:t>
      </w:r>
      <w:r>
        <w:rPr>
          <w:spacing w:val="-34"/>
        </w:rPr>
        <w:t> </w:t>
      </w:r>
      <w:r>
        <w:rPr>
          <w:spacing w:val="-34"/>
        </w:rPr>
      </w:r>
      <w:r>
        <w:rPr/>
        <w:t>的任职资格进行了认真审查，并提交给董事会审议。</w:t>
      </w:r>
    </w:p>
    <w:p>
      <w:pPr>
        <w:pStyle w:val="BodyText"/>
        <w:spacing w:line="408" w:lineRule="auto" w:before="54"/>
        <w:ind w:left="1553" w:right="1117"/>
        <w:jc w:val="left"/>
      </w:pPr>
      <w:r>
        <w:rPr/>
        <w:t>（四）战略发展委员会履职情况 </w:t>
      </w:r>
      <w:r>
        <w:rPr>
          <w:spacing w:val="-1"/>
        </w:rPr>
        <w:t>报告期内，公司战略发展委员会认真研究国家宏观经济政策、结构调整对公司的影响，跟踪国内外同</w:t>
      </w:r>
    </w:p>
    <w:p>
      <w:pPr>
        <w:pStyle w:val="BodyText"/>
        <w:spacing w:line="408" w:lineRule="auto"/>
        <w:ind w:right="1131"/>
        <w:jc w:val="both"/>
      </w:pPr>
      <w:r>
        <w:rPr>
          <w:spacing w:val="-1"/>
        </w:rPr>
        <w:t>行业发展动向，结合公司战略发展要求，向公司董事会提出有关结构调整、资本运作、长远发展等事项的</w:t>
      </w:r>
      <w:r>
        <w:rPr>
          <w:spacing w:val="-86"/>
        </w:rPr>
        <w:t> </w:t>
      </w:r>
      <w:r>
        <w:rPr>
          <w:spacing w:val="-86"/>
        </w:rPr>
      </w:r>
      <w:r>
        <w:rPr>
          <w:spacing w:val="-1"/>
        </w:rPr>
        <w:t>建议，对促进公司转方式、调结构，规避市场风险，起到积极良好的作用。报告期内，战略与投资委员会</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1117"/>
        <w:jc w:val="left"/>
      </w:pPr>
      <w:r>
        <w:rPr/>
        <w:t>召开了</w:t>
      </w:r>
      <w:r>
        <w:rPr>
          <w:rFonts w:ascii="Times New Roman" w:hAnsi="Times New Roman" w:cs="Times New Roman" w:eastAsia="Times New Roman" w:hint="default"/>
        </w:rPr>
        <w:t>1</w:t>
      </w:r>
      <w:r>
        <w:rPr/>
        <w:t>次会议，会议审议了《公司</w:t>
      </w:r>
      <w:r>
        <w:rPr>
          <w:rFonts w:ascii="Times New Roman" w:hAnsi="Times New Roman" w:cs="Times New Roman" w:eastAsia="Times New Roman" w:hint="default"/>
        </w:rPr>
        <w:t>2015</w:t>
      </w:r>
      <w:r>
        <w:rPr/>
        <w:t>年战略发展规划》和《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年三年发展规划》。</w:t>
      </w:r>
    </w:p>
    <w:p>
      <w:pPr>
        <w:spacing w:line="240" w:lineRule="auto" w:before="11"/>
        <w:rPr>
          <w:rFonts w:ascii="宋体" w:hAnsi="宋体" w:cs="宋体" w:eastAsia="宋体" w:hint="default"/>
          <w:sz w:val="28"/>
          <w:szCs w:val="28"/>
        </w:rPr>
      </w:pPr>
    </w:p>
    <w:p>
      <w:pPr>
        <w:pStyle w:val="Heading2"/>
        <w:spacing w:line="240" w:lineRule="auto"/>
        <w:ind w:right="1117"/>
        <w:jc w:val="left"/>
        <w:rPr>
          <w:b w:val="0"/>
          <w:bCs w:val="0"/>
        </w:rPr>
      </w:pPr>
      <w:bookmarkStart w:name="七、监事会工作情况" w:id="133"/>
      <w:bookmarkEnd w:id="133"/>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117"/>
        <w:jc w:val="left"/>
        <w:rPr>
          <w:b w:val="0"/>
          <w:bCs w:val="0"/>
        </w:rPr>
      </w:pPr>
      <w:bookmarkStart w:name="八、高级管理人员的考评及激励情况" w:id="134"/>
      <w:bookmarkEnd w:id="13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0"/>
        <w:jc w:val="both"/>
      </w:pPr>
      <w:r>
        <w:rPr>
          <w:spacing w:val="-1"/>
        </w:rPr>
        <w:t>报告期内，按照《汉威电子中高层管理人员绩效考核办法》和《</w:t>
      </w:r>
      <w:r>
        <w:rPr>
          <w:rFonts w:ascii="宋体" w:hAnsi="宋体" w:cs="宋体" w:eastAsia="宋体" w:hint="default"/>
          <w:spacing w:val="-1"/>
        </w:rPr>
        <w:t>2015</w:t>
      </w:r>
      <w:r>
        <w:rPr>
          <w:spacing w:val="-1"/>
        </w:rPr>
        <w:t>年度关于开展中高层管理人员综</w:t>
      </w:r>
      <w:r>
        <w:rPr/>
        <w:t> </w:t>
      </w:r>
      <w:r>
        <w:rPr>
          <w:spacing w:val="-1"/>
        </w:rPr>
        <w:t>合考核评价实施办法》，公司对高级管理人员进行了四个季度考核、半年度述职和年终综合考评，公司的</w:t>
      </w:r>
      <w:r>
        <w:rPr>
          <w:spacing w:val="-86"/>
        </w:rPr>
        <w:t> </w:t>
      </w:r>
      <w:r>
        <w:rPr>
          <w:spacing w:val="-86"/>
        </w:rPr>
      </w:r>
      <w:r>
        <w:rPr>
          <w:spacing w:val="-1"/>
        </w:rPr>
        <w:t>各项考核制度较为合理地把高级管理人员的工作业绩与其薪酬进行挂钩，并且特别制定超额激励的奖励标</w:t>
      </w:r>
      <w:r>
        <w:rPr>
          <w:spacing w:val="-81"/>
        </w:rPr>
        <w:t> </w:t>
      </w:r>
      <w:r>
        <w:rPr>
          <w:spacing w:val="-81"/>
        </w:rPr>
      </w:r>
      <w:r>
        <w:rPr>
          <w:spacing w:val="-1"/>
        </w:rPr>
        <w:t>准和计算方法，极大的提高了高级管理人员的积极性，同时高管薪酬的确定符合公司薪酬管理和业绩考评</w:t>
      </w:r>
      <w:r>
        <w:rPr>
          <w:spacing w:val="-81"/>
        </w:rPr>
        <w:t> </w:t>
      </w:r>
      <w:r>
        <w:rPr>
          <w:spacing w:val="-81"/>
        </w:rPr>
      </w:r>
      <w:r>
        <w:rPr/>
        <w:t>激励等制度的有关规定。</w:t>
      </w:r>
    </w:p>
    <w:p>
      <w:pPr>
        <w:spacing w:line="240" w:lineRule="auto" w:before="11"/>
        <w:rPr>
          <w:rFonts w:ascii="宋体" w:hAnsi="宋体" w:cs="宋体" w:eastAsia="宋体" w:hint="default"/>
          <w:sz w:val="18"/>
          <w:szCs w:val="18"/>
        </w:rPr>
      </w:pPr>
    </w:p>
    <w:p>
      <w:pPr>
        <w:pStyle w:val="Heading2"/>
        <w:spacing w:line="240" w:lineRule="auto"/>
        <w:ind w:right="1117"/>
        <w:jc w:val="left"/>
        <w:rPr>
          <w:b w:val="0"/>
          <w:bCs w:val="0"/>
        </w:rPr>
      </w:pPr>
      <w:bookmarkStart w:name="九、内部控制评价报告" w:id="135"/>
      <w:bookmarkEnd w:id="13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报告期内发现的内部控制重大缺陷的具体情况" w:id="136"/>
      <w:bookmarkEnd w:id="13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2、内控自我评价报告" w:id="137"/>
      <w:bookmarkEnd w:id="13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3236"/>
        <w:gridCol w:w="3369"/>
        <w:gridCol w:w="3090"/>
      </w:tblGrid>
      <w:tr>
        <w:trPr>
          <w:trHeight w:val="322"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45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62" w:hRule="exact"/>
        </w:trPr>
        <w:tc>
          <w:tcPr>
            <w:tcW w:w="3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459" w:type="dxa"/>
            <w:gridSpan w:val="2"/>
            <w:vMerge w:val="restart"/>
            <w:tcBorders>
              <w:top w:val="single" w:sz="4" w:space="0" w:color="000000"/>
              <w:left w:val="single" w:sz="9" w:space="0" w:color="D2D2D2"/>
              <w:right w:val="single" w:sz="4" w:space="0" w:color="000000"/>
            </w:tcBorders>
          </w:tcPr>
          <w:p>
            <w:pPr>
              <w:pStyle w:val="TableParagraph"/>
              <w:spacing w:line="316" w:lineRule="auto" w:before="11"/>
              <w:ind w:left="17" w:right="79"/>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宋体" w:hAnsi="宋体" w:cs="宋体" w:eastAsia="宋体" w:hint="default"/>
                <w:sz w:val="18"/>
                <w:szCs w:val="18"/>
              </w:rPr>
              <w:t>www.cninfo.com.cn,2016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日披露《</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年度内部控制自我 评价报告》</w:t>
            </w:r>
          </w:p>
        </w:tc>
      </w:tr>
      <w:tr>
        <w:trPr>
          <w:trHeight w:val="312" w:hRule="exact"/>
        </w:trPr>
        <w:tc>
          <w:tcPr>
            <w:tcW w:w="3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459" w:type="dxa"/>
            <w:gridSpan w:val="2"/>
            <w:vMerge/>
            <w:tcBorders>
              <w:left w:val="single" w:sz="9" w:space="0" w:color="D2D2D2"/>
              <w:right w:val="single" w:sz="4" w:space="0" w:color="000000"/>
            </w:tcBorders>
          </w:tcPr>
          <w:p>
            <w:pPr/>
          </w:p>
        </w:tc>
      </w:tr>
      <w:tr>
        <w:trPr>
          <w:trHeight w:val="161" w:hRule="exact"/>
        </w:trPr>
        <w:tc>
          <w:tcPr>
            <w:tcW w:w="3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459" w:type="dxa"/>
            <w:gridSpan w:val="2"/>
            <w:vMerge/>
            <w:tcBorders>
              <w:left w:val="single" w:sz="9" w:space="0" w:color="D2D2D2"/>
              <w:bottom w:val="single" w:sz="4" w:space="0" w:color="000000"/>
              <w:right w:val="single" w:sz="4" w:space="0" w:color="000000"/>
            </w:tcBorders>
          </w:tcPr>
          <w:p>
            <w:pPr/>
          </w:p>
        </w:tc>
      </w:tr>
      <w:tr>
        <w:trPr>
          <w:trHeight w:val="634"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4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45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98.00%</w:t>
            </w:r>
          </w:p>
        </w:tc>
      </w:tr>
      <w:tr>
        <w:trPr>
          <w:trHeight w:val="634"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4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45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94.00%</w:t>
            </w:r>
          </w:p>
        </w:tc>
      </w:tr>
      <w:tr>
        <w:trPr>
          <w:trHeight w:val="317" w:hRule="exact"/>
        </w:trPr>
        <w:tc>
          <w:tcPr>
            <w:tcW w:w="96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6"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97" w:hRule="exact"/>
        </w:trPr>
        <w:tc>
          <w:tcPr>
            <w:tcW w:w="3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6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9" w:lineRule="auto"/>
              <w:ind w:left="17" w:right="93"/>
              <w:jc w:val="both"/>
              <w:rPr>
                <w:rFonts w:ascii="宋体" w:hAnsi="宋体" w:cs="宋体" w:eastAsia="宋体" w:hint="default"/>
                <w:sz w:val="18"/>
                <w:szCs w:val="18"/>
              </w:rPr>
            </w:pPr>
            <w:r>
              <w:rPr>
                <w:rFonts w:ascii="宋体" w:hAnsi="宋体" w:cs="宋体" w:eastAsia="宋体" w:hint="default"/>
                <w:sz w:val="18"/>
                <w:szCs w:val="18"/>
              </w:rPr>
              <w:t>第一，发现缺陷是否具备合理可能性导致 内部控制不能及时防止、发现并纠正财务 报表错报；第二，发现缺陷单独或连同其 他缺陷可能导致的潜在错报金额的大小。</w:t>
            </w:r>
          </w:p>
        </w:tc>
        <w:tc>
          <w:tcPr>
            <w:tcW w:w="3090" w:type="dxa"/>
            <w:vMerge w:val="restart"/>
            <w:tcBorders>
              <w:top w:val="single" w:sz="4" w:space="0" w:color="000000"/>
              <w:left w:val="single" w:sz="4" w:space="0" w:color="000000"/>
              <w:right w:val="single" w:sz="4" w:space="0" w:color="000000"/>
            </w:tcBorders>
          </w:tcPr>
          <w:p>
            <w:pPr>
              <w:pStyle w:val="TableParagraph"/>
              <w:spacing w:line="316" w:lineRule="auto" w:before="10"/>
              <w:ind w:left="22" w:right="-3"/>
              <w:jc w:val="left"/>
              <w:rPr>
                <w:rFonts w:ascii="宋体" w:hAnsi="宋体" w:cs="宋体" w:eastAsia="宋体" w:hint="default"/>
                <w:sz w:val="18"/>
                <w:szCs w:val="18"/>
              </w:rPr>
            </w:pPr>
            <w:r>
              <w:rPr>
                <w:rFonts w:ascii="宋体" w:hAnsi="宋体" w:cs="宋体" w:eastAsia="宋体" w:hint="default"/>
                <w:spacing w:val="-2"/>
                <w:sz w:val="18"/>
                <w:szCs w:val="18"/>
              </w:rPr>
              <w:t>第一，企业财务报表已经或者很可能被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注册会计师出具否定意见；第二，企业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审计委员会和内部审计机构未能有效 </w:t>
            </w:r>
            <w:r>
              <w:rPr>
                <w:rFonts w:ascii="宋体" w:hAnsi="宋体" w:cs="宋体" w:eastAsia="宋体" w:hint="default"/>
                <w:spacing w:val="-2"/>
                <w:sz w:val="18"/>
                <w:szCs w:val="18"/>
              </w:rPr>
              <w:t>发挥监督职能；第三，企业董事、监事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和高级管理人员已经或者涉嫌舞弊，或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者企业员工存在串谋舞弊情形并给企 </w:t>
            </w:r>
            <w:r>
              <w:rPr>
                <w:rFonts w:ascii="宋体" w:hAnsi="宋体" w:cs="宋体" w:eastAsia="宋体" w:hint="default"/>
                <w:spacing w:val="-2"/>
                <w:sz w:val="18"/>
                <w:szCs w:val="18"/>
              </w:rPr>
              <w:t>业造成重要损失和不利影响；第四，企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业在财务会计、资金管理、资本运营、</w:t>
            </w:r>
          </w:p>
        </w:tc>
      </w:tr>
      <w:tr>
        <w:trPr>
          <w:trHeight w:val="312" w:hRule="exact"/>
        </w:trPr>
        <w:tc>
          <w:tcPr>
            <w:tcW w:w="3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69" w:type="dxa"/>
            <w:vMerge/>
            <w:tcBorders>
              <w:left w:val="single" w:sz="9" w:space="0" w:color="D2D2D2"/>
              <w:right w:val="single" w:sz="4" w:space="0" w:color="000000"/>
            </w:tcBorders>
          </w:tcPr>
          <w:p>
            <w:pPr/>
          </w:p>
        </w:tc>
        <w:tc>
          <w:tcPr>
            <w:tcW w:w="3090" w:type="dxa"/>
            <w:vMerge/>
            <w:tcBorders>
              <w:left w:val="single" w:sz="4" w:space="0" w:color="000000"/>
              <w:right w:val="single" w:sz="4" w:space="0" w:color="000000"/>
            </w:tcBorders>
          </w:tcPr>
          <w:p>
            <w:pPr/>
          </w:p>
        </w:tc>
      </w:tr>
      <w:tr>
        <w:trPr>
          <w:trHeight w:val="1098" w:hRule="exact"/>
        </w:trPr>
        <w:tc>
          <w:tcPr>
            <w:tcW w:w="3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3369" w:type="dxa"/>
            <w:vMerge/>
            <w:tcBorders>
              <w:left w:val="single" w:sz="9" w:space="0" w:color="D2D2D2"/>
              <w:bottom w:val="single" w:sz="4" w:space="0" w:color="000000"/>
              <w:right w:val="single" w:sz="4" w:space="0" w:color="000000"/>
            </w:tcBorders>
          </w:tcPr>
          <w:p>
            <w:pPr/>
          </w:p>
        </w:tc>
        <w:tc>
          <w:tcPr>
            <w:tcW w:w="309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01" w:type="dxa"/>
        <w:tblLayout w:type="fixed"/>
        <w:tblCellMar>
          <w:top w:w="0" w:type="dxa"/>
          <w:left w:w="0" w:type="dxa"/>
          <w:bottom w:w="0" w:type="dxa"/>
          <w:right w:w="0" w:type="dxa"/>
        </w:tblCellMar>
        <w:tblLook w:val="01E0"/>
      </w:tblPr>
      <w:tblGrid>
        <w:gridCol w:w="3236"/>
        <w:gridCol w:w="3369"/>
        <w:gridCol w:w="3090"/>
      </w:tblGrid>
      <w:tr>
        <w:trPr>
          <w:trHeight w:val="1258"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69" w:type="dxa"/>
            <w:tcBorders>
              <w:top w:val="single" w:sz="4" w:space="0" w:color="000000"/>
              <w:left w:val="single" w:sz="4" w:space="0" w:color="000000"/>
              <w:bottom w:val="single" w:sz="4" w:space="0" w:color="000000"/>
              <w:right w:val="single" w:sz="4" w:space="0" w:color="000000"/>
            </w:tcBorders>
          </w:tcPr>
          <w:p>
            <w:pP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信息披露、产品质量、安全生产、环境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保护等方面发生重大违法违规事件和 </w:t>
            </w:r>
            <w:r>
              <w:rPr>
                <w:rFonts w:ascii="宋体" w:hAnsi="宋体" w:cs="宋体" w:eastAsia="宋体" w:hint="default"/>
                <w:spacing w:val="-2"/>
                <w:sz w:val="18"/>
                <w:szCs w:val="18"/>
              </w:rPr>
              <w:t>责任事故，给企业造成重要损失和不利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影响，或者遭受重大行政监管处罚。</w:t>
            </w:r>
          </w:p>
        </w:tc>
      </w:tr>
      <w:tr>
        <w:trPr>
          <w:trHeight w:val="4691"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3" w:right="23"/>
              <w:jc w:val="both"/>
              <w:rPr>
                <w:rFonts w:ascii="宋体" w:hAnsi="宋体" w:cs="宋体" w:eastAsia="宋体" w:hint="default"/>
                <w:sz w:val="18"/>
                <w:szCs w:val="18"/>
              </w:rPr>
            </w:pPr>
            <w:r>
              <w:rPr>
                <w:rFonts w:ascii="宋体" w:hAnsi="宋体" w:cs="宋体" w:eastAsia="宋体" w:hint="default"/>
                <w:sz w:val="18"/>
                <w:szCs w:val="18"/>
              </w:rPr>
              <w:t>第一，利润总额潜在错报、资产总额、经 营收入潜在错报、所有者权益潜在错报分 别≥利润总额、资产总额、经营收入、所 有者权益</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应当被认定为重大缺陷影响； 第二，利润总额</w:t>
            </w:r>
            <w:r>
              <w:rPr>
                <w:rFonts w:ascii="宋体" w:hAnsi="宋体" w:cs="宋体" w:eastAsia="宋体" w:hint="default"/>
                <w:spacing w:val="-46"/>
                <w:sz w:val="18"/>
                <w:szCs w:val="18"/>
              </w:rPr>
              <w:t> </w:t>
            </w:r>
            <w:r>
              <w:rPr>
                <w:rFonts w:ascii="宋体" w:hAnsi="宋体" w:cs="宋体" w:eastAsia="宋体" w:hint="default"/>
                <w:sz w:val="18"/>
                <w:szCs w:val="18"/>
              </w:rPr>
              <w:t>3%≤利润总额潜在错报＜</w:t>
            </w:r>
            <w:r>
              <w:rPr>
                <w:rFonts w:ascii="宋体" w:hAnsi="宋体" w:cs="宋体" w:eastAsia="宋体" w:hint="default"/>
                <w:sz w:val="18"/>
                <w:szCs w:val="18"/>
              </w:rPr>
              <w:t> 利润总额</w:t>
            </w:r>
            <w:r>
              <w:rPr>
                <w:rFonts w:ascii="宋体" w:hAnsi="宋体" w:cs="宋体" w:eastAsia="宋体" w:hint="default"/>
                <w:spacing w:val="-45"/>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、资产总额</w:t>
            </w:r>
            <w:r>
              <w:rPr>
                <w:rFonts w:ascii="宋体" w:hAnsi="宋体" w:cs="宋体" w:eastAsia="宋体" w:hint="default"/>
                <w:spacing w:val="-45"/>
                <w:sz w:val="18"/>
                <w:szCs w:val="18"/>
              </w:rPr>
              <w:t> </w:t>
            </w:r>
            <w:r>
              <w:rPr>
                <w:rFonts w:ascii="宋体" w:hAnsi="宋体" w:cs="宋体" w:eastAsia="宋体" w:hint="default"/>
                <w:sz w:val="18"/>
                <w:szCs w:val="18"/>
              </w:rPr>
              <w:t>0.5%≤资产总额潜</w:t>
            </w:r>
            <w:r>
              <w:rPr>
                <w:rFonts w:ascii="宋体" w:hAnsi="宋体" w:cs="宋体" w:eastAsia="宋体" w:hint="default"/>
                <w:sz w:val="18"/>
                <w:szCs w:val="18"/>
              </w:rPr>
              <w:t> 在错报＜资产总额</w:t>
            </w:r>
            <w:r>
              <w:rPr>
                <w:rFonts w:ascii="宋体" w:hAnsi="宋体" w:cs="宋体" w:eastAsia="宋体" w:hint="default"/>
                <w:spacing w:val="-45"/>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、经营收入</w:t>
            </w:r>
            <w:r>
              <w:rPr>
                <w:rFonts w:ascii="宋体" w:hAnsi="宋体" w:cs="宋体" w:eastAsia="宋体" w:hint="default"/>
                <w:spacing w:val="-45"/>
                <w:sz w:val="18"/>
                <w:szCs w:val="18"/>
              </w:rPr>
              <w:t> </w:t>
            </w:r>
            <w:r>
              <w:rPr>
                <w:rFonts w:ascii="宋体" w:hAnsi="宋体" w:cs="宋体" w:eastAsia="宋体" w:hint="default"/>
                <w:sz w:val="18"/>
                <w:szCs w:val="18"/>
              </w:rPr>
              <w:t>0.5%≤经</w:t>
            </w:r>
            <w:r>
              <w:rPr>
                <w:rFonts w:ascii="宋体" w:hAnsi="宋体" w:cs="宋体" w:eastAsia="宋体" w:hint="default"/>
                <w:sz w:val="18"/>
                <w:szCs w:val="18"/>
              </w:rPr>
              <w:t> 营收入潜在错报＜经营收入</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、所有者权 益</w:t>
            </w:r>
            <w:r>
              <w:rPr>
                <w:rFonts w:ascii="宋体" w:hAnsi="宋体" w:cs="宋体" w:eastAsia="宋体" w:hint="default"/>
                <w:spacing w:val="-46"/>
                <w:sz w:val="18"/>
                <w:szCs w:val="18"/>
              </w:rPr>
              <w:t> </w:t>
            </w:r>
            <w:r>
              <w:rPr>
                <w:rFonts w:ascii="宋体" w:hAnsi="宋体" w:cs="宋体" w:eastAsia="宋体" w:hint="default"/>
                <w:sz w:val="18"/>
                <w:szCs w:val="18"/>
              </w:rPr>
              <w:t>0.5%≤所有者权益潜在错报＜所有者权</w:t>
            </w:r>
            <w:r>
              <w:rPr>
                <w:rFonts w:ascii="宋体" w:hAnsi="宋体" w:cs="宋体" w:eastAsia="宋体" w:hint="default"/>
                <w:sz w:val="18"/>
                <w:szCs w:val="18"/>
              </w:rPr>
              <w:t> 益</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应当被认定为重要缺陷影响；第三， 利润总额潜在错报＜利润总额</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、资产总 额潜在错报＜资产总额</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、经营收入潜 在错报＜经营收入</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、所有者权益潜在 错报＜所有者权益</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应当被认定为一般 缺陷影响。</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9"/>
              <w:ind w:left="22" w:right="23"/>
              <w:jc w:val="left"/>
              <w:rPr>
                <w:rFonts w:ascii="宋体" w:hAnsi="宋体" w:cs="宋体" w:eastAsia="宋体" w:hint="default"/>
                <w:sz w:val="18"/>
                <w:szCs w:val="18"/>
              </w:rPr>
            </w:pPr>
            <w:r>
              <w:rPr>
                <w:rFonts w:ascii="宋体" w:hAnsi="宋体" w:cs="宋体" w:eastAsia="宋体" w:hint="default"/>
                <w:spacing w:val="-2"/>
                <w:sz w:val="18"/>
                <w:szCs w:val="18"/>
              </w:rPr>
              <w:t>第一，给公司带来直接损失金额≥资产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总额</w:t>
            </w:r>
            <w:r>
              <w:rPr>
                <w:rFonts w:ascii="宋体" w:hAnsi="宋体" w:cs="宋体" w:eastAsia="宋体" w:hint="default"/>
                <w:spacing w:val="-40"/>
                <w:sz w:val="18"/>
                <w:szCs w:val="18"/>
              </w:rPr>
              <w:t> </w:t>
            </w:r>
            <w:r>
              <w:rPr>
                <w:rFonts w:ascii="宋体" w:hAnsi="宋体" w:cs="宋体" w:eastAsia="宋体" w:hint="default"/>
                <w:spacing w:val="-5"/>
                <w:sz w:val="18"/>
                <w:szCs w:val="18"/>
              </w:rPr>
              <w:t>1%</w:t>
            </w:r>
            <w:r>
              <w:rPr>
                <w:rFonts w:ascii="宋体" w:hAnsi="宋体" w:cs="宋体" w:eastAsia="宋体" w:hint="default"/>
                <w:spacing w:val="-5"/>
                <w:sz w:val="18"/>
                <w:szCs w:val="18"/>
              </w:rPr>
              <w:t>应当认定为重大缺陷；第二，资</w:t>
            </w:r>
            <w:r>
              <w:rPr>
                <w:rFonts w:ascii="宋体" w:hAnsi="宋体" w:cs="宋体" w:eastAsia="宋体" w:hint="default"/>
                <w:sz w:val="18"/>
                <w:szCs w:val="18"/>
              </w:rPr>
              <w:t> 产总额</w:t>
            </w:r>
            <w:r>
              <w:rPr>
                <w:rFonts w:ascii="宋体" w:hAnsi="宋体" w:cs="宋体" w:eastAsia="宋体" w:hint="default"/>
                <w:spacing w:val="-46"/>
                <w:sz w:val="18"/>
                <w:szCs w:val="18"/>
              </w:rPr>
              <w:t> </w:t>
            </w:r>
            <w:r>
              <w:rPr>
                <w:rFonts w:ascii="宋体" w:hAnsi="宋体" w:cs="宋体" w:eastAsia="宋体" w:hint="default"/>
                <w:sz w:val="18"/>
                <w:szCs w:val="18"/>
              </w:rPr>
              <w:t>0.5%≤损失金额＜资产总额</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pacing w:val="-2"/>
                <w:sz w:val="18"/>
                <w:szCs w:val="18"/>
              </w:rPr>
              <w:t>应当认定为重要缺陷；第三，损失金额</w:t>
            </w:r>
          </w:p>
          <w:p>
            <w:pPr>
              <w:pStyle w:val="TableParagraph"/>
              <w:spacing w:line="240" w:lineRule="auto" w:before="19"/>
              <w:ind w:left="22" w:right="-47"/>
              <w:jc w:val="lef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应当认定为一般缺陷。</w:t>
            </w:r>
          </w:p>
        </w:tc>
      </w:tr>
      <w:tr>
        <w:trPr>
          <w:trHeight w:val="322"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3"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r>
      <w:tr>
        <w:trPr>
          <w:trHeight w:val="322"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b/>
          <w:bCs/>
          <w:sz w:val="18"/>
          <w:szCs w:val="18"/>
        </w:rPr>
      </w:pPr>
    </w:p>
    <w:p>
      <w:pPr>
        <w:spacing w:before="26"/>
        <w:ind w:left="1134" w:right="1117" w:firstLine="0"/>
        <w:jc w:val="left"/>
        <w:rPr>
          <w:rFonts w:ascii="宋体" w:hAnsi="宋体" w:cs="宋体" w:eastAsia="宋体" w:hint="default"/>
          <w:sz w:val="24"/>
          <w:szCs w:val="24"/>
        </w:rPr>
      </w:pPr>
      <w:bookmarkStart w:name="十、内部控制审计报告或鉴证报告" w:id="138"/>
      <w:bookmarkEnd w:id="138"/>
      <w:r>
        <w:rPr/>
      </w:r>
      <w:r>
        <w:rPr>
          <w:rFonts w:ascii="宋体" w:hAnsi="宋体" w:cs="宋体" w:eastAsia="宋体" w:hint="default"/>
          <w:b/>
          <w:bCs/>
          <w:sz w:val="24"/>
          <w:szCs w:val="24"/>
        </w:rPr>
        <w:t>十、内部控制审计报告或鉴证报告</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5"/>
          <w:szCs w:val="5"/>
        </w:rPr>
      </w:pPr>
    </w:p>
    <w:tbl>
      <w:tblPr>
        <w:tblW w:w="0" w:type="auto"/>
        <w:jc w:val="left"/>
        <w:tblInd w:w="1101" w:type="dxa"/>
        <w:tblLayout w:type="fixed"/>
        <w:tblCellMar>
          <w:top w:w="0" w:type="dxa"/>
          <w:left w:w="0" w:type="dxa"/>
          <w:bottom w:w="0" w:type="dxa"/>
          <w:right w:w="0" w:type="dxa"/>
        </w:tblCellMar>
        <w:tblLook w:val="01E0"/>
      </w:tblPr>
      <w:tblGrid>
        <w:gridCol w:w="2697"/>
        <w:gridCol w:w="6998"/>
      </w:tblGrid>
      <w:tr>
        <w:trPr>
          <w:trHeight w:val="401" w:hRule="exact"/>
        </w:trPr>
        <w:tc>
          <w:tcPr>
            <w:tcW w:w="9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日在所有重大方面保持了有效的财务报告 内部控制。</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宋体" w:hAnsi="宋体" w:cs="宋体" w:eastAsia="宋体" w:hint="default"/>
                <w:sz w:val="18"/>
                <w:szCs w:val="18"/>
              </w:rPr>
              <w:t>www.cninfo.com.cn,2016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日披露《内部控制鉴证报告》</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1"/>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764"/>
        <w:jc w:val="center"/>
        <w:rPr>
          <w:b w:val="0"/>
          <w:bCs w:val="0"/>
        </w:rPr>
      </w:pPr>
      <w:bookmarkStart w:name="第十节 财务报告" w:id="139"/>
      <w:bookmarkEnd w:id="139"/>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702" w:right="1117"/>
        <w:jc w:val="left"/>
        <w:rPr>
          <w:b w:val="0"/>
          <w:bCs w:val="0"/>
        </w:rPr>
      </w:pPr>
      <w:bookmarkStart w:name="一、审计报告" w:id="140"/>
      <w:bookmarkEnd w:id="14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69" w:type="dxa"/>
        <w:tblLayout w:type="fixed"/>
        <w:tblCellMar>
          <w:top w:w="0" w:type="dxa"/>
          <w:left w:w="0" w:type="dxa"/>
          <w:bottom w:w="0" w:type="dxa"/>
          <w:right w:w="0" w:type="dxa"/>
        </w:tblCellMar>
        <w:tblLook w:val="01E0"/>
      </w:tblPr>
      <w:tblGrid>
        <w:gridCol w:w="4278"/>
        <w:gridCol w:w="4283"/>
      </w:tblGrid>
      <w:tr>
        <w:trPr>
          <w:trHeight w:val="322" w:hRule="exact"/>
        </w:trPr>
        <w:tc>
          <w:tcPr>
            <w:tcW w:w="4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2" w:hRule="exact"/>
        </w:trPr>
        <w:tc>
          <w:tcPr>
            <w:tcW w:w="4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4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322" w:hRule="exact"/>
        </w:trPr>
        <w:tc>
          <w:tcPr>
            <w:tcW w:w="4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宋体" w:hAnsi="宋体" w:cs="宋体" w:eastAsia="宋体"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28-00005</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323" w:hRule="exact"/>
        </w:trPr>
        <w:tc>
          <w:tcPr>
            <w:tcW w:w="4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邓小强、王晓玲</w:t>
            </w:r>
          </w:p>
        </w:tc>
      </w:tr>
    </w:tbl>
    <w:p>
      <w:pPr>
        <w:pStyle w:val="BodyText"/>
        <w:spacing w:line="240" w:lineRule="auto" w:before="26"/>
        <w:ind w:left="3764" w:right="3763"/>
        <w:jc w:val="center"/>
      </w:pPr>
      <w:r>
        <w:rPr/>
        <w:t>审计报告正文</w:t>
      </w:r>
    </w:p>
    <w:p>
      <w:pPr>
        <w:pStyle w:val="BodyText"/>
        <w:spacing w:line="240" w:lineRule="auto" w:before="76"/>
        <w:ind w:left="7372" w:right="1117"/>
        <w:jc w:val="left"/>
      </w:pPr>
      <w:r>
        <w:rPr/>
        <w:t>大信审字</w:t>
      </w:r>
      <w:r>
        <w:rPr>
          <w:rFonts w:ascii="宋体" w:hAnsi="宋体" w:cs="宋体" w:eastAsia="宋体" w:hint="default"/>
        </w:rPr>
        <w:t>[2016]</w:t>
      </w:r>
      <w:r>
        <w:rPr/>
        <w:t>第</w:t>
      </w:r>
      <w:r>
        <w:rPr>
          <w:spacing w:val="-54"/>
        </w:rPr>
        <w:t> </w:t>
      </w:r>
      <w:r>
        <w:rPr>
          <w:rFonts w:ascii="宋体" w:hAnsi="宋体" w:cs="宋体" w:eastAsia="宋体" w:hint="default"/>
        </w:rPr>
        <w:t>28-00005</w:t>
      </w:r>
      <w:r>
        <w:rPr>
          <w:rFonts w:ascii="宋体" w:hAnsi="宋体" w:cs="宋体" w:eastAsia="宋体" w:hint="default"/>
          <w:spacing w:val="-53"/>
        </w:rPr>
        <w:t> </w:t>
      </w:r>
      <w:r>
        <w:rPr/>
        <w:t>号</w:t>
      </w:r>
    </w:p>
    <w:p>
      <w:pPr>
        <w:spacing w:line="240" w:lineRule="auto" w:before="2"/>
        <w:rPr>
          <w:rFonts w:ascii="宋体" w:hAnsi="宋体" w:cs="宋体" w:eastAsia="宋体" w:hint="default"/>
          <w:sz w:val="9"/>
          <w:szCs w:val="9"/>
        </w:rPr>
      </w:pPr>
    </w:p>
    <w:p>
      <w:pPr>
        <w:spacing w:line="408" w:lineRule="auto" w:before="35"/>
        <w:ind w:left="2122" w:right="1680" w:hanging="420"/>
        <w:jc w:val="left"/>
        <w:rPr>
          <w:rFonts w:ascii="宋体" w:hAnsi="宋体" w:cs="宋体" w:eastAsia="宋体" w:hint="default"/>
          <w:sz w:val="21"/>
          <w:szCs w:val="21"/>
        </w:rPr>
      </w:pPr>
      <w:r>
        <w:rPr>
          <w:rFonts w:ascii="宋体" w:hAnsi="宋体" w:cs="宋体" w:eastAsia="宋体" w:hint="default"/>
          <w:b/>
          <w:bCs/>
          <w:sz w:val="21"/>
          <w:szCs w:val="21"/>
        </w:rPr>
        <w:t>河南汉威电子股份有限公司全体股东：</w:t>
      </w:r>
      <w:r>
        <w:rPr>
          <w:rFonts w:ascii="宋体" w:hAnsi="宋体" w:cs="宋体" w:eastAsia="宋体" w:hint="default"/>
          <w:b/>
          <w:bCs/>
          <w:w w:val="99"/>
          <w:sz w:val="21"/>
          <w:szCs w:val="21"/>
        </w:rPr>
        <w:t> </w:t>
      </w:r>
      <w:r>
        <w:rPr>
          <w:rFonts w:ascii="宋体" w:hAnsi="宋体" w:cs="宋体" w:eastAsia="宋体" w:hint="default"/>
          <w:spacing w:val="-10"/>
          <w:sz w:val="21"/>
          <w:szCs w:val="21"/>
        </w:rPr>
        <w:t>我们审计了后附的河南汉威电子股份有限公司（以下简称“贵公司”）财务报表，包括</w:t>
      </w:r>
      <w:r>
        <w:rPr>
          <w:rFonts w:ascii="宋体" w:hAnsi="宋体" w:cs="宋体" w:eastAsia="宋体" w:hint="default"/>
          <w:spacing w:val="-41"/>
          <w:sz w:val="21"/>
          <w:szCs w:val="21"/>
        </w:rPr>
        <w:t> </w:t>
      </w:r>
      <w:r>
        <w:rPr>
          <w:rFonts w:ascii="宋体" w:hAnsi="宋体" w:cs="宋体" w:eastAsia="宋体" w:hint="default"/>
          <w:sz w:val="21"/>
          <w:szCs w:val="21"/>
        </w:rPr>
        <w:t>2015</w:t>
      </w:r>
    </w:p>
    <w:p>
      <w:pPr>
        <w:pStyle w:val="BodyText"/>
        <w:spacing w:line="408" w:lineRule="auto"/>
        <w:ind w:left="1702" w:right="1684"/>
        <w:jc w:val="left"/>
      </w:pPr>
      <w:r>
        <w:rPr/>
        <w:t>年</w:t>
      </w:r>
      <w:r>
        <w:rPr>
          <w:spacing w:val="-43"/>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t>日的合并及母公司资产负债表，</w:t>
      </w:r>
      <w:r>
        <w:rPr>
          <w:rFonts w:ascii="宋体" w:hAnsi="宋体" w:cs="宋体" w:eastAsia="宋体" w:hint="default"/>
        </w:rPr>
        <w:t>2015</w:t>
      </w:r>
      <w:r>
        <w:rPr>
          <w:rFonts w:ascii="宋体" w:hAnsi="宋体" w:cs="宋体" w:eastAsia="宋体" w:hint="default"/>
          <w:spacing w:val="-43"/>
        </w:rPr>
        <w:t> </w:t>
      </w:r>
      <w:r>
        <w:rPr/>
        <w:t>年度的合并及母公司利润表、合并及母公司 现金流量表、合并及母公司股东权益变动表，以及财务报表附注。</w:t>
      </w:r>
    </w:p>
    <w:p>
      <w:pPr>
        <w:pStyle w:val="BodyText"/>
        <w:spacing w:line="408" w:lineRule="auto"/>
        <w:ind w:left="2122" w:right="1117"/>
        <w:jc w:val="left"/>
      </w:pPr>
      <w:r>
        <w:rPr/>
        <w:t>一、管理层对财务报表的责任 </w:t>
      </w:r>
      <w:r>
        <w:rPr>
          <w:spacing w:val="-1"/>
        </w:rPr>
        <w:t>编制和公允列报财务报表是贵公司管理层的责任，这种责任包括：（</w:t>
      </w:r>
      <w:r>
        <w:rPr>
          <w:rFonts w:ascii="宋体" w:hAnsi="宋体" w:cs="宋体" w:eastAsia="宋体" w:hint="default"/>
          <w:spacing w:val="-1"/>
        </w:rPr>
        <w:t>1</w:t>
      </w:r>
      <w:r>
        <w:rPr>
          <w:spacing w:val="-1"/>
        </w:rPr>
        <w:t>）按照企业会计准</w:t>
      </w:r>
    </w:p>
    <w:p>
      <w:pPr>
        <w:pStyle w:val="BodyText"/>
        <w:spacing w:line="408" w:lineRule="auto"/>
        <w:ind w:left="1702" w:right="1117"/>
        <w:jc w:val="left"/>
      </w:pPr>
      <w:r>
        <w:rPr>
          <w:spacing w:val="-1"/>
        </w:rPr>
        <w:t>则的规定编制财务报表，并使其实现公允反映；（</w:t>
      </w:r>
      <w:r>
        <w:rPr>
          <w:rFonts w:ascii="宋体" w:hAnsi="宋体" w:cs="宋体" w:eastAsia="宋体" w:hint="default"/>
          <w:spacing w:val="-1"/>
        </w:rPr>
        <w:t>2</w:t>
      </w:r>
      <w:r>
        <w:rPr>
          <w:spacing w:val="-1"/>
        </w:rPr>
        <w:t>）设计、执行和维护必要的内部控制，以</w:t>
      </w:r>
      <w:r>
        <w:rPr>
          <w:spacing w:val="-76"/>
        </w:rPr>
        <w:t> </w:t>
      </w:r>
      <w:r>
        <w:rPr>
          <w:spacing w:val="-76"/>
        </w:rPr>
      </w:r>
      <w:r>
        <w:rPr/>
        <w:t>使财务报表不存在由于舞弊或错误导致的重大错报。</w:t>
      </w:r>
    </w:p>
    <w:p>
      <w:pPr>
        <w:pStyle w:val="BodyText"/>
        <w:spacing w:line="408" w:lineRule="auto"/>
        <w:ind w:left="2122" w:right="1117"/>
        <w:jc w:val="left"/>
      </w:pPr>
      <w:r>
        <w:rPr/>
        <w:t>二、注册会计师的责任 </w:t>
      </w:r>
      <w:r>
        <w:rPr>
          <w:spacing w:val="2"/>
        </w:rPr>
        <w:t>我们的责任是在执行审计工作的基础上对财务报表发表审计意见。我们按照中国注册会</w:t>
      </w:r>
    </w:p>
    <w:p>
      <w:pPr>
        <w:pStyle w:val="BodyText"/>
        <w:spacing w:line="408" w:lineRule="auto"/>
        <w:ind w:left="1702" w:right="1704"/>
        <w:jc w:val="left"/>
      </w:pPr>
      <w:r>
        <w:rPr>
          <w:spacing w:val="2"/>
        </w:rPr>
        <w:t>计师审计准则的规定执行了审计工作。中国注册会计师审计准则要求我们遵守中国注册会计</w:t>
      </w:r>
      <w:r>
        <w:rPr>
          <w:spacing w:val="-101"/>
        </w:rPr>
        <w:t> </w:t>
      </w:r>
      <w:r>
        <w:rPr>
          <w:spacing w:val="-101"/>
        </w:rPr>
      </w:r>
      <w:r>
        <w:rPr/>
        <w:t>师职业道德守则，计划和执行审计工作以对财务报表是否不存在重大错报获取合理保证。</w:t>
      </w:r>
    </w:p>
    <w:p>
      <w:pPr>
        <w:pStyle w:val="BodyText"/>
        <w:spacing w:line="408" w:lineRule="auto"/>
        <w:ind w:left="1701" w:right="1575" w:firstLine="420"/>
        <w:jc w:val="left"/>
      </w:pPr>
      <w:r>
        <w:rPr>
          <w:spacing w:val="2"/>
        </w:rPr>
        <w:t>审计工作涉及实施审计程序，以获取有关财务报表金额和披露的审计证据。选择的审计</w:t>
      </w:r>
      <w:r>
        <w:rPr/>
        <w:t> 程序取决于注册会计师的判断，包括对由于舞弊或错误导致的财务报表重大错报风险的评估。 </w:t>
      </w:r>
      <w:r>
        <w:rPr>
          <w:spacing w:val="2"/>
        </w:rPr>
        <w:t>在进行风险评估时，注册会计师考虑与财务报表编制和公允列报相关的内部控制，以设计恰</w:t>
      </w:r>
      <w:r>
        <w:rPr>
          <w:spacing w:val="-101"/>
        </w:rPr>
        <w:t> </w:t>
      </w:r>
      <w:r>
        <w:rPr>
          <w:spacing w:val="-101"/>
        </w:rPr>
      </w:r>
      <w:r>
        <w:rPr>
          <w:spacing w:val="2"/>
        </w:rPr>
        <w:t>当的审计程序，但目的并非对内部控制的有效性发表意见。审计工作还包括评价管理层选用</w:t>
      </w:r>
      <w:r>
        <w:rPr>
          <w:spacing w:val="-92"/>
        </w:rPr>
        <w:t> </w:t>
      </w:r>
      <w:r>
        <w:rPr>
          <w:spacing w:val="-92"/>
        </w:rPr>
      </w:r>
      <w:r>
        <w:rPr/>
        <w:t>会计政策的恰当性和作出会计估计的合理性，以及评价财务报表的总体列报。</w:t>
      </w:r>
    </w:p>
    <w:p>
      <w:pPr>
        <w:pStyle w:val="BodyText"/>
        <w:spacing w:line="408" w:lineRule="auto"/>
        <w:ind w:left="2121" w:right="2415"/>
        <w:jc w:val="left"/>
      </w:pPr>
      <w:r>
        <w:rPr/>
        <w:t>我们相信，我们获取的审计证据是充分、适当的，为发表审计意见提供了基础。 三、审计意见</w:t>
      </w:r>
    </w:p>
    <w:p>
      <w:pPr>
        <w:spacing w:after="0" w:line="408" w:lineRule="auto"/>
        <w:jc w:val="left"/>
        <w:sectPr>
          <w:headerReference w:type="default" r:id="rId21"/>
          <w:footerReference w:type="default" r:id="rId22"/>
          <w:pgSz w:w="11910" w:h="16840"/>
          <w:pgMar w:header="877" w:footer="1122" w:top="1100" w:bottom="1320" w:left="0" w:right="0"/>
          <w:pgNumType w:start="8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408" w:lineRule="auto" w:before="35"/>
        <w:ind w:left="1702" w:right="1118" w:firstLine="420"/>
        <w:jc w:val="left"/>
      </w:pPr>
      <w:r>
        <w:rPr>
          <w:spacing w:val="2"/>
        </w:rPr>
        <w:t>我们认为，贵公司财务报表在所有重大方面按照企业会计准则的规定编制，公允反映了</w:t>
      </w:r>
      <w:r>
        <w:rPr/>
        <w:t> 贵公司</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日的财务状况以及</w:t>
      </w:r>
      <w:r>
        <w:rPr>
          <w:spacing w:val="-53"/>
        </w:rPr>
        <w:t> </w:t>
      </w:r>
      <w:r>
        <w:rPr>
          <w:rFonts w:ascii="宋体" w:hAnsi="宋体" w:cs="宋体" w:eastAsia="宋体" w:hint="default"/>
        </w:rPr>
        <w:t>2015</w:t>
      </w:r>
      <w:r>
        <w:rPr>
          <w:rFonts w:ascii="宋体" w:hAnsi="宋体" w:cs="宋体" w:eastAsia="宋体" w:hint="default"/>
          <w:spacing w:val="-55"/>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7896" w:val="left" w:leader="none"/>
        </w:tabs>
        <w:spacing w:line="240" w:lineRule="auto" w:before="0"/>
        <w:ind w:left="2751" w:right="1117" w:hanging="630"/>
        <w:jc w:val="left"/>
      </w:pPr>
      <w:r>
        <w:rPr/>
        <w:t>大信会计师事务所（特殊普通合伙）</w:t>
        <w:tab/>
        <w:t>中国注册会计师：邓小强</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tabs>
          <w:tab w:pos="3487" w:val="left" w:leader="none"/>
          <w:tab w:pos="3906" w:val="left" w:leader="none"/>
          <w:tab w:pos="7895" w:val="left" w:leader="none"/>
        </w:tabs>
        <w:spacing w:line="240" w:lineRule="auto" w:before="0"/>
        <w:ind w:left="7896" w:right="1117" w:hanging="5145"/>
        <w:jc w:val="left"/>
      </w:pPr>
      <w:r>
        <w:rPr/>
        <w:t>中 国</w:t>
        <w:tab/>
        <w:t>·</w:t>
        <w:tab/>
        <w:t>北 京</w:t>
        <w:tab/>
        <w:t>中国注册会计师：王晓玲</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0"/>
        <w:ind w:left="7896" w:right="1117"/>
        <w:jc w:val="left"/>
      </w:pPr>
      <w:r>
        <w:rPr/>
        <w:t>二○一六年三月二十八日</w:t>
      </w:r>
    </w:p>
    <w:p>
      <w:pPr>
        <w:spacing w:after="0" w:line="240" w:lineRule="auto"/>
        <w:jc w:val="left"/>
        <w:sectPr>
          <w:pgSz w:w="11910" w:h="16840"/>
          <w:pgMar w:header="877" w:footer="1122" w:top="1100" w:bottom="132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right="1117"/>
        <w:jc w:val="left"/>
        <w:rPr>
          <w:b w:val="0"/>
          <w:bCs w:val="0"/>
        </w:rPr>
      </w:pPr>
      <w:bookmarkStart w:name="二、财务报表" w:id="141"/>
      <w:bookmarkEnd w:id="14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1117"/>
        <w:jc w:val="left"/>
        <w:rPr>
          <w:b w:val="0"/>
          <w:bCs w:val="0"/>
        </w:rPr>
      </w:pPr>
      <w:bookmarkStart w:name="1、合并资产负债表" w:id="142"/>
      <w:bookmarkEnd w:id="14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3"/>
          <w:footerReference w:type="default" r:id="rId24"/>
          <w:pgSz w:w="11910" w:h="16840"/>
          <w:pgMar w:header="877" w:footer="979" w:top="1100" w:bottom="1160" w:left="0" w:right="0"/>
          <w:pgNumType w:start="85"/>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977" w:right="-17"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515,378,816.65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242,428,256.41</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8,894,900.02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21,223,146.02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276,224,326.03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213,927,884.00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27,452,535.72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14,590,266.50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1,805,638.78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116,052,268.48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13,617,350.05</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176,993,702.65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179,276,609.63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119,103,923.11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784,781.32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1,241,906,111.44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685,848,293.93</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60,600,000.00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7,996,332.61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10,992,958.00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53,489,834.57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1,677,247.41</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200,699,104.69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62,099,340.22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373,759,072.34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424,625,831.67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40,011,734.67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5,135,899.21</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393,049,281.43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342,012,674.74</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1,576,624.47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288,896,177.29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271,218,259.12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40,893,871.88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484,279.98</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24,095,951.79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9,001,296.83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85,410,858.40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5,507,078.40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1,568,902,219.67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1,134,531,490.05</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2,810,808,331.11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1,820,379,783.98</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285,300,000.00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168,500,000.00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27,591,973.85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23,571,593.63</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171,242,587.88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159,665,245.73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65,883,054.03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16,437,473.57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13,744,395.20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10,128,759.86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45,351,260.42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23,666,454.08</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203,569.58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421,077.04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62,825,304.09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31,893,296.62</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28,694,567.44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25,312,907.92</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700,836,712.49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459,596,808.45</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468,560,000.00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42,880,000.00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9,989,805.98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58,181,118.99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48,863,867.43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53,818,144.16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7,052,534.99</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18,066,732.75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15,741,194.89</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608,615,801.88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114,537,597.31</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1,309,452,514.37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574,134,405.76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293,022,806.00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146,511,403.00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4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596,024,424.61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745,597,861.95</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26,191,673.25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23,933,007.99</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304,257,726.71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235,195,448.72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1,219,496,630.57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1,151,237,721.66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281,859,186.17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95,007,656.56</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1,501,355,816.74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1,246,245,378.22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2,810,808,331.11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1,820,379,783.98</w:t>
            </w:r>
          </w:p>
        </w:tc>
      </w:tr>
    </w:tbl>
    <w:p>
      <w:pPr>
        <w:tabs>
          <w:tab w:pos="3420" w:val="left" w:leader="none"/>
          <w:tab w:pos="7561" w:val="left" w:leader="none"/>
        </w:tabs>
        <w:spacing w:before="11"/>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法定代表人：任红军</w:t>
        <w:tab/>
        <w:t>主管会计工作负责人：刘瑞玲</w:t>
        <w:tab/>
        <w:t>会计机构负责人：肖桂华</w:t>
      </w:r>
    </w:p>
    <w:p>
      <w:pPr>
        <w:spacing w:line="240" w:lineRule="auto" w:before="11"/>
        <w:rPr>
          <w:rFonts w:ascii="宋体" w:hAnsi="宋体" w:cs="宋体" w:eastAsia="宋体" w:hint="default"/>
          <w:sz w:val="26"/>
          <w:szCs w:val="26"/>
        </w:rPr>
      </w:pPr>
    </w:p>
    <w:p>
      <w:pPr>
        <w:pStyle w:val="Heading3"/>
        <w:spacing w:line="240" w:lineRule="auto"/>
        <w:ind w:left="1133" w:right="1117"/>
        <w:jc w:val="left"/>
        <w:rPr>
          <w:b w:val="0"/>
          <w:bCs w:val="0"/>
        </w:rPr>
      </w:pPr>
      <w:bookmarkStart w:name="2、母公司资产负债表" w:id="143"/>
      <w:bookmarkEnd w:id="14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58,570,302.96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86,639,111.27</w:t>
            </w: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5,742,660.00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10,362,146.02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99,702,232.20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92,994,655.61</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4,785,787.21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6,651,507.57</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4,791,168.22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2,608,381.76</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36,763,626.94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45,654,994.69</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21"/>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230,659,241.57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441,015,019.10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244,910,796.92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60,400,000.00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7,996,332.61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10,992,958.00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791,687,988.14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692,475,062.52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181,662,252.47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55,132,345.44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186,895,152.40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325,765,332.97</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5,651,026.05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5,118,959.04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60,932,355.52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61,464,693.65</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37,666,666.69</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2,497,518.45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3,862,978.38</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79,903,780.00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1,415,293,072.33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1,154,812,330.00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1,856,308,091.43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1,399,723,126.92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230,000,000.00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110,000,000.00</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98,900,283.24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114,778,105.67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6,485,934.00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11,643,237.46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5,364,090.36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5,004,191.22</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2,296,964.42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3,717,544.74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198,722.23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366,797,200.37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23,529,368.23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21"/>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749,120.40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12,888,908.04</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710,593,592.79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281,760,077.59</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949,937.79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607,070.55</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12,949,937.79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607,070.55</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723,543,530.58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282,367,148.14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293,022,806.00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146,511,403.00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4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647,930,592.46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794,294,495.85</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26,191,673.25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23,933,007.99</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165,619,489.14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152,617,071.94</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1,132,764,560.85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1,117,355,978.78</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1,856,308,091.43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1,399,723,126.92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7"/>
        <w:jc w:val="left"/>
        <w:rPr>
          <w:b w:val="0"/>
          <w:bCs w:val="0"/>
        </w:rPr>
      </w:pPr>
      <w:bookmarkStart w:name="3、合并利润表" w:id="144"/>
      <w:bookmarkEnd w:id="14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746,718,624.28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399,306,830.10</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746,718,624.28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399,306,830.10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675,841,305.83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365,743,243.04</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427,016,344.81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200,970,081.20</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12,146,421.78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4,867,084.82</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60,509,229.50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58,277,574.38</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138,278,414.52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88,842,573.33</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26,342,003.88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5,753,834.41</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11,548,891.34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7,032,094.90</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6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4,670,801.68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-472,752.59</w:t>
            </w:r>
          </w:p>
        </w:tc>
      </w:tr>
      <w:tr>
        <w:trPr>
          <w:trHeight w:val="63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1,313,532.01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-472,752.59</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75,548,120.13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33,090,834.47</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44,090,369.42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33,843,270.11</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150,697.25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478,787.15</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76,571.08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157,404.03</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119,487,792.30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66,455,317.43</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20,324,989.37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8,081,809.44</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99,162,802.93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58,373,507.99</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78,646,513.40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57,341,790.34</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20,516,289.53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1,031,717.65</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6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6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6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6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6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07.020004pt;margin-top:603.219971pt;width:164.4pt;height:15.6pt;mso-position-horizontal-relative:page;mso-position-vertical-relative:page;z-index:-995440" coordorigin="4140,12064" coordsize="3288,312">
            <v:shape style="position:absolute;left:4140;top:12064;width:3288;height:312" coordorigin="4140,12064" coordsize="3288,312" path="m4140,12376l7428,12376,7428,12064,4140,12064,4140,12376xe" filled="true" fillcolor="#ffffff" stroked="false">
              <v:path arrowok="t"/>
              <v:fill type="solid"/>
            </v:shape>
            <w10:wrap type="none"/>
          </v:group>
        </w:pict>
      </w:r>
      <w:r>
        <w:rPr/>
        <w:pict>
          <v:group style="position:absolute;margin-left:207.020004pt;margin-top:731.519958pt;width:164.4pt;height:15.6pt;mso-position-horizontal-relative:page;mso-position-vertical-relative:page;z-index:-995416" coordorigin="4140,14630" coordsize="3288,312">
            <v:shape style="position:absolute;left:4140;top:14630;width:3288;height:312" coordorigin="4140,14630" coordsize="3288,312" path="m4140,14942l7428,14942,7428,14630,4140,14630,4140,14942xe" filled="true" fillcolor="#ffffff" stroked="false">
              <v:path arrowok="t"/>
              <v:fill type="solid"/>
            </v:shape>
            <w10:wrap type="none"/>
          </v:group>
        </w:pict>
      </w: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99,162,802.93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58,373,507.99</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78,646,513.40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57,341,790.34</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20,516,289.53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1,031,717.65</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0.24</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0.24</w:t>
            </w:r>
          </w:p>
        </w:tc>
      </w:tr>
    </w:tbl>
    <w:p>
      <w:pPr>
        <w:tabs>
          <w:tab w:pos="4554" w:val="left" w:leader="none"/>
          <w:tab w:pos="8695" w:val="left" w:leader="none"/>
        </w:tabs>
        <w:spacing w:line="357" w:lineRule="auto" w:before="51"/>
        <w:ind w:left="113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法定代表人：任红军</w:t>
        <w:tab/>
        <w:t>主管会计工作负责人：刘瑞玲</w:t>
        <w:tab/>
        <w:t>会计机构负责人：肖桂华</w:t>
      </w:r>
    </w:p>
    <w:p>
      <w:pPr>
        <w:spacing w:line="240" w:lineRule="auto" w:before="1"/>
        <w:rPr>
          <w:rFonts w:ascii="宋体" w:hAnsi="宋体" w:cs="宋体" w:eastAsia="宋体" w:hint="default"/>
          <w:sz w:val="20"/>
          <w:szCs w:val="20"/>
        </w:rPr>
      </w:pPr>
    </w:p>
    <w:p>
      <w:pPr>
        <w:pStyle w:val="Heading3"/>
        <w:spacing w:line="240" w:lineRule="auto"/>
        <w:ind w:left="1133" w:right="1117"/>
        <w:jc w:val="left"/>
        <w:rPr>
          <w:b w:val="0"/>
          <w:bCs w:val="0"/>
        </w:rPr>
      </w:pPr>
      <w:bookmarkStart w:name="4、母公司利润表" w:id="145"/>
      <w:bookmarkEnd w:id="14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2983"/>
        <w:gridCol w:w="1116"/>
        <w:gridCol w:w="2240"/>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050" w:right="0"/>
              <w:jc w:val="left"/>
              <w:rPr>
                <w:rFonts w:ascii="宋体" w:hAnsi="宋体" w:cs="宋体" w:eastAsia="宋体" w:hint="default"/>
                <w:sz w:val="18"/>
                <w:szCs w:val="18"/>
              </w:rPr>
            </w:pPr>
            <w:r>
              <w:rPr>
                <w:rFonts w:ascii="宋体"/>
                <w:sz w:val="18"/>
              </w:rPr>
              <w:t>227,902,298.99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221,019,474.26</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2050" w:right="0"/>
              <w:jc w:val="left"/>
              <w:rPr>
                <w:rFonts w:ascii="宋体" w:hAnsi="宋体" w:cs="宋体" w:eastAsia="宋体" w:hint="default"/>
                <w:sz w:val="18"/>
                <w:szCs w:val="18"/>
              </w:rPr>
            </w:pPr>
            <w:r>
              <w:rPr>
                <w:rFonts w:ascii="宋体"/>
                <w:sz w:val="18"/>
              </w:rPr>
              <w:t>125,933,167.99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117,234,806.92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3,550,421.06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2,580,504.93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40" w:right="0"/>
              <w:jc w:val="left"/>
              <w:rPr>
                <w:rFonts w:ascii="宋体" w:hAnsi="宋体" w:cs="宋体" w:eastAsia="宋体" w:hint="default"/>
                <w:sz w:val="18"/>
                <w:szCs w:val="18"/>
              </w:rPr>
            </w:pPr>
            <w:r>
              <w:rPr>
                <w:rFonts w:ascii="宋体"/>
                <w:sz w:val="18"/>
              </w:rPr>
              <w:t>37,500,889.01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43,707,150.37</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40" w:right="0"/>
              <w:jc w:val="left"/>
              <w:rPr>
                <w:rFonts w:ascii="宋体" w:hAnsi="宋体" w:cs="宋体" w:eastAsia="宋体" w:hint="default"/>
                <w:sz w:val="18"/>
                <w:szCs w:val="18"/>
              </w:rPr>
            </w:pPr>
            <w:r>
              <w:rPr>
                <w:rFonts w:ascii="宋体"/>
                <w:sz w:val="18"/>
              </w:rPr>
              <w:t>63,420,681.69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51,727,955.37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40" w:right="0"/>
              <w:jc w:val="left"/>
              <w:rPr>
                <w:rFonts w:ascii="宋体" w:hAnsi="宋体" w:cs="宋体" w:eastAsia="宋体" w:hint="default"/>
                <w:sz w:val="18"/>
                <w:szCs w:val="18"/>
              </w:rPr>
            </w:pPr>
            <w:r>
              <w:rPr>
                <w:rFonts w:ascii="宋体"/>
                <w:sz w:val="18"/>
              </w:rPr>
              <w:t>20,960,443.28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5,452,552.81</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2,693,854.19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2,984,688.03</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56" w:type="dxa"/>
            <w:gridSpan w:val="2"/>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40" w:right="0"/>
              <w:jc w:val="left"/>
              <w:rPr>
                <w:rFonts w:ascii="宋体" w:hAnsi="宋体" w:cs="宋体" w:eastAsia="宋体" w:hint="default"/>
                <w:sz w:val="18"/>
                <w:szCs w:val="18"/>
              </w:rPr>
            </w:pPr>
            <w:r>
              <w:rPr>
                <w:rFonts w:ascii="宋体"/>
                <w:sz w:val="18"/>
              </w:rPr>
              <w:t>26,720,061.10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27,527,247.41</w:t>
            </w: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79"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-499,935.38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-472,752.59</w:t>
            </w:r>
          </w:p>
        </w:tc>
      </w:tr>
      <w:tr>
        <w:trPr>
          <w:trHeight w:val="323" w:hRule="exact"/>
        </w:trPr>
        <w:tc>
          <w:tcPr>
            <w:tcW w:w="298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116"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562,902.87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24,859,063.24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40" w:right="0"/>
              <w:jc w:val="left"/>
              <w:rPr>
                <w:rFonts w:ascii="宋体" w:hAnsi="宋体" w:cs="宋体" w:eastAsia="宋体" w:hint="default"/>
                <w:sz w:val="18"/>
                <w:szCs w:val="18"/>
              </w:rPr>
            </w:pPr>
            <w:r>
              <w:rPr>
                <w:rFonts w:ascii="宋体"/>
                <w:sz w:val="18"/>
              </w:rPr>
              <w:t>23,574,607.38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27,610,253.07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9"/>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77,682.13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175,885.78</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9"/>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75,452.50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157,404.03</w:t>
            </w: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79"/>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40" w:right="0"/>
              <w:jc w:val="left"/>
              <w:rPr>
                <w:rFonts w:ascii="宋体" w:hAnsi="宋体" w:cs="宋体" w:eastAsia="宋体" w:hint="default"/>
                <w:sz w:val="18"/>
                <w:szCs w:val="18"/>
              </w:rPr>
            </w:pPr>
            <w:r>
              <w:rPr>
                <w:rFonts w:ascii="宋体"/>
                <w:sz w:val="18"/>
              </w:rPr>
              <w:t>24,059,828.12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52,293,430.53</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5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1,473,175.51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3,358,236.58</w:t>
            </w:r>
          </w:p>
        </w:tc>
      </w:tr>
      <w:tr>
        <w:trPr>
          <w:trHeight w:val="322" w:hRule="exact"/>
        </w:trPr>
        <w:tc>
          <w:tcPr>
            <w:tcW w:w="298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116"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22,586,652.61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48,935,193.95</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56" w:type="dxa"/>
            <w:gridSpan w:val="2"/>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79"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79"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79"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79"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79"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40" w:right="0"/>
              <w:jc w:val="left"/>
              <w:rPr>
                <w:rFonts w:ascii="宋体" w:hAnsi="宋体" w:cs="宋体" w:eastAsia="宋体" w:hint="default"/>
                <w:sz w:val="18"/>
                <w:szCs w:val="18"/>
              </w:rPr>
            </w:pPr>
            <w:r>
              <w:rPr>
                <w:rFonts w:ascii="宋体"/>
                <w:sz w:val="18"/>
              </w:rPr>
              <w:t>22,586,652.61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42" w:right="0"/>
              <w:jc w:val="left"/>
              <w:rPr>
                <w:rFonts w:ascii="宋体" w:hAnsi="宋体" w:cs="宋体" w:eastAsia="宋体" w:hint="default"/>
                <w:sz w:val="18"/>
                <w:szCs w:val="18"/>
              </w:rPr>
            </w:pPr>
            <w:r>
              <w:rPr>
                <w:rFonts w:ascii="宋体"/>
                <w:sz w:val="18"/>
              </w:rPr>
              <w:t>48,935,193.95</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5、合并现金流量表" w:id="146"/>
      <w:bookmarkEnd w:id="14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051" w:right="0"/>
              <w:jc w:val="left"/>
              <w:rPr>
                <w:rFonts w:ascii="宋体" w:hAnsi="宋体" w:cs="宋体" w:eastAsia="宋体" w:hint="default"/>
                <w:sz w:val="18"/>
                <w:szCs w:val="18"/>
              </w:rPr>
            </w:pPr>
            <w:r>
              <w:rPr>
                <w:rFonts w:ascii="宋体"/>
                <w:sz w:val="18"/>
              </w:rPr>
              <w:t>683,158,943.91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52" w:right="0"/>
              <w:jc w:val="left"/>
              <w:rPr>
                <w:rFonts w:ascii="宋体" w:hAnsi="宋体" w:cs="宋体" w:eastAsia="宋体" w:hint="default"/>
                <w:sz w:val="18"/>
                <w:szCs w:val="18"/>
              </w:rPr>
            </w:pPr>
            <w:r>
              <w:rPr>
                <w:rFonts w:ascii="宋体"/>
                <w:sz w:val="18"/>
              </w:rPr>
              <w:t>328,535,744.88</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1" w:right="8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3,940,877.08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12,445,701.45</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64,773,033.24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38,887,247.08</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751,872,854.23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379,868,693.41</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8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340,715,625.50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137,135,992.91</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119,142,480.54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81,692,194.46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64,404,064.43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42,592,784.42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78,368,193.93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67,517,679.45</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602,630,364.40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328,938,651.24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149,242,489.83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50,930,042.17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332,800,000.00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3,139,880.78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25,000.00</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94,671,081.34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430,670,962.12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25,000.00</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143,588,395.81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68,566,598.74</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534,183,660.00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13,583,133.65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150,619,612.52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691,355,189.46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219,186,211.26</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-260,684,227.34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-219,161,211.26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3,855,000.00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154,999,973.12</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3,855,000.00</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634,000,000.00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130,000,000.00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9,800,000.00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647,655,000.00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284,999,973.12</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01" w:type="dxa"/>
        <w:tblLayout w:type="fixed"/>
        <w:tblCellMar>
          <w:top w:w="0" w:type="dxa"/>
          <w:left w:w="0" w:type="dxa"/>
          <w:bottom w:w="0" w:type="dxa"/>
          <w:right w:w="0" w:type="dxa"/>
        </w:tblCellMar>
        <w:tblLook w:val="01E0"/>
      </w:tblPr>
      <w:tblGrid>
        <w:gridCol w:w="3006"/>
        <w:gridCol w:w="3344"/>
        <w:gridCol w:w="3345"/>
      </w:tblGrid>
      <w:tr>
        <w:trPr>
          <w:trHeight w:val="32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178,220,000.00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132,980,000.00</w:t>
            </w:r>
          </w:p>
        </w:tc>
      </w:tr>
      <w:tr>
        <w:trPr>
          <w:trHeight w:val="63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9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36,876,792.41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12,989,173.99</w:t>
            </w:r>
          </w:p>
        </w:tc>
      </w:tr>
      <w:tr>
        <w:trPr>
          <w:trHeight w:val="634"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9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44" w:type="dxa"/>
            <w:tcBorders>
              <w:top w:val="single" w:sz="4" w:space="0" w:color="000000"/>
              <w:left w:val="single" w:sz="4" w:space="0" w:color="000000"/>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46,400,604.29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3,240,325.81</w:t>
            </w:r>
          </w:p>
        </w:tc>
      </w:tr>
      <w:tr>
        <w:trPr>
          <w:trHeight w:val="32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261,497,396.70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149,209,499.80</w:t>
            </w:r>
          </w:p>
        </w:tc>
      </w:tr>
      <w:tr>
        <w:trPr>
          <w:trHeight w:val="32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386,157,603.30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135,790,473.32</w:t>
            </w:r>
          </w:p>
        </w:tc>
      </w:tr>
      <w:tr>
        <w:trPr>
          <w:trHeight w:val="634"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9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497,428.12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75,672.90</w:t>
            </w:r>
          </w:p>
        </w:tc>
      </w:tr>
      <w:tr>
        <w:trPr>
          <w:trHeight w:val="32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275,213,293.91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-32,365,022.87</w:t>
            </w:r>
          </w:p>
        </w:tc>
      </w:tr>
      <w:tr>
        <w:trPr>
          <w:trHeight w:val="32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227,847,687.92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260,212,710.79</w:t>
            </w:r>
          </w:p>
        </w:tc>
      </w:tr>
      <w:tr>
        <w:trPr>
          <w:trHeight w:val="32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503,060,981.83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227,847,687.92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7"/>
        <w:jc w:val="left"/>
        <w:rPr>
          <w:b w:val="0"/>
          <w:bCs w:val="0"/>
        </w:rPr>
      </w:pPr>
      <w:bookmarkStart w:name="6、母公司现金流量表" w:id="147"/>
      <w:bookmarkEnd w:id="14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194,190,448.76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186,829,712.15</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2,324,189.31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10,475,399.96</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51,841,001.96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21,260,444.09</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248,355,640.03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218,565,556.20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58,820,843.41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80,778,539.27</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46,180,897.60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45,179,140.33</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24,935,635.98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24,453,512.71</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37,400,916.78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44,195,098.48</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167,338,293.77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194,606,290.79</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81,017,346.26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23,959,265.41</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230,000,000.00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27,219,996.48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28,000,000.00</w:t>
            </w: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25,000.00</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257,279,996.48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28,025,000.00</w:t>
            </w:r>
          </w:p>
        </w:tc>
      </w:tr>
      <w:tr>
        <w:trPr>
          <w:trHeight w:val="635"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1" w:right="8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101,715,601.46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61,480,870.46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544,290,668.65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93,506,961.00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171,482,760.00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13" w:type="dxa"/>
        <w:tblLayout w:type="fixed"/>
        <w:tblCellMar>
          <w:top w:w="0" w:type="dxa"/>
          <w:left w:w="0" w:type="dxa"/>
          <w:bottom w:w="0" w:type="dxa"/>
          <w:right w:w="0" w:type="dxa"/>
        </w:tblCellMar>
        <w:tblLook w:val="01E0"/>
      </w:tblPr>
      <w:tblGrid>
        <w:gridCol w:w="2983"/>
        <w:gridCol w:w="3356"/>
        <w:gridCol w:w="3345"/>
      </w:tblGrid>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739,513,231.11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232,963,630.46</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-482,233,234.63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-204,938,630.46</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154,999,973.12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242,000,000.00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120,000,000.00</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297,385,375.00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539,385,375.00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274,999,973.12</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110,000,000.00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120,000,000.00</w:t>
            </w: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15,783,176.60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11,412,045.47</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40,821,032.12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3,240,325.81</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166,604,208.72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134,652,371.28</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372,781,166.28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140,347,601.84</w:t>
            </w:r>
          </w:p>
        </w:tc>
      </w:tr>
      <w:tr>
        <w:trPr>
          <w:trHeight w:val="63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365,913.78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36,735.69</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-28,068,808.31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-40,595,027.52</w:t>
            </w:r>
          </w:p>
        </w:tc>
      </w:tr>
      <w:tr>
        <w:trPr>
          <w:trHeight w:val="32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86,639,111.27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127,234,138.79</w:t>
            </w:r>
          </w:p>
        </w:tc>
      </w:tr>
      <w:tr>
        <w:trPr>
          <w:trHeight w:val="323"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58,570,302.96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86,639,111.27</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7、合并所有者权益变动表" w:id="148"/>
      <w:bookmarkEnd w:id="14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17" w:type="dxa"/>
        <w:tblLayout w:type="fixed"/>
        <w:tblCellMar>
          <w:top w:w="0" w:type="dxa"/>
          <w:left w:w="0" w:type="dxa"/>
          <w:bottom w:w="0" w:type="dxa"/>
          <w:right w:w="0" w:type="dxa"/>
        </w:tblCellMar>
        <w:tblLook w:val="01E0"/>
      </w:tblPr>
      <w:tblGrid>
        <w:gridCol w:w="1438"/>
        <w:gridCol w:w="563"/>
        <w:gridCol w:w="530"/>
        <w:gridCol w:w="532"/>
        <w:gridCol w:w="530"/>
        <w:gridCol w:w="803"/>
        <w:gridCol w:w="527"/>
        <w:gridCol w:w="665"/>
        <w:gridCol w:w="509"/>
        <w:gridCol w:w="820"/>
        <w:gridCol w:w="666"/>
        <w:gridCol w:w="665"/>
        <w:gridCol w:w="665"/>
        <w:gridCol w:w="659"/>
      </w:tblGrid>
      <w:tr>
        <w:trPr>
          <w:trHeight w:val="32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0"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72"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vMerge w:val="restart"/>
            <w:tcBorders>
              <w:top w:val="single" w:sz="4" w:space="0" w:color="000000"/>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0"/>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5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5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78" w:right="20" w:hanging="56"/>
              <w:jc w:val="left"/>
              <w:rPr>
                <w:rFonts w:ascii="宋体" w:hAnsi="宋体" w:cs="宋体" w:eastAsia="宋体" w:hint="default"/>
                <w:sz w:val="18"/>
                <w:szCs w:val="18"/>
              </w:rPr>
            </w:pPr>
            <w:r>
              <w:rPr>
                <w:rFonts w:ascii="宋体" w:hAnsi="宋体" w:cs="宋体" w:eastAsia="宋体" w:hint="default"/>
                <w:spacing w:val="-23"/>
                <w:sz w:val="18"/>
                <w:szCs w:val="18"/>
              </w:rPr>
              <w:t>减：库</w:t>
            </w:r>
            <w:r>
              <w:rPr>
                <w:rFonts w:ascii="宋体" w:hAnsi="宋体" w:cs="宋体" w:eastAsia="宋体" w:hint="default"/>
                <w:sz w:val="18"/>
                <w:szCs w:val="18"/>
              </w:rPr>
              <w:t>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68" w:right="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20"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9" w:space="0" w:color="D2D2D2"/>
              <w:right w:val="single" w:sz="9" w:space="0" w:color="D2D2D2"/>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52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820" w:type="dxa"/>
            <w:vMerge w:val="restart"/>
            <w:tcBorders>
              <w:top w:val="nil" w:sz="6" w:space="0" w:color="auto"/>
              <w:left w:val="single" w:sz="22" w:space="0" w:color="D2D2D2"/>
              <w:right w:val="single" w:sz="9" w:space="0" w:color="D2D2D2"/>
            </w:tcBorders>
          </w:tcPr>
          <w:p>
            <w:pPr>
              <w:pStyle w:val="TableParagraph"/>
              <w:spacing w:line="240" w:lineRule="auto" w:before="12"/>
              <w:ind w:left="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1"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23" w:space="0" w:color="D2D2D2"/>
              <w:right w:val="single" w:sz="22" w:space="0" w:color="D2D2D2"/>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803" w:type="dxa"/>
            <w:vMerge/>
            <w:tcBorders>
              <w:left w:val="single" w:sz="9" w:space="0" w:color="D2D2D2"/>
              <w:bottom w:val="nil" w:sz="6" w:space="0" w:color="auto"/>
              <w:right w:val="single" w:sz="9" w:space="0" w:color="D2D2D2"/>
            </w:tcBorders>
          </w:tcPr>
          <w:p>
            <w:pPr/>
          </w:p>
        </w:tc>
        <w:tc>
          <w:tcPr>
            <w:tcW w:w="52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820" w:type="dxa"/>
            <w:vMerge/>
            <w:tcBorders>
              <w:left w:val="single" w:sz="22" w:space="0" w:color="D2D2D2"/>
              <w:bottom w:val="nil" w:sz="6" w:space="0" w:color="auto"/>
              <w:right w:val="single" w:sz="9" w:space="0" w:color="D2D2D2"/>
            </w:tcBorders>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1"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23" w:space="0" w:color="D2D2D2"/>
              <w:bottom w:val="nil" w:sz="6" w:space="0" w:color="auto"/>
              <w:right w:val="single" w:sz="22" w:space="0" w:color="D2D2D2"/>
            </w:tcBorders>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52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bottom w:val="nil" w:sz="6" w:space="0" w:color="auto"/>
              <w:right w:val="single" w:sz="4" w:space="0" w:color="000000"/>
            </w:tcBorders>
            <w:shd w:val="clear" w:color="auto" w:fill="D2D2D2"/>
          </w:tcPr>
          <w:p>
            <w:pPr/>
          </w:p>
        </w:tc>
        <w:tc>
          <w:tcPr>
            <w:tcW w:w="820"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vMerge/>
            <w:tcBorders>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146,5</w:t>
            </w:r>
          </w:p>
          <w:p>
            <w:pPr>
              <w:pStyle w:val="TableParagraph"/>
              <w:spacing w:line="240" w:lineRule="auto" w:before="76"/>
              <w:ind w:left="73" w:right="0"/>
              <w:jc w:val="left"/>
              <w:rPr>
                <w:rFonts w:ascii="宋体" w:hAnsi="宋体" w:cs="宋体" w:eastAsia="宋体" w:hint="default"/>
                <w:sz w:val="18"/>
                <w:szCs w:val="18"/>
              </w:rPr>
            </w:pPr>
            <w:r>
              <w:rPr>
                <w:rFonts w:ascii="宋体"/>
                <w:sz w:val="18"/>
              </w:rPr>
              <w:t>11,40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center"/>
              <w:rPr>
                <w:rFonts w:ascii="宋体" w:hAnsi="宋体" w:cs="宋体" w:eastAsia="宋体" w:hint="default"/>
                <w:sz w:val="18"/>
                <w:szCs w:val="18"/>
              </w:rPr>
            </w:pPr>
            <w:r>
              <w:rPr>
                <w:rFonts w:ascii="宋体"/>
                <w:sz w:val="18"/>
              </w:rPr>
              <w:t>745,597,</w:t>
            </w:r>
          </w:p>
          <w:p>
            <w:pPr>
              <w:pStyle w:val="TableParagraph"/>
              <w:spacing w:line="240" w:lineRule="auto" w:before="76"/>
              <w:ind w:left="205" w:right="0"/>
              <w:jc w:val="center"/>
              <w:rPr>
                <w:rFonts w:ascii="宋体" w:hAnsi="宋体" w:cs="宋体" w:eastAsia="宋体" w:hint="default"/>
                <w:sz w:val="18"/>
                <w:szCs w:val="18"/>
              </w:rPr>
            </w:pPr>
            <w:r>
              <w:rPr>
                <w:rFonts w:ascii="宋体"/>
                <w:sz w:val="18"/>
              </w:rPr>
              <w:t>861.95</w:t>
            </w:r>
          </w:p>
        </w:tc>
        <w:tc>
          <w:tcPr>
            <w:tcW w:w="52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sz w:val="18"/>
              </w:rPr>
              <w:t>23,933,0</w:t>
            </w:r>
          </w:p>
          <w:p>
            <w:pPr>
              <w:pStyle w:val="TableParagraph"/>
              <w:spacing w:line="240" w:lineRule="auto" w:before="76"/>
              <w:ind w:left="337" w:right="0"/>
              <w:jc w:val="left"/>
              <w:rPr>
                <w:rFonts w:ascii="宋体" w:hAnsi="宋体" w:cs="宋体" w:eastAsia="宋体" w:hint="default"/>
                <w:sz w:val="18"/>
                <w:szCs w:val="18"/>
              </w:rPr>
            </w:pPr>
            <w:r>
              <w:rPr>
                <w:rFonts w:ascii="宋体"/>
                <w:sz w:val="18"/>
              </w:rPr>
              <w:t>07.99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235,19</w:t>
            </w:r>
          </w:p>
          <w:p>
            <w:pPr>
              <w:pStyle w:val="TableParagraph"/>
              <w:spacing w:line="240" w:lineRule="auto" w:before="76"/>
              <w:ind w:right="23"/>
              <w:jc w:val="right"/>
              <w:rPr>
                <w:rFonts w:ascii="宋体" w:hAnsi="宋体" w:cs="宋体" w:eastAsia="宋体" w:hint="default"/>
                <w:sz w:val="18"/>
                <w:szCs w:val="18"/>
              </w:rPr>
            </w:pPr>
            <w:r>
              <w:rPr>
                <w:rFonts w:ascii="宋体"/>
                <w:sz w:val="18"/>
              </w:rPr>
              <w:t>5,448.</w:t>
            </w:r>
          </w:p>
          <w:p>
            <w:pPr>
              <w:pStyle w:val="TableParagraph"/>
              <w:spacing w:line="240" w:lineRule="auto" w:before="76"/>
              <w:ind w:right="23"/>
              <w:jc w:val="right"/>
              <w:rPr>
                <w:rFonts w:ascii="宋体" w:hAnsi="宋体" w:cs="宋体" w:eastAsia="宋体" w:hint="default"/>
                <w:sz w:val="18"/>
                <w:szCs w:val="18"/>
              </w:rPr>
            </w:pPr>
            <w:r>
              <w:rPr>
                <w:rFonts w:ascii="宋体"/>
                <w:sz w:val="18"/>
              </w:rPr>
              <w:t>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95,007</w:t>
            </w:r>
          </w:p>
          <w:p>
            <w:pPr>
              <w:pStyle w:val="TableParagraph"/>
              <w:spacing w:line="240" w:lineRule="auto" w:before="76"/>
              <w:ind w:right="23"/>
              <w:jc w:val="right"/>
              <w:rPr>
                <w:rFonts w:ascii="宋体" w:hAnsi="宋体" w:cs="宋体" w:eastAsia="宋体" w:hint="default"/>
                <w:sz w:val="18"/>
                <w:szCs w:val="18"/>
              </w:rPr>
            </w:pPr>
            <w:r>
              <w:rPr>
                <w:rFonts w:ascii="宋体"/>
                <w:sz w:val="18"/>
              </w:rPr>
              <w:t>,656.5</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
              <w:ind w:left="61" w:right="0"/>
              <w:jc w:val="center"/>
              <w:rPr>
                <w:rFonts w:ascii="宋体" w:hAnsi="宋体" w:cs="宋体" w:eastAsia="宋体" w:hint="default"/>
                <w:sz w:val="18"/>
                <w:szCs w:val="18"/>
              </w:rPr>
            </w:pPr>
            <w:r>
              <w:rPr>
                <w:rFonts w:ascii="宋体"/>
                <w:sz w:val="18"/>
              </w:rPr>
              <w:t>1,246,</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245,37</w:t>
            </w:r>
          </w:p>
          <w:p>
            <w:pPr>
              <w:pStyle w:val="TableParagraph"/>
              <w:spacing w:line="240" w:lineRule="auto" w:before="76"/>
              <w:ind w:left="241" w:right="0"/>
              <w:jc w:val="center"/>
              <w:rPr>
                <w:rFonts w:ascii="宋体" w:hAnsi="宋体" w:cs="宋体" w:eastAsia="宋体" w:hint="default"/>
                <w:sz w:val="18"/>
                <w:szCs w:val="18"/>
              </w:rPr>
            </w:pPr>
            <w:r>
              <w:rPr>
                <w:rFonts w:ascii="宋体"/>
                <w:sz w:val="18"/>
              </w:rPr>
              <w:t>8.22</w:t>
            </w:r>
          </w:p>
        </w:tc>
      </w:tr>
      <w:tr>
        <w:trPr>
          <w:trHeight w:val="312" w:hRule="exact"/>
        </w:trPr>
        <w:tc>
          <w:tcPr>
            <w:tcW w:w="1438"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803" w:type="dxa"/>
            <w:vMerge/>
            <w:tcBorders>
              <w:left w:val="single" w:sz="4" w:space="0" w:color="000000"/>
              <w:right w:val="single" w:sz="4" w:space="0" w:color="000000"/>
            </w:tcBorders>
          </w:tcPr>
          <w:p>
            <w:pPr/>
          </w:p>
        </w:tc>
        <w:tc>
          <w:tcPr>
            <w:tcW w:w="52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52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1"/>
              <w:ind w:left="73" w:right="0"/>
              <w:jc w:val="left"/>
              <w:rPr>
                <w:rFonts w:ascii="宋体" w:hAnsi="宋体" w:cs="宋体" w:eastAsia="宋体" w:hint="default"/>
                <w:sz w:val="18"/>
                <w:szCs w:val="18"/>
              </w:rPr>
            </w:pPr>
            <w:r>
              <w:rPr>
                <w:rFonts w:ascii="宋体"/>
                <w:sz w:val="18"/>
              </w:rPr>
              <w:t>146,5</w:t>
            </w:r>
          </w:p>
          <w:p>
            <w:pPr>
              <w:pStyle w:val="TableParagraph"/>
              <w:spacing w:line="240" w:lineRule="auto" w:before="76"/>
              <w:ind w:left="73" w:right="0"/>
              <w:jc w:val="left"/>
              <w:rPr>
                <w:rFonts w:ascii="宋体" w:hAnsi="宋体" w:cs="宋体" w:eastAsia="宋体" w:hint="default"/>
                <w:sz w:val="18"/>
                <w:szCs w:val="18"/>
              </w:rPr>
            </w:pPr>
            <w:r>
              <w:rPr>
                <w:rFonts w:ascii="宋体"/>
                <w:sz w:val="18"/>
              </w:rPr>
              <w:t>11,40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before="11"/>
              <w:ind w:left="24" w:right="0"/>
              <w:jc w:val="center"/>
              <w:rPr>
                <w:rFonts w:ascii="宋体" w:hAnsi="宋体" w:cs="宋体" w:eastAsia="宋体" w:hint="default"/>
                <w:sz w:val="18"/>
                <w:szCs w:val="18"/>
              </w:rPr>
            </w:pPr>
            <w:r>
              <w:rPr>
                <w:rFonts w:ascii="宋体"/>
                <w:sz w:val="18"/>
              </w:rPr>
              <w:t>745,597,</w:t>
            </w:r>
          </w:p>
          <w:p>
            <w:pPr>
              <w:pStyle w:val="TableParagraph"/>
              <w:spacing w:line="240" w:lineRule="auto" w:before="76"/>
              <w:ind w:left="205" w:right="0"/>
              <w:jc w:val="center"/>
              <w:rPr>
                <w:rFonts w:ascii="宋体" w:hAnsi="宋体" w:cs="宋体" w:eastAsia="宋体" w:hint="default"/>
                <w:sz w:val="18"/>
                <w:szCs w:val="18"/>
              </w:rPr>
            </w:pPr>
            <w:r>
              <w:rPr>
                <w:rFonts w:ascii="宋体"/>
                <w:sz w:val="18"/>
              </w:rPr>
              <w:t>861.95</w:t>
            </w:r>
          </w:p>
        </w:tc>
        <w:tc>
          <w:tcPr>
            <w:tcW w:w="52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1"/>
              <w:ind w:left="67" w:right="0"/>
              <w:jc w:val="left"/>
              <w:rPr>
                <w:rFonts w:ascii="宋体" w:hAnsi="宋体" w:cs="宋体" w:eastAsia="宋体" w:hint="default"/>
                <w:sz w:val="18"/>
                <w:szCs w:val="18"/>
              </w:rPr>
            </w:pPr>
            <w:r>
              <w:rPr>
                <w:rFonts w:ascii="宋体"/>
                <w:sz w:val="18"/>
              </w:rPr>
              <w:t>23,933,0</w:t>
            </w:r>
          </w:p>
          <w:p>
            <w:pPr>
              <w:pStyle w:val="TableParagraph"/>
              <w:spacing w:line="240" w:lineRule="auto" w:before="76"/>
              <w:ind w:left="337" w:right="0"/>
              <w:jc w:val="left"/>
              <w:rPr>
                <w:rFonts w:ascii="宋体" w:hAnsi="宋体" w:cs="宋体" w:eastAsia="宋体" w:hint="default"/>
                <w:sz w:val="18"/>
                <w:szCs w:val="18"/>
              </w:rPr>
            </w:pPr>
            <w:r>
              <w:rPr>
                <w:rFonts w:ascii="宋体"/>
                <w:sz w:val="18"/>
              </w:rPr>
              <w:t>07.99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left="91" w:right="0"/>
              <w:jc w:val="left"/>
              <w:rPr>
                <w:rFonts w:ascii="宋体" w:hAnsi="宋体" w:cs="宋体" w:eastAsia="宋体" w:hint="default"/>
                <w:sz w:val="18"/>
                <w:szCs w:val="18"/>
              </w:rPr>
            </w:pPr>
            <w:r>
              <w:rPr>
                <w:rFonts w:ascii="宋体"/>
                <w:sz w:val="18"/>
              </w:rPr>
              <w:t>235,19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5,448.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left="91" w:right="0"/>
              <w:jc w:val="left"/>
              <w:rPr>
                <w:rFonts w:ascii="宋体" w:hAnsi="宋体" w:cs="宋体" w:eastAsia="宋体" w:hint="default"/>
                <w:sz w:val="18"/>
                <w:szCs w:val="18"/>
              </w:rPr>
            </w:pPr>
            <w:r>
              <w:rPr>
                <w:rFonts w:ascii="宋体"/>
                <w:sz w:val="18"/>
              </w:rPr>
              <w:t>95,007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,656.5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
              <w:ind w:left="85" w:right="0"/>
              <w:jc w:val="left"/>
              <w:rPr>
                <w:rFonts w:ascii="宋体" w:hAnsi="宋体" w:cs="宋体" w:eastAsia="宋体" w:hint="default"/>
                <w:sz w:val="18"/>
                <w:szCs w:val="18"/>
              </w:rPr>
            </w:pPr>
            <w:r>
              <w:rPr>
                <w:rFonts w:ascii="宋体"/>
                <w:sz w:val="18"/>
              </w:rPr>
              <w:t>1,246,</w:t>
            </w:r>
          </w:p>
          <w:p>
            <w:pPr>
              <w:pStyle w:val="TableParagraph"/>
              <w:spacing w:line="240" w:lineRule="auto" w:before="76"/>
              <w:ind w:left="85" w:right="0"/>
              <w:jc w:val="left"/>
              <w:rPr>
                <w:rFonts w:ascii="宋体" w:hAnsi="宋体" w:cs="宋体" w:eastAsia="宋体" w:hint="default"/>
                <w:sz w:val="18"/>
                <w:szCs w:val="18"/>
              </w:rPr>
            </w:pPr>
            <w:r>
              <w:rPr>
                <w:rFonts w:ascii="宋体"/>
                <w:sz w:val="18"/>
              </w:rPr>
              <w:t>245,37</w:t>
            </w:r>
          </w:p>
        </w:tc>
      </w:tr>
      <w:tr>
        <w:trPr>
          <w:trHeight w:val="312" w:hRule="exact"/>
        </w:trPr>
        <w:tc>
          <w:tcPr>
            <w:tcW w:w="1438" w:type="dxa"/>
            <w:tcBorders>
              <w:top w:val="nil" w:sz="6" w:space="0" w:color="auto"/>
              <w:left w:val="single" w:sz="13" w:space="0" w:color="D2D2D2"/>
              <w:bottom w:val="nil" w:sz="6" w:space="0" w:color="auto"/>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803" w:type="dxa"/>
            <w:vMerge/>
            <w:tcBorders>
              <w:left w:val="single" w:sz="4" w:space="0" w:color="000000"/>
              <w:right w:val="single" w:sz="4" w:space="0" w:color="000000"/>
            </w:tcBorders>
          </w:tcPr>
          <w:p>
            <w:pPr/>
          </w:p>
        </w:tc>
        <w:tc>
          <w:tcPr>
            <w:tcW w:w="52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52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803"/>
        <w:gridCol w:w="527"/>
        <w:gridCol w:w="665"/>
        <w:gridCol w:w="509"/>
        <w:gridCol w:w="820"/>
        <w:gridCol w:w="666"/>
        <w:gridCol w:w="665"/>
        <w:gridCol w:w="665"/>
        <w:gridCol w:w="659"/>
      </w:tblGrid>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sz w:val="18"/>
              </w:rPr>
              <w:t>8.22</w:t>
            </w: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 w:right="0"/>
              <w:jc w:val="left"/>
              <w:rPr>
                <w:rFonts w:ascii="宋体" w:hAnsi="宋体" w:cs="宋体" w:eastAsia="宋体" w:hint="default"/>
                <w:sz w:val="18"/>
                <w:szCs w:val="18"/>
              </w:rPr>
            </w:pPr>
            <w:r>
              <w:rPr>
                <w:rFonts w:ascii="宋体"/>
                <w:sz w:val="18"/>
              </w:rPr>
              <w:t>146,5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11,40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9" w:right="0"/>
              <w:jc w:val="left"/>
              <w:rPr>
                <w:rFonts w:ascii="宋体" w:hAnsi="宋体" w:cs="宋体" w:eastAsia="宋体" w:hint="default"/>
                <w:sz w:val="18"/>
                <w:szCs w:val="18"/>
              </w:rPr>
            </w:pPr>
            <w:r>
              <w:rPr>
                <w:rFonts w:ascii="宋体"/>
                <w:sz w:val="18"/>
              </w:rPr>
              <w:t>-149,573</w:t>
            </w:r>
          </w:p>
          <w:p>
            <w:pPr>
              <w:pStyle w:val="TableParagraph"/>
              <w:spacing w:line="240" w:lineRule="auto" w:before="76"/>
              <w:ind w:left="139" w:right="0"/>
              <w:jc w:val="left"/>
              <w:rPr>
                <w:rFonts w:ascii="宋体" w:hAnsi="宋体" w:cs="宋体" w:eastAsia="宋体" w:hint="default"/>
                <w:sz w:val="18"/>
                <w:szCs w:val="18"/>
              </w:rPr>
            </w:pPr>
            <w:r>
              <w:rPr>
                <w:rFonts w:ascii="宋体"/>
                <w:sz w:val="18"/>
              </w:rPr>
              <w:t>,437.34</w:t>
            </w: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67" w:right="0"/>
              <w:jc w:val="left"/>
              <w:rPr>
                <w:rFonts w:ascii="宋体" w:hAnsi="宋体" w:cs="宋体" w:eastAsia="宋体" w:hint="default"/>
                <w:sz w:val="18"/>
                <w:szCs w:val="18"/>
              </w:rPr>
            </w:pPr>
            <w:r>
              <w:rPr>
                <w:rFonts w:ascii="宋体"/>
                <w:sz w:val="18"/>
              </w:rPr>
              <w:t>2,258,66</w:t>
            </w:r>
          </w:p>
          <w:p>
            <w:pPr>
              <w:pStyle w:val="TableParagraph"/>
              <w:spacing w:line="240" w:lineRule="auto" w:before="76"/>
              <w:ind w:left="427" w:right="0"/>
              <w:jc w:val="left"/>
              <w:rPr>
                <w:rFonts w:ascii="宋体" w:hAnsi="宋体" w:cs="宋体" w:eastAsia="宋体" w:hint="default"/>
                <w:sz w:val="18"/>
                <w:szCs w:val="18"/>
              </w:rPr>
            </w:pPr>
            <w:r>
              <w:rPr>
                <w:rFonts w:ascii="宋体"/>
                <w:sz w:val="18"/>
              </w:rPr>
              <w:t>5.26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69,062</w:t>
            </w:r>
          </w:p>
          <w:p>
            <w:pPr>
              <w:pStyle w:val="TableParagraph"/>
              <w:spacing w:line="240" w:lineRule="auto" w:before="76"/>
              <w:ind w:right="23"/>
              <w:jc w:val="right"/>
              <w:rPr>
                <w:rFonts w:ascii="宋体" w:hAnsi="宋体" w:cs="宋体" w:eastAsia="宋体" w:hint="default"/>
                <w:sz w:val="18"/>
                <w:szCs w:val="18"/>
              </w:rPr>
            </w:pPr>
            <w:r>
              <w:rPr>
                <w:rFonts w:ascii="宋体"/>
                <w:sz w:val="18"/>
              </w:rPr>
              <w:t>,277.9</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186,85</w:t>
            </w:r>
          </w:p>
          <w:p>
            <w:pPr>
              <w:pStyle w:val="TableParagraph"/>
              <w:spacing w:line="240" w:lineRule="auto" w:before="76"/>
              <w:ind w:right="23"/>
              <w:jc w:val="right"/>
              <w:rPr>
                <w:rFonts w:ascii="宋体" w:hAnsi="宋体" w:cs="宋体" w:eastAsia="宋体" w:hint="default"/>
                <w:sz w:val="18"/>
                <w:szCs w:val="18"/>
              </w:rPr>
            </w:pPr>
            <w:r>
              <w:rPr>
                <w:rFonts w:ascii="宋体"/>
                <w:sz w:val="18"/>
              </w:rPr>
              <w:t>1,529.</w:t>
            </w:r>
          </w:p>
          <w:p>
            <w:pPr>
              <w:pStyle w:val="TableParagraph"/>
              <w:spacing w:line="240" w:lineRule="auto" w:before="76"/>
              <w:ind w:right="23"/>
              <w:jc w:val="right"/>
              <w:rPr>
                <w:rFonts w:ascii="宋体" w:hAnsi="宋体" w:cs="宋体" w:eastAsia="宋体" w:hint="default"/>
                <w:sz w:val="18"/>
                <w:szCs w:val="18"/>
              </w:rPr>
            </w:pPr>
            <w:r>
              <w:rPr>
                <w:rFonts w:ascii="宋体"/>
                <w:sz w:val="18"/>
              </w:rPr>
              <w:t>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255,11</w:t>
            </w:r>
          </w:p>
          <w:p>
            <w:pPr>
              <w:pStyle w:val="TableParagraph"/>
              <w:spacing w:line="240" w:lineRule="auto" w:before="76"/>
              <w:ind w:right="23"/>
              <w:jc w:val="right"/>
              <w:rPr>
                <w:rFonts w:ascii="宋体" w:hAnsi="宋体" w:cs="宋体" w:eastAsia="宋体" w:hint="default"/>
                <w:sz w:val="18"/>
                <w:szCs w:val="18"/>
              </w:rPr>
            </w:pPr>
            <w:r>
              <w:rPr>
                <w:rFonts w:ascii="宋体"/>
                <w:sz w:val="18"/>
              </w:rPr>
              <w:t>0,438.</w:t>
            </w:r>
          </w:p>
          <w:p>
            <w:pPr>
              <w:pStyle w:val="TableParagraph"/>
              <w:spacing w:line="240" w:lineRule="auto" w:before="76"/>
              <w:ind w:right="23"/>
              <w:jc w:val="right"/>
              <w:rPr>
                <w:rFonts w:ascii="宋体" w:hAnsi="宋体" w:cs="宋体" w:eastAsia="宋体" w:hint="default"/>
                <w:sz w:val="18"/>
                <w:szCs w:val="18"/>
              </w:rPr>
            </w:pPr>
            <w:r>
              <w:rPr>
                <w:rFonts w:ascii="宋体"/>
                <w:sz w:val="18"/>
              </w:rPr>
              <w:t>52</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78,646</w:t>
            </w:r>
          </w:p>
          <w:p>
            <w:pPr>
              <w:pStyle w:val="TableParagraph"/>
              <w:spacing w:line="240" w:lineRule="auto" w:before="76"/>
              <w:ind w:right="23"/>
              <w:jc w:val="right"/>
              <w:rPr>
                <w:rFonts w:ascii="宋体" w:hAnsi="宋体" w:cs="宋体" w:eastAsia="宋体" w:hint="default"/>
                <w:sz w:val="18"/>
                <w:szCs w:val="18"/>
              </w:rPr>
            </w:pPr>
            <w:r>
              <w:rPr>
                <w:rFonts w:ascii="宋体"/>
                <w:sz w:val="18"/>
              </w:rPr>
              <w:t>,513.4</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20,516</w:t>
            </w:r>
          </w:p>
          <w:p>
            <w:pPr>
              <w:pStyle w:val="TableParagraph"/>
              <w:spacing w:line="240" w:lineRule="auto" w:before="76"/>
              <w:ind w:right="23"/>
              <w:jc w:val="right"/>
              <w:rPr>
                <w:rFonts w:ascii="宋体" w:hAnsi="宋体" w:cs="宋体" w:eastAsia="宋体" w:hint="default"/>
                <w:sz w:val="18"/>
                <w:szCs w:val="18"/>
              </w:rPr>
            </w:pPr>
            <w:r>
              <w:rPr>
                <w:rFonts w:ascii="宋体"/>
                <w:sz w:val="18"/>
              </w:rPr>
              <w:t>,289.5</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99,162</w:t>
            </w:r>
          </w:p>
          <w:p>
            <w:pPr>
              <w:pStyle w:val="TableParagraph"/>
              <w:spacing w:line="240" w:lineRule="auto" w:before="76"/>
              <w:ind w:right="23"/>
              <w:jc w:val="right"/>
              <w:rPr>
                <w:rFonts w:ascii="宋体" w:hAnsi="宋体" w:cs="宋体" w:eastAsia="宋体" w:hint="default"/>
                <w:sz w:val="18"/>
                <w:szCs w:val="18"/>
              </w:rPr>
            </w:pPr>
            <w:r>
              <w:rPr>
                <w:rFonts w:ascii="宋体"/>
                <w:sz w:val="18"/>
              </w:rPr>
              <w:t>,802.9</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9" w:right="0"/>
              <w:jc w:val="left"/>
              <w:rPr>
                <w:rFonts w:ascii="宋体" w:hAnsi="宋体" w:cs="宋体" w:eastAsia="宋体" w:hint="default"/>
                <w:sz w:val="18"/>
                <w:szCs w:val="18"/>
              </w:rPr>
            </w:pPr>
            <w:r>
              <w:rPr>
                <w:rFonts w:ascii="宋体"/>
                <w:sz w:val="18"/>
              </w:rPr>
              <w:t>-3,062,0</w:t>
            </w:r>
          </w:p>
          <w:p>
            <w:pPr>
              <w:pStyle w:val="TableParagraph"/>
              <w:spacing w:line="240" w:lineRule="auto" w:before="76"/>
              <w:ind w:left="319" w:right="0"/>
              <w:jc w:val="left"/>
              <w:rPr>
                <w:rFonts w:ascii="宋体" w:hAnsi="宋体" w:cs="宋体" w:eastAsia="宋体" w:hint="default"/>
                <w:sz w:val="18"/>
                <w:szCs w:val="18"/>
              </w:rPr>
            </w:pPr>
            <w:r>
              <w:rPr>
                <w:rFonts w:ascii="宋体"/>
                <w:sz w:val="18"/>
              </w:rPr>
              <w:t>34.34</w:t>
            </w: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166,33</w:t>
            </w:r>
          </w:p>
          <w:p>
            <w:pPr>
              <w:pStyle w:val="TableParagraph"/>
              <w:spacing w:line="240" w:lineRule="auto" w:before="76"/>
              <w:ind w:right="23"/>
              <w:jc w:val="right"/>
              <w:rPr>
                <w:rFonts w:ascii="宋体" w:hAnsi="宋体" w:cs="宋体" w:eastAsia="宋体" w:hint="default"/>
                <w:sz w:val="18"/>
                <w:szCs w:val="18"/>
              </w:rPr>
            </w:pPr>
            <w:r>
              <w:rPr>
                <w:rFonts w:ascii="宋体"/>
                <w:sz w:val="18"/>
              </w:rPr>
              <w:t>5,240.</w:t>
            </w:r>
          </w:p>
          <w:p>
            <w:pPr>
              <w:pStyle w:val="TableParagraph"/>
              <w:spacing w:line="240" w:lineRule="auto" w:before="76"/>
              <w:ind w:right="23"/>
              <w:jc w:val="right"/>
              <w:rPr>
                <w:rFonts w:ascii="宋体" w:hAnsi="宋体" w:cs="宋体" w:eastAsia="宋体" w:hint="default"/>
                <w:sz w:val="18"/>
                <w:szCs w:val="18"/>
              </w:rPr>
            </w:pPr>
            <w:r>
              <w:rPr>
                <w:rFonts w:ascii="宋体"/>
                <w:sz w:val="18"/>
              </w:rPr>
              <w:t>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163,27</w:t>
            </w:r>
          </w:p>
          <w:p>
            <w:pPr>
              <w:pStyle w:val="TableParagraph"/>
              <w:spacing w:line="240" w:lineRule="auto" w:before="76"/>
              <w:ind w:right="23"/>
              <w:jc w:val="right"/>
              <w:rPr>
                <w:rFonts w:ascii="宋体" w:hAnsi="宋体" w:cs="宋体" w:eastAsia="宋体" w:hint="default"/>
                <w:sz w:val="18"/>
                <w:szCs w:val="18"/>
              </w:rPr>
            </w:pPr>
            <w:r>
              <w:rPr>
                <w:rFonts w:ascii="宋体"/>
                <w:sz w:val="18"/>
              </w:rPr>
              <w:t>3,205.</w:t>
            </w:r>
          </w:p>
          <w:p>
            <w:pPr>
              <w:pStyle w:val="TableParagraph"/>
              <w:spacing w:line="240" w:lineRule="auto" w:before="76"/>
              <w:ind w:right="23"/>
              <w:jc w:val="right"/>
              <w:rPr>
                <w:rFonts w:ascii="宋体" w:hAnsi="宋体" w:cs="宋体" w:eastAsia="宋体" w:hint="default"/>
                <w:sz w:val="18"/>
                <w:szCs w:val="18"/>
              </w:rPr>
            </w:pPr>
            <w:r>
              <w:rPr>
                <w:rFonts w:ascii="宋体"/>
                <w:sz w:val="18"/>
              </w:rPr>
              <w:t>74</w:t>
            </w: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162,92</w:t>
            </w:r>
          </w:p>
          <w:p>
            <w:pPr>
              <w:pStyle w:val="TableParagraph"/>
              <w:spacing w:line="240" w:lineRule="auto" w:before="76"/>
              <w:ind w:right="23"/>
              <w:jc w:val="right"/>
              <w:rPr>
                <w:rFonts w:ascii="宋体" w:hAnsi="宋体" w:cs="宋体" w:eastAsia="宋体" w:hint="default"/>
                <w:sz w:val="18"/>
                <w:szCs w:val="18"/>
              </w:rPr>
            </w:pPr>
            <w:r>
              <w:rPr>
                <w:rFonts w:ascii="宋体"/>
                <w:sz w:val="18"/>
              </w:rPr>
              <w:t>0,312.</w:t>
            </w:r>
          </w:p>
          <w:p>
            <w:pPr>
              <w:pStyle w:val="TableParagraph"/>
              <w:spacing w:line="240" w:lineRule="auto" w:before="76"/>
              <w:ind w:right="23"/>
              <w:jc w:val="right"/>
              <w:rPr>
                <w:rFonts w:ascii="宋体" w:hAnsi="宋体" w:cs="宋体" w:eastAsia="宋体" w:hint="default"/>
                <w:sz w:val="18"/>
                <w:szCs w:val="18"/>
              </w:rPr>
            </w:pPr>
            <w:r>
              <w:rPr>
                <w:rFonts w:ascii="宋体"/>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162,92</w:t>
            </w:r>
          </w:p>
          <w:p>
            <w:pPr>
              <w:pStyle w:val="TableParagraph"/>
              <w:spacing w:line="240" w:lineRule="auto" w:before="76"/>
              <w:ind w:right="23"/>
              <w:jc w:val="right"/>
              <w:rPr>
                <w:rFonts w:ascii="宋体" w:hAnsi="宋体" w:cs="宋体" w:eastAsia="宋体" w:hint="default"/>
                <w:sz w:val="18"/>
                <w:szCs w:val="18"/>
              </w:rPr>
            </w:pPr>
            <w:r>
              <w:rPr>
                <w:rFonts w:ascii="宋体"/>
                <w:sz w:val="18"/>
              </w:rPr>
              <w:t>0,312.</w:t>
            </w:r>
          </w:p>
          <w:p>
            <w:pPr>
              <w:pStyle w:val="TableParagraph"/>
              <w:spacing w:line="240" w:lineRule="auto" w:before="76"/>
              <w:ind w:right="23"/>
              <w:jc w:val="right"/>
              <w:rPr>
                <w:rFonts w:ascii="宋体" w:hAnsi="宋体" w:cs="宋体" w:eastAsia="宋体" w:hint="default"/>
                <w:sz w:val="18"/>
                <w:szCs w:val="18"/>
              </w:rPr>
            </w:pPr>
            <w:r>
              <w:rPr>
                <w:rFonts w:ascii="宋体"/>
                <w:sz w:val="18"/>
              </w:rPr>
              <w:t>35</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sz w:val="18"/>
              </w:rPr>
              <w:t>-3,062,0</w:t>
            </w:r>
          </w:p>
          <w:p>
            <w:pPr>
              <w:pStyle w:val="TableParagraph"/>
              <w:spacing w:line="240" w:lineRule="auto" w:before="76"/>
              <w:ind w:left="319" w:right="0"/>
              <w:jc w:val="left"/>
              <w:rPr>
                <w:rFonts w:ascii="宋体" w:hAnsi="宋体" w:cs="宋体" w:eastAsia="宋体" w:hint="default"/>
                <w:sz w:val="18"/>
                <w:szCs w:val="18"/>
              </w:rPr>
            </w:pPr>
            <w:r>
              <w:rPr>
                <w:rFonts w:ascii="宋体"/>
                <w:sz w:val="18"/>
              </w:rPr>
              <w:t>34.34</w:t>
            </w: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1" w:right="0"/>
              <w:jc w:val="left"/>
              <w:rPr>
                <w:rFonts w:ascii="宋体" w:hAnsi="宋体" w:cs="宋体" w:eastAsia="宋体" w:hint="default"/>
                <w:sz w:val="18"/>
                <w:szCs w:val="18"/>
              </w:rPr>
            </w:pPr>
            <w:r>
              <w:rPr>
                <w:rFonts w:ascii="宋体"/>
                <w:sz w:val="18"/>
              </w:rPr>
              <w:t>3,414,</w:t>
            </w:r>
          </w:p>
          <w:p>
            <w:pPr>
              <w:pStyle w:val="TableParagraph"/>
              <w:spacing w:line="240" w:lineRule="auto" w:before="76"/>
              <w:ind w:left="91" w:right="0"/>
              <w:jc w:val="left"/>
              <w:rPr>
                <w:rFonts w:ascii="宋体" w:hAnsi="宋体" w:cs="宋体" w:eastAsia="宋体" w:hint="default"/>
                <w:sz w:val="18"/>
                <w:szCs w:val="18"/>
              </w:rPr>
            </w:pPr>
            <w:r>
              <w:rPr>
                <w:rFonts w:ascii="宋体"/>
                <w:sz w:val="18"/>
              </w:rPr>
              <w:t>927.73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1" w:right="0"/>
              <w:jc w:val="center"/>
              <w:rPr>
                <w:rFonts w:ascii="宋体" w:hAnsi="宋体" w:cs="宋体" w:eastAsia="宋体" w:hint="default"/>
                <w:sz w:val="18"/>
                <w:szCs w:val="18"/>
              </w:rPr>
            </w:pPr>
            <w:r>
              <w:rPr>
                <w:rFonts w:ascii="宋体"/>
                <w:sz w:val="18"/>
              </w:rPr>
              <w:t>352,89</w:t>
            </w:r>
          </w:p>
          <w:p>
            <w:pPr>
              <w:pStyle w:val="TableParagraph"/>
              <w:spacing w:line="240" w:lineRule="auto" w:before="76"/>
              <w:ind w:left="241" w:right="0"/>
              <w:jc w:val="center"/>
              <w:rPr>
                <w:rFonts w:ascii="宋体" w:hAnsi="宋体" w:cs="宋体" w:eastAsia="宋体" w:hint="default"/>
                <w:sz w:val="18"/>
                <w:szCs w:val="18"/>
              </w:rPr>
            </w:pPr>
            <w:r>
              <w:rPr>
                <w:rFonts w:ascii="宋体"/>
                <w:sz w:val="18"/>
              </w:rPr>
              <w:t>3.39</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7" w:right="0"/>
              <w:jc w:val="left"/>
              <w:rPr>
                <w:rFonts w:ascii="宋体" w:hAnsi="宋体" w:cs="宋体" w:eastAsia="宋体" w:hint="default"/>
                <w:sz w:val="18"/>
                <w:szCs w:val="18"/>
              </w:rPr>
            </w:pPr>
            <w:r>
              <w:rPr>
                <w:rFonts w:ascii="宋体"/>
                <w:sz w:val="18"/>
              </w:rPr>
              <w:t>2,258,66</w:t>
            </w:r>
          </w:p>
          <w:p>
            <w:pPr>
              <w:pStyle w:val="TableParagraph"/>
              <w:spacing w:line="240" w:lineRule="auto" w:before="77"/>
              <w:ind w:left="427" w:right="0"/>
              <w:jc w:val="left"/>
              <w:rPr>
                <w:rFonts w:ascii="宋体" w:hAnsi="宋体" w:cs="宋体" w:eastAsia="宋体" w:hint="default"/>
                <w:sz w:val="18"/>
                <w:szCs w:val="18"/>
              </w:rPr>
            </w:pPr>
            <w:r>
              <w:rPr>
                <w:rFonts w:ascii="宋体"/>
                <w:sz w:val="18"/>
              </w:rPr>
              <w:t>5.26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-9,584</w:t>
            </w:r>
          </w:p>
          <w:p>
            <w:pPr>
              <w:pStyle w:val="TableParagraph"/>
              <w:spacing w:line="240" w:lineRule="auto" w:before="76"/>
              <w:ind w:right="23"/>
              <w:jc w:val="right"/>
              <w:rPr>
                <w:rFonts w:ascii="宋体" w:hAnsi="宋体" w:cs="宋体" w:eastAsia="宋体" w:hint="default"/>
                <w:sz w:val="18"/>
                <w:szCs w:val="18"/>
              </w:rPr>
            </w:pPr>
            <w:r>
              <w:rPr>
                <w:rFonts w:ascii="宋体"/>
                <w:sz w:val="18"/>
              </w:rPr>
              <w:t>,235.4</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-7,325</w:t>
            </w:r>
          </w:p>
          <w:p>
            <w:pPr>
              <w:pStyle w:val="TableParagraph"/>
              <w:spacing w:line="240" w:lineRule="auto" w:before="76"/>
              <w:ind w:right="23"/>
              <w:jc w:val="right"/>
              <w:rPr>
                <w:rFonts w:ascii="宋体" w:hAnsi="宋体" w:cs="宋体" w:eastAsia="宋体" w:hint="default"/>
                <w:sz w:val="18"/>
                <w:szCs w:val="18"/>
              </w:rPr>
            </w:pPr>
            <w:r>
              <w:rPr>
                <w:rFonts w:ascii="宋体"/>
                <w:sz w:val="18"/>
              </w:rPr>
              <w:t>,570.1</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7" w:right="0"/>
              <w:jc w:val="left"/>
              <w:rPr>
                <w:rFonts w:ascii="宋体" w:hAnsi="宋体" w:cs="宋体" w:eastAsia="宋体" w:hint="default"/>
                <w:sz w:val="18"/>
                <w:szCs w:val="18"/>
              </w:rPr>
            </w:pPr>
            <w:r>
              <w:rPr>
                <w:rFonts w:ascii="宋体"/>
                <w:sz w:val="18"/>
              </w:rPr>
              <w:t>2,258,66</w:t>
            </w:r>
          </w:p>
          <w:p>
            <w:pPr>
              <w:pStyle w:val="TableParagraph"/>
              <w:spacing w:line="240" w:lineRule="auto" w:before="76"/>
              <w:ind w:left="427" w:right="0"/>
              <w:jc w:val="left"/>
              <w:rPr>
                <w:rFonts w:ascii="宋体" w:hAnsi="宋体" w:cs="宋体" w:eastAsia="宋体" w:hint="default"/>
                <w:sz w:val="18"/>
                <w:szCs w:val="18"/>
              </w:rPr>
            </w:pPr>
            <w:r>
              <w:rPr>
                <w:rFonts w:ascii="宋体"/>
                <w:sz w:val="18"/>
              </w:rPr>
              <w:t>5.26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-2,258</w:t>
            </w:r>
          </w:p>
          <w:p>
            <w:pPr>
              <w:pStyle w:val="TableParagraph"/>
              <w:spacing w:line="240" w:lineRule="auto" w:before="76"/>
              <w:ind w:right="23"/>
              <w:jc w:val="right"/>
              <w:rPr>
                <w:rFonts w:ascii="宋体" w:hAnsi="宋体" w:cs="宋体" w:eastAsia="宋体" w:hint="default"/>
                <w:sz w:val="18"/>
                <w:szCs w:val="18"/>
              </w:rPr>
            </w:pPr>
            <w:r>
              <w:rPr>
                <w:rFonts w:ascii="宋体"/>
                <w:sz w:val="18"/>
              </w:rPr>
              <w:t>,665.2</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-7,325</w:t>
            </w:r>
          </w:p>
          <w:p>
            <w:pPr>
              <w:pStyle w:val="TableParagraph"/>
              <w:spacing w:line="240" w:lineRule="auto" w:before="76"/>
              <w:ind w:right="23"/>
              <w:jc w:val="right"/>
              <w:rPr>
                <w:rFonts w:ascii="宋体" w:hAnsi="宋体" w:cs="宋体" w:eastAsia="宋体" w:hint="default"/>
                <w:sz w:val="18"/>
                <w:szCs w:val="18"/>
              </w:rPr>
            </w:pPr>
            <w:r>
              <w:rPr>
                <w:rFonts w:ascii="宋体"/>
                <w:sz w:val="18"/>
              </w:rPr>
              <w:t>,570.1</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-7,325</w:t>
            </w:r>
          </w:p>
          <w:p>
            <w:pPr>
              <w:pStyle w:val="TableParagraph"/>
              <w:spacing w:line="240" w:lineRule="auto" w:before="76"/>
              <w:ind w:right="23"/>
              <w:jc w:val="right"/>
              <w:rPr>
                <w:rFonts w:ascii="宋体" w:hAnsi="宋体" w:cs="宋体" w:eastAsia="宋体" w:hint="default"/>
                <w:sz w:val="18"/>
                <w:szCs w:val="18"/>
              </w:rPr>
            </w:pPr>
            <w:r>
              <w:rPr>
                <w:rFonts w:ascii="宋体"/>
                <w:sz w:val="18"/>
              </w:rPr>
              <w:t>,570.1</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 w:right="0"/>
              <w:jc w:val="left"/>
              <w:rPr>
                <w:rFonts w:ascii="宋体" w:hAnsi="宋体" w:cs="宋体" w:eastAsia="宋体" w:hint="default"/>
                <w:sz w:val="18"/>
                <w:szCs w:val="18"/>
              </w:rPr>
            </w:pPr>
            <w:r>
              <w:rPr>
                <w:rFonts w:ascii="宋体"/>
                <w:sz w:val="18"/>
              </w:rPr>
              <w:t>146,5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11,40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9"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139" w:right="0"/>
              <w:jc w:val="left"/>
              <w:rPr>
                <w:rFonts w:ascii="宋体" w:hAnsi="宋体" w:cs="宋体" w:eastAsia="宋体" w:hint="default"/>
                <w:sz w:val="18"/>
                <w:szCs w:val="18"/>
              </w:rPr>
            </w:pPr>
            <w:r>
              <w:rPr>
                <w:rFonts w:ascii="宋体"/>
                <w:sz w:val="18"/>
              </w:rPr>
              <w:t>,403.00</w:t>
            </w: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sz w:val="18"/>
              </w:rPr>
              <w:t>146,5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11,40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9"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139" w:right="0"/>
              <w:jc w:val="left"/>
              <w:rPr>
                <w:rFonts w:ascii="宋体" w:hAnsi="宋体" w:cs="宋体" w:eastAsia="宋体" w:hint="default"/>
                <w:sz w:val="18"/>
                <w:szCs w:val="18"/>
              </w:rPr>
            </w:pPr>
            <w:r>
              <w:rPr>
                <w:rFonts w:ascii="宋体"/>
                <w:sz w:val="18"/>
              </w:rPr>
              <w:t>,403.00</w:t>
            </w: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803"/>
        <w:gridCol w:w="527"/>
        <w:gridCol w:w="665"/>
        <w:gridCol w:w="509"/>
        <w:gridCol w:w="820"/>
        <w:gridCol w:w="666"/>
        <w:gridCol w:w="665"/>
        <w:gridCol w:w="665"/>
        <w:gridCol w:w="659"/>
      </w:tblGrid>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sz w:val="18"/>
              </w:rPr>
              <w:t>293,0</w:t>
            </w:r>
          </w:p>
          <w:p>
            <w:pPr>
              <w:pStyle w:val="TableParagraph"/>
              <w:spacing w:line="240" w:lineRule="auto" w:before="77"/>
              <w:ind w:left="80" w:right="0"/>
              <w:jc w:val="left"/>
              <w:rPr>
                <w:rFonts w:ascii="宋体" w:hAnsi="宋体" w:cs="宋体" w:eastAsia="宋体" w:hint="default"/>
                <w:sz w:val="18"/>
                <w:szCs w:val="18"/>
              </w:rPr>
            </w:pPr>
            <w:r>
              <w:rPr>
                <w:rFonts w:ascii="宋体"/>
                <w:sz w:val="18"/>
              </w:rPr>
              <w:t>22,80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center"/>
              <w:rPr>
                <w:rFonts w:ascii="宋体" w:hAnsi="宋体" w:cs="宋体" w:eastAsia="宋体" w:hint="default"/>
                <w:sz w:val="18"/>
                <w:szCs w:val="18"/>
              </w:rPr>
            </w:pPr>
            <w:r>
              <w:rPr>
                <w:rFonts w:ascii="宋体"/>
                <w:sz w:val="18"/>
              </w:rPr>
              <w:t>596,024,</w:t>
            </w:r>
          </w:p>
          <w:p>
            <w:pPr>
              <w:pStyle w:val="TableParagraph"/>
              <w:spacing w:line="240" w:lineRule="auto" w:before="77"/>
              <w:ind w:left="205" w:right="0"/>
              <w:jc w:val="center"/>
              <w:rPr>
                <w:rFonts w:ascii="宋体" w:hAnsi="宋体" w:cs="宋体" w:eastAsia="宋体" w:hint="default"/>
                <w:sz w:val="18"/>
                <w:szCs w:val="18"/>
              </w:rPr>
            </w:pPr>
            <w:r>
              <w:rPr>
                <w:rFonts w:ascii="宋体"/>
                <w:sz w:val="18"/>
              </w:rPr>
              <w:t>424.61</w:t>
            </w:r>
          </w:p>
        </w:tc>
        <w:tc>
          <w:tcPr>
            <w:tcW w:w="5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7" w:right="0"/>
              <w:jc w:val="left"/>
              <w:rPr>
                <w:rFonts w:ascii="宋体" w:hAnsi="宋体" w:cs="宋体" w:eastAsia="宋体" w:hint="default"/>
                <w:sz w:val="18"/>
                <w:szCs w:val="18"/>
              </w:rPr>
            </w:pPr>
            <w:r>
              <w:rPr>
                <w:rFonts w:ascii="宋体"/>
                <w:sz w:val="18"/>
              </w:rPr>
              <w:t>26,191,6</w:t>
            </w:r>
          </w:p>
          <w:p>
            <w:pPr>
              <w:pStyle w:val="TableParagraph"/>
              <w:spacing w:line="240" w:lineRule="auto" w:before="77"/>
              <w:ind w:left="337" w:right="0"/>
              <w:jc w:val="left"/>
              <w:rPr>
                <w:rFonts w:ascii="宋体" w:hAnsi="宋体" w:cs="宋体" w:eastAsia="宋体" w:hint="default"/>
                <w:sz w:val="18"/>
                <w:szCs w:val="18"/>
              </w:rPr>
            </w:pPr>
            <w:r>
              <w:rPr>
                <w:rFonts w:ascii="宋体"/>
                <w:sz w:val="18"/>
              </w:rPr>
              <w:t>73.25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304,25</w:t>
            </w:r>
          </w:p>
          <w:p>
            <w:pPr>
              <w:pStyle w:val="TableParagraph"/>
              <w:spacing w:line="240" w:lineRule="auto" w:before="77"/>
              <w:ind w:right="23"/>
              <w:jc w:val="right"/>
              <w:rPr>
                <w:rFonts w:ascii="宋体" w:hAnsi="宋体" w:cs="宋体" w:eastAsia="宋体" w:hint="default"/>
                <w:sz w:val="18"/>
                <w:szCs w:val="18"/>
              </w:rPr>
            </w:pPr>
            <w:r>
              <w:rPr>
                <w:rFonts w:ascii="宋体"/>
                <w:sz w:val="18"/>
              </w:rPr>
              <w:t>7,726.</w:t>
            </w:r>
          </w:p>
          <w:p>
            <w:pPr>
              <w:pStyle w:val="TableParagraph"/>
              <w:spacing w:line="240" w:lineRule="auto" w:before="76"/>
              <w:ind w:right="23"/>
              <w:jc w:val="right"/>
              <w:rPr>
                <w:rFonts w:ascii="宋体" w:hAnsi="宋体" w:cs="宋体" w:eastAsia="宋体" w:hint="default"/>
                <w:sz w:val="18"/>
                <w:szCs w:val="18"/>
              </w:rPr>
            </w:pPr>
            <w:r>
              <w:rPr>
                <w:rFonts w:ascii="宋体"/>
                <w:sz w:val="18"/>
              </w:rPr>
              <w:t>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281,85</w:t>
            </w:r>
          </w:p>
          <w:p>
            <w:pPr>
              <w:pStyle w:val="TableParagraph"/>
              <w:spacing w:line="240" w:lineRule="auto" w:before="77"/>
              <w:ind w:right="23"/>
              <w:jc w:val="right"/>
              <w:rPr>
                <w:rFonts w:ascii="宋体" w:hAnsi="宋体" w:cs="宋体" w:eastAsia="宋体" w:hint="default"/>
                <w:sz w:val="18"/>
                <w:szCs w:val="18"/>
              </w:rPr>
            </w:pPr>
            <w:r>
              <w:rPr>
                <w:rFonts w:ascii="宋体"/>
                <w:sz w:val="18"/>
              </w:rPr>
              <w:t>9,186.</w:t>
            </w:r>
          </w:p>
          <w:p>
            <w:pPr>
              <w:pStyle w:val="TableParagraph"/>
              <w:spacing w:line="240" w:lineRule="auto" w:before="76"/>
              <w:ind w:right="23"/>
              <w:jc w:val="right"/>
              <w:rPr>
                <w:rFonts w:ascii="宋体" w:hAnsi="宋体" w:cs="宋体" w:eastAsia="宋体" w:hint="default"/>
                <w:sz w:val="18"/>
                <w:szCs w:val="18"/>
              </w:rPr>
            </w:pPr>
            <w:r>
              <w:rPr>
                <w:rFonts w:ascii="宋体"/>
                <w:sz w:val="18"/>
              </w:rPr>
              <w:t>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1" w:right="0"/>
              <w:jc w:val="center"/>
              <w:rPr>
                <w:rFonts w:ascii="宋体" w:hAnsi="宋体" w:cs="宋体" w:eastAsia="宋体" w:hint="default"/>
                <w:sz w:val="18"/>
                <w:szCs w:val="18"/>
              </w:rPr>
            </w:pPr>
            <w:r>
              <w:rPr>
                <w:rFonts w:ascii="宋体"/>
                <w:sz w:val="18"/>
              </w:rPr>
              <w:t>1,501,</w:t>
            </w:r>
          </w:p>
          <w:p>
            <w:pPr>
              <w:pStyle w:val="TableParagraph"/>
              <w:spacing w:line="240" w:lineRule="auto" w:before="77"/>
              <w:ind w:left="61" w:right="0"/>
              <w:jc w:val="center"/>
              <w:rPr>
                <w:rFonts w:ascii="宋体" w:hAnsi="宋体" w:cs="宋体" w:eastAsia="宋体" w:hint="default"/>
                <w:sz w:val="18"/>
                <w:szCs w:val="18"/>
              </w:rPr>
            </w:pPr>
            <w:r>
              <w:rPr>
                <w:rFonts w:ascii="宋体"/>
                <w:sz w:val="18"/>
              </w:rPr>
              <w:t>355,81</w:t>
            </w:r>
          </w:p>
          <w:p>
            <w:pPr>
              <w:pStyle w:val="TableParagraph"/>
              <w:spacing w:line="240" w:lineRule="auto" w:before="76"/>
              <w:ind w:left="241" w:right="0"/>
              <w:jc w:val="center"/>
              <w:rPr>
                <w:rFonts w:ascii="宋体" w:hAnsi="宋体" w:cs="宋体" w:eastAsia="宋体" w:hint="default"/>
                <w:sz w:val="18"/>
                <w:szCs w:val="18"/>
              </w:rPr>
            </w:pPr>
            <w:r>
              <w:rPr>
                <w:rFonts w:ascii="宋体"/>
                <w:sz w:val="18"/>
              </w:rPr>
              <w:t>6.74</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2"/>
              <w:ind w:left="84" w:right="0"/>
              <w:jc w:val="left"/>
              <w:rPr>
                <w:rFonts w:ascii="宋体" w:hAnsi="宋体" w:cs="宋体" w:eastAsia="宋体" w:hint="default"/>
                <w:sz w:val="18"/>
                <w:szCs w:val="18"/>
              </w:rPr>
            </w:pPr>
            <w:r>
              <w:rPr>
                <w:rFonts w:ascii="宋体"/>
                <w:sz w:val="18"/>
              </w:rPr>
              <w:t>118,0</w:t>
            </w:r>
          </w:p>
          <w:p>
            <w:pPr>
              <w:pStyle w:val="TableParagraph"/>
              <w:spacing w:line="240" w:lineRule="auto" w:before="75"/>
              <w:ind w:left="84"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4"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317,37</w:t>
            </w:r>
          </w:p>
          <w:p>
            <w:pPr>
              <w:pStyle w:val="TableParagraph"/>
              <w:spacing w:line="240" w:lineRule="auto" w:before="75"/>
              <w:ind w:right="21"/>
              <w:jc w:val="right"/>
              <w:rPr>
                <w:rFonts w:ascii="宋体" w:hAnsi="宋体" w:cs="宋体" w:eastAsia="宋体" w:hint="default"/>
                <w:sz w:val="18"/>
                <w:szCs w:val="18"/>
              </w:rPr>
            </w:pPr>
            <w:r>
              <w:rPr>
                <w:rFonts w:ascii="宋体"/>
                <w:sz w:val="18"/>
              </w:rPr>
              <w:t>6,942.</w:t>
            </w:r>
          </w:p>
          <w:p>
            <w:pPr>
              <w:pStyle w:val="TableParagraph"/>
              <w:spacing w:line="240" w:lineRule="auto" w:before="77"/>
              <w:ind w:right="20"/>
              <w:jc w:val="right"/>
              <w:rPr>
                <w:rFonts w:ascii="宋体" w:hAnsi="宋体" w:cs="宋体" w:eastAsia="宋体" w:hint="default"/>
                <w:sz w:val="18"/>
                <w:szCs w:val="18"/>
              </w:rPr>
            </w:pPr>
            <w:r>
              <w:rPr>
                <w:rFonts w:ascii="宋体"/>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19,039</w:t>
            </w:r>
          </w:p>
          <w:p>
            <w:pPr>
              <w:pStyle w:val="TableParagraph"/>
              <w:spacing w:line="240" w:lineRule="auto" w:before="75"/>
              <w:ind w:right="23"/>
              <w:jc w:val="right"/>
              <w:rPr>
                <w:rFonts w:ascii="宋体" w:hAnsi="宋体" w:cs="宋体" w:eastAsia="宋体" w:hint="default"/>
                <w:sz w:val="18"/>
                <w:szCs w:val="18"/>
              </w:rPr>
            </w:pPr>
            <w:r>
              <w:rPr>
                <w:rFonts w:ascii="宋体"/>
                <w:sz w:val="18"/>
              </w:rPr>
              <w:t>,488.6</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188,64</w:t>
            </w:r>
          </w:p>
          <w:p>
            <w:pPr>
              <w:pStyle w:val="TableParagraph"/>
              <w:spacing w:line="240" w:lineRule="auto" w:before="75"/>
              <w:ind w:right="23"/>
              <w:jc w:val="right"/>
              <w:rPr>
                <w:rFonts w:ascii="宋体" w:hAnsi="宋体" w:cs="宋体" w:eastAsia="宋体" w:hint="default"/>
                <w:sz w:val="18"/>
                <w:szCs w:val="18"/>
              </w:rPr>
            </w:pPr>
            <w:r>
              <w:rPr>
                <w:rFonts w:ascii="宋体"/>
                <w:sz w:val="18"/>
              </w:rPr>
              <w:t>7,177.</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40,904</w:t>
            </w:r>
          </w:p>
          <w:p>
            <w:pPr>
              <w:pStyle w:val="TableParagraph"/>
              <w:spacing w:line="240" w:lineRule="auto" w:before="75"/>
              <w:ind w:right="20"/>
              <w:jc w:val="right"/>
              <w:rPr>
                <w:rFonts w:ascii="宋体" w:hAnsi="宋体" w:cs="宋体" w:eastAsia="宋体" w:hint="default"/>
                <w:sz w:val="18"/>
                <w:szCs w:val="18"/>
              </w:rPr>
            </w:pPr>
            <w:r>
              <w:rPr>
                <w:rFonts w:ascii="宋体"/>
                <w:sz w:val="18"/>
              </w:rPr>
              <w:t>,372.0</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683,96</w:t>
            </w:r>
          </w:p>
          <w:p>
            <w:pPr>
              <w:pStyle w:val="TableParagraph"/>
              <w:spacing w:line="240" w:lineRule="auto" w:before="75"/>
              <w:ind w:right="23"/>
              <w:jc w:val="right"/>
              <w:rPr>
                <w:rFonts w:ascii="宋体" w:hAnsi="宋体" w:cs="宋体" w:eastAsia="宋体" w:hint="default"/>
                <w:sz w:val="18"/>
                <w:szCs w:val="18"/>
              </w:rPr>
            </w:pPr>
            <w:r>
              <w:rPr>
                <w:rFonts w:ascii="宋体"/>
                <w:sz w:val="18"/>
              </w:rPr>
              <w:t>7,980.</w:t>
            </w:r>
          </w:p>
          <w:p>
            <w:pPr>
              <w:pStyle w:val="TableParagraph"/>
              <w:spacing w:line="240" w:lineRule="auto" w:before="77"/>
              <w:ind w:right="23"/>
              <w:jc w:val="right"/>
              <w:rPr>
                <w:rFonts w:ascii="宋体" w:hAnsi="宋体" w:cs="宋体" w:eastAsia="宋体" w:hint="default"/>
                <w:sz w:val="18"/>
                <w:szCs w:val="18"/>
              </w:rPr>
            </w:pPr>
            <w:r>
              <w:rPr>
                <w:rFonts w:ascii="宋体"/>
                <w:sz w:val="18"/>
              </w:rPr>
              <w:t>56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2"/>
              <w:ind w:left="84" w:right="0"/>
              <w:jc w:val="left"/>
              <w:rPr>
                <w:rFonts w:ascii="宋体" w:hAnsi="宋体" w:cs="宋体" w:eastAsia="宋体" w:hint="default"/>
                <w:sz w:val="18"/>
                <w:szCs w:val="18"/>
              </w:rPr>
            </w:pPr>
            <w:r>
              <w:rPr>
                <w:rFonts w:ascii="宋体"/>
                <w:sz w:val="18"/>
              </w:rPr>
              <w:t>118,0</w:t>
            </w:r>
          </w:p>
          <w:p>
            <w:pPr>
              <w:pStyle w:val="TableParagraph"/>
              <w:spacing w:line="240" w:lineRule="auto" w:before="75"/>
              <w:ind w:left="84"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4"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317,37</w:t>
            </w:r>
          </w:p>
          <w:p>
            <w:pPr>
              <w:pStyle w:val="TableParagraph"/>
              <w:spacing w:line="240" w:lineRule="auto" w:before="75"/>
              <w:ind w:right="21"/>
              <w:jc w:val="right"/>
              <w:rPr>
                <w:rFonts w:ascii="宋体" w:hAnsi="宋体" w:cs="宋体" w:eastAsia="宋体" w:hint="default"/>
                <w:sz w:val="18"/>
                <w:szCs w:val="18"/>
              </w:rPr>
            </w:pPr>
            <w:r>
              <w:rPr>
                <w:rFonts w:ascii="宋体"/>
                <w:sz w:val="18"/>
              </w:rPr>
              <w:t>6,942.</w:t>
            </w:r>
          </w:p>
          <w:p>
            <w:pPr>
              <w:pStyle w:val="TableParagraph"/>
              <w:spacing w:line="240" w:lineRule="auto" w:before="77"/>
              <w:ind w:right="20"/>
              <w:jc w:val="right"/>
              <w:rPr>
                <w:rFonts w:ascii="宋体" w:hAnsi="宋体" w:cs="宋体" w:eastAsia="宋体" w:hint="default"/>
                <w:sz w:val="18"/>
                <w:szCs w:val="18"/>
              </w:rPr>
            </w:pPr>
            <w:r>
              <w:rPr>
                <w:rFonts w:ascii="宋体"/>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19,039</w:t>
            </w:r>
          </w:p>
          <w:p>
            <w:pPr>
              <w:pStyle w:val="TableParagraph"/>
              <w:spacing w:line="240" w:lineRule="auto" w:before="75"/>
              <w:ind w:right="23"/>
              <w:jc w:val="right"/>
              <w:rPr>
                <w:rFonts w:ascii="宋体" w:hAnsi="宋体" w:cs="宋体" w:eastAsia="宋体" w:hint="default"/>
                <w:sz w:val="18"/>
                <w:szCs w:val="18"/>
              </w:rPr>
            </w:pPr>
            <w:r>
              <w:rPr>
                <w:rFonts w:ascii="宋体"/>
                <w:sz w:val="18"/>
              </w:rPr>
              <w:t>,488.6</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188,64</w:t>
            </w:r>
          </w:p>
          <w:p>
            <w:pPr>
              <w:pStyle w:val="TableParagraph"/>
              <w:spacing w:line="240" w:lineRule="auto" w:before="75"/>
              <w:ind w:right="23"/>
              <w:jc w:val="right"/>
              <w:rPr>
                <w:rFonts w:ascii="宋体" w:hAnsi="宋体" w:cs="宋体" w:eastAsia="宋体" w:hint="default"/>
                <w:sz w:val="18"/>
                <w:szCs w:val="18"/>
              </w:rPr>
            </w:pPr>
            <w:r>
              <w:rPr>
                <w:rFonts w:ascii="宋体"/>
                <w:sz w:val="18"/>
              </w:rPr>
              <w:t>7,177.</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40,904</w:t>
            </w:r>
          </w:p>
          <w:p>
            <w:pPr>
              <w:pStyle w:val="TableParagraph"/>
              <w:spacing w:line="240" w:lineRule="auto" w:before="75"/>
              <w:ind w:right="20"/>
              <w:jc w:val="right"/>
              <w:rPr>
                <w:rFonts w:ascii="宋体" w:hAnsi="宋体" w:cs="宋体" w:eastAsia="宋体" w:hint="default"/>
                <w:sz w:val="18"/>
                <w:szCs w:val="18"/>
              </w:rPr>
            </w:pPr>
            <w:r>
              <w:rPr>
                <w:rFonts w:ascii="宋体"/>
                <w:sz w:val="18"/>
              </w:rPr>
              <w:t>,372.0</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683,96</w:t>
            </w:r>
          </w:p>
          <w:p>
            <w:pPr>
              <w:pStyle w:val="TableParagraph"/>
              <w:spacing w:line="240" w:lineRule="auto" w:before="75"/>
              <w:ind w:right="23"/>
              <w:jc w:val="right"/>
              <w:rPr>
                <w:rFonts w:ascii="宋体" w:hAnsi="宋体" w:cs="宋体" w:eastAsia="宋体" w:hint="default"/>
                <w:sz w:val="18"/>
                <w:szCs w:val="18"/>
              </w:rPr>
            </w:pPr>
            <w:r>
              <w:rPr>
                <w:rFonts w:ascii="宋体"/>
                <w:sz w:val="18"/>
              </w:rPr>
              <w:t>7,980.</w:t>
            </w:r>
          </w:p>
          <w:p>
            <w:pPr>
              <w:pStyle w:val="TableParagraph"/>
              <w:spacing w:line="240" w:lineRule="auto" w:before="77"/>
              <w:ind w:right="23"/>
              <w:jc w:val="right"/>
              <w:rPr>
                <w:rFonts w:ascii="宋体" w:hAnsi="宋体" w:cs="宋体" w:eastAsia="宋体" w:hint="default"/>
                <w:sz w:val="18"/>
                <w:szCs w:val="18"/>
              </w:rPr>
            </w:pPr>
            <w:r>
              <w:rPr>
                <w:rFonts w:ascii="宋体"/>
                <w:sz w:val="18"/>
              </w:rPr>
              <w:t>56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56" w:right="0"/>
              <w:jc w:val="center"/>
              <w:rPr>
                <w:rFonts w:ascii="宋体" w:hAnsi="宋体" w:cs="宋体" w:eastAsia="宋体" w:hint="default"/>
                <w:sz w:val="18"/>
                <w:szCs w:val="18"/>
              </w:rPr>
            </w:pPr>
            <w:r>
              <w:rPr>
                <w:rFonts w:ascii="宋体"/>
                <w:sz w:val="18"/>
              </w:rPr>
              <w:t>28,51</w:t>
            </w:r>
          </w:p>
          <w:p>
            <w:pPr>
              <w:pStyle w:val="TableParagraph"/>
              <w:spacing w:line="240" w:lineRule="auto" w:before="75"/>
              <w:ind w:left="56" w:right="0"/>
              <w:jc w:val="center"/>
              <w:rPr>
                <w:rFonts w:ascii="宋体" w:hAnsi="宋体" w:cs="宋体" w:eastAsia="宋体" w:hint="default"/>
                <w:sz w:val="18"/>
                <w:szCs w:val="18"/>
              </w:rPr>
            </w:pPr>
            <w:r>
              <w:rPr>
                <w:rFonts w:ascii="宋体"/>
                <w:sz w:val="18"/>
              </w:rPr>
              <w:t>1,403</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428,22</w:t>
            </w:r>
          </w:p>
          <w:p>
            <w:pPr>
              <w:pStyle w:val="TableParagraph"/>
              <w:spacing w:line="240" w:lineRule="auto" w:before="75"/>
              <w:ind w:right="21"/>
              <w:jc w:val="right"/>
              <w:rPr>
                <w:rFonts w:ascii="宋体" w:hAnsi="宋体" w:cs="宋体" w:eastAsia="宋体" w:hint="default"/>
                <w:sz w:val="18"/>
                <w:szCs w:val="18"/>
              </w:rPr>
            </w:pPr>
            <w:r>
              <w:rPr>
                <w:rFonts w:ascii="宋体"/>
                <w:sz w:val="18"/>
              </w:rPr>
              <w:t>0,919.</w:t>
            </w:r>
          </w:p>
          <w:p>
            <w:pPr>
              <w:pStyle w:val="TableParagraph"/>
              <w:spacing w:line="240" w:lineRule="auto" w:before="77"/>
              <w:ind w:right="20"/>
              <w:jc w:val="right"/>
              <w:rPr>
                <w:rFonts w:ascii="宋体" w:hAnsi="宋体" w:cs="宋体" w:eastAsia="宋体" w:hint="default"/>
                <w:sz w:val="18"/>
                <w:szCs w:val="18"/>
              </w:rPr>
            </w:pPr>
            <w:r>
              <w:rPr>
                <w:rFonts w:ascii="宋体"/>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4,893,</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519.39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46,548</w:t>
            </w:r>
          </w:p>
          <w:p>
            <w:pPr>
              <w:pStyle w:val="TableParagraph"/>
              <w:spacing w:line="240" w:lineRule="auto" w:before="75"/>
              <w:ind w:right="23"/>
              <w:jc w:val="right"/>
              <w:rPr>
                <w:rFonts w:ascii="宋体" w:hAnsi="宋体" w:cs="宋体" w:eastAsia="宋体" w:hint="default"/>
                <w:sz w:val="18"/>
                <w:szCs w:val="18"/>
              </w:rPr>
            </w:pPr>
            <w:r>
              <w:rPr>
                <w:rFonts w:ascii="宋体"/>
                <w:sz w:val="18"/>
              </w:rPr>
              <w:t>,270.9</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54,103</w:t>
            </w:r>
          </w:p>
          <w:p>
            <w:pPr>
              <w:pStyle w:val="TableParagraph"/>
              <w:spacing w:line="240" w:lineRule="auto" w:before="75"/>
              <w:ind w:right="20"/>
              <w:jc w:val="right"/>
              <w:rPr>
                <w:rFonts w:ascii="宋体" w:hAnsi="宋体" w:cs="宋体" w:eastAsia="宋体" w:hint="default"/>
                <w:sz w:val="18"/>
                <w:szCs w:val="18"/>
              </w:rPr>
            </w:pPr>
            <w:r>
              <w:rPr>
                <w:rFonts w:ascii="宋体"/>
                <w:sz w:val="18"/>
              </w:rPr>
              <w:t>,284.5</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562,27</w:t>
            </w:r>
          </w:p>
          <w:p>
            <w:pPr>
              <w:pStyle w:val="TableParagraph"/>
              <w:spacing w:line="240" w:lineRule="auto" w:before="75"/>
              <w:ind w:right="23"/>
              <w:jc w:val="right"/>
              <w:rPr>
                <w:rFonts w:ascii="宋体" w:hAnsi="宋体" w:cs="宋体" w:eastAsia="宋体" w:hint="default"/>
                <w:sz w:val="18"/>
                <w:szCs w:val="18"/>
              </w:rPr>
            </w:pPr>
            <w:r>
              <w:rPr>
                <w:rFonts w:ascii="宋体"/>
                <w:sz w:val="18"/>
              </w:rPr>
              <w:t>7,397.</w:t>
            </w:r>
          </w:p>
          <w:p>
            <w:pPr>
              <w:pStyle w:val="TableParagraph"/>
              <w:spacing w:line="240" w:lineRule="auto" w:before="77"/>
              <w:ind w:right="23"/>
              <w:jc w:val="right"/>
              <w:rPr>
                <w:rFonts w:ascii="宋体" w:hAnsi="宋体" w:cs="宋体" w:eastAsia="宋体" w:hint="default"/>
                <w:sz w:val="18"/>
                <w:szCs w:val="18"/>
              </w:rPr>
            </w:pPr>
            <w:r>
              <w:rPr>
                <w:rFonts w:ascii="宋体"/>
                <w:sz w:val="18"/>
              </w:rPr>
              <w:t>66</w:t>
            </w: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57,341</w:t>
            </w:r>
          </w:p>
          <w:p>
            <w:pPr>
              <w:pStyle w:val="TableParagraph"/>
              <w:spacing w:line="240" w:lineRule="auto" w:before="75"/>
              <w:ind w:right="23"/>
              <w:jc w:val="right"/>
              <w:rPr>
                <w:rFonts w:ascii="宋体" w:hAnsi="宋体" w:cs="宋体" w:eastAsia="宋体" w:hint="default"/>
                <w:sz w:val="18"/>
                <w:szCs w:val="18"/>
              </w:rPr>
            </w:pPr>
            <w:r>
              <w:rPr>
                <w:rFonts w:ascii="宋体"/>
                <w:sz w:val="18"/>
              </w:rPr>
              <w:t>,790.3</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1,031,</w:t>
            </w:r>
          </w:p>
          <w:p>
            <w:pPr>
              <w:pStyle w:val="TableParagraph"/>
              <w:spacing w:line="240" w:lineRule="auto" w:before="76"/>
              <w:ind w:left="79" w:right="0"/>
              <w:jc w:val="left"/>
              <w:rPr>
                <w:rFonts w:ascii="宋体" w:hAnsi="宋体" w:cs="宋体" w:eastAsia="宋体" w:hint="default"/>
                <w:sz w:val="18"/>
                <w:szCs w:val="18"/>
              </w:rPr>
            </w:pPr>
            <w:r>
              <w:rPr>
                <w:rFonts w:ascii="宋体"/>
                <w:sz w:val="18"/>
              </w:rPr>
              <w:t>717.65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58,373</w:t>
            </w:r>
          </w:p>
          <w:p>
            <w:pPr>
              <w:pStyle w:val="TableParagraph"/>
              <w:spacing w:line="240" w:lineRule="auto" w:before="75"/>
              <w:ind w:right="23"/>
              <w:jc w:val="right"/>
              <w:rPr>
                <w:rFonts w:ascii="宋体" w:hAnsi="宋体" w:cs="宋体" w:eastAsia="宋体" w:hint="default"/>
                <w:sz w:val="18"/>
                <w:szCs w:val="18"/>
              </w:rPr>
            </w:pPr>
            <w:r>
              <w:rPr>
                <w:rFonts w:ascii="宋体"/>
                <w:sz w:val="18"/>
              </w:rPr>
              <w:t>,507.9</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2"/>
              <w:ind w:left="61" w:right="0"/>
              <w:jc w:val="center"/>
              <w:rPr>
                <w:rFonts w:ascii="宋体" w:hAnsi="宋体" w:cs="宋体" w:eastAsia="宋体" w:hint="default"/>
                <w:sz w:val="18"/>
                <w:szCs w:val="18"/>
              </w:rPr>
            </w:pPr>
            <w:r>
              <w:rPr>
                <w:rFonts w:ascii="宋体"/>
                <w:sz w:val="18"/>
              </w:rPr>
              <w:t>28,51</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1,403</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428,22</w:t>
            </w:r>
          </w:p>
          <w:p>
            <w:pPr>
              <w:pStyle w:val="TableParagraph"/>
              <w:spacing w:line="240" w:lineRule="auto" w:before="75"/>
              <w:ind w:right="21"/>
              <w:jc w:val="right"/>
              <w:rPr>
                <w:rFonts w:ascii="宋体" w:hAnsi="宋体" w:cs="宋体" w:eastAsia="宋体" w:hint="default"/>
                <w:sz w:val="18"/>
                <w:szCs w:val="18"/>
              </w:rPr>
            </w:pPr>
            <w:r>
              <w:rPr>
                <w:rFonts w:ascii="宋体"/>
                <w:sz w:val="18"/>
              </w:rPr>
              <w:t>0,919.</w:t>
            </w:r>
          </w:p>
          <w:p>
            <w:pPr>
              <w:pStyle w:val="TableParagraph"/>
              <w:spacing w:line="240" w:lineRule="auto" w:before="77"/>
              <w:ind w:right="20"/>
              <w:jc w:val="right"/>
              <w:rPr>
                <w:rFonts w:ascii="宋体" w:hAnsi="宋体" w:cs="宋体" w:eastAsia="宋体" w:hint="default"/>
                <w:sz w:val="18"/>
                <w:szCs w:val="18"/>
              </w:rPr>
            </w:pPr>
            <w:r>
              <w:rPr>
                <w:rFonts w:ascii="宋体"/>
                <w:sz w:val="18"/>
              </w:rPr>
              <w:t>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53,071</w:t>
            </w:r>
          </w:p>
          <w:p>
            <w:pPr>
              <w:pStyle w:val="TableParagraph"/>
              <w:spacing w:line="240" w:lineRule="auto" w:before="75"/>
              <w:ind w:right="20"/>
              <w:jc w:val="right"/>
              <w:rPr>
                <w:rFonts w:ascii="宋体" w:hAnsi="宋体" w:cs="宋体" w:eastAsia="宋体" w:hint="default"/>
                <w:sz w:val="18"/>
                <w:szCs w:val="18"/>
              </w:rPr>
            </w:pPr>
            <w:r>
              <w:rPr>
                <w:rFonts w:ascii="宋体"/>
                <w:sz w:val="18"/>
              </w:rPr>
              <w:t>,566.8</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509,80</w:t>
            </w:r>
          </w:p>
          <w:p>
            <w:pPr>
              <w:pStyle w:val="TableParagraph"/>
              <w:spacing w:line="240" w:lineRule="auto" w:before="75"/>
              <w:ind w:right="23"/>
              <w:jc w:val="right"/>
              <w:rPr>
                <w:rFonts w:ascii="宋体" w:hAnsi="宋体" w:cs="宋体" w:eastAsia="宋体" w:hint="default"/>
                <w:sz w:val="18"/>
                <w:szCs w:val="18"/>
              </w:rPr>
            </w:pPr>
            <w:r>
              <w:rPr>
                <w:rFonts w:ascii="宋体"/>
                <w:sz w:val="18"/>
              </w:rPr>
              <w:t>3,889.</w:t>
            </w:r>
          </w:p>
          <w:p>
            <w:pPr>
              <w:pStyle w:val="TableParagraph"/>
              <w:spacing w:line="240" w:lineRule="auto" w:before="77"/>
              <w:ind w:right="23"/>
              <w:jc w:val="right"/>
              <w:rPr>
                <w:rFonts w:ascii="宋体" w:hAnsi="宋体" w:cs="宋体" w:eastAsia="宋体" w:hint="default"/>
                <w:sz w:val="18"/>
                <w:szCs w:val="18"/>
              </w:rPr>
            </w:pPr>
            <w:r>
              <w:rPr>
                <w:rFonts w:ascii="宋体"/>
                <w:sz w:val="18"/>
              </w:rPr>
              <w:t>67</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2"/>
              <w:ind w:left="61" w:right="0"/>
              <w:jc w:val="center"/>
              <w:rPr>
                <w:rFonts w:ascii="宋体" w:hAnsi="宋体" w:cs="宋体" w:eastAsia="宋体" w:hint="default"/>
                <w:sz w:val="18"/>
                <w:szCs w:val="18"/>
              </w:rPr>
            </w:pPr>
            <w:r>
              <w:rPr>
                <w:rFonts w:ascii="宋体"/>
                <w:sz w:val="18"/>
              </w:rPr>
              <w:t>28,51</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1,403</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476,92</w:t>
            </w:r>
          </w:p>
          <w:p>
            <w:pPr>
              <w:pStyle w:val="TableParagraph"/>
              <w:spacing w:line="240" w:lineRule="auto" w:before="75"/>
              <w:ind w:right="21"/>
              <w:jc w:val="right"/>
              <w:rPr>
                <w:rFonts w:ascii="宋体" w:hAnsi="宋体" w:cs="宋体" w:eastAsia="宋体" w:hint="default"/>
                <w:sz w:val="18"/>
                <w:szCs w:val="18"/>
              </w:rPr>
            </w:pPr>
            <w:r>
              <w:rPr>
                <w:rFonts w:ascii="宋体"/>
                <w:sz w:val="18"/>
              </w:rPr>
              <w:t>7,972.</w:t>
            </w:r>
          </w:p>
          <w:p>
            <w:pPr>
              <w:pStyle w:val="TableParagraph"/>
              <w:spacing w:line="240" w:lineRule="auto" w:before="77"/>
              <w:ind w:right="20"/>
              <w:jc w:val="right"/>
              <w:rPr>
                <w:rFonts w:ascii="宋体" w:hAnsi="宋体" w:cs="宋体" w:eastAsia="宋体" w:hint="default"/>
                <w:sz w:val="18"/>
                <w:szCs w:val="18"/>
              </w:rPr>
            </w:pPr>
            <w:r>
              <w:rPr>
                <w:rFonts w:ascii="宋体"/>
                <w:sz w:val="18"/>
              </w:rPr>
              <w:t>15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505,43</w:t>
            </w:r>
          </w:p>
          <w:p>
            <w:pPr>
              <w:pStyle w:val="TableParagraph"/>
              <w:spacing w:line="240" w:lineRule="auto" w:before="75"/>
              <w:ind w:right="23"/>
              <w:jc w:val="right"/>
              <w:rPr>
                <w:rFonts w:ascii="宋体" w:hAnsi="宋体" w:cs="宋体" w:eastAsia="宋体" w:hint="default"/>
                <w:sz w:val="18"/>
                <w:szCs w:val="18"/>
              </w:rPr>
            </w:pPr>
            <w:r>
              <w:rPr>
                <w:rFonts w:ascii="宋体"/>
                <w:sz w:val="18"/>
              </w:rPr>
              <w:t>9,375.</w:t>
            </w:r>
          </w:p>
          <w:p>
            <w:pPr>
              <w:pStyle w:val="TableParagraph"/>
              <w:spacing w:line="240" w:lineRule="auto" w:before="77"/>
              <w:ind w:right="23"/>
              <w:jc w:val="right"/>
              <w:rPr>
                <w:rFonts w:ascii="宋体" w:hAnsi="宋体" w:cs="宋体" w:eastAsia="宋体" w:hint="default"/>
                <w:sz w:val="18"/>
                <w:szCs w:val="18"/>
              </w:rPr>
            </w:pPr>
            <w:r>
              <w:rPr>
                <w:rFonts w:ascii="宋体"/>
                <w:sz w:val="18"/>
              </w:rPr>
              <w:t>15</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-48,70</w:t>
            </w:r>
          </w:p>
          <w:p>
            <w:pPr>
              <w:pStyle w:val="TableParagraph"/>
              <w:spacing w:line="240" w:lineRule="auto" w:before="75"/>
              <w:ind w:right="21"/>
              <w:jc w:val="right"/>
              <w:rPr>
                <w:rFonts w:ascii="宋体" w:hAnsi="宋体" w:cs="宋体" w:eastAsia="宋体" w:hint="default"/>
                <w:sz w:val="18"/>
                <w:szCs w:val="18"/>
              </w:rPr>
            </w:pPr>
            <w:r>
              <w:rPr>
                <w:rFonts w:ascii="宋体"/>
                <w:sz w:val="18"/>
              </w:rPr>
              <w:t>7,052.</w:t>
            </w:r>
          </w:p>
          <w:p>
            <w:pPr>
              <w:pStyle w:val="TableParagraph"/>
              <w:spacing w:line="240" w:lineRule="auto" w:before="77"/>
              <w:ind w:right="20"/>
              <w:jc w:val="right"/>
              <w:rPr>
                <w:rFonts w:ascii="宋体" w:hAnsi="宋体" w:cs="宋体" w:eastAsia="宋体" w:hint="default"/>
                <w:sz w:val="18"/>
                <w:szCs w:val="18"/>
              </w:rPr>
            </w:pPr>
            <w:r>
              <w:rPr>
                <w:rFonts w:ascii="宋体"/>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53,071</w:t>
            </w:r>
          </w:p>
          <w:p>
            <w:pPr>
              <w:pStyle w:val="TableParagraph"/>
              <w:spacing w:line="240" w:lineRule="auto" w:before="75"/>
              <w:ind w:right="20"/>
              <w:jc w:val="right"/>
              <w:rPr>
                <w:rFonts w:ascii="宋体" w:hAnsi="宋体" w:cs="宋体" w:eastAsia="宋体" w:hint="default"/>
                <w:sz w:val="18"/>
                <w:szCs w:val="18"/>
              </w:rPr>
            </w:pPr>
            <w:r>
              <w:rPr>
                <w:rFonts w:ascii="宋体"/>
                <w:sz w:val="18"/>
              </w:rPr>
              <w:t>,566.8</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sz w:val="18"/>
              </w:rPr>
              <w:t>4,364,</w:t>
            </w:r>
          </w:p>
          <w:p>
            <w:pPr>
              <w:pStyle w:val="TableParagraph"/>
              <w:spacing w:line="240" w:lineRule="auto" w:before="76"/>
              <w:ind w:left="85" w:right="0"/>
              <w:jc w:val="left"/>
              <w:rPr>
                <w:rFonts w:ascii="宋体" w:hAnsi="宋体" w:cs="宋体" w:eastAsia="宋体" w:hint="default"/>
                <w:sz w:val="18"/>
                <w:szCs w:val="18"/>
              </w:rPr>
            </w:pPr>
            <w:r>
              <w:rPr>
                <w:rFonts w:ascii="宋体"/>
                <w:sz w:val="18"/>
              </w:rPr>
              <w:t>514.52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4,893,</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519.39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-10,79</w:t>
            </w:r>
          </w:p>
          <w:p>
            <w:pPr>
              <w:pStyle w:val="TableParagraph"/>
              <w:spacing w:line="240" w:lineRule="auto" w:before="75"/>
              <w:ind w:right="23"/>
              <w:jc w:val="right"/>
              <w:rPr>
                <w:rFonts w:ascii="宋体" w:hAnsi="宋体" w:cs="宋体" w:eastAsia="宋体" w:hint="default"/>
                <w:sz w:val="18"/>
                <w:szCs w:val="18"/>
              </w:rPr>
            </w:pPr>
            <w:r>
              <w:rPr>
                <w:rFonts w:ascii="宋体"/>
                <w:sz w:val="18"/>
              </w:rPr>
              <w:t>3,519.</w:t>
            </w:r>
          </w:p>
          <w:p>
            <w:pPr>
              <w:pStyle w:val="TableParagraph"/>
              <w:spacing w:line="240" w:lineRule="auto" w:before="77"/>
              <w:ind w:right="23"/>
              <w:jc w:val="right"/>
              <w:rPr>
                <w:rFonts w:ascii="宋体" w:hAnsi="宋体" w:cs="宋体" w:eastAsia="宋体" w:hint="default"/>
                <w:sz w:val="18"/>
                <w:szCs w:val="18"/>
              </w:rPr>
            </w:pPr>
            <w:r>
              <w:rPr>
                <w:rFonts w:ascii="宋体"/>
                <w:sz w:val="18"/>
              </w:rPr>
              <w:t>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4,893,</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519.39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-4,893</w:t>
            </w:r>
          </w:p>
          <w:p>
            <w:pPr>
              <w:pStyle w:val="TableParagraph"/>
              <w:spacing w:line="240" w:lineRule="auto" w:before="75"/>
              <w:ind w:right="23"/>
              <w:jc w:val="right"/>
              <w:rPr>
                <w:rFonts w:ascii="宋体" w:hAnsi="宋体" w:cs="宋体" w:eastAsia="宋体" w:hint="default"/>
                <w:sz w:val="18"/>
                <w:szCs w:val="18"/>
              </w:rPr>
            </w:pPr>
            <w:r>
              <w:rPr>
                <w:rFonts w:ascii="宋体"/>
                <w:sz w:val="18"/>
              </w:rPr>
              <w:t>,519.3</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146,5</w:t>
            </w:r>
          </w:p>
          <w:p>
            <w:pPr>
              <w:pStyle w:val="TableParagraph"/>
              <w:spacing w:line="240" w:lineRule="auto" w:before="75"/>
              <w:ind w:left="79" w:right="0"/>
              <w:jc w:val="left"/>
              <w:rPr>
                <w:rFonts w:ascii="宋体" w:hAnsi="宋体" w:cs="宋体" w:eastAsia="宋体" w:hint="default"/>
                <w:sz w:val="18"/>
                <w:szCs w:val="18"/>
              </w:rPr>
            </w:pPr>
            <w:r>
              <w:rPr>
                <w:rFonts w:ascii="宋体"/>
                <w:sz w:val="18"/>
              </w:rPr>
              <w:t>11,40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745,59</w:t>
            </w:r>
          </w:p>
          <w:p>
            <w:pPr>
              <w:pStyle w:val="TableParagraph"/>
              <w:spacing w:line="240" w:lineRule="auto" w:before="75"/>
              <w:ind w:right="21"/>
              <w:jc w:val="right"/>
              <w:rPr>
                <w:rFonts w:ascii="宋体" w:hAnsi="宋体" w:cs="宋体" w:eastAsia="宋体" w:hint="default"/>
                <w:sz w:val="18"/>
                <w:szCs w:val="18"/>
              </w:rPr>
            </w:pPr>
            <w:r>
              <w:rPr>
                <w:rFonts w:ascii="宋体"/>
                <w:sz w:val="18"/>
              </w:rPr>
              <w:t>7,861.</w:t>
            </w:r>
          </w:p>
          <w:p>
            <w:pPr>
              <w:pStyle w:val="TableParagraph"/>
              <w:spacing w:line="240" w:lineRule="auto" w:before="77"/>
              <w:ind w:right="20"/>
              <w:jc w:val="right"/>
              <w:rPr>
                <w:rFonts w:ascii="宋体" w:hAnsi="宋体" w:cs="宋体" w:eastAsia="宋体" w:hint="default"/>
                <w:sz w:val="18"/>
                <w:szCs w:val="18"/>
              </w:rPr>
            </w:pPr>
            <w:r>
              <w:rPr>
                <w:rFonts w:ascii="宋体"/>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23,933</w:t>
            </w:r>
          </w:p>
          <w:p>
            <w:pPr>
              <w:pStyle w:val="TableParagraph"/>
              <w:spacing w:line="240" w:lineRule="auto" w:before="75"/>
              <w:ind w:right="23"/>
              <w:jc w:val="right"/>
              <w:rPr>
                <w:rFonts w:ascii="宋体" w:hAnsi="宋体" w:cs="宋体" w:eastAsia="宋体" w:hint="default"/>
                <w:sz w:val="18"/>
                <w:szCs w:val="18"/>
              </w:rPr>
            </w:pPr>
            <w:r>
              <w:rPr>
                <w:rFonts w:ascii="宋体"/>
                <w:sz w:val="18"/>
              </w:rPr>
              <w:t>,007.9</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235,19</w:t>
            </w:r>
          </w:p>
          <w:p>
            <w:pPr>
              <w:pStyle w:val="TableParagraph"/>
              <w:spacing w:line="240" w:lineRule="auto" w:before="75"/>
              <w:ind w:right="23"/>
              <w:jc w:val="right"/>
              <w:rPr>
                <w:rFonts w:ascii="宋体" w:hAnsi="宋体" w:cs="宋体" w:eastAsia="宋体" w:hint="default"/>
                <w:sz w:val="18"/>
                <w:szCs w:val="18"/>
              </w:rPr>
            </w:pPr>
            <w:r>
              <w:rPr>
                <w:rFonts w:ascii="宋体"/>
                <w:sz w:val="18"/>
              </w:rPr>
              <w:t>5,448.</w:t>
            </w:r>
          </w:p>
          <w:p>
            <w:pPr>
              <w:pStyle w:val="TableParagraph"/>
              <w:spacing w:line="240" w:lineRule="auto" w:before="77"/>
              <w:ind w:right="23"/>
              <w:jc w:val="right"/>
              <w:rPr>
                <w:rFonts w:ascii="宋体" w:hAnsi="宋体" w:cs="宋体" w:eastAsia="宋体" w:hint="default"/>
                <w:sz w:val="18"/>
                <w:szCs w:val="18"/>
              </w:rPr>
            </w:pPr>
            <w:r>
              <w:rPr>
                <w:rFonts w:ascii="宋体"/>
                <w:sz w:val="18"/>
              </w:rPr>
              <w:t>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95,007</w:t>
            </w:r>
          </w:p>
          <w:p>
            <w:pPr>
              <w:pStyle w:val="TableParagraph"/>
              <w:spacing w:line="240" w:lineRule="auto" w:before="75"/>
              <w:ind w:right="20"/>
              <w:jc w:val="right"/>
              <w:rPr>
                <w:rFonts w:ascii="宋体" w:hAnsi="宋体" w:cs="宋体" w:eastAsia="宋体" w:hint="default"/>
                <w:sz w:val="18"/>
                <w:szCs w:val="18"/>
              </w:rPr>
            </w:pPr>
            <w:r>
              <w:rPr>
                <w:rFonts w:ascii="宋体"/>
                <w:sz w:val="18"/>
              </w:rPr>
              <w:t>,656.5</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1,246,</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245,37</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8.22</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8、母公司所有者权益变动表" w:id="149"/>
      <w:bookmarkEnd w:id="14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2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6"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9" w:space="0" w:color="D2D2D2"/>
              <w:right w:val="single" w:sz="23"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9"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9" w:space="0" w:color="D2D2D2"/>
              <w:right w:val="single" w:sz="9"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1"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9"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9" w:space="0" w:color="D2D2D2"/>
            </w:tcBorders>
          </w:tcPr>
          <w:p>
            <w:pPr/>
          </w:p>
        </w:tc>
        <w:tc>
          <w:tcPr>
            <w:tcW w:w="797" w:type="dxa"/>
            <w:vMerge/>
            <w:tcBorders>
              <w:left w:val="single" w:sz="9" w:space="0" w:color="D2D2D2"/>
              <w:bottom w:val="nil" w:sz="6" w:space="0" w:color="auto"/>
              <w:right w:val="single" w:sz="9"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20" w:right="0"/>
              <w:jc w:val="left"/>
              <w:rPr>
                <w:rFonts w:ascii="宋体" w:hAnsi="宋体" w:cs="宋体" w:eastAsia="宋体" w:hint="default"/>
                <w:sz w:val="18"/>
                <w:szCs w:val="18"/>
              </w:rPr>
            </w:pPr>
            <w:r>
              <w:rPr>
                <w:rFonts w:ascii="宋体"/>
                <w:sz w:val="18"/>
              </w:rPr>
              <w:t>,403.00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794,294,</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495.85</w:t>
            </w: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23,933,0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07.99</w:t>
            </w:r>
          </w:p>
        </w:tc>
        <w:tc>
          <w:tcPr>
            <w:tcW w:w="676" w:type="dxa"/>
            <w:vMerge w:val="restart"/>
            <w:tcBorders>
              <w:top w:val="single" w:sz="6" w:space="0" w:color="000000"/>
              <w:left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152,61</w:t>
            </w:r>
          </w:p>
          <w:p>
            <w:pPr>
              <w:pStyle w:val="TableParagraph"/>
              <w:spacing w:line="240" w:lineRule="auto" w:before="76"/>
              <w:ind w:right="20"/>
              <w:jc w:val="right"/>
              <w:rPr>
                <w:rFonts w:ascii="宋体" w:hAnsi="宋体" w:cs="宋体" w:eastAsia="宋体" w:hint="default"/>
                <w:sz w:val="18"/>
                <w:szCs w:val="18"/>
              </w:rPr>
            </w:pPr>
            <w:r>
              <w:rPr>
                <w:rFonts w:ascii="宋体"/>
                <w:sz w:val="18"/>
              </w:rPr>
              <w:t>7,071.</w:t>
            </w:r>
          </w:p>
          <w:p>
            <w:pPr>
              <w:pStyle w:val="TableParagraph"/>
              <w:spacing w:line="240" w:lineRule="auto" w:before="76"/>
              <w:ind w:right="20"/>
              <w:jc w:val="right"/>
              <w:rPr>
                <w:rFonts w:ascii="宋体" w:hAnsi="宋体" w:cs="宋体" w:eastAsia="宋体" w:hint="default"/>
                <w:sz w:val="18"/>
                <w:szCs w:val="18"/>
              </w:rPr>
            </w:pPr>
            <w:r>
              <w:rPr>
                <w:rFonts w:ascii="宋体"/>
                <w:sz w:val="18"/>
              </w:rPr>
              <w:t>94</w:t>
            </w:r>
          </w:p>
        </w:tc>
        <w:tc>
          <w:tcPr>
            <w:tcW w:w="781" w:type="dxa"/>
            <w:vMerge w:val="restart"/>
            <w:tcBorders>
              <w:top w:val="single" w:sz="6"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1,117,35</w:t>
            </w:r>
          </w:p>
          <w:p>
            <w:pPr>
              <w:pStyle w:val="TableParagraph"/>
              <w:spacing w:line="240" w:lineRule="auto" w:before="76"/>
              <w:ind w:left="27" w:right="0"/>
              <w:jc w:val="left"/>
              <w:rPr>
                <w:rFonts w:ascii="宋体" w:hAnsi="宋体" w:cs="宋体" w:eastAsia="宋体" w:hint="default"/>
                <w:sz w:val="18"/>
                <w:szCs w:val="18"/>
              </w:rPr>
            </w:pPr>
            <w:r>
              <w:rPr>
                <w:rFonts w:ascii="宋体"/>
                <w:sz w:val="18"/>
              </w:rPr>
              <w:t>5,978.78</w:t>
            </w:r>
          </w:p>
        </w:tc>
      </w:tr>
      <w:tr>
        <w:trPr>
          <w:trHeight w:val="312" w:hRule="exact"/>
        </w:trPr>
        <w:tc>
          <w:tcPr>
            <w:tcW w:w="1430" w:type="dxa"/>
            <w:tcBorders>
              <w:top w:val="nil" w:sz="6" w:space="0" w:color="auto"/>
              <w:left w:val="single" w:sz="13" w:space="0" w:color="D2D2D2"/>
              <w:bottom w:val="nil" w:sz="6" w:space="0" w:color="auto"/>
              <w:right w:val="single" w:sz="10" w:space="0" w:color="D2D2D2"/>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63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20" w:right="0"/>
              <w:jc w:val="left"/>
              <w:rPr>
                <w:rFonts w:ascii="宋体" w:hAnsi="宋体" w:cs="宋体" w:eastAsia="宋体" w:hint="default"/>
                <w:sz w:val="18"/>
                <w:szCs w:val="18"/>
              </w:rPr>
            </w:pPr>
            <w:r>
              <w:rPr>
                <w:rFonts w:ascii="宋体"/>
                <w:sz w:val="18"/>
              </w:rPr>
              <w:t>,403.00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794,294,</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495.85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23,933,0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07.99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152,61</w:t>
            </w:r>
          </w:p>
          <w:p>
            <w:pPr>
              <w:pStyle w:val="TableParagraph"/>
              <w:spacing w:line="240" w:lineRule="auto" w:before="76"/>
              <w:ind w:right="20"/>
              <w:jc w:val="right"/>
              <w:rPr>
                <w:rFonts w:ascii="宋体" w:hAnsi="宋体" w:cs="宋体" w:eastAsia="宋体" w:hint="default"/>
                <w:sz w:val="18"/>
                <w:szCs w:val="18"/>
              </w:rPr>
            </w:pPr>
            <w:r>
              <w:rPr>
                <w:rFonts w:ascii="宋体"/>
                <w:sz w:val="18"/>
              </w:rPr>
              <w:t>7,071.</w:t>
            </w:r>
          </w:p>
          <w:p>
            <w:pPr>
              <w:pStyle w:val="TableParagraph"/>
              <w:spacing w:line="240" w:lineRule="auto" w:before="76"/>
              <w:ind w:right="20"/>
              <w:jc w:val="right"/>
              <w:rPr>
                <w:rFonts w:ascii="宋体" w:hAnsi="宋体" w:cs="宋体" w:eastAsia="宋体" w:hint="default"/>
                <w:sz w:val="18"/>
                <w:szCs w:val="18"/>
              </w:rPr>
            </w:pPr>
            <w:r>
              <w:rPr>
                <w:rFonts w:ascii="宋体"/>
                <w:sz w:val="18"/>
              </w:rPr>
              <w:t>94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1,117,35</w:t>
            </w:r>
          </w:p>
          <w:p>
            <w:pPr>
              <w:pStyle w:val="TableParagraph"/>
              <w:spacing w:line="240" w:lineRule="auto" w:before="76"/>
              <w:ind w:left="27" w:right="0"/>
              <w:jc w:val="left"/>
              <w:rPr>
                <w:rFonts w:ascii="宋体" w:hAnsi="宋体" w:cs="宋体" w:eastAsia="宋体" w:hint="default"/>
                <w:sz w:val="18"/>
                <w:szCs w:val="18"/>
              </w:rPr>
            </w:pPr>
            <w:r>
              <w:rPr>
                <w:rFonts w:ascii="宋体"/>
                <w:sz w:val="18"/>
              </w:rPr>
              <w:t>5,978.78</w:t>
            </w:r>
          </w:p>
        </w:tc>
      </w:tr>
      <w:tr>
        <w:trPr>
          <w:trHeight w:val="312" w:hRule="exact"/>
        </w:trPr>
        <w:tc>
          <w:tcPr>
            <w:tcW w:w="1430" w:type="dxa"/>
            <w:tcBorders>
              <w:top w:val="nil" w:sz="6" w:space="0" w:color="auto"/>
              <w:left w:val="single" w:sz="13" w:space="0" w:color="D2D2D2"/>
              <w:bottom w:val="nil" w:sz="6" w:space="0" w:color="auto"/>
              <w:right w:val="single" w:sz="10" w:space="0" w:color="D2D2D2"/>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20"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-146,363</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,903.39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2,258,66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5.26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13,002</w:t>
            </w:r>
          </w:p>
          <w:p>
            <w:pPr>
              <w:pStyle w:val="TableParagraph"/>
              <w:spacing w:line="240" w:lineRule="auto" w:before="76"/>
              <w:ind w:right="20"/>
              <w:jc w:val="right"/>
              <w:rPr>
                <w:rFonts w:ascii="宋体" w:hAnsi="宋体" w:cs="宋体" w:eastAsia="宋体" w:hint="default"/>
                <w:sz w:val="18"/>
                <w:szCs w:val="18"/>
              </w:rPr>
            </w:pPr>
            <w:r>
              <w:rPr>
                <w:rFonts w:ascii="宋体"/>
                <w:sz w:val="18"/>
              </w:rPr>
              <w:t>,417.2</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15,408,5</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82.07</w:t>
            </w: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22,586</w:t>
            </w:r>
          </w:p>
          <w:p>
            <w:pPr>
              <w:pStyle w:val="TableParagraph"/>
              <w:spacing w:line="240" w:lineRule="auto" w:before="76"/>
              <w:ind w:right="20"/>
              <w:jc w:val="right"/>
              <w:rPr>
                <w:rFonts w:ascii="宋体" w:hAnsi="宋体" w:cs="宋体" w:eastAsia="宋体" w:hint="default"/>
                <w:sz w:val="18"/>
                <w:szCs w:val="18"/>
              </w:rPr>
            </w:pPr>
            <w:r>
              <w:rPr>
                <w:rFonts w:ascii="宋体"/>
                <w:sz w:val="18"/>
              </w:rPr>
              <w:t>,652.6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22,586,6</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52.61</w:t>
            </w:r>
          </w:p>
        </w:tc>
      </w:tr>
      <w:tr>
        <w:trPr>
          <w:trHeight w:val="62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63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147,499.</w:t>
            </w:r>
          </w:p>
          <w:p>
            <w:pPr>
              <w:pStyle w:val="TableParagraph"/>
              <w:spacing w:line="240" w:lineRule="auto" w:before="77"/>
              <w:ind w:right="20"/>
              <w:jc w:val="right"/>
              <w:rPr>
                <w:rFonts w:ascii="宋体" w:hAnsi="宋体" w:cs="宋体" w:eastAsia="宋体" w:hint="default"/>
                <w:sz w:val="18"/>
                <w:szCs w:val="18"/>
              </w:rPr>
            </w:pPr>
            <w:r>
              <w:rPr>
                <w:rFonts w:ascii="宋体"/>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147,499.</w:t>
            </w:r>
          </w:p>
          <w:p>
            <w:pPr>
              <w:pStyle w:val="TableParagraph"/>
              <w:spacing w:line="240" w:lineRule="auto" w:before="77"/>
              <w:ind w:right="23"/>
              <w:jc w:val="right"/>
              <w:rPr>
                <w:rFonts w:ascii="宋体" w:hAnsi="宋体" w:cs="宋体" w:eastAsia="宋体" w:hint="default"/>
                <w:sz w:val="18"/>
                <w:szCs w:val="18"/>
              </w:rPr>
            </w:pPr>
            <w:r>
              <w:rPr>
                <w:rFonts w:ascii="宋体"/>
                <w:sz w:val="18"/>
              </w:rPr>
              <w:t>61</w:t>
            </w:r>
          </w:p>
        </w:tc>
      </w:tr>
      <w:tr>
        <w:trPr>
          <w:trHeight w:val="63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147,499.</w:t>
            </w:r>
          </w:p>
          <w:p>
            <w:pPr>
              <w:pStyle w:val="TableParagraph"/>
              <w:spacing w:line="240" w:lineRule="auto" w:before="76"/>
              <w:ind w:right="20"/>
              <w:jc w:val="right"/>
              <w:rPr>
                <w:rFonts w:ascii="宋体" w:hAnsi="宋体" w:cs="宋体" w:eastAsia="宋体" w:hint="default"/>
                <w:sz w:val="18"/>
                <w:szCs w:val="18"/>
              </w:rPr>
            </w:pPr>
            <w:r>
              <w:rPr>
                <w:rFonts w:ascii="宋体"/>
                <w:sz w:val="18"/>
              </w:rPr>
              <w:t>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147,499.</w:t>
            </w:r>
          </w:p>
          <w:p>
            <w:pPr>
              <w:pStyle w:val="TableParagraph"/>
              <w:spacing w:line="240" w:lineRule="auto" w:before="76"/>
              <w:ind w:right="23"/>
              <w:jc w:val="right"/>
              <w:rPr>
                <w:rFonts w:ascii="宋体" w:hAnsi="宋体" w:cs="宋体" w:eastAsia="宋体" w:hint="default"/>
                <w:sz w:val="18"/>
                <w:szCs w:val="18"/>
              </w:rPr>
            </w:pPr>
            <w:r>
              <w:rPr>
                <w:rFonts w:ascii="宋体"/>
                <w:sz w:val="18"/>
              </w:rPr>
              <w:t>61</w:t>
            </w:r>
          </w:p>
        </w:tc>
      </w:tr>
      <w:tr>
        <w:trPr>
          <w:trHeight w:val="31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2,258,66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5.26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-9,584</w:t>
            </w:r>
          </w:p>
          <w:p>
            <w:pPr>
              <w:pStyle w:val="TableParagraph"/>
              <w:spacing w:line="240" w:lineRule="auto" w:before="76"/>
              <w:ind w:right="20"/>
              <w:jc w:val="right"/>
              <w:rPr>
                <w:rFonts w:ascii="宋体" w:hAnsi="宋体" w:cs="宋体" w:eastAsia="宋体" w:hint="default"/>
                <w:sz w:val="18"/>
                <w:szCs w:val="18"/>
              </w:rPr>
            </w:pPr>
            <w:r>
              <w:rPr>
                <w:rFonts w:ascii="宋体"/>
                <w:sz w:val="18"/>
              </w:rPr>
              <w:t>,235.4</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-7,325,5</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70.15</w:t>
            </w:r>
          </w:p>
        </w:tc>
      </w:tr>
      <w:tr>
        <w:trPr>
          <w:trHeight w:val="31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2,258,66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5.26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-2,258</w:t>
            </w:r>
          </w:p>
          <w:p>
            <w:pPr>
              <w:pStyle w:val="TableParagraph"/>
              <w:spacing w:line="240" w:lineRule="auto" w:before="76"/>
              <w:ind w:right="20"/>
              <w:jc w:val="right"/>
              <w:rPr>
                <w:rFonts w:ascii="宋体" w:hAnsi="宋体" w:cs="宋体" w:eastAsia="宋体" w:hint="default"/>
                <w:sz w:val="18"/>
                <w:szCs w:val="18"/>
              </w:rPr>
            </w:pPr>
            <w:r>
              <w:rPr>
                <w:rFonts w:ascii="宋体"/>
                <w:sz w:val="18"/>
              </w:rPr>
              <w:t>,665.2</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81" w:type="dxa"/>
            <w:vMerge w:val="restart"/>
            <w:tcBorders>
              <w:top w:val="single" w:sz="4" w:space="0" w:color="000000"/>
              <w:left w:val="single" w:sz="4" w:space="0" w:color="000000"/>
              <w:right w:val="single" w:sz="4" w:space="0" w:color="000000"/>
            </w:tcBorders>
          </w:tcPr>
          <w:p>
            <w:pPr/>
          </w:p>
        </w:tc>
      </w:tr>
      <w:tr>
        <w:trPr>
          <w:trHeight w:val="312" w:hRule="exact"/>
        </w:trPr>
        <w:tc>
          <w:tcPr>
            <w:tcW w:w="1430" w:type="dxa"/>
            <w:tcBorders>
              <w:top w:val="nil" w:sz="6" w:space="0" w:color="auto"/>
              <w:left w:val="single" w:sz="13" w:space="0" w:color="D2D2D2"/>
              <w:bottom w:val="nil" w:sz="6" w:space="0" w:color="auto"/>
              <w:right w:val="single" w:sz="10" w:space="0" w:color="D2D2D2"/>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-7,325</w:t>
            </w:r>
          </w:p>
          <w:p>
            <w:pPr>
              <w:pStyle w:val="TableParagraph"/>
              <w:spacing w:line="240" w:lineRule="auto" w:before="77"/>
              <w:ind w:right="20"/>
              <w:jc w:val="right"/>
              <w:rPr>
                <w:rFonts w:ascii="宋体" w:hAnsi="宋体" w:cs="宋体" w:eastAsia="宋体" w:hint="default"/>
                <w:sz w:val="18"/>
                <w:szCs w:val="18"/>
              </w:rPr>
            </w:pPr>
            <w:r>
              <w:rPr>
                <w:rFonts w:ascii="宋体"/>
                <w:sz w:val="18"/>
              </w:rPr>
              <w:t>,570.1</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-7,325,5</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70.15</w:t>
            </w:r>
          </w:p>
        </w:tc>
      </w:tr>
      <w:tr>
        <w:trPr>
          <w:trHeight w:val="62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1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2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sz w:val="18"/>
              </w:rPr>
              <w:t>146,511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-146,511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sz w:val="18"/>
              </w:rPr>
              <w:t>,403.00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27"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,403.00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293,022</w:t>
            </w:r>
          </w:p>
          <w:p>
            <w:pPr>
              <w:pStyle w:val="TableParagraph"/>
              <w:spacing w:line="240" w:lineRule="auto" w:before="76"/>
              <w:ind w:left="27" w:right="0"/>
              <w:jc w:val="left"/>
              <w:rPr>
                <w:rFonts w:ascii="宋体" w:hAnsi="宋体" w:cs="宋体" w:eastAsia="宋体" w:hint="default"/>
                <w:sz w:val="18"/>
                <w:szCs w:val="18"/>
              </w:rPr>
            </w:pPr>
            <w:r>
              <w:rPr>
                <w:rFonts w:ascii="宋体"/>
                <w:sz w:val="18"/>
              </w:rPr>
              <w:t>,806.00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647,930,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592.46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26,191,6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73.25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165,61</w:t>
            </w:r>
          </w:p>
          <w:p>
            <w:pPr>
              <w:pStyle w:val="TableParagraph"/>
              <w:spacing w:line="240" w:lineRule="auto" w:before="76"/>
              <w:ind w:right="20"/>
              <w:jc w:val="right"/>
              <w:rPr>
                <w:rFonts w:ascii="宋体" w:hAnsi="宋体" w:cs="宋体" w:eastAsia="宋体" w:hint="default"/>
                <w:sz w:val="18"/>
                <w:szCs w:val="18"/>
              </w:rPr>
            </w:pPr>
            <w:r>
              <w:rPr>
                <w:rFonts w:ascii="宋体"/>
                <w:sz w:val="18"/>
              </w:rPr>
              <w:t>9,489.</w:t>
            </w:r>
          </w:p>
          <w:p>
            <w:pPr>
              <w:pStyle w:val="TableParagraph"/>
              <w:spacing w:line="240" w:lineRule="auto" w:before="76"/>
              <w:ind w:right="20"/>
              <w:jc w:val="right"/>
              <w:rPr>
                <w:rFonts w:ascii="宋体" w:hAnsi="宋体" w:cs="宋体" w:eastAsia="宋体" w:hint="default"/>
                <w:sz w:val="18"/>
                <w:szCs w:val="18"/>
              </w:rPr>
            </w:pPr>
            <w:r>
              <w:rPr>
                <w:rFonts w:ascii="宋体"/>
                <w:sz w:val="18"/>
              </w:rPr>
              <w:t>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1,132,76</w:t>
            </w:r>
          </w:p>
          <w:p>
            <w:pPr>
              <w:pStyle w:val="TableParagraph"/>
              <w:spacing w:line="240" w:lineRule="auto" w:before="76"/>
              <w:ind w:left="27" w:right="0"/>
              <w:jc w:val="left"/>
              <w:rPr>
                <w:rFonts w:ascii="宋体" w:hAnsi="宋体" w:cs="宋体" w:eastAsia="宋体" w:hint="default"/>
                <w:sz w:val="18"/>
                <w:szCs w:val="18"/>
              </w:rPr>
            </w:pPr>
            <w:r>
              <w:rPr>
                <w:rFonts w:ascii="宋体"/>
                <w:sz w:val="18"/>
              </w:rPr>
              <w:t>4,560.85</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2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6"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9" w:space="0" w:color="D2D2D2"/>
              <w:right w:val="single" w:sz="23"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9"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9" w:space="0" w:color="D2D2D2"/>
              <w:right w:val="single" w:sz="9" w:space="0" w:color="D2D2D2"/>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8"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9"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9" w:space="0" w:color="D2D2D2"/>
            </w:tcBorders>
          </w:tcPr>
          <w:p>
            <w:pPr/>
          </w:p>
        </w:tc>
        <w:tc>
          <w:tcPr>
            <w:tcW w:w="797" w:type="dxa"/>
            <w:vMerge/>
            <w:tcBorders>
              <w:left w:val="single" w:sz="9" w:space="0" w:color="D2D2D2"/>
              <w:bottom w:val="nil" w:sz="6" w:space="0" w:color="auto"/>
              <w:right w:val="single" w:sz="9"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 w:right="0"/>
              <w:jc w:val="left"/>
              <w:rPr>
                <w:rFonts w:ascii="宋体" w:hAnsi="宋体" w:cs="宋体" w:eastAsia="宋体" w:hint="default"/>
                <w:sz w:val="18"/>
                <w:szCs w:val="18"/>
              </w:rPr>
            </w:pPr>
            <w:r>
              <w:rPr>
                <w:rFonts w:ascii="宋体"/>
                <w:sz w:val="18"/>
              </w:rPr>
              <w:t>118,000</w:t>
            </w:r>
          </w:p>
          <w:p>
            <w:pPr>
              <w:pStyle w:val="TableParagraph"/>
              <w:spacing w:line="240" w:lineRule="auto" w:before="77"/>
              <w:ind w:left="32"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317,366,</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523.70</w:t>
            </w: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19,039,4</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88.60</w:t>
            </w:r>
          </w:p>
        </w:tc>
        <w:tc>
          <w:tcPr>
            <w:tcW w:w="676" w:type="dxa"/>
            <w:vMerge w:val="restart"/>
            <w:tcBorders>
              <w:top w:val="single" w:sz="6" w:space="0" w:color="000000"/>
              <w:left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18"/>
                <w:szCs w:val="18"/>
              </w:rPr>
            </w:pPr>
            <w:r>
              <w:rPr>
                <w:rFonts w:ascii="宋体"/>
                <w:sz w:val="18"/>
              </w:rPr>
              <w:t>114,47</w:t>
            </w:r>
          </w:p>
          <w:p>
            <w:pPr>
              <w:pStyle w:val="TableParagraph"/>
              <w:spacing w:line="240" w:lineRule="auto" w:before="77"/>
              <w:ind w:right="20"/>
              <w:jc w:val="right"/>
              <w:rPr>
                <w:rFonts w:ascii="宋体" w:hAnsi="宋体" w:cs="宋体" w:eastAsia="宋体" w:hint="default"/>
                <w:sz w:val="18"/>
                <w:szCs w:val="18"/>
              </w:rPr>
            </w:pPr>
            <w:r>
              <w:rPr>
                <w:rFonts w:ascii="宋体"/>
                <w:sz w:val="18"/>
              </w:rPr>
              <w:t>5,397.</w:t>
            </w:r>
          </w:p>
          <w:p>
            <w:pPr>
              <w:pStyle w:val="TableParagraph"/>
              <w:spacing w:line="240" w:lineRule="auto" w:before="76"/>
              <w:ind w:right="20"/>
              <w:jc w:val="right"/>
              <w:rPr>
                <w:rFonts w:ascii="宋体" w:hAnsi="宋体" w:cs="宋体" w:eastAsia="宋体" w:hint="default"/>
                <w:sz w:val="18"/>
                <w:szCs w:val="18"/>
              </w:rPr>
            </w:pPr>
            <w:r>
              <w:rPr>
                <w:rFonts w:ascii="宋体"/>
                <w:sz w:val="18"/>
              </w:rPr>
              <w:t>38</w:t>
            </w:r>
          </w:p>
        </w:tc>
        <w:tc>
          <w:tcPr>
            <w:tcW w:w="781" w:type="dxa"/>
            <w:vMerge w:val="restart"/>
            <w:tcBorders>
              <w:top w:val="single" w:sz="6"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568,881,</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409.68</w:t>
            </w:r>
          </w:p>
        </w:tc>
      </w:tr>
      <w:tr>
        <w:trPr>
          <w:trHeight w:val="312" w:hRule="exact"/>
        </w:trPr>
        <w:tc>
          <w:tcPr>
            <w:tcW w:w="1418" w:type="dxa"/>
            <w:tcBorders>
              <w:top w:val="nil" w:sz="6" w:space="0" w:color="auto"/>
              <w:left w:val="single" w:sz="13" w:space="0" w:color="D2D2D2"/>
              <w:bottom w:val="nil" w:sz="6" w:space="0" w:color="auto"/>
              <w:right w:val="single" w:sz="10" w:space="0" w:color="D2D2D2"/>
            </w:tcBorders>
          </w:tcPr>
          <w:p>
            <w:pPr>
              <w:pStyle w:val="TableParagraph"/>
              <w:spacing w:line="240" w:lineRule="auto" w:before="11"/>
              <w:ind w:right="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w w:val="95"/>
                <w:sz w:val="18"/>
                <w:szCs w:val="18"/>
                <w:shd w:fill="D2D2D2" w:color="auto" w:val="clear"/>
              </w:rPr>
              <w:t>一、上年期末余额</w:t>
            </w:r>
            <w:r>
              <w:rPr>
                <w:rFonts w:ascii="宋体" w:hAnsi="宋体" w:cs="宋体" w:eastAsia="宋体" w:hint="default"/>
                <w:spacing w:val="-7"/>
                <w:w w:val="95"/>
                <w:sz w:val="18"/>
                <w:szCs w:val="18"/>
              </w:rPr>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 w:right="0"/>
              <w:jc w:val="left"/>
              <w:rPr>
                <w:rFonts w:ascii="宋体" w:hAnsi="宋体" w:cs="宋体" w:eastAsia="宋体" w:hint="default"/>
                <w:sz w:val="18"/>
                <w:szCs w:val="18"/>
              </w:rPr>
            </w:pPr>
            <w:r>
              <w:rPr>
                <w:rFonts w:ascii="宋体"/>
                <w:sz w:val="18"/>
              </w:rPr>
              <w:t>118,000</w:t>
            </w:r>
          </w:p>
          <w:p>
            <w:pPr>
              <w:pStyle w:val="TableParagraph"/>
              <w:spacing w:line="240" w:lineRule="auto" w:before="76"/>
              <w:ind w:left="32"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317,366,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523.70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19,039,4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88.60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114,47</w:t>
            </w:r>
          </w:p>
          <w:p>
            <w:pPr>
              <w:pStyle w:val="TableParagraph"/>
              <w:spacing w:line="240" w:lineRule="auto" w:before="76"/>
              <w:ind w:right="20"/>
              <w:jc w:val="right"/>
              <w:rPr>
                <w:rFonts w:ascii="宋体" w:hAnsi="宋体" w:cs="宋体" w:eastAsia="宋体" w:hint="default"/>
                <w:sz w:val="18"/>
                <w:szCs w:val="18"/>
              </w:rPr>
            </w:pPr>
            <w:r>
              <w:rPr>
                <w:rFonts w:ascii="宋体"/>
                <w:sz w:val="18"/>
              </w:rPr>
              <w:t>5,397.</w:t>
            </w:r>
          </w:p>
          <w:p>
            <w:pPr>
              <w:pStyle w:val="TableParagraph"/>
              <w:spacing w:line="240" w:lineRule="auto" w:before="76"/>
              <w:ind w:right="20"/>
              <w:jc w:val="right"/>
              <w:rPr>
                <w:rFonts w:ascii="宋体" w:hAnsi="宋体" w:cs="宋体" w:eastAsia="宋体" w:hint="default"/>
                <w:sz w:val="18"/>
                <w:szCs w:val="18"/>
              </w:rPr>
            </w:pPr>
            <w:r>
              <w:rPr>
                <w:rFonts w:ascii="宋体"/>
                <w:sz w:val="18"/>
              </w:rPr>
              <w:t>38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568,881,</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409.68</w:t>
            </w:r>
          </w:p>
        </w:tc>
      </w:tr>
      <w:tr>
        <w:trPr>
          <w:trHeight w:val="312" w:hRule="exact"/>
        </w:trPr>
        <w:tc>
          <w:tcPr>
            <w:tcW w:w="1418" w:type="dxa"/>
            <w:tcBorders>
              <w:top w:val="nil" w:sz="6" w:space="0" w:color="auto"/>
              <w:left w:val="single" w:sz="13" w:space="0" w:color="D2D2D2"/>
              <w:bottom w:val="nil" w:sz="6" w:space="0" w:color="auto"/>
              <w:right w:val="single" w:sz="10" w:space="0" w:color="D2D2D2"/>
            </w:tcBorders>
          </w:tcPr>
          <w:p>
            <w:pPr>
              <w:pStyle w:val="TableParagraph"/>
              <w:spacing w:line="240" w:lineRule="auto" w:before="10"/>
              <w:ind w:right="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w w:val="95"/>
                <w:sz w:val="18"/>
                <w:szCs w:val="18"/>
                <w:shd w:fill="D2D2D2" w:color="auto" w:val="clear"/>
              </w:rPr>
              <w:t>二、本年期初余额</w:t>
            </w:r>
            <w:r>
              <w:rPr>
                <w:rFonts w:ascii="宋体" w:hAnsi="宋体" w:cs="宋体" w:eastAsia="宋体" w:hint="default"/>
                <w:spacing w:val="-7"/>
                <w:w w:val="95"/>
                <w:sz w:val="18"/>
                <w:szCs w:val="18"/>
              </w:rPr>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94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宋体" w:hAnsi="宋体" w:cs="宋体" w:eastAsia="宋体" w:hint="default"/>
                <w:sz w:val="18"/>
                <w:szCs w:val="18"/>
              </w:rPr>
            </w:pPr>
            <w:r>
              <w:rPr>
                <w:rFonts w:ascii="宋体"/>
                <w:sz w:val="18"/>
              </w:rPr>
              <w:t>28,511,</w:t>
            </w:r>
          </w:p>
          <w:p>
            <w:pPr>
              <w:pStyle w:val="TableParagraph"/>
              <w:spacing w:line="240" w:lineRule="auto" w:before="76"/>
              <w:ind w:left="122"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476,927,</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972.15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4,893,51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38,141</w:t>
            </w:r>
          </w:p>
          <w:p>
            <w:pPr>
              <w:pStyle w:val="TableParagraph"/>
              <w:spacing w:line="240" w:lineRule="auto" w:before="76"/>
              <w:ind w:right="20"/>
              <w:jc w:val="right"/>
              <w:rPr>
                <w:rFonts w:ascii="宋体" w:hAnsi="宋体" w:cs="宋体" w:eastAsia="宋体" w:hint="default"/>
                <w:sz w:val="18"/>
                <w:szCs w:val="18"/>
              </w:rPr>
            </w:pPr>
            <w:r>
              <w:rPr>
                <w:rFonts w:ascii="宋体"/>
                <w:sz w:val="18"/>
              </w:rPr>
              <w:t>,674.5</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548,474,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569.10</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48,935</w:t>
            </w:r>
          </w:p>
          <w:p>
            <w:pPr>
              <w:pStyle w:val="TableParagraph"/>
              <w:spacing w:line="240" w:lineRule="auto" w:before="76"/>
              <w:ind w:right="20"/>
              <w:jc w:val="right"/>
              <w:rPr>
                <w:rFonts w:ascii="宋体" w:hAnsi="宋体" w:cs="宋体" w:eastAsia="宋体" w:hint="default"/>
                <w:sz w:val="18"/>
                <w:szCs w:val="18"/>
              </w:rPr>
            </w:pPr>
            <w:r>
              <w:rPr>
                <w:rFonts w:ascii="宋体"/>
                <w:sz w:val="18"/>
              </w:rPr>
              <w:t>,193.9</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48,935,1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93.95</w:t>
            </w:r>
          </w:p>
        </w:tc>
      </w:tr>
      <w:tr>
        <w:trPr>
          <w:trHeight w:val="62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32" w:right="0"/>
              <w:jc w:val="left"/>
              <w:rPr>
                <w:rFonts w:ascii="宋体" w:hAnsi="宋体" w:cs="宋体" w:eastAsia="宋体" w:hint="default"/>
                <w:sz w:val="18"/>
                <w:szCs w:val="18"/>
              </w:rPr>
            </w:pPr>
            <w:r>
              <w:rPr>
                <w:rFonts w:ascii="宋体"/>
                <w:sz w:val="18"/>
              </w:rPr>
              <w:t>28,511,</w:t>
            </w:r>
          </w:p>
          <w:p>
            <w:pPr>
              <w:pStyle w:val="TableParagraph"/>
              <w:spacing w:line="240" w:lineRule="auto" w:before="76"/>
              <w:ind w:left="122"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center"/>
              <w:rPr>
                <w:rFonts w:ascii="宋体" w:hAnsi="宋体" w:cs="宋体" w:eastAsia="宋体" w:hint="default"/>
                <w:sz w:val="18"/>
                <w:szCs w:val="18"/>
              </w:rPr>
            </w:pPr>
            <w:r>
              <w:rPr>
                <w:rFonts w:ascii="宋体"/>
                <w:sz w:val="18"/>
              </w:rPr>
              <w:t>476,927,</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972.15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505,439,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375.15</w:t>
            </w:r>
          </w:p>
        </w:tc>
      </w:tr>
      <w:tr>
        <w:trPr>
          <w:trHeight w:val="6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1" w:right="4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left="32" w:right="0"/>
              <w:jc w:val="left"/>
              <w:rPr>
                <w:rFonts w:ascii="宋体" w:hAnsi="宋体" w:cs="宋体" w:eastAsia="宋体" w:hint="default"/>
                <w:sz w:val="18"/>
                <w:szCs w:val="18"/>
              </w:rPr>
            </w:pPr>
            <w:r>
              <w:rPr>
                <w:rFonts w:ascii="宋体"/>
                <w:sz w:val="18"/>
              </w:rPr>
              <w:t>28,511,</w:t>
            </w:r>
          </w:p>
          <w:p>
            <w:pPr>
              <w:pStyle w:val="TableParagraph"/>
              <w:spacing w:line="240" w:lineRule="auto" w:before="76"/>
              <w:ind w:left="122"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 w:right="0"/>
              <w:jc w:val="center"/>
              <w:rPr>
                <w:rFonts w:ascii="宋体" w:hAnsi="宋体" w:cs="宋体" w:eastAsia="宋体" w:hint="default"/>
                <w:sz w:val="18"/>
                <w:szCs w:val="18"/>
              </w:rPr>
            </w:pPr>
            <w:r>
              <w:rPr>
                <w:rFonts w:ascii="宋体"/>
                <w:sz w:val="18"/>
              </w:rPr>
              <w:t>476,927,</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972.15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宋体" w:hAnsi="宋体" w:cs="宋体" w:eastAsia="宋体" w:hint="default"/>
                <w:sz w:val="18"/>
                <w:szCs w:val="18"/>
              </w:rPr>
            </w:pPr>
            <w:r>
              <w:rPr>
                <w:rFonts w:ascii="宋体"/>
                <w:sz w:val="18"/>
              </w:rPr>
              <w:t>505,439,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375.15</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4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79" w:header="877"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4,893,51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-10,79</w:t>
            </w:r>
          </w:p>
          <w:p>
            <w:pPr>
              <w:pStyle w:val="TableParagraph"/>
              <w:spacing w:line="240" w:lineRule="auto" w:before="76"/>
              <w:ind w:right="20"/>
              <w:jc w:val="right"/>
              <w:rPr>
                <w:rFonts w:ascii="宋体" w:hAnsi="宋体" w:cs="宋体" w:eastAsia="宋体" w:hint="default"/>
                <w:sz w:val="18"/>
                <w:szCs w:val="18"/>
              </w:rPr>
            </w:pPr>
            <w:r>
              <w:rPr>
                <w:rFonts w:ascii="宋体"/>
                <w:sz w:val="18"/>
              </w:rPr>
              <w:t>3,519.</w:t>
            </w:r>
          </w:p>
          <w:p>
            <w:pPr>
              <w:pStyle w:val="TableParagraph"/>
              <w:spacing w:line="240" w:lineRule="auto" w:before="76"/>
              <w:ind w:right="20"/>
              <w:jc w:val="right"/>
              <w:rPr>
                <w:rFonts w:ascii="宋体" w:hAnsi="宋体" w:cs="宋体" w:eastAsia="宋体" w:hint="default"/>
                <w:sz w:val="18"/>
                <w:szCs w:val="18"/>
              </w:rPr>
            </w:pPr>
            <w:r>
              <w:rPr>
                <w:rFonts w:ascii="宋体"/>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-5,900,0</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00.00</w:t>
            </w: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4,893,51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-4,893</w:t>
            </w:r>
          </w:p>
          <w:p>
            <w:pPr>
              <w:pStyle w:val="TableParagraph"/>
              <w:spacing w:line="240" w:lineRule="auto" w:before="76"/>
              <w:ind w:right="20"/>
              <w:jc w:val="right"/>
              <w:rPr>
                <w:rFonts w:ascii="宋体" w:hAnsi="宋体" w:cs="宋体" w:eastAsia="宋体" w:hint="default"/>
                <w:sz w:val="18"/>
                <w:szCs w:val="18"/>
              </w:rPr>
            </w:pPr>
            <w:r>
              <w:rPr>
                <w:rFonts w:ascii="宋体"/>
                <w:sz w:val="18"/>
              </w:rPr>
              <w:t>,519.3</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-5,900</w:t>
            </w:r>
          </w:p>
          <w:p>
            <w:pPr>
              <w:pStyle w:val="TableParagraph"/>
              <w:spacing w:line="240" w:lineRule="auto" w:before="76"/>
              <w:ind w:right="20"/>
              <w:jc w:val="right"/>
              <w:rPr>
                <w:rFonts w:ascii="宋体" w:hAnsi="宋体" w:cs="宋体" w:eastAsia="宋体" w:hint="default"/>
                <w:sz w:val="18"/>
                <w:szCs w:val="18"/>
              </w:rPr>
            </w:pPr>
            <w:r>
              <w:rPr>
                <w:rFonts w:ascii="宋体"/>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-5,900,0</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00.00</w:t>
            </w:r>
          </w:p>
        </w:tc>
      </w:tr>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27"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794,294,</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495.85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23,933,0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07.99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152,61</w:t>
            </w:r>
          </w:p>
          <w:p>
            <w:pPr>
              <w:pStyle w:val="TableParagraph"/>
              <w:spacing w:line="240" w:lineRule="auto" w:before="76"/>
              <w:ind w:right="20"/>
              <w:jc w:val="right"/>
              <w:rPr>
                <w:rFonts w:ascii="宋体" w:hAnsi="宋体" w:cs="宋体" w:eastAsia="宋体" w:hint="default"/>
                <w:sz w:val="18"/>
                <w:szCs w:val="18"/>
              </w:rPr>
            </w:pPr>
            <w:r>
              <w:rPr>
                <w:rFonts w:ascii="宋体"/>
                <w:sz w:val="18"/>
              </w:rPr>
              <w:t>7,071.</w:t>
            </w:r>
          </w:p>
          <w:p>
            <w:pPr>
              <w:pStyle w:val="TableParagraph"/>
              <w:spacing w:line="240" w:lineRule="auto" w:before="76"/>
              <w:ind w:right="20"/>
              <w:jc w:val="right"/>
              <w:rPr>
                <w:rFonts w:ascii="宋体" w:hAnsi="宋体" w:cs="宋体" w:eastAsia="宋体" w:hint="default"/>
                <w:sz w:val="18"/>
                <w:szCs w:val="18"/>
              </w:rPr>
            </w:pPr>
            <w:r>
              <w:rPr>
                <w:rFonts w:ascii="宋体"/>
                <w:sz w:val="18"/>
              </w:rPr>
              <w:t>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1,117,35</w:t>
            </w:r>
          </w:p>
          <w:p>
            <w:pPr>
              <w:pStyle w:val="TableParagraph"/>
              <w:spacing w:line="240" w:lineRule="auto" w:before="76"/>
              <w:ind w:left="27" w:right="0"/>
              <w:jc w:val="left"/>
              <w:rPr>
                <w:rFonts w:ascii="宋体" w:hAnsi="宋体" w:cs="宋体" w:eastAsia="宋体" w:hint="default"/>
                <w:sz w:val="18"/>
                <w:szCs w:val="18"/>
              </w:rPr>
            </w:pPr>
            <w:r>
              <w:rPr>
                <w:rFonts w:ascii="宋体"/>
                <w:sz w:val="18"/>
              </w:rPr>
              <w:t>5,978.78</w:t>
            </w:r>
          </w:p>
        </w:tc>
      </w:tr>
    </w:tbl>
    <w:p>
      <w:pPr>
        <w:spacing w:line="240" w:lineRule="auto" w:before="2"/>
        <w:rPr>
          <w:rFonts w:ascii="宋体" w:hAnsi="宋体" w:cs="宋体" w:eastAsia="宋体" w:hint="default"/>
          <w:sz w:val="18"/>
          <w:szCs w:val="18"/>
        </w:rPr>
      </w:pPr>
    </w:p>
    <w:p>
      <w:pPr>
        <w:pStyle w:val="Heading2"/>
        <w:spacing w:line="240" w:lineRule="auto" w:before="26"/>
        <w:ind w:left="1134" w:right="1117"/>
        <w:jc w:val="left"/>
        <w:rPr>
          <w:b w:val="0"/>
          <w:bCs w:val="0"/>
        </w:rPr>
      </w:pPr>
      <w:bookmarkStart w:name="三、公司基本情况" w:id="150"/>
      <w:bookmarkEnd w:id="150"/>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53" w:right="1117"/>
        <w:jc w:val="left"/>
      </w:pPr>
      <w:r>
        <w:rPr>
          <w:rFonts w:ascii="宋体" w:hAnsi="宋体" w:cs="宋体" w:eastAsia="宋体" w:hint="default"/>
        </w:rPr>
        <w:t>1</w:t>
      </w:r>
      <w:r>
        <w:rPr/>
        <w:t>、企业基础信息。 </w:t>
      </w:r>
      <w:r>
        <w:rPr>
          <w:spacing w:val="-1"/>
        </w:rPr>
        <w:t>河南汉威电子股份有限公司（以下简称：“本公司”、“公司”）系在深圳证券交易所创业板上市的</w:t>
      </w:r>
    </w:p>
    <w:p>
      <w:pPr>
        <w:pStyle w:val="BodyText"/>
        <w:spacing w:line="408" w:lineRule="auto"/>
        <w:ind w:left="1553" w:right="3193" w:hanging="420"/>
        <w:jc w:val="left"/>
      </w:pPr>
      <w:r>
        <w:rPr/>
        <w:t>股份有限公司，股票简称：汉威电子，股票代码：</w:t>
      </w:r>
      <w:r>
        <w:rPr>
          <w:rFonts w:ascii="宋体" w:hAnsi="宋体" w:cs="宋体" w:eastAsia="宋体" w:hint="default"/>
        </w:rPr>
        <w:t>300007</w:t>
      </w:r>
      <w:r>
        <w:rPr/>
        <w:t>； 公司注册地：河南省郑州市，企业统一社会信用代码：</w:t>
      </w:r>
      <w:r>
        <w:rPr>
          <w:rFonts w:ascii="宋体" w:hAnsi="宋体" w:cs="宋体" w:eastAsia="宋体" w:hint="default"/>
        </w:rPr>
        <w:t>914101007067858314</w:t>
      </w:r>
      <w:r>
        <w:rPr/>
        <w:t>； 公司法定代表人：任红军；</w:t>
      </w:r>
    </w:p>
    <w:p>
      <w:pPr>
        <w:pStyle w:val="BodyText"/>
        <w:spacing w:line="408" w:lineRule="auto"/>
        <w:ind w:left="1553" w:right="6028"/>
        <w:jc w:val="left"/>
      </w:pPr>
      <w:r>
        <w:rPr/>
        <w:t>公司总部地址：郑州高新开发区雪松路</w:t>
      </w:r>
      <w:r>
        <w:rPr>
          <w:rFonts w:ascii="宋体" w:hAnsi="宋体" w:cs="宋体" w:eastAsia="宋体" w:hint="default"/>
        </w:rPr>
        <w:t>169</w:t>
      </w:r>
      <w:r>
        <w:rPr/>
        <w:t>号。 </w:t>
      </w:r>
      <w:r>
        <w:rPr>
          <w:rFonts w:ascii="宋体" w:hAnsi="宋体" w:cs="宋体" w:eastAsia="宋体" w:hint="default"/>
        </w:rPr>
        <w:t>2</w:t>
      </w:r>
      <w:r>
        <w:rPr/>
        <w:t>、企业的业务性质和主要经营活动。</w:t>
      </w:r>
    </w:p>
    <w:p>
      <w:pPr>
        <w:spacing w:after="0" w:line="408" w:lineRule="auto"/>
        <w:jc w:val="left"/>
        <w:sectPr>
          <w:footerReference w:type="default" r:id="rId26"/>
          <w:pgSz w:w="11910" w:h="16840"/>
          <w:pgMar w:footer="979" w:header="877" w:top="1100" w:bottom="1160" w:left="0" w:right="0"/>
          <w:pgNumType w:start="101"/>
        </w:sectPr>
      </w:pPr>
    </w:p>
    <w:p>
      <w:pPr>
        <w:spacing w:line="240" w:lineRule="auto" w:before="8"/>
        <w:rPr>
          <w:rFonts w:ascii="宋体" w:hAnsi="宋体" w:cs="宋体" w:eastAsia="宋体" w:hint="default"/>
          <w:sz w:val="26"/>
          <w:szCs w:val="26"/>
        </w:rPr>
      </w:pPr>
    </w:p>
    <w:p>
      <w:pPr>
        <w:pStyle w:val="BodyText"/>
        <w:spacing w:line="408" w:lineRule="auto" w:before="35"/>
        <w:ind w:left="1134" w:right="1131" w:firstLine="420"/>
        <w:jc w:val="both"/>
      </w:pPr>
      <w:r>
        <w:rPr>
          <w:spacing w:val="-1"/>
        </w:rPr>
        <w:t>本公司属专用仪器仪表制造业。主要产品包括气体传感器、气体检测仪器仪表及监控系统、废水污水</w:t>
      </w:r>
      <w:r>
        <w:rPr/>
        <w:t> </w:t>
      </w:r>
      <w:r>
        <w:rPr>
          <w:spacing w:val="-1"/>
        </w:rPr>
        <w:t>治理、供水及供水工程、软件开发等，主营业务涵盖智慧市政、工业安全、环保监治、居家健康、传感器</w:t>
      </w:r>
      <w:r>
        <w:rPr>
          <w:spacing w:val="-85"/>
        </w:rPr>
        <w:t> </w:t>
      </w:r>
      <w:r>
        <w:rPr>
          <w:spacing w:val="-85"/>
        </w:rPr>
      </w:r>
      <w:r>
        <w:rPr/>
        <w:t>等业务领域。</w:t>
      </w:r>
    </w:p>
    <w:p>
      <w:pPr>
        <w:pStyle w:val="BodyText"/>
        <w:spacing w:line="408" w:lineRule="auto"/>
        <w:ind w:left="1553" w:right="1117"/>
        <w:jc w:val="left"/>
      </w:pPr>
      <w:r>
        <w:rPr>
          <w:rFonts w:ascii="宋体" w:hAnsi="宋体" w:cs="宋体" w:eastAsia="宋体" w:hint="default"/>
        </w:rPr>
        <w:t>3</w:t>
      </w:r>
      <w:r>
        <w:rPr/>
        <w:t>、财务报告的批准报出者和财务报告批准报出日。 本财务报表业经本公司董事会于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日决议批准报出。 </w:t>
      </w:r>
      <w:r>
        <w:rPr>
          <w:spacing w:val="-1"/>
        </w:rPr>
        <w:t>本年度合并财务报表范围包括：郑州炜盛电子科技有限公司、河南汉威智慧安全科技有限公司、沈阳</w:t>
      </w:r>
    </w:p>
    <w:p>
      <w:pPr>
        <w:pStyle w:val="BodyText"/>
        <w:spacing w:line="408" w:lineRule="auto"/>
        <w:ind w:right="1130"/>
        <w:jc w:val="both"/>
      </w:pPr>
      <w:r>
        <w:rPr>
          <w:spacing w:val="-1"/>
        </w:rPr>
        <w:t>汉威科技有限公司、北京智威宇讯科技有限公司、上海中威天安公共安全科技有限公司、哈尔滨盈江科技</w:t>
      </w:r>
      <w:r>
        <w:rPr>
          <w:spacing w:val="-83"/>
        </w:rPr>
        <w:t> </w:t>
      </w:r>
      <w:r>
        <w:rPr>
          <w:spacing w:val="-83"/>
        </w:rPr>
      </w:r>
      <w:r>
        <w:rPr>
          <w:spacing w:val="-1"/>
        </w:rPr>
        <w:t>有限公司、沈阳金建数字城市软件有限公司、英森电气系统（上海）有限公司、鞍山易兴自动化工程有限</w:t>
      </w:r>
      <w:r>
        <w:rPr>
          <w:spacing w:val="-83"/>
        </w:rPr>
        <w:t> </w:t>
      </w:r>
      <w:r>
        <w:rPr>
          <w:spacing w:val="-83"/>
        </w:rPr>
      </w:r>
      <w:r>
        <w:rPr>
          <w:spacing w:val="-1"/>
        </w:rPr>
        <w:t>公司、嘉园环保有限公司、郑州汉威公用事业科技有限公司、北京威果智能科技有限公司、郑州汉威智能</w:t>
      </w:r>
      <w:r>
        <w:rPr>
          <w:spacing w:val="-86"/>
        </w:rPr>
        <w:t> </w:t>
      </w:r>
      <w:r>
        <w:rPr>
          <w:spacing w:val="-86"/>
        </w:rPr>
      </w:r>
      <w:r>
        <w:rPr>
          <w:spacing w:val="-1"/>
        </w:rPr>
        <w:t>仪表有限公司、广东龙泉科技有限公司。关于合并范围子公司详细信息，请参阅本附注八“合并范围的变</w:t>
      </w:r>
      <w:r>
        <w:rPr>
          <w:spacing w:val="-83"/>
        </w:rPr>
        <w:t> </w:t>
      </w:r>
      <w:r>
        <w:rPr>
          <w:spacing w:val="-83"/>
        </w:rPr>
      </w:r>
      <w:r>
        <w:rPr/>
        <w:t>更”、九“在其他主体中的权益披露”</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四、财务报表的编制基础" w:id="151"/>
      <w:bookmarkEnd w:id="15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编制基础" w:id="152"/>
      <w:bookmarkEnd w:id="15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712"/>
        <w:jc w:val="left"/>
      </w:pPr>
      <w:r>
        <w:rPr/>
        <w:t>本公司财务报表以持续经营为基础，根据实际发生的交易和事项，按照财政部颁布的《企业会计准则</w:t>
      </w:r>
    </w:p>
    <w:p>
      <w:pPr>
        <w:spacing w:line="240" w:lineRule="auto" w:before="10"/>
        <w:rPr>
          <w:rFonts w:ascii="宋体" w:hAnsi="宋体" w:cs="宋体" w:eastAsia="宋体" w:hint="default"/>
          <w:sz w:val="14"/>
          <w:szCs w:val="14"/>
        </w:rPr>
      </w:pPr>
    </w:p>
    <w:p>
      <w:pPr>
        <w:pStyle w:val="BodyText"/>
        <w:spacing w:line="408" w:lineRule="auto" w:before="0"/>
        <w:ind w:right="1117"/>
        <w:jc w:val="left"/>
      </w:pPr>
      <w:r>
        <w:rPr>
          <w:rFonts w:ascii="宋体" w:hAnsi="宋体" w:cs="宋体" w:eastAsia="宋体" w:hint="default"/>
        </w:rPr>
        <w:t>-</w:t>
      </w:r>
      <w:r>
        <w:rPr/>
        <w:t>基本准则》和具体会计准则等规定（以下合称“企业会计准则”），并基于以下所述重要会计政策、会</w:t>
      </w:r>
      <w:r>
        <w:rPr>
          <w:spacing w:val="-28"/>
        </w:rPr>
        <w:t> </w:t>
      </w:r>
      <w:r>
        <w:rPr>
          <w:spacing w:val="-28"/>
        </w:rPr>
      </w:r>
      <w:r>
        <w:rPr/>
        <w:t>计估计进行编制。</w:t>
      </w:r>
    </w:p>
    <w:p>
      <w:pPr>
        <w:spacing w:line="240" w:lineRule="auto" w:before="8"/>
        <w:rPr>
          <w:rFonts w:ascii="宋体" w:hAnsi="宋体" w:cs="宋体" w:eastAsia="宋体" w:hint="default"/>
          <w:sz w:val="20"/>
          <w:szCs w:val="20"/>
        </w:rPr>
      </w:pPr>
    </w:p>
    <w:p>
      <w:pPr>
        <w:pStyle w:val="Heading3"/>
        <w:spacing w:line="240" w:lineRule="auto"/>
        <w:ind w:left="1133" w:right="0"/>
        <w:jc w:val="both"/>
        <w:rPr>
          <w:b w:val="0"/>
          <w:bCs w:val="0"/>
        </w:rPr>
      </w:pPr>
      <w:bookmarkStart w:name="2、持续经营" w:id="153"/>
      <w:bookmarkEnd w:id="15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1117"/>
        <w:jc w:val="left"/>
      </w:pPr>
      <w:r>
        <w:rPr/>
        <w:t>本公司至本报告期末至少</w:t>
      </w:r>
      <w:r>
        <w:rPr>
          <w:rFonts w:ascii="宋体" w:hAnsi="宋体" w:cs="宋体" w:eastAsia="宋体" w:hint="default"/>
        </w:rPr>
        <w:t>12</w:t>
      </w:r>
      <w:r>
        <w:rPr/>
        <w:t>个月内具备持续经营能力，无影响持续经营能力的重大事项。</w:t>
      </w:r>
    </w:p>
    <w:p>
      <w:pPr>
        <w:spacing w:line="240" w:lineRule="auto" w:before="0"/>
        <w:rPr>
          <w:rFonts w:ascii="宋体" w:hAnsi="宋体" w:cs="宋体" w:eastAsia="宋体" w:hint="default"/>
          <w:sz w:val="20"/>
          <w:szCs w:val="20"/>
        </w:rPr>
      </w:pPr>
    </w:p>
    <w:p>
      <w:pPr>
        <w:pStyle w:val="Heading2"/>
        <w:spacing w:line="240" w:lineRule="auto" w:before="131"/>
        <w:ind w:right="0"/>
        <w:jc w:val="both"/>
        <w:rPr>
          <w:b w:val="0"/>
          <w:bCs w:val="0"/>
        </w:rPr>
      </w:pPr>
      <w:bookmarkStart w:name="五、重要会计政策及会计估计" w:id="154"/>
      <w:bookmarkEnd w:id="15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2"/>
        <w:rPr>
          <w:rFonts w:ascii="宋体" w:hAnsi="宋体" w:cs="宋体" w:eastAsia="宋体" w:hint="default"/>
          <w:sz w:val="12"/>
          <w:szCs w:val="12"/>
        </w:rPr>
      </w:pPr>
    </w:p>
    <w:p>
      <w:pPr>
        <w:pStyle w:val="BodyText"/>
        <w:spacing w:line="408" w:lineRule="auto" w:before="0"/>
        <w:ind w:right="1131" w:firstLine="420"/>
        <w:jc w:val="both"/>
      </w:pPr>
      <w:r>
        <w:rPr>
          <w:spacing w:val="-1"/>
        </w:rPr>
        <w:t>本公司从事仪器仪表及传感器生产与销售、环保工程、供水和供水工程、软件开发等业务。公司根据</w:t>
      </w:r>
      <w:r>
        <w:rPr/>
        <w:t> </w:t>
      </w:r>
      <w:r>
        <w:rPr>
          <w:spacing w:val="-1"/>
        </w:rPr>
        <w:t>实际生产经营特点，依据相关企业会计准则的规定，对收入确认等交易和事项制定了若干项具体会计政策</w:t>
      </w:r>
      <w:r>
        <w:rPr>
          <w:spacing w:val="-81"/>
        </w:rPr>
        <w:t> </w:t>
      </w:r>
      <w:r>
        <w:rPr>
          <w:spacing w:val="-81"/>
        </w:rPr>
      </w:r>
      <w:r>
        <w:rPr/>
        <w:t>和会计估计。</w:t>
      </w:r>
    </w:p>
    <w:p>
      <w:pPr>
        <w:spacing w:line="240" w:lineRule="auto" w:before="8"/>
        <w:rPr>
          <w:rFonts w:ascii="宋体" w:hAnsi="宋体" w:cs="宋体" w:eastAsia="宋体" w:hint="default"/>
          <w:sz w:val="20"/>
          <w:szCs w:val="20"/>
        </w:rPr>
      </w:pPr>
    </w:p>
    <w:p>
      <w:pPr>
        <w:pStyle w:val="Heading3"/>
        <w:spacing w:line="240" w:lineRule="auto"/>
        <w:ind w:left="1133" w:right="0"/>
        <w:jc w:val="both"/>
        <w:rPr>
          <w:b w:val="0"/>
          <w:bCs w:val="0"/>
        </w:rPr>
      </w:pPr>
      <w:bookmarkStart w:name="1、遵循企业会计准则的声明" w:id="155"/>
      <w:bookmarkEnd w:id="15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29" w:firstLine="420"/>
        <w:jc w:val="both"/>
      </w:pPr>
      <w:r>
        <w:rPr>
          <w:spacing w:val="-1"/>
        </w:rPr>
        <w:t>本公司编制的财务报表符合《企业会计准则》的要求，真实、完整地反映了本公司</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w:t>
      </w:r>
      <w:r>
        <w:rPr>
          <w:spacing w:val="1"/>
        </w:rPr>
        <w:t> </w:t>
      </w:r>
      <w:r>
        <w:rPr/>
        <w:t>财务状况、</w:t>
      </w:r>
      <w:r>
        <w:rPr>
          <w:rFonts w:ascii="宋体" w:hAnsi="宋体" w:cs="宋体" w:eastAsia="宋体" w:hint="default"/>
        </w:rPr>
        <w:t>2015</w:t>
      </w:r>
      <w:r>
        <w:rPr/>
        <w:t>年度的经营成果和现金流量等相关信息。</w:t>
      </w:r>
    </w:p>
    <w:p>
      <w:pPr>
        <w:spacing w:after="0" w:line="408"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2、会计期间" w:id="156"/>
      <w:bookmarkEnd w:id="15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54" w:right="1117"/>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9"/>
        <w:rPr>
          <w:rFonts w:ascii="宋体" w:hAnsi="宋体" w:cs="宋体" w:eastAsia="宋体" w:hint="default"/>
          <w:sz w:val="24"/>
          <w:szCs w:val="24"/>
        </w:rPr>
      </w:pPr>
    </w:p>
    <w:p>
      <w:pPr>
        <w:pStyle w:val="Heading3"/>
        <w:spacing w:line="240" w:lineRule="auto"/>
        <w:ind w:left="1133" w:right="0"/>
        <w:jc w:val="both"/>
        <w:rPr>
          <w:b w:val="0"/>
          <w:bCs w:val="0"/>
        </w:rPr>
      </w:pPr>
      <w:bookmarkStart w:name="3、营业周期" w:id="157"/>
      <w:bookmarkEnd w:id="15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53" w:right="1117"/>
        <w:jc w:val="left"/>
      </w:pPr>
      <w:r>
        <w:rPr/>
        <w:t>本公司以一年</w:t>
      </w:r>
      <w:r>
        <w:rPr>
          <w:spacing w:val="-23"/>
        </w:rPr>
        <w:t> </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bookmarkStart w:name="4、记账本位币" w:id="158"/>
      <w:bookmarkEnd w:id="15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54" w:right="1117"/>
        <w:jc w:val="left"/>
      </w:pPr>
      <w:r>
        <w:rPr/>
        <w:t>本公司以人民币为记账本位币。</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5、同一控制下和非同一控制下企业合并的会计处理方法" w:id="159"/>
      <w:bookmarkEnd w:id="15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1117"/>
        <w:jc w:val="left"/>
      </w:pPr>
      <w:r>
        <w:rPr>
          <w:rFonts w:ascii="宋体" w:hAnsi="宋体" w:cs="宋体" w:eastAsia="宋体" w:hint="default"/>
        </w:rPr>
        <w:t>1</w:t>
      </w:r>
      <w:r>
        <w:rPr/>
        <w:t>、同一控制下的企业合并 </w:t>
      </w:r>
      <w:r>
        <w:rPr>
          <w:spacing w:val="-1"/>
        </w:rPr>
        <w:t>同一控制下企业合并形成的长期股权投资合并方以支付现金、转让非现金资产或承担债务方式作为合</w:t>
      </w:r>
    </w:p>
    <w:p>
      <w:pPr>
        <w:pStyle w:val="BodyText"/>
        <w:spacing w:line="408" w:lineRule="auto"/>
        <w:ind w:left="1134" w:right="1131"/>
        <w:jc w:val="both"/>
      </w:pPr>
      <w:r>
        <w:rPr>
          <w:spacing w:val="-1"/>
        </w:rPr>
        <w:t>并对价的，本公司在合并日按照所取得的被合并方在最终控制方合并财务报表中的净资产的账面价值的份</w:t>
      </w:r>
      <w:r>
        <w:rPr>
          <w:spacing w:val="-81"/>
        </w:rPr>
        <w:t> </w:t>
      </w:r>
      <w:r>
        <w:rPr>
          <w:spacing w:val="-81"/>
        </w:rPr>
      </w:r>
      <w:r>
        <w:rPr>
          <w:spacing w:val="-1"/>
        </w:rPr>
        <w:t>额作为长期股权投资的初始投资成本。合并方以发行权益性工具作为合并对价的，按发行股份的面值总额</w:t>
      </w:r>
      <w:r>
        <w:rPr>
          <w:spacing w:val="-81"/>
        </w:rPr>
        <w:t> </w:t>
      </w:r>
      <w:r>
        <w:rPr>
          <w:spacing w:val="-81"/>
        </w:rPr>
      </w:r>
      <w:r>
        <w:rPr>
          <w:spacing w:val="-1"/>
        </w:rPr>
        <w:t>作为股本。长期股权投资的初始投资成本与合并对价账面价值（或发行股份面值总额）的差额，应当调整</w:t>
      </w:r>
      <w:r>
        <w:rPr>
          <w:spacing w:val="-86"/>
        </w:rPr>
        <w:t> </w:t>
      </w:r>
      <w:r>
        <w:rPr>
          <w:spacing w:val="-86"/>
        </w:rPr>
      </w:r>
      <w:r>
        <w:rPr/>
        <w:t>资本公积；资本公积不足冲减的，调整留存收益。</w:t>
      </w:r>
    </w:p>
    <w:p>
      <w:pPr>
        <w:pStyle w:val="BodyText"/>
        <w:spacing w:line="408" w:lineRule="auto"/>
        <w:ind w:left="1554" w:right="712"/>
        <w:jc w:val="left"/>
      </w:pPr>
      <w:r>
        <w:rPr>
          <w:rFonts w:ascii="宋体" w:hAnsi="宋体" w:cs="宋体" w:eastAsia="宋体" w:hint="default"/>
        </w:rPr>
        <w:t>2</w:t>
      </w:r>
      <w:r>
        <w:rPr/>
        <w:t>、非同一控制下的企业合并 </w:t>
      </w:r>
      <w:r>
        <w:rPr>
          <w:spacing w:val="-1"/>
        </w:rPr>
        <w:t>对于非同一控制下的企业合并，合并成本为购买方在购买日为取得对被购买方的控制权而付出的资产、</w:t>
      </w:r>
    </w:p>
    <w:p>
      <w:pPr>
        <w:pStyle w:val="BodyText"/>
        <w:spacing w:line="408" w:lineRule="auto"/>
        <w:ind w:left="1134" w:right="1131"/>
        <w:jc w:val="both"/>
      </w:pPr>
      <w:r>
        <w:rPr>
          <w:spacing w:val="-1"/>
        </w:rPr>
        <w:t>发生或承担的负债以及发行的权益性证券的公允价值之和。非同一控制下企业合并中所取得的被购买方符</w:t>
      </w:r>
      <w:r>
        <w:rPr>
          <w:spacing w:val="-81"/>
        </w:rPr>
        <w:t> </w:t>
      </w:r>
      <w:r>
        <w:rPr>
          <w:spacing w:val="-81"/>
        </w:rPr>
      </w:r>
      <w:r>
        <w:rPr>
          <w:spacing w:val="-1"/>
        </w:rPr>
        <w:t>合确认条件的可辨认资产、负债及或有负债，在购买日以公允价值计量。购买方对合并成本大于合并中取</w:t>
      </w:r>
      <w:r>
        <w:rPr>
          <w:spacing w:val="-83"/>
        </w:rPr>
        <w:t> </w:t>
      </w:r>
      <w:r>
        <w:rPr>
          <w:spacing w:val="-83"/>
        </w:rPr>
      </w:r>
      <w:r>
        <w:rPr>
          <w:spacing w:val="-1"/>
        </w:rPr>
        <w:t>得的被购买方可辨认净资产公允价值份额的差额，体现为商誉价值。购买方对合并成本小于合并中取得的</w:t>
      </w:r>
      <w:r>
        <w:rPr>
          <w:spacing w:val="-81"/>
        </w:rPr>
        <w:t> </w:t>
      </w:r>
      <w:r>
        <w:rPr>
          <w:spacing w:val="-81"/>
        </w:rPr>
      </w:r>
      <w:r>
        <w:rPr>
          <w:spacing w:val="-1"/>
        </w:rPr>
        <w:t>被购买方可辨认净资产公允价值份额的，经复核后合并成本仍小于合并中取得的被购买方可辨认净资产公</w:t>
      </w:r>
      <w:r>
        <w:rPr>
          <w:spacing w:val="-81"/>
        </w:rPr>
        <w:t> </w:t>
      </w:r>
      <w:r>
        <w:rPr>
          <w:spacing w:val="-81"/>
        </w:rPr>
      </w:r>
      <w:r>
        <w:rPr/>
        <w:t>允价值份额的差额，计入当期营业外收入。</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6、合并财务报表的编制方法" w:id="160"/>
      <w:bookmarkEnd w:id="16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1117"/>
        <w:jc w:val="left"/>
      </w:pPr>
      <w:r>
        <w:rPr>
          <w:rFonts w:ascii="宋体" w:hAnsi="宋体" w:cs="宋体" w:eastAsia="宋体" w:hint="default"/>
        </w:rPr>
        <w:t>1</w:t>
      </w:r>
      <w:r>
        <w:rPr/>
        <w:t>、合并财务报表范围 </w:t>
      </w:r>
      <w:r>
        <w:rPr>
          <w:spacing w:val="-1"/>
        </w:rPr>
        <w:t>本公司将全部子公司（包括本公司所控制的单独主体）纳入合并财务报表范围，包括被本公司控制的</w:t>
      </w:r>
    </w:p>
    <w:p>
      <w:pPr>
        <w:pStyle w:val="BodyText"/>
        <w:spacing w:line="408" w:lineRule="auto"/>
        <w:ind w:left="1554" w:right="1117" w:hanging="420"/>
        <w:jc w:val="left"/>
      </w:pPr>
      <w:r>
        <w:rPr/>
        <w:t>企业、被投资单位中可分割的部分以及结构化主体。 </w:t>
      </w:r>
      <w:r>
        <w:rPr>
          <w:rFonts w:ascii="宋体" w:hAnsi="宋体" w:cs="宋体" w:eastAsia="宋体" w:hint="default"/>
        </w:rPr>
        <w:t>2</w:t>
      </w:r>
      <w:r>
        <w:rPr/>
        <w:t>、统一母子公司的会计政策、统一母子公司的资产负债表日及会计期间 </w:t>
      </w:r>
      <w:r>
        <w:rPr>
          <w:spacing w:val="-1"/>
        </w:rPr>
        <w:t>子公司与本公司采用的会计政策或会计期间不一致的，在编制合并财务报表时，按照本公司的会计政</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554" w:right="6132" w:hanging="420"/>
        <w:jc w:val="left"/>
      </w:pPr>
      <w:r>
        <w:rPr/>
        <w:t>策或会计期间对子公司财务报表进行必要的调整。 </w:t>
      </w:r>
      <w:r>
        <w:rPr>
          <w:rFonts w:ascii="宋体" w:hAnsi="宋体" w:cs="宋体" w:eastAsia="宋体" w:hint="default"/>
        </w:rPr>
        <w:t>3</w:t>
      </w:r>
      <w:r>
        <w:rPr/>
        <w:t>、合并财务报表抵销事项</w:t>
      </w:r>
    </w:p>
    <w:p>
      <w:pPr>
        <w:pStyle w:val="BodyText"/>
        <w:spacing w:line="408" w:lineRule="auto"/>
        <w:ind w:right="1024" w:firstLine="420"/>
        <w:jc w:val="left"/>
      </w:pPr>
      <w:r>
        <w:rPr/>
        <w:t>合并财务报表以母公司和子公司的资产负债表为基础，已抵销了母公司与子公司、子公司相互之间发 生的内部交易。子公司所有者权益中不属于母公司的份额，作为少数股东权益，在合并资产负债表中所有 </w:t>
      </w:r>
      <w:r>
        <w:rPr>
          <w:spacing w:val="-3"/>
        </w:rPr>
        <w:t>者权益项目下以“少数股东权益”项目列示。子公司持有母公司的长期股权投资，视为企业集团的库存股，</w:t>
      </w:r>
      <w:r>
        <w:rPr>
          <w:spacing w:val="-93"/>
        </w:rPr>
        <w:t> </w:t>
      </w:r>
      <w:r>
        <w:rPr>
          <w:spacing w:val="-93"/>
        </w:rPr>
      </w:r>
      <w:r>
        <w:rPr/>
        <w:t>作为所有者权益的减项，在合并资产负债表中所有者权益项目下以“减：库存股”项目列示。</w:t>
      </w:r>
    </w:p>
    <w:p>
      <w:pPr>
        <w:pStyle w:val="BodyText"/>
        <w:spacing w:line="408" w:lineRule="auto"/>
        <w:ind w:left="1553" w:right="712"/>
        <w:jc w:val="left"/>
      </w:pPr>
      <w:r>
        <w:rPr>
          <w:rFonts w:ascii="宋体" w:hAnsi="宋体" w:cs="宋体" w:eastAsia="宋体" w:hint="default"/>
        </w:rPr>
        <w:t>4</w:t>
      </w:r>
      <w:r>
        <w:rPr/>
        <w:t>、合并取得子公司会计处理 对于同一控制下企业合并取得的子公司，视同该企业合并于自最终控制方开始实时控制时已经发生，</w:t>
      </w:r>
    </w:p>
    <w:p>
      <w:pPr>
        <w:pStyle w:val="BodyText"/>
        <w:spacing w:line="408" w:lineRule="auto"/>
        <w:ind w:right="1131"/>
        <w:jc w:val="both"/>
      </w:pPr>
      <w:r>
        <w:rPr>
          <w:spacing w:val="-1"/>
        </w:rPr>
        <w:t>从合并当期的期初起将其资产、负债、经营成果和现金流量纳入合并财务报表；对于非同一控制下企业合</w:t>
      </w:r>
      <w:r>
        <w:rPr>
          <w:spacing w:val="-83"/>
        </w:rPr>
        <w:t> </w:t>
      </w:r>
      <w:r>
        <w:rPr>
          <w:spacing w:val="-83"/>
        </w:rPr>
      </w:r>
      <w:r>
        <w:rPr>
          <w:spacing w:val="-1"/>
        </w:rPr>
        <w:t>并取得的子公司，在编制合并财务报表时，以购买日可辨认净资产公允价值为基础对其个别财务报表进行</w:t>
      </w:r>
      <w:r>
        <w:rPr>
          <w:spacing w:val="-81"/>
        </w:rPr>
        <w:t> </w:t>
      </w:r>
      <w:r>
        <w:rPr>
          <w:spacing w:val="-81"/>
        </w:rPr>
      </w:r>
      <w:r>
        <w:rPr/>
        <w:t>调整。</w:t>
      </w:r>
    </w:p>
    <w:p>
      <w:pPr>
        <w:spacing w:line="240" w:lineRule="auto" w:before="8"/>
        <w:rPr>
          <w:rFonts w:ascii="宋体" w:hAnsi="宋体" w:cs="宋体" w:eastAsia="宋体" w:hint="default"/>
          <w:sz w:val="20"/>
          <w:szCs w:val="20"/>
        </w:rPr>
      </w:pPr>
    </w:p>
    <w:p>
      <w:pPr>
        <w:pStyle w:val="Heading3"/>
        <w:spacing w:line="240" w:lineRule="auto"/>
        <w:ind w:left="1133" w:right="0"/>
        <w:jc w:val="both"/>
        <w:rPr>
          <w:b w:val="0"/>
          <w:bCs w:val="0"/>
        </w:rPr>
      </w:pPr>
      <w:bookmarkStart w:name="7、合营安排分类及共同经营会计处理方法" w:id="161"/>
      <w:bookmarkEnd w:id="16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712"/>
        <w:jc w:val="left"/>
      </w:pPr>
      <w:r>
        <w:rPr>
          <w:rFonts w:ascii="宋体" w:hAnsi="宋体" w:cs="宋体" w:eastAsia="宋体" w:hint="default"/>
        </w:rPr>
        <w:t>1</w:t>
      </w:r>
      <w:r>
        <w:rPr/>
        <w:t>、合营安排的分类 合营安排分为共同经营和合营企业。未通过单独主体达成的合营安排，划分为共同经营。单独主体，</w:t>
      </w:r>
    </w:p>
    <w:p>
      <w:pPr>
        <w:pStyle w:val="BodyText"/>
        <w:spacing w:line="408" w:lineRule="auto"/>
        <w:ind w:right="712"/>
        <w:jc w:val="left"/>
      </w:pPr>
      <w:r>
        <w:rPr/>
        <w:t>是指具有单独可辨认的财务架构的主体，包括单独的法人主体和不具备法人主体资格但法律认可的主体。</w:t>
      </w:r>
      <w:r>
        <w:rPr>
          <w:spacing w:val="-35"/>
        </w:rPr>
        <w:t> </w:t>
      </w:r>
      <w:r>
        <w:rPr>
          <w:spacing w:val="-35"/>
        </w:rPr>
      </w:r>
      <w:r>
        <w:rPr/>
        <w:t>通过单独主体达成的合营安排，通常划分为合营企业。相关事实和情况变化导致合营方在合营安排中享有</w:t>
      </w:r>
      <w:r>
        <w:rPr/>
        <w:t> 的权利和承担的义务发生变化的，合营方对合营安排的分类进行重新评估。</w:t>
      </w:r>
    </w:p>
    <w:p>
      <w:pPr>
        <w:pStyle w:val="BodyText"/>
        <w:spacing w:line="408" w:lineRule="auto"/>
        <w:ind w:left="1553" w:right="1117"/>
        <w:jc w:val="left"/>
      </w:pPr>
      <w:r>
        <w:rPr>
          <w:rFonts w:ascii="宋体" w:hAnsi="宋体" w:cs="宋体" w:eastAsia="宋体" w:hint="default"/>
        </w:rPr>
        <w:t>2</w:t>
      </w:r>
      <w:r>
        <w:rPr/>
        <w:t>、共同经营的会计处理 </w:t>
      </w:r>
      <w:r>
        <w:rPr>
          <w:spacing w:val="-1"/>
        </w:rPr>
        <w:t>共同经营参与方应当确认其与共同经营中利益份额相关的下列项目，并按照相关企业会计准则的规定</w:t>
      </w:r>
    </w:p>
    <w:p>
      <w:pPr>
        <w:pStyle w:val="BodyText"/>
        <w:spacing w:line="408" w:lineRule="auto"/>
        <w:ind w:right="1131"/>
        <w:jc w:val="both"/>
      </w:pPr>
      <w:r>
        <w:rPr>
          <w:spacing w:val="-1"/>
        </w:rPr>
        <w:t>进行会计处理：确认单独所持有的资产或负债，以及按其份额确认共同持有的资产或负债；确认出售其享</w:t>
      </w:r>
      <w:r>
        <w:rPr>
          <w:spacing w:val="-83"/>
        </w:rPr>
        <w:t> </w:t>
      </w:r>
      <w:r>
        <w:rPr>
          <w:spacing w:val="-83"/>
        </w:rPr>
      </w:r>
      <w:r>
        <w:rPr>
          <w:spacing w:val="-1"/>
        </w:rPr>
        <w:t>有的共同经营产出份额所产生的收入；按其份额确认共同经营因出售产出所产生的收入；确认单独所发生</w:t>
      </w:r>
      <w:r>
        <w:rPr>
          <w:spacing w:val="-81"/>
        </w:rPr>
        <w:t> </w:t>
      </w:r>
      <w:r>
        <w:rPr>
          <w:spacing w:val="-81"/>
        </w:rPr>
      </w:r>
      <w:r>
        <w:rPr/>
        <w:t>的费用，以及按其份额确认共同经营发生的费用。</w:t>
      </w:r>
    </w:p>
    <w:p>
      <w:pPr>
        <w:pStyle w:val="BodyText"/>
        <w:spacing w:line="408" w:lineRule="auto"/>
        <w:ind w:left="1134" w:right="712" w:firstLine="420"/>
        <w:jc w:val="left"/>
      </w:pPr>
      <w:r>
        <w:rPr/>
        <w:t>对共同经营不享有共同控制的参与方，如果享有该共同经营相关资产且承担该共同经营相关负债的， 参照共同经营参与方的规定进行会计处理；否则，应当按照相关企业会计准则的规定进行会计处理。</w:t>
      </w:r>
    </w:p>
    <w:p>
      <w:pPr>
        <w:pStyle w:val="BodyText"/>
        <w:spacing w:line="408" w:lineRule="auto"/>
        <w:ind w:left="1553" w:right="1117"/>
        <w:jc w:val="left"/>
      </w:pPr>
      <w:r>
        <w:rPr>
          <w:rFonts w:ascii="宋体" w:hAnsi="宋体" w:cs="宋体" w:eastAsia="宋体" w:hint="default"/>
        </w:rPr>
        <w:t>3</w:t>
      </w:r>
      <w:r>
        <w:rPr/>
        <w:t>、合营企业的会计处理 合营企业参与方应当按照《</w:t>
      </w:r>
      <w:hyperlink r:id="rId27">
        <w:r>
          <w:rPr/>
          <w:t>企业会计准则第</w:t>
        </w:r>
        <w:r>
          <w:rPr>
            <w:rFonts w:ascii="宋体" w:hAnsi="宋体" w:cs="宋体" w:eastAsia="宋体" w:hint="default"/>
          </w:rPr>
          <w:t>2</w:t>
        </w:r>
        <w:r>
          <w:rPr/>
          <w:t>号—长期股权投资</w:t>
        </w:r>
      </w:hyperlink>
      <w:r>
        <w:rPr/>
        <w:t>》的规定对合营企业的投资进行会计</w:t>
      </w:r>
    </w:p>
    <w:p>
      <w:pPr>
        <w:pStyle w:val="BodyText"/>
        <w:spacing w:line="240" w:lineRule="auto"/>
        <w:ind w:left="1134" w:right="0"/>
        <w:jc w:val="both"/>
      </w:pPr>
      <w:r>
        <w:rPr/>
        <w:t>处理，不享有共同控制的参与方应当根据其对该合营企业的影响程度进行会计处理。</w:t>
      </w:r>
    </w:p>
    <w:p>
      <w:pPr>
        <w:spacing w:after="0" w:line="240"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8、现金及现金等价物的确定标准" w:id="162"/>
      <w:bookmarkEnd w:id="16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本公司在编制现金流量表时所确定的现金，是指本公司库存现金以及可以随时用于支付的存款。在编</w:t>
      </w:r>
      <w:r>
        <w:rPr/>
        <w:t> </w:t>
      </w:r>
      <w:r>
        <w:rPr>
          <w:spacing w:val="-1"/>
        </w:rPr>
        <w:t>制现金流量表时所确定的现金等价物，是指持有的期限短、流动性强、易于转换为已知金额现金、价值变</w:t>
      </w:r>
      <w:r>
        <w:rPr>
          <w:spacing w:val="-86"/>
        </w:rPr>
        <w:t> </w:t>
      </w:r>
      <w:r>
        <w:rPr>
          <w:spacing w:val="-86"/>
        </w:rPr>
      </w:r>
      <w:r>
        <w:rPr/>
        <w:t>动风险很小的投资。</w:t>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9、外币业务和外币报表折算" w:id="163"/>
      <w:bookmarkEnd w:id="16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1117"/>
        <w:jc w:val="left"/>
      </w:pPr>
      <w:r>
        <w:rPr>
          <w:rFonts w:ascii="宋体" w:hAnsi="宋体" w:cs="宋体" w:eastAsia="宋体" w:hint="default"/>
        </w:rPr>
        <w:t>1</w:t>
      </w:r>
      <w:r>
        <w:rPr/>
        <w:t>、外币业务折算 </w:t>
      </w:r>
      <w:r>
        <w:rPr>
          <w:spacing w:val="-1"/>
        </w:rPr>
        <w:t>本公司对发生的外币交易，采用与交易发生日的即期汇率折合本位币入账。资产负债表日外币货币性</w:t>
      </w:r>
    </w:p>
    <w:p>
      <w:pPr>
        <w:pStyle w:val="BodyText"/>
        <w:spacing w:line="408" w:lineRule="auto"/>
        <w:ind w:right="712"/>
        <w:jc w:val="left"/>
      </w:pPr>
      <w:r>
        <w:rPr/>
        <w:t>项目按资产负债表日即期汇率折算，因该日的即期汇率与初始确认时或者前一资产负债表日即期汇率不同 而产生的汇兑差额，除符合资本化条件的外币专门借款的汇兑差额在资本化期间予以资本化计入相关资产 的成本外，均计入当期损益。以历史成本计量的外币非货币性项目，仍采用交易发生日的即期汇率折算，</w:t>
      </w:r>
      <w:r>
        <w:rPr>
          <w:spacing w:val="-35"/>
        </w:rPr>
        <w:t> </w:t>
      </w:r>
      <w:r>
        <w:rPr>
          <w:spacing w:val="-35"/>
        </w:rPr>
      </w:r>
      <w:r>
        <w:rPr/>
        <w:t>不改变其记账本位币金额。以公允价值计量的外币非货币性项目，采用公允价值确定日的即期汇率折算，</w:t>
      </w:r>
      <w:r>
        <w:rPr>
          <w:spacing w:val="-35"/>
        </w:rPr>
        <w:t> </w:t>
      </w:r>
      <w:r>
        <w:rPr>
          <w:spacing w:val="-35"/>
        </w:rPr>
      </w:r>
      <w:r>
        <w:rPr/>
        <w:t>折算后的记账本位币金额与原记账本位币金额的差额，作为公允价值变动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 益或确认为其他综合收益。</w:t>
      </w:r>
    </w:p>
    <w:p>
      <w:pPr>
        <w:pStyle w:val="BodyText"/>
        <w:spacing w:line="408" w:lineRule="auto"/>
        <w:ind w:left="1553" w:right="1117"/>
        <w:jc w:val="left"/>
      </w:pPr>
      <w:r>
        <w:rPr>
          <w:rFonts w:ascii="宋体" w:hAnsi="宋体" w:cs="宋体" w:eastAsia="宋体" w:hint="default"/>
        </w:rPr>
        <w:t>2</w:t>
      </w:r>
      <w:r>
        <w:rPr/>
        <w:t>、外币财务报表折算 </w:t>
      </w:r>
      <w:r>
        <w:rPr>
          <w:spacing w:val="-1"/>
        </w:rPr>
        <w:t>本公司的控股子公司、合营企业、联营企业等，若采用与本公司不同的记账本位币，需对其外币财务</w:t>
      </w:r>
    </w:p>
    <w:p>
      <w:pPr>
        <w:pStyle w:val="BodyText"/>
        <w:spacing w:line="408" w:lineRule="auto"/>
        <w:ind w:right="1131"/>
        <w:jc w:val="both"/>
      </w:pPr>
      <w:r>
        <w:rPr>
          <w:spacing w:val="-1"/>
        </w:rPr>
        <w:t>报表折算后，再进行会计核算及合并财务报表的编报。资产负债表中的资产和负债项目，采用资产负债表</w:t>
      </w:r>
      <w:r>
        <w:rPr>
          <w:spacing w:val="-83"/>
        </w:rPr>
        <w:t> </w:t>
      </w:r>
      <w:r>
        <w:rPr>
          <w:spacing w:val="-83"/>
        </w:rPr>
      </w:r>
      <w:r>
        <w:rPr>
          <w:spacing w:val="-1"/>
        </w:rPr>
        <w:t>日的即期汇率折算，所有者权益项目除“未分配利润”项目外，其他项目采用发生时的即期汇率折算。利</w:t>
      </w:r>
      <w:r>
        <w:rPr>
          <w:spacing w:val="-84"/>
        </w:rPr>
        <w:t> </w:t>
      </w:r>
      <w:r>
        <w:rPr>
          <w:spacing w:val="-84"/>
        </w:rPr>
      </w:r>
      <w:r>
        <w:rPr>
          <w:spacing w:val="-1"/>
        </w:rPr>
        <w:t>润表中的收入和费用项目，采用交易发生日的即期汇率折算。折算产生的外币财务报表折算差额，在资产</w:t>
      </w:r>
      <w:r>
        <w:rPr>
          <w:spacing w:val="-83"/>
        </w:rPr>
        <w:t> </w:t>
      </w:r>
      <w:r>
        <w:rPr>
          <w:spacing w:val="-83"/>
        </w:rPr>
      </w:r>
      <w:r>
        <w:rPr>
          <w:spacing w:val="-1"/>
        </w:rPr>
        <w:t>负债表中所有者权益项目其他综合收益下列示。外币现金流量按照系统合理方法确定的，采用交易发生日</w:t>
      </w:r>
      <w:r>
        <w:rPr>
          <w:spacing w:val="-81"/>
        </w:rPr>
        <w:t> </w:t>
      </w:r>
      <w:r>
        <w:rPr>
          <w:spacing w:val="-81"/>
        </w:rPr>
      </w:r>
      <w:r>
        <w:rPr>
          <w:spacing w:val="-1"/>
        </w:rPr>
        <w:t>的即期汇率折算。汇率变动对现金的影响额，在现金流量表中单独列示。处置境外经营时，与该境外经营</w:t>
      </w:r>
      <w:r>
        <w:rPr>
          <w:spacing w:val="-86"/>
        </w:rPr>
        <w:t> </w:t>
      </w:r>
      <w:r>
        <w:rPr>
          <w:spacing w:val="-86"/>
        </w:rPr>
      </w:r>
      <w:r>
        <w:rPr/>
        <w:t>有关的外币报表折算差额，全部或按处置该境外经营的比例转入处置当期损益。</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10、金融工具" w:id="164"/>
      <w:bookmarkEnd w:id="16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1117"/>
        <w:jc w:val="left"/>
      </w:pPr>
      <w:r>
        <w:rPr>
          <w:rFonts w:ascii="宋体" w:hAnsi="宋体" w:cs="宋体" w:eastAsia="宋体" w:hint="default"/>
        </w:rPr>
        <w:t>1</w:t>
      </w:r>
      <w:r>
        <w:rPr/>
        <w:t>、金融工具的分类及确认 </w:t>
      </w:r>
      <w:r>
        <w:rPr>
          <w:spacing w:val="-1"/>
        </w:rPr>
        <w:t>金融工具划分为金融资产或金融负债和权益工具。本公司成为金融工具合同的一方时，确认为一项金</w:t>
      </w:r>
    </w:p>
    <w:p>
      <w:pPr>
        <w:pStyle w:val="BodyText"/>
        <w:spacing w:line="408" w:lineRule="auto"/>
        <w:ind w:left="1554" w:right="1017" w:hanging="420"/>
        <w:jc w:val="left"/>
      </w:pPr>
      <w:r>
        <w:rPr/>
        <w:t>融资产或金融负债，或权益工具。 </w:t>
      </w:r>
      <w:r>
        <w:rPr>
          <w:spacing w:val="-3"/>
        </w:rPr>
        <w:t>金融资产于初始确认时分类为：以公允价值计量且其变动计入当期损益的金融资产、持有至到期投资、</w:t>
      </w:r>
    </w:p>
    <w:p>
      <w:pPr>
        <w:pStyle w:val="BodyText"/>
        <w:spacing w:line="240" w:lineRule="auto"/>
        <w:ind w:left="1134" w:right="712"/>
        <w:jc w:val="left"/>
      </w:pPr>
      <w:r>
        <w:rPr/>
        <w:t>应收款项、可供出售金融资产。除应收款项以外的金融资产的分类取决于本公司及其子公司对金融资产的</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1131"/>
        <w:jc w:val="both"/>
      </w:pPr>
      <w:r>
        <w:rPr>
          <w:spacing w:val="-1"/>
        </w:rPr>
        <w:t>持有意图和持有能力等。金融负债于初始确认时分类为：以公允价值计量且其变动计入当期损益的金融负</w:t>
      </w:r>
      <w:r>
        <w:rPr>
          <w:spacing w:val="-81"/>
        </w:rPr>
        <w:t> </w:t>
      </w:r>
      <w:r>
        <w:rPr>
          <w:spacing w:val="-81"/>
        </w:rPr>
      </w:r>
      <w:r>
        <w:rPr/>
        <w:t>债以及其他金融负债。</w:t>
      </w:r>
    </w:p>
    <w:p>
      <w:pPr>
        <w:pStyle w:val="BodyText"/>
        <w:spacing w:line="408" w:lineRule="auto"/>
        <w:ind w:left="1134" w:right="1130" w:firstLine="420"/>
        <w:jc w:val="both"/>
      </w:pPr>
      <w:r>
        <w:rPr>
          <w:spacing w:val="3"/>
        </w:rPr>
        <w:t>以公允价值计量且其变动计入当期损益的金融资产包括持有目的为短期内出售的交易性金融资产和</w:t>
      </w:r>
      <w:r>
        <w:rPr/>
        <w:t> </w:t>
      </w:r>
      <w:r>
        <w:rPr>
          <w:spacing w:val="-1"/>
        </w:rPr>
        <w:t>初始确认时指定为以公允价值计量且其变动计入当期损益的金融资产；应收款项是指在活跃市场中没有报</w:t>
      </w:r>
      <w:r>
        <w:rPr>
          <w:spacing w:val="-80"/>
        </w:rPr>
        <w:t> </w:t>
      </w:r>
      <w:r>
        <w:rPr>
          <w:spacing w:val="-80"/>
        </w:rPr>
      </w:r>
      <w:r>
        <w:rPr>
          <w:spacing w:val="-1"/>
        </w:rPr>
        <w:t>价、回收金额固定或可确定的非衍生金融资产；可供出售金融资产包括初始确认时即被指定为可供出售的</w:t>
      </w:r>
      <w:r>
        <w:rPr>
          <w:spacing w:val="-81"/>
        </w:rPr>
        <w:t> </w:t>
      </w:r>
      <w:r>
        <w:rPr>
          <w:spacing w:val="-81"/>
        </w:rPr>
      </w:r>
      <w:r>
        <w:rPr>
          <w:spacing w:val="-1"/>
        </w:rPr>
        <w:t>非衍生金融资产及未被划分为其他类的金融资产；持有至到期投资是指到期日固定、回收金额固定或可确</w:t>
      </w:r>
      <w:r>
        <w:rPr>
          <w:spacing w:val="-81"/>
        </w:rPr>
        <w:t> </w:t>
      </w:r>
      <w:r>
        <w:rPr>
          <w:spacing w:val="-81"/>
        </w:rPr>
      </w:r>
      <w:r>
        <w:rPr/>
        <w:t>定，且管理层有明确意图和能力持有至到期的非衍生金融资产。</w:t>
      </w:r>
    </w:p>
    <w:p>
      <w:pPr>
        <w:pStyle w:val="BodyText"/>
        <w:spacing w:line="408" w:lineRule="auto"/>
        <w:ind w:left="1554" w:right="1117"/>
        <w:jc w:val="left"/>
      </w:pPr>
      <w:r>
        <w:rPr>
          <w:rFonts w:ascii="宋体" w:hAnsi="宋体" w:cs="宋体" w:eastAsia="宋体" w:hint="default"/>
        </w:rPr>
        <w:t>2</w:t>
      </w:r>
      <w:r>
        <w:rPr/>
        <w:t>、金融工具的计量 </w:t>
      </w:r>
      <w:r>
        <w:rPr>
          <w:spacing w:val="-1"/>
        </w:rPr>
        <w:t>本公司金融工具始确认按公允价值计量。后续计量分类为：以公允价值计量且其变动计入当期损益的</w:t>
      </w:r>
    </w:p>
    <w:p>
      <w:pPr>
        <w:pStyle w:val="BodyText"/>
        <w:spacing w:line="408" w:lineRule="auto"/>
        <w:ind w:left="1134" w:right="1131"/>
        <w:jc w:val="both"/>
      </w:pPr>
      <w:r>
        <w:rPr>
          <w:spacing w:val="-1"/>
        </w:rPr>
        <w:t>金融资产、可供出售金融资产及以公允价值计量且其变动计入当期损益的金融负债按公允价值计量；持有</w:t>
      </w:r>
      <w:r>
        <w:rPr>
          <w:spacing w:val="-81"/>
        </w:rPr>
        <w:t> </w:t>
      </w:r>
      <w:r>
        <w:rPr>
          <w:spacing w:val="-81"/>
        </w:rPr>
      </w:r>
      <w:r>
        <w:rPr>
          <w:spacing w:val="-1"/>
        </w:rPr>
        <w:t>到期投资、贷款和应收款项以及其他金融负债按摊余成本计量；在活跃市场中没有报价且其公允价值不能</w:t>
      </w:r>
      <w:r>
        <w:rPr>
          <w:spacing w:val="-81"/>
        </w:rPr>
        <w:t> </w:t>
      </w:r>
      <w:r>
        <w:rPr>
          <w:spacing w:val="-81"/>
        </w:rPr>
      </w:r>
      <w:r>
        <w:rPr>
          <w:spacing w:val="-1"/>
        </w:rPr>
        <w:t>可靠计量的权益工具投资，以及与该权益工具挂钩并须通过交付该权益工具结算的衍生金融资产或者衍生</w:t>
      </w:r>
      <w:r>
        <w:rPr>
          <w:spacing w:val="-81"/>
        </w:rPr>
        <w:t> </w:t>
      </w:r>
      <w:r>
        <w:rPr>
          <w:spacing w:val="-81"/>
        </w:rPr>
      </w:r>
      <w:r>
        <w:rPr>
          <w:spacing w:val="-1"/>
        </w:rPr>
        <w:t>金融负债，按照成本计量。本公司金融资产或金融负债后续计量中公允价值变动形成的利得或损失，除与</w:t>
      </w:r>
      <w:r>
        <w:rPr>
          <w:spacing w:val="-83"/>
        </w:rPr>
        <w:t> </w:t>
      </w:r>
      <w:r>
        <w:rPr>
          <w:spacing w:val="-83"/>
        </w:rPr>
      </w:r>
      <w:r>
        <w:rPr>
          <w:spacing w:val="-1"/>
        </w:rPr>
        <w:t>套期保值有关外，按照如下方法处理：①以公允价值计量且其变动计入当期损益的金融资产或金融负债公</w:t>
      </w:r>
      <w:r>
        <w:rPr>
          <w:spacing w:val="-81"/>
        </w:rPr>
        <w:t> </w:t>
      </w:r>
      <w:r>
        <w:rPr>
          <w:spacing w:val="-81"/>
        </w:rPr>
      </w:r>
      <w:r>
        <w:rPr>
          <w:spacing w:val="-1"/>
        </w:rPr>
        <w:t>允价值变动形成的利得或损失，计入公允价值变动损益。②可供出售金融资产的公允价值变动计入其他综</w:t>
      </w:r>
      <w:r>
        <w:rPr>
          <w:spacing w:val="-81"/>
        </w:rPr>
        <w:t> </w:t>
      </w:r>
      <w:r>
        <w:rPr>
          <w:spacing w:val="-81"/>
        </w:rPr>
      </w:r>
      <w:r>
        <w:rPr/>
        <w:t>合收益。</w:t>
      </w:r>
    </w:p>
    <w:p>
      <w:pPr>
        <w:pStyle w:val="BodyText"/>
        <w:spacing w:line="408" w:lineRule="auto"/>
        <w:ind w:left="1554" w:right="712"/>
        <w:jc w:val="left"/>
      </w:pPr>
      <w:r>
        <w:rPr>
          <w:rFonts w:ascii="宋体" w:hAnsi="宋体" w:cs="宋体" w:eastAsia="宋体" w:hint="default"/>
        </w:rPr>
        <w:t>3</w:t>
      </w:r>
      <w:r>
        <w:rPr/>
        <w:t>、本公司对金融工具的公允价值的确认方法 如存在活跃市场的金融工具，以活跃市场中的报价确定其公允价值；如不存在活跃市场的金融工具，</w:t>
      </w:r>
    </w:p>
    <w:p>
      <w:pPr>
        <w:pStyle w:val="BodyText"/>
        <w:spacing w:line="408" w:lineRule="auto"/>
        <w:ind w:left="1554" w:right="1117" w:hanging="420"/>
        <w:jc w:val="left"/>
      </w:pPr>
      <w:r>
        <w:rPr/>
        <w:t>采用估值技术确定其公允价值。估值技术主要包括市场法、收益法和成本法。 </w:t>
      </w:r>
      <w:r>
        <w:rPr>
          <w:rFonts w:ascii="宋体" w:hAnsi="宋体" w:cs="宋体" w:eastAsia="宋体" w:hint="default"/>
        </w:rPr>
        <w:t>4</w:t>
      </w:r>
      <w:r>
        <w:rPr/>
        <w:t>、金融资产负债转移的确认依据和计量方法 </w:t>
      </w:r>
      <w:r>
        <w:rPr>
          <w:spacing w:val="-1"/>
        </w:rPr>
        <w:t>金融资产所有权上几乎所有的风险和报酬转移时，或既没有转移也没有保留金融资产所有权上几乎所</w:t>
      </w:r>
    </w:p>
    <w:p>
      <w:pPr>
        <w:pStyle w:val="BodyText"/>
        <w:spacing w:line="408" w:lineRule="auto"/>
        <w:ind w:left="1134" w:right="1130"/>
        <w:jc w:val="both"/>
      </w:pPr>
      <w:r>
        <w:rPr>
          <w:spacing w:val="-1"/>
        </w:rPr>
        <w:t>有的风险和报酬，但放弃了对该金融资产控制的，应当终止确认该项金融资产。金融资产满足终止确认条</w:t>
      </w:r>
      <w:r>
        <w:rPr>
          <w:spacing w:val="-83"/>
        </w:rPr>
        <w:t> </w:t>
      </w:r>
      <w:r>
        <w:rPr>
          <w:spacing w:val="-83"/>
        </w:rPr>
      </w:r>
      <w:r>
        <w:rPr>
          <w:spacing w:val="-1"/>
        </w:rPr>
        <w:t>件的，将所转移金融资产的账面价值与因转移而收到的对价和原直接计入其他综合收益的公允价值变动累</w:t>
      </w:r>
      <w:r>
        <w:rPr>
          <w:spacing w:val="-81"/>
        </w:rPr>
        <w:t> </w:t>
      </w:r>
      <w:r>
        <w:rPr>
          <w:spacing w:val="-81"/>
        </w:rPr>
      </w:r>
      <w:r>
        <w:rPr>
          <w:spacing w:val="-5"/>
        </w:rPr>
        <w:t>计额之和的差额部分，计入当期损益。部分转移满足终止确认条件的，将所转移金融资产整体的账面价值，</w:t>
      </w:r>
      <w:r>
        <w:rPr>
          <w:spacing w:val="-101"/>
        </w:rPr>
        <w:t> </w:t>
      </w:r>
      <w:r>
        <w:rPr>
          <w:spacing w:val="-101"/>
        </w:rPr>
      </w:r>
      <w:r>
        <w:rPr/>
        <w:t>在终止确认部分和未终止确认部分之间，按照各自的相对公允价值进行分摊。</w:t>
      </w:r>
    </w:p>
    <w:p>
      <w:pPr>
        <w:pStyle w:val="BodyText"/>
        <w:spacing w:line="408" w:lineRule="auto"/>
        <w:ind w:left="1554" w:right="1117"/>
        <w:jc w:val="left"/>
      </w:pPr>
      <w:r>
        <w:rPr/>
        <w:t>金融负债的现时义务全部或部分已经解除的，则应终止确认该金融负债或其一部分。 </w:t>
      </w:r>
      <w:r>
        <w:rPr>
          <w:rFonts w:ascii="宋体" w:hAnsi="宋体" w:cs="宋体" w:eastAsia="宋体" w:hint="default"/>
        </w:rPr>
        <w:t>5</w:t>
      </w:r>
      <w:r>
        <w:rPr/>
        <w:t>、金融资产减值 </w:t>
      </w: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p>
    <w:p>
      <w:pPr>
        <w:pStyle w:val="BodyText"/>
        <w:spacing w:line="408" w:lineRule="auto"/>
        <w:ind w:right="1131"/>
        <w:jc w:val="both"/>
      </w:pP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1132" w:firstLine="420"/>
        <w:jc w:val="both"/>
      </w:pPr>
      <w:r>
        <w:rPr>
          <w:spacing w:val="-1"/>
        </w:rPr>
        <w:t>以成本计量的金融资产发生减值时，以账面价值与按照类似金融资产当时市场收益率对未来现金流量</w:t>
      </w:r>
      <w:r>
        <w:rPr/>
        <w:t> 折现确定的现值之间的差额，计提减值准备。发生的减值损失，一经确认，不再转回。</w:t>
      </w:r>
    </w:p>
    <w:p>
      <w:pPr>
        <w:pStyle w:val="BodyText"/>
        <w:spacing w:line="408" w:lineRule="auto"/>
        <w:ind w:right="1131" w:firstLine="420"/>
        <w:jc w:val="both"/>
      </w:pPr>
      <w:r>
        <w:rPr>
          <w:spacing w:val="-1"/>
        </w:rPr>
        <w:t>当有客观证据表明可供出售金融资产发生减值时，原直接计入股东权益的因公允价值下降形成的累计</w:t>
      </w:r>
      <w:r>
        <w:rPr/>
        <w:t> </w:t>
      </w:r>
      <w:r>
        <w:rPr>
          <w:spacing w:val="-1"/>
        </w:rPr>
        <w:t>损失予以转出并计入减值损失。对已确认减值损失的可供出售债务工具投资，在期后公允价值上升且客观</w:t>
      </w:r>
      <w:r>
        <w:rPr>
          <w:spacing w:val="-81"/>
        </w:rPr>
        <w:t> </w:t>
      </w:r>
      <w:r>
        <w:rPr>
          <w:spacing w:val="-81"/>
        </w:rPr>
      </w:r>
      <w:r>
        <w:rPr>
          <w:spacing w:val="-1"/>
        </w:rPr>
        <w:t>上与确认原减值损失后发生的事项有关的，原确认的减值损失予以转回并计入当期损益。对已确认减值损</w:t>
      </w:r>
      <w:r>
        <w:rPr>
          <w:spacing w:val="-81"/>
        </w:rPr>
        <w:t> </w:t>
      </w:r>
      <w:r>
        <w:rPr>
          <w:spacing w:val="-81"/>
        </w:rPr>
      </w:r>
      <w:r>
        <w:rPr/>
        <w:t>失的可供出售权益工具投资，期后公允价值上升直接计入股东权益。</w:t>
      </w:r>
    </w:p>
    <w:p>
      <w:pPr>
        <w:pStyle w:val="BodyText"/>
        <w:spacing w:line="408" w:lineRule="auto"/>
        <w:ind w:right="1130" w:firstLine="420"/>
        <w:jc w:val="both"/>
      </w:pPr>
      <w:r>
        <w:rPr>
          <w:spacing w:val="-1"/>
        </w:rPr>
        <w:t>对于权益工具投资，本公司判断其公允价值发生“严重”或“非暂时性”下跌的具体量化标准、成本</w:t>
      </w:r>
      <w:r>
        <w:rPr/>
        <w:t> 的计算方法、期末公允价值的确定方法，以及持续下跌期间的确定依据为：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44"/>
        <w:ind w:left="0" w:right="1042" w:firstLine="0"/>
        <w:jc w:val="right"/>
        <w:rPr>
          <w:rFonts w:ascii="宋体" w:hAnsi="宋体" w:cs="宋体" w:eastAsia="宋体" w:hint="default"/>
          <w:sz w:val="18"/>
          <w:szCs w:val="18"/>
        </w:rPr>
      </w:pPr>
      <w:r>
        <w:rPr/>
        <w:pict>
          <v:shape style="position:absolute;margin-left:55.860001pt;margin-top:-65.948273pt;width:484.05pt;height:151.1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6"/>
                    <w:gridCol w:w="5142"/>
                  </w:tblGrid>
                  <w:tr>
                    <w:trPr>
                      <w:trHeight w:val="505" w:hRule="exact"/>
                    </w:trPr>
                    <w:tc>
                      <w:tcPr>
                        <w:tcW w:w="4516"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142"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99"/>
                          <w:ind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508" w:hRule="exact"/>
                    </w:trPr>
                    <w:tc>
                      <w:tcPr>
                        <w:tcW w:w="451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142"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99"/>
                          <w:ind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665" w:hRule="exact"/>
                    </w:trPr>
                    <w:tc>
                      <w:tcPr>
                        <w:tcW w:w="451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142" w:type="dxa"/>
                        <w:tcBorders>
                          <w:top w:val="single" w:sz="8" w:space="0" w:color="000000"/>
                          <w:left w:val="single" w:sz="8" w:space="0" w:color="000000"/>
                          <w:bottom w:val="single" w:sz="8" w:space="0" w:color="000000"/>
                          <w:right w:val="single" w:sz="6" w:space="0" w:color="000000"/>
                        </w:tcBorders>
                      </w:tcPr>
                      <w:p>
                        <w:pPr>
                          <w:pStyle w:val="TableParagraph"/>
                          <w:spacing w:line="316" w:lineRule="auto" w:before="21"/>
                          <w:ind w:right="6"/>
                          <w:jc w:val="left"/>
                          <w:rPr>
                            <w:rFonts w:ascii="宋体" w:hAnsi="宋体" w:cs="宋体" w:eastAsia="宋体" w:hint="default"/>
                            <w:sz w:val="18"/>
                            <w:szCs w:val="18"/>
                          </w:rPr>
                        </w:pPr>
                        <w:r>
                          <w:rPr>
                            <w:rFonts w:ascii="宋体" w:hAnsi="宋体" w:cs="宋体" w:eastAsia="宋体" w:hint="default"/>
                            <w:spacing w:val="2"/>
                            <w:sz w:val="18"/>
                            <w:szCs w:val="18"/>
                          </w:rPr>
                          <w:t>取得时按支付对价（扣除已宣告但尚未发放的现金股利或已到付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息期但尚未领取的债券利息）和相关交易费用之和作为投资成本</w:t>
                        </w:r>
                      </w:p>
                    </w:tc>
                  </w:tr>
                  <w:tr>
                    <w:trPr>
                      <w:trHeight w:val="664" w:hRule="exact"/>
                    </w:trPr>
                    <w:tc>
                      <w:tcPr>
                        <w:tcW w:w="451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142" w:type="dxa"/>
                        <w:tcBorders>
                          <w:top w:val="single" w:sz="8" w:space="0" w:color="000000"/>
                          <w:left w:val="single" w:sz="8" w:space="0" w:color="000000"/>
                          <w:bottom w:val="single" w:sz="8" w:space="0" w:color="000000"/>
                          <w:right w:val="single" w:sz="6" w:space="0" w:color="000000"/>
                        </w:tcBorders>
                      </w:tcPr>
                      <w:p>
                        <w:pPr>
                          <w:pStyle w:val="TableParagraph"/>
                          <w:spacing w:line="316" w:lineRule="auto" w:before="21"/>
                          <w:ind w:right="83"/>
                          <w:jc w:val="left"/>
                          <w:rPr>
                            <w:rFonts w:ascii="宋体" w:hAnsi="宋体" w:cs="宋体" w:eastAsia="宋体" w:hint="default"/>
                            <w:sz w:val="18"/>
                            <w:szCs w:val="18"/>
                          </w:rPr>
                        </w:pPr>
                        <w:r>
                          <w:rPr>
                            <w:rFonts w:ascii="宋体" w:hAnsi="宋体" w:cs="宋体" w:eastAsia="宋体" w:hint="default"/>
                            <w:sz w:val="18"/>
                            <w:szCs w:val="18"/>
                          </w:rPr>
                          <w:t>存在活跃市场的金融工具，以活跃市场中的报价确定其公允价值 如不存在活跃市场的金融工具，采用估值技术确定其公允价值。</w:t>
                        </w:r>
                      </w:p>
                    </w:tc>
                  </w:tr>
                  <w:tr>
                    <w:trPr>
                      <w:trHeight w:val="665" w:hRule="exact"/>
                    </w:trPr>
                    <w:tc>
                      <w:tcPr>
                        <w:tcW w:w="451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142" w:type="dxa"/>
                        <w:tcBorders>
                          <w:top w:val="single" w:sz="8" w:space="0" w:color="000000"/>
                          <w:left w:val="single" w:sz="8" w:space="0" w:color="000000"/>
                          <w:bottom w:val="single" w:sz="8" w:space="0" w:color="000000"/>
                          <w:right w:val="single" w:sz="6"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z w:val="18"/>
                            <w:szCs w:val="18"/>
                          </w:rPr>
                          <w:t>20%</w:t>
                        </w:r>
                        <w:r>
                          <w:rPr>
                            <w:rFonts w:ascii="宋体" w:hAnsi="宋体" w:cs="宋体" w:eastAsia="宋体" w:hint="default"/>
                            <w:sz w:val="18"/>
                            <w:szCs w:val="18"/>
                          </w:rPr>
                          <w:t>，反弹持续 时间未超过</w:t>
                        </w:r>
                        <w:r>
                          <w:rPr>
                            <w:rFonts w:ascii="宋体" w:hAnsi="宋体" w:cs="宋体" w:eastAsia="宋体" w:hint="default"/>
                            <w:sz w:val="18"/>
                            <w:szCs w:val="18"/>
                          </w:rPr>
                          <w:t>6</w:t>
                        </w:r>
                        <w:r>
                          <w:rPr>
                            <w:rFonts w:ascii="宋体" w:hAnsi="宋体" w:cs="宋体" w:eastAsia="宋体" w:hint="default"/>
                            <w:sz w:val="18"/>
                            <w:szCs w:val="18"/>
                          </w:rPr>
                          <w:t>个月的均作为持续下跌期间。</w:t>
                        </w:r>
                      </w:p>
                    </w:tc>
                  </w:tr>
                </w:tbl>
                <w:p>
                  <w:pPr/>
                </w:p>
              </w:txbxContent>
            </v:textbox>
            <w10:wrap type="none"/>
          </v:shape>
        </w:pict>
      </w:r>
      <w:r>
        <w:rPr>
          <w:rFonts w:ascii="宋体" w:hAnsi="宋体" w:cs="宋体" w:eastAsia="宋体" w:hint="default"/>
          <w:sz w:val="18"/>
          <w:szCs w:val="18"/>
        </w:rPr>
        <w:t>。</w:t>
      </w:r>
    </w:p>
    <w:p>
      <w:pPr>
        <w:spacing w:before="117"/>
        <w:ind w:left="0" w:right="10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240" w:lineRule="auto" w:before="35"/>
        <w:ind w:right="1117"/>
        <w:jc w:val="left"/>
        <w:rPr>
          <w:b w:val="0"/>
          <w:bCs w:val="0"/>
        </w:rPr>
      </w:pPr>
      <w:bookmarkStart w:name="11、应收款项" w:id="165"/>
      <w:bookmarkEnd w:id="16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单项金额重大并单独计提坏账准备的应收款项" w:id="166"/>
      <w:bookmarkEnd w:id="1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4848"/>
        <w:gridCol w:w="4847"/>
      </w:tblGrid>
      <w:tr>
        <w:trPr>
          <w:trHeight w:val="635"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应收款项账面余额在</w:t>
            </w:r>
            <w:r>
              <w:rPr>
                <w:rFonts w:ascii="宋体" w:hAnsi="宋体" w:cs="宋体" w:eastAsia="宋体" w:hint="default"/>
                <w:spacing w:val="-53"/>
                <w:sz w:val="18"/>
                <w:szCs w:val="18"/>
              </w:rPr>
              <w:t> </w:t>
            </w:r>
            <w:r>
              <w:rPr>
                <w:rFonts w:ascii="宋体" w:hAnsi="宋体" w:cs="宋体" w:eastAsia="宋体" w:hint="default"/>
                <w:sz w:val="18"/>
                <w:szCs w:val="18"/>
              </w:rPr>
              <w:t>100.00</w:t>
            </w:r>
            <w:r>
              <w:rPr>
                <w:rFonts w:ascii="宋体" w:hAnsi="宋体" w:cs="宋体" w:eastAsia="宋体" w:hint="default"/>
                <w:spacing w:val="-53"/>
                <w:sz w:val="18"/>
                <w:szCs w:val="18"/>
              </w:rPr>
              <w:t> </w:t>
            </w:r>
            <w:r>
              <w:rPr>
                <w:rFonts w:ascii="宋体" w:hAnsi="宋体" w:cs="宋体" w:eastAsia="宋体" w:hint="default"/>
                <w:sz w:val="18"/>
                <w:szCs w:val="18"/>
              </w:rPr>
              <w:t>万以上且占应收款项账面余额</w:t>
            </w:r>
            <w:r>
              <w:rPr>
                <w:rFonts w:ascii="宋体" w:hAnsi="宋体" w:cs="宋体" w:eastAsia="宋体" w:hint="default"/>
                <w:spacing w:val="-53"/>
                <w:sz w:val="18"/>
                <w:szCs w:val="18"/>
              </w:rPr>
              <w:t> </w:t>
            </w:r>
            <w:r>
              <w:rPr>
                <w:rFonts w:ascii="宋体" w:hAnsi="宋体" w:cs="宋体" w:eastAsia="宋体" w:hint="default"/>
                <w:sz w:val="18"/>
                <w:szCs w:val="18"/>
              </w:rPr>
              <w:t>5% </w:t>
            </w:r>
            <w:r>
              <w:rPr>
                <w:rFonts w:ascii="宋体" w:hAnsi="宋体" w:cs="宋体" w:eastAsia="宋体" w:hint="default"/>
                <w:sz w:val="18"/>
                <w:szCs w:val="18"/>
              </w:rPr>
              <w:t>以上的款项</w:t>
            </w: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spacing w:before="35"/>
        <w:ind w:left="1134" w:right="1117" w:firstLine="0"/>
        <w:jc w:val="left"/>
        <w:rPr>
          <w:rFonts w:ascii="宋体" w:hAnsi="宋体" w:cs="宋体" w:eastAsia="宋体" w:hint="default"/>
          <w:sz w:val="21"/>
          <w:szCs w:val="21"/>
        </w:rPr>
      </w:pPr>
      <w:bookmarkStart w:name="（2）按信用风险特征组合计提坏账准备的应收款项" w:id="167"/>
      <w:bookmarkEnd w:id="1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4848"/>
        <w:gridCol w:w="4847"/>
      </w:tblGrid>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按账龄作为判断信用风险特征的主要依据划分资产组合</w:t>
            </w:r>
          </w:p>
        </w:tc>
        <w:tc>
          <w:tcPr>
            <w:tcW w:w="4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84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按账龄作为判断信用风险特征的主要依据划分资产组合</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3" w:type="dxa"/>
        <w:tblLayout w:type="fixed"/>
        <w:tblCellMar>
          <w:top w:w="0" w:type="dxa"/>
          <w:left w:w="0" w:type="dxa"/>
          <w:bottom w:w="0" w:type="dxa"/>
          <w:right w:w="0" w:type="dxa"/>
        </w:tblCellMar>
        <w:tblLook w:val="01E0"/>
      </w:tblPr>
      <w:tblGrid>
        <w:gridCol w:w="3207"/>
        <w:gridCol w:w="3245"/>
        <w:gridCol w:w="3232"/>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0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0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5.00%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5.00%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r>
      <w:tr>
        <w:trPr>
          <w:trHeight w:val="32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30.00%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100.00%</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3" w:right="1117"/>
        <w:jc w:val="left"/>
        <w:rPr>
          <w:b w:val="0"/>
          <w:bCs w:val="0"/>
        </w:rPr>
      </w:pPr>
      <w:bookmarkStart w:name="（3）单项金额不重大但单独计提坏账准备的应收款项" w:id="168"/>
      <w:bookmarkEnd w:id="16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4848"/>
        <w:gridCol w:w="4847"/>
      </w:tblGrid>
      <w:tr>
        <w:trPr>
          <w:trHeight w:val="40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年以上的应收款项且有客观证据表明其发生了减值</w:t>
            </w:r>
          </w:p>
        </w:tc>
      </w:tr>
      <w:tr>
        <w:trPr>
          <w:trHeight w:val="40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spacing w:before="35"/>
        <w:ind w:left="1134" w:right="1117" w:firstLine="0"/>
        <w:jc w:val="left"/>
        <w:rPr>
          <w:rFonts w:ascii="宋体" w:hAnsi="宋体" w:cs="宋体" w:eastAsia="宋体" w:hint="default"/>
          <w:sz w:val="21"/>
          <w:szCs w:val="21"/>
        </w:rPr>
      </w:pPr>
      <w:bookmarkStart w:name="12、存货" w:id="169"/>
      <w:bookmarkEnd w:id="16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408" w:lineRule="auto" w:before="0"/>
        <w:ind w:left="1554" w:right="1117"/>
        <w:jc w:val="left"/>
      </w:pPr>
      <w:r>
        <w:rPr>
          <w:rFonts w:ascii="宋体" w:hAnsi="宋体" w:cs="宋体" w:eastAsia="宋体" w:hint="default"/>
        </w:rPr>
        <w:t>1</w:t>
      </w:r>
      <w:r>
        <w:rPr/>
        <w:t>、存货的分类 </w:t>
      </w:r>
      <w:r>
        <w:rPr>
          <w:spacing w:val="-1"/>
        </w:rPr>
        <w:t>存货是指本公司在日常活动中持有以备出售的产成品或商品、处在生产过程中的在产品、在生产过程</w:t>
      </w:r>
    </w:p>
    <w:p>
      <w:pPr>
        <w:pStyle w:val="BodyText"/>
        <w:spacing w:line="408" w:lineRule="auto"/>
        <w:ind w:left="1134" w:right="1117"/>
        <w:jc w:val="left"/>
      </w:pPr>
      <w:r>
        <w:rPr>
          <w:spacing w:val="-1"/>
        </w:rPr>
        <w:t>或提供劳务过程中耗用的材料和物料等。原材料、周转材料、委托加工材料、包装物、低值易耗品、在产</w:t>
      </w:r>
      <w:r>
        <w:rPr>
          <w:spacing w:val="-83"/>
        </w:rPr>
        <w:t> </w:t>
      </w:r>
      <w:r>
        <w:rPr>
          <w:spacing w:val="-83"/>
        </w:rPr>
      </w:r>
      <w:r>
        <w:rPr/>
        <w:t>品、自制半成品、产成品（库存商品）、工程施工等。</w:t>
      </w:r>
    </w:p>
    <w:p>
      <w:pPr>
        <w:pStyle w:val="BodyText"/>
        <w:spacing w:line="408" w:lineRule="auto"/>
        <w:ind w:left="1553" w:right="4033"/>
        <w:jc w:val="left"/>
      </w:pPr>
      <w:r>
        <w:rPr>
          <w:rFonts w:ascii="宋体" w:hAnsi="宋体" w:cs="宋体" w:eastAsia="宋体" w:hint="default"/>
        </w:rPr>
        <w:t>2</w:t>
      </w:r>
      <w:r>
        <w:rPr/>
        <w:t>、发出存货的计价方法 存货发出时，采取加权平均法或个别计价法确定其发出的实际成本。 </w:t>
      </w:r>
      <w:r>
        <w:rPr>
          <w:rFonts w:ascii="宋体" w:hAnsi="宋体" w:cs="宋体" w:eastAsia="宋体" w:hint="default"/>
        </w:rPr>
        <w:t>3</w:t>
      </w:r>
      <w:r>
        <w:rPr/>
        <w:t>、存货跌价准备的计提方法</w:t>
      </w:r>
    </w:p>
    <w:p>
      <w:pPr>
        <w:pStyle w:val="BodyText"/>
        <w:spacing w:line="408" w:lineRule="auto"/>
        <w:ind w:right="1131" w:firstLine="420"/>
        <w:jc w:val="both"/>
      </w:pPr>
      <w:r>
        <w:rPr>
          <w:spacing w:val="-1"/>
        </w:rPr>
        <w:t>资产负债表日，存货按照成本与可变现净值孰低计量，并按单个存货项目计提存货跌价准备，但对于</w:t>
      </w:r>
      <w:r>
        <w:rPr/>
        <w:t> 数量繁多、单价较低的存货，按照存货类别计提存货跌价准备。</w:t>
      </w:r>
    </w:p>
    <w:p>
      <w:pPr>
        <w:pStyle w:val="BodyText"/>
        <w:spacing w:line="408" w:lineRule="auto"/>
        <w:ind w:right="1131" w:firstLine="420"/>
        <w:jc w:val="both"/>
      </w:pPr>
      <w:r>
        <w:rPr>
          <w:spacing w:val="-1"/>
        </w:rPr>
        <w:t>可变现净值是指在日常活动中，存货的估计售价减去至完工时估计将要发生的成本、估计的销售费用</w:t>
      </w:r>
      <w:r>
        <w:rPr/>
        <w:t> </w:t>
      </w: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408" w:lineRule="auto"/>
        <w:ind w:left="1553" w:right="6343"/>
        <w:jc w:val="left"/>
      </w:pPr>
      <w:r>
        <w:rPr>
          <w:rFonts w:ascii="宋体" w:hAnsi="宋体" w:cs="宋体" w:eastAsia="宋体" w:hint="default"/>
        </w:rPr>
        <w:t>4</w:t>
      </w:r>
      <w:r>
        <w:rPr/>
        <w:t>、存货的盘存制度 本公司的存货盘存制度为永续盘存制。 </w:t>
      </w:r>
      <w:r>
        <w:rPr>
          <w:rFonts w:ascii="宋体" w:hAnsi="宋体" w:cs="宋体" w:eastAsia="宋体" w:hint="default"/>
        </w:rPr>
        <w:t>5</w:t>
      </w:r>
      <w:r>
        <w:rPr/>
        <w:t>、低值易耗品和包装物的摊销方法 低值易耗品和包装物采用一次转销法摊销</w:t>
      </w:r>
      <w:r>
        <w:rPr>
          <w:color w:val="000099"/>
        </w:rPr>
        <w:t>。</w:t>
      </w:r>
      <w:r>
        <w:rPr/>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13、划分为持有待售资产" w:id="170"/>
      <w:bookmarkEnd w:id="170"/>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2" w:firstLine="420"/>
        <w:jc w:val="both"/>
      </w:pPr>
      <w:r>
        <w:rPr>
          <w:spacing w:val="-1"/>
        </w:rPr>
        <w:t>本公司将同时满足下列条件的非流动资产应当划分为持有待售：一是企业已经就处置该非流动资产作</w:t>
      </w:r>
      <w:r>
        <w:rPr/>
        <w:t> 出决议；二是企业已经与受让方签订了不可撤销的转让协议；三是该项转让将在一年内完成。</w:t>
      </w:r>
    </w:p>
    <w:p>
      <w:pPr>
        <w:spacing w:after="0" w:line="408"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14、长期股权投资" w:id="171"/>
      <w:bookmarkEnd w:id="17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1117"/>
        <w:jc w:val="left"/>
      </w:pPr>
      <w:r>
        <w:rPr>
          <w:rFonts w:ascii="宋体" w:hAnsi="宋体" w:cs="宋体" w:eastAsia="宋体" w:hint="default"/>
        </w:rPr>
        <w:t>1</w:t>
      </w:r>
      <w:r>
        <w:rPr/>
        <w:t>、初始投资成本确定 </w:t>
      </w:r>
      <w:r>
        <w:rPr>
          <w:spacing w:val="-1"/>
        </w:rPr>
        <w:t>对于企业合并取得的长期股权投资，如为同一控制下的企业合并，应当按照取得被合并方所有者权益</w:t>
      </w:r>
    </w:p>
    <w:p>
      <w:pPr>
        <w:pStyle w:val="BodyText"/>
        <w:spacing w:line="408" w:lineRule="auto"/>
        <w:ind w:left="1134" w:right="1130"/>
        <w:jc w:val="both"/>
      </w:pPr>
      <w:r>
        <w:rPr>
          <w:spacing w:val="-1"/>
        </w:rPr>
        <w:t>账面价值的份额确认为初始成本；非同一控制下的企业合并，应当按购买日确定的合并成本确认为初始成</w:t>
      </w:r>
      <w:r>
        <w:rPr>
          <w:spacing w:val="-81"/>
        </w:rPr>
        <w:t> </w:t>
      </w:r>
      <w:r>
        <w:rPr>
          <w:spacing w:val="-81"/>
        </w:rPr>
      </w:r>
      <w:r>
        <w:rPr>
          <w:spacing w:val="-1"/>
        </w:rPr>
        <w:t>本；以支付现金取得的长期股权投资，初始投资成本为实际支付的购买价款；以发行权益性证券取得的长</w:t>
      </w:r>
      <w:r>
        <w:rPr>
          <w:spacing w:val="-83"/>
        </w:rPr>
        <w:t> </w:t>
      </w:r>
      <w:r>
        <w:rPr>
          <w:spacing w:val="-83"/>
        </w:rPr>
      </w:r>
      <w:r>
        <w:rPr>
          <w:spacing w:val="-1"/>
        </w:rPr>
        <w:t>期股权投资，初始投资成本为发行权益性证券的公允价值；通过债务重组取得的长期股权投资，其初始投</w:t>
      </w:r>
      <w:r>
        <w:rPr>
          <w:spacing w:val="-83"/>
        </w:rPr>
        <w:t> </w:t>
      </w:r>
      <w:r>
        <w:rPr>
          <w:spacing w:val="-83"/>
        </w:rPr>
      </w:r>
      <w:r>
        <w:rPr>
          <w:spacing w:val="-1"/>
        </w:rPr>
        <w:t>资成本应当按照《企业会计准则第</w:t>
      </w:r>
      <w:r>
        <w:rPr>
          <w:rFonts w:ascii="宋体" w:hAnsi="宋体" w:cs="宋体" w:eastAsia="宋体" w:hint="default"/>
          <w:spacing w:val="-1"/>
        </w:rPr>
        <w:t>12</w:t>
      </w:r>
      <w:r>
        <w:rPr>
          <w:spacing w:val="-1"/>
        </w:rPr>
        <w:t>号—债务重组》的有关规定确定；非货币性资产交换取得的长期股权</w:t>
      </w:r>
      <w:r>
        <w:rPr>
          <w:spacing w:val="-85"/>
        </w:rPr>
        <w:t> </w:t>
      </w:r>
      <w:r>
        <w:rPr>
          <w:spacing w:val="-85"/>
        </w:rPr>
      </w:r>
      <w:r>
        <w:rPr/>
        <w:t>投资，初始投资成本根据准则相关规定确定。</w:t>
      </w:r>
    </w:p>
    <w:p>
      <w:pPr>
        <w:pStyle w:val="BodyText"/>
        <w:spacing w:line="408" w:lineRule="auto"/>
        <w:ind w:left="1554" w:right="1117"/>
        <w:jc w:val="left"/>
      </w:pPr>
      <w:r>
        <w:rPr>
          <w:rFonts w:ascii="宋体" w:hAnsi="宋体" w:cs="宋体" w:eastAsia="宋体" w:hint="default"/>
        </w:rPr>
        <w:t>2</w:t>
      </w:r>
      <w:r>
        <w:rPr/>
        <w:t>、后续计量及损益确认方法 </w:t>
      </w:r>
      <w:r>
        <w:rPr>
          <w:spacing w:val="-1"/>
        </w:rPr>
        <w:t>投资方能够对被投资单位实施控制的长期股权投资应当采用成本法核算，对联营企业和合营企业的长</w:t>
      </w:r>
    </w:p>
    <w:p>
      <w:pPr>
        <w:pStyle w:val="BodyText"/>
        <w:spacing w:line="408" w:lineRule="auto"/>
        <w:ind w:right="712"/>
        <w:jc w:val="left"/>
      </w:pPr>
      <w:r>
        <w:rPr>
          <w:spacing w:val="-5"/>
        </w:rPr>
        <w:t>期股权投资采用权益法核算。投资方对联营企业的权益性投资，其中一部分通过风险投资机构、共同基金、</w:t>
      </w:r>
      <w:r>
        <w:rPr>
          <w:spacing w:val="-101"/>
        </w:rPr>
        <w:t> </w:t>
      </w:r>
      <w:r>
        <w:rPr>
          <w:spacing w:val="-101"/>
        </w:rPr>
      </w:r>
      <w:r>
        <w:rPr/>
        <w:t>信托公司或包括投连险基金在内的类似主体间接持有的，无论以上主体是否对这部分投资具有重大影响，</w:t>
      </w:r>
      <w:r>
        <w:rPr>
          <w:spacing w:val="-35"/>
        </w:rPr>
        <w:t> </w:t>
      </w:r>
      <w:r>
        <w:rPr>
          <w:spacing w:val="-35"/>
        </w:rPr>
      </w:r>
      <w:r>
        <w:rPr/>
        <w:t>投资方都应当按照《企业会计准则第</w:t>
      </w:r>
      <w:r>
        <w:rPr>
          <w:rFonts w:ascii="宋体" w:hAnsi="宋体" w:cs="宋体" w:eastAsia="宋体" w:hint="default"/>
        </w:rPr>
        <w:t>22</w:t>
      </w:r>
      <w:r>
        <w:rPr/>
        <w:t>号——金融工具确认和计量》的有关规定，对间接持有的该部分投 资选择以公允价值计量且其变动计入损益，并对其余部分采用权益法核算。</w:t>
      </w:r>
    </w:p>
    <w:p>
      <w:pPr>
        <w:pStyle w:val="BodyText"/>
        <w:spacing w:line="408" w:lineRule="auto"/>
        <w:ind w:left="1553" w:right="1117"/>
        <w:jc w:val="left"/>
      </w:pPr>
      <w:r>
        <w:rPr>
          <w:rFonts w:ascii="宋体" w:hAnsi="宋体" w:cs="宋体" w:eastAsia="宋体" w:hint="default"/>
        </w:rPr>
        <w:t>3</w:t>
      </w:r>
      <w:r>
        <w:rPr/>
        <w:t>、确定对被投资单位具有共同控制、重大影响的依据 </w:t>
      </w:r>
      <w:r>
        <w:rPr>
          <w:spacing w:val="-1"/>
        </w:rPr>
        <w:t>对被投资单位具有共同控制，是指对某项安排的回报产生重大影响的活动必须经过分享控制权的参与</w:t>
      </w:r>
    </w:p>
    <w:p>
      <w:pPr>
        <w:pStyle w:val="BodyText"/>
        <w:spacing w:line="408" w:lineRule="auto"/>
        <w:ind w:right="1131"/>
        <w:jc w:val="both"/>
      </w:pPr>
      <w:r>
        <w:rPr>
          <w:spacing w:val="-1"/>
        </w:rPr>
        <w:t>方一致同意后才能决策，包括商品或劳务的销售和购买、金融资产的管理、资产的购买和处置、研究与开</w:t>
      </w:r>
      <w:r>
        <w:rPr>
          <w:spacing w:val="-86"/>
        </w:rPr>
        <w:t> </w:t>
      </w:r>
      <w:r>
        <w:rPr>
          <w:spacing w:val="-86"/>
        </w:rPr>
      </w:r>
      <w:r>
        <w:rPr>
          <w:spacing w:val="-1"/>
        </w:rPr>
        <w:t>发活动以及融资活动等；对被投资单位具有重大影响，是指当持有被投资单位</w:t>
      </w:r>
      <w:r>
        <w:rPr>
          <w:rFonts w:ascii="宋体" w:hAnsi="宋体" w:cs="宋体" w:eastAsia="宋体" w:hint="default"/>
          <w:spacing w:val="-1"/>
        </w:rPr>
        <w:t>20%</w:t>
      </w:r>
      <w:r>
        <w:rPr>
          <w:spacing w:val="-1"/>
        </w:rPr>
        <w:t>以上至</w:t>
      </w:r>
      <w:r>
        <w:rPr>
          <w:rFonts w:ascii="宋体" w:hAnsi="宋体" w:cs="宋体" w:eastAsia="宋体" w:hint="default"/>
          <w:spacing w:val="-1"/>
        </w:rPr>
        <w:t>50%</w:t>
      </w:r>
      <w:r>
        <w:rPr>
          <w:spacing w:val="-1"/>
        </w:rPr>
        <w:t>的表决权资本</w:t>
      </w:r>
      <w:r>
        <w:rPr>
          <w:spacing w:val="-80"/>
        </w:rPr>
        <w:t> </w:t>
      </w:r>
      <w:r>
        <w:rPr>
          <w:spacing w:val="-80"/>
        </w:rPr>
      </w:r>
      <w:r>
        <w:rPr/>
        <w:t>时，具有重大影响。或虽不足</w:t>
      </w:r>
      <w:r>
        <w:rPr>
          <w:rFonts w:ascii="宋体" w:hAnsi="宋体" w:cs="宋体" w:eastAsia="宋体" w:hint="default"/>
        </w:rPr>
        <w:t>20%</w:t>
      </w:r>
      <w:r>
        <w:rPr/>
        <w:t>，但符合下列条件之一时，具有重大影响：在被投资单位的董事会或类</w:t>
      </w:r>
      <w:r>
        <w:rPr>
          <w:spacing w:val="-32"/>
        </w:rPr>
        <w:t> </w:t>
      </w:r>
      <w:r>
        <w:rPr>
          <w:spacing w:val="-32"/>
        </w:rPr>
      </w:r>
      <w:r>
        <w:rPr>
          <w:spacing w:val="-1"/>
        </w:rPr>
        <w:t>似的权力机构中派有代表；参与被投资单位的政策制定过程；向被投资单位派出管理人员；被投资单位依</w:t>
      </w:r>
      <w:r>
        <w:rPr>
          <w:spacing w:val="-83"/>
        </w:rPr>
        <w:t> </w:t>
      </w:r>
      <w:r>
        <w:rPr>
          <w:spacing w:val="-83"/>
        </w:rPr>
      </w:r>
      <w:r>
        <w:rPr/>
        <w:t>赖投资公司的技术或技术资料；与被投资单位之间发生重要交易。</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15、投资性房地产" w:id="172"/>
      <w:bookmarkEnd w:id="17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left="1134" w:right="712" w:firstLine="420"/>
        <w:jc w:val="left"/>
      </w:pPr>
      <w:r>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spacing w:after="0" w:line="408"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16、固定资产" w:id="173"/>
      <w:bookmarkEnd w:id="17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确认条件" w:id="174"/>
      <w:bookmarkEnd w:id="1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6"/>
        <w:rPr>
          <w:rFonts w:ascii="宋体" w:hAnsi="宋体" w:cs="宋体" w:eastAsia="宋体" w:hint="default"/>
          <w:b/>
          <w:bCs/>
          <w:sz w:val="32"/>
          <w:szCs w:val="32"/>
        </w:rPr>
      </w:pPr>
    </w:p>
    <w:p>
      <w:pPr>
        <w:spacing w:line="477" w:lineRule="auto" w:before="0"/>
        <w:ind w:left="1134" w:right="1117"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固定资产指为生产商品、提供劳务、出租或经营管理而持有的，使用寿命超过一个会计年度的有形资产。同时满足以下条件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时予以确认：与该固定资产有关的经济利益很可能流入企业；该固定资产的成本能够可靠地计量。</w:t>
      </w:r>
    </w:p>
    <w:p>
      <w:pPr>
        <w:spacing w:line="240" w:lineRule="auto" w:before="1"/>
        <w:rPr>
          <w:rFonts w:ascii="宋体" w:hAnsi="宋体" w:cs="宋体" w:eastAsia="宋体" w:hint="default"/>
          <w:sz w:val="19"/>
          <w:szCs w:val="19"/>
        </w:rPr>
      </w:pPr>
    </w:p>
    <w:p>
      <w:pPr>
        <w:pStyle w:val="Heading3"/>
        <w:spacing w:line="240" w:lineRule="auto"/>
        <w:ind w:left="1133" w:right="1117"/>
        <w:jc w:val="left"/>
        <w:rPr>
          <w:b w:val="0"/>
          <w:bCs w:val="0"/>
        </w:rPr>
      </w:pPr>
      <w:bookmarkStart w:name="（2）折旧方法" w:id="175"/>
      <w:bookmarkEnd w:id="17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1938"/>
        <w:gridCol w:w="1940"/>
        <w:gridCol w:w="1938"/>
        <w:gridCol w:w="1940"/>
        <w:gridCol w:w="1939"/>
      </w:tblGrid>
      <w:tr>
        <w:trPr>
          <w:trHeight w:val="322"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9.50-2.375</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15-30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6.33-3.17</w:t>
            </w:r>
          </w:p>
        </w:tc>
      </w:tr>
      <w:tr>
        <w:trPr>
          <w:trHeight w:val="323"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19.00-9.50</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31.67-19.00</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19.00-9.50</w:t>
            </w:r>
          </w:p>
        </w:tc>
      </w:tr>
      <w:tr>
        <w:trPr>
          <w:trHeight w:val="323"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31.67-19.00</w:t>
            </w:r>
          </w:p>
        </w:tc>
      </w:tr>
    </w:tbl>
    <w:p>
      <w:pPr>
        <w:spacing w:line="240" w:lineRule="auto" w:before="2"/>
        <w:rPr>
          <w:rFonts w:ascii="宋体" w:hAnsi="宋体" w:cs="宋体" w:eastAsia="宋体" w:hint="default"/>
          <w:b/>
          <w:bCs/>
          <w:sz w:val="19"/>
          <w:szCs w:val="19"/>
        </w:rPr>
      </w:pPr>
    </w:p>
    <w:p>
      <w:pPr>
        <w:spacing w:before="35"/>
        <w:ind w:left="1134" w:right="1117" w:firstLine="0"/>
        <w:jc w:val="left"/>
        <w:rPr>
          <w:rFonts w:ascii="宋体" w:hAnsi="宋体" w:cs="宋体" w:eastAsia="宋体" w:hint="default"/>
          <w:sz w:val="21"/>
          <w:szCs w:val="21"/>
        </w:rPr>
      </w:pPr>
      <w:bookmarkStart w:name="（3）融资租入固定资产的认定依据、计价和折旧方法"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410" w:lineRule="auto" w:before="0"/>
        <w:ind w:left="1134" w:right="1132" w:firstLine="420"/>
        <w:jc w:val="both"/>
      </w:pPr>
      <w:r>
        <w:rPr>
          <w:spacing w:val="-1"/>
        </w:rPr>
        <w:t>融资租入固定资产为实质上转移了与资产所有权有关的全部风险和报酬的租赁。融资租入固定资产初</w:t>
      </w:r>
      <w:r>
        <w:rPr/>
        <w:t> </w:t>
      </w:r>
      <w:r>
        <w:rPr>
          <w:spacing w:val="-1"/>
        </w:rPr>
        <w:t>始计价为租赁期开始日租赁资产公允价值与最低租赁付款额现值较低者作为入账价值；融资租入固定资产</w:t>
      </w:r>
      <w:r>
        <w:rPr>
          <w:spacing w:val="-81"/>
        </w:rPr>
        <w:t> </w:t>
      </w:r>
      <w:r>
        <w:rPr>
          <w:spacing w:val="-81"/>
        </w:rPr>
      </w:r>
      <w:r>
        <w:rPr/>
        <w:t>后续计价采用与自有固定资产相一致的折旧政策计提折旧及减值准备。</w:t>
      </w:r>
    </w:p>
    <w:p>
      <w:pPr>
        <w:spacing w:line="240" w:lineRule="auto" w:before="3"/>
        <w:rPr>
          <w:rFonts w:ascii="宋体" w:hAnsi="宋体" w:cs="宋体" w:eastAsia="宋体" w:hint="default"/>
          <w:sz w:val="20"/>
          <w:szCs w:val="20"/>
        </w:rPr>
      </w:pPr>
    </w:p>
    <w:p>
      <w:pPr>
        <w:pStyle w:val="Heading3"/>
        <w:spacing w:line="240" w:lineRule="auto"/>
        <w:ind w:left="1133" w:right="1117"/>
        <w:jc w:val="left"/>
        <w:rPr>
          <w:b w:val="0"/>
          <w:bCs w:val="0"/>
        </w:rPr>
      </w:pPr>
      <w:bookmarkStart w:name="17、在建工程" w:id="177"/>
      <w:bookmarkEnd w:id="17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712" w:firstLine="420"/>
        <w:jc w:val="left"/>
      </w:pPr>
      <w:r>
        <w:rPr>
          <w:spacing w:val="-1"/>
        </w:rPr>
        <w:t>本公司在建工程分为自营方式建造和出包方式建造两种。在建工程在工程完工达到预定可使用状态时，</w:t>
      </w:r>
      <w:r>
        <w:rPr/>
        <w:t> 结转固定资产。预定可使用状态的判断标准，应符合下列情况之一：固定资产的实体建造（包括安装）工 作已经全部完成或实质上已经全部完成；已经试生产或试运行，并且其结果表明资产能够正常运行或能够 稳定地生产出合格产品，或者试运行结果表明其能够正常运转或营业；该项建造的固定资产上的支出金额 很少或者几乎不再发生；所购建的固定资产已经达到设计或合同要求，或与设计或合同要求基本相符。</w:t>
      </w:r>
    </w:p>
    <w:p>
      <w:pPr>
        <w:spacing w:line="240" w:lineRule="auto" w:before="5"/>
        <w:rPr>
          <w:rFonts w:ascii="宋体" w:hAnsi="宋体" w:cs="宋体" w:eastAsia="宋体" w:hint="default"/>
          <w:sz w:val="20"/>
          <w:szCs w:val="20"/>
        </w:rPr>
      </w:pPr>
    </w:p>
    <w:p>
      <w:pPr>
        <w:pStyle w:val="Heading3"/>
        <w:spacing w:line="240" w:lineRule="auto"/>
        <w:ind w:left="1133" w:right="1117"/>
        <w:jc w:val="left"/>
        <w:rPr>
          <w:b w:val="0"/>
          <w:bCs w:val="0"/>
        </w:rPr>
      </w:pPr>
      <w:bookmarkStart w:name="18、借款费用" w:id="178"/>
      <w:bookmarkEnd w:id="17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30"/>
          <w:szCs w:val="30"/>
        </w:rPr>
      </w:pPr>
    </w:p>
    <w:p>
      <w:pPr>
        <w:pStyle w:val="BodyText"/>
        <w:spacing w:line="441" w:lineRule="auto" w:before="0"/>
        <w:ind w:left="1554" w:right="1117"/>
        <w:jc w:val="left"/>
      </w:pPr>
      <w:r>
        <w:rPr>
          <w:rFonts w:ascii="宋体" w:hAnsi="宋体" w:cs="宋体" w:eastAsia="宋体" w:hint="default"/>
        </w:rPr>
        <w:t>1</w:t>
      </w:r>
      <w:r>
        <w:rPr/>
        <w:t>、借款费用资本化的确认原则 </w:t>
      </w:r>
      <w:r>
        <w:rPr>
          <w:spacing w:val="-1"/>
        </w:rPr>
        <w:t>本公司发生的借款费用，可直接归属于符合资本化条件的资产的购建或者生产的，予以资本化，计入</w:t>
      </w:r>
    </w:p>
    <w:p>
      <w:pPr>
        <w:pStyle w:val="BodyText"/>
        <w:spacing w:line="408" w:lineRule="auto" w:before="16"/>
        <w:ind w:left="1134" w:right="1117"/>
        <w:jc w:val="left"/>
      </w:pPr>
      <w:r>
        <w:rPr>
          <w:spacing w:val="-1"/>
        </w:rPr>
        <w:t>相关资产成本；其他借款费用，在发生时根据其发生额确认为费用，计入当期损益。符合资本化条件的资</w:t>
      </w:r>
      <w:r>
        <w:rPr>
          <w:spacing w:val="-86"/>
        </w:rPr>
        <w:t> </w:t>
      </w:r>
      <w:r>
        <w:rPr>
          <w:spacing w:val="-86"/>
        </w:rPr>
      </w:r>
      <w:r>
        <w:rPr>
          <w:spacing w:val="-1"/>
        </w:rPr>
        <w:t>产，是指需要经过相当长时间的购建或者生产活动才能达到预定可使用或者可销售状态的固定资产、投资</w:t>
      </w:r>
    </w:p>
    <w:p>
      <w:pPr>
        <w:spacing w:after="0" w:line="408" w:lineRule="auto"/>
        <w:jc w:val="left"/>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444" w:lineRule="auto" w:before="35"/>
        <w:ind w:left="1553" w:right="8128" w:hanging="420"/>
        <w:jc w:val="left"/>
      </w:pPr>
      <w:r>
        <w:rPr/>
        <w:t>性房地产和存货等资产。 </w:t>
      </w:r>
      <w:r>
        <w:rPr>
          <w:rFonts w:ascii="宋体" w:hAnsi="宋体" w:cs="宋体" w:eastAsia="宋体" w:hint="default"/>
        </w:rPr>
        <w:t>2</w:t>
      </w:r>
      <w:r>
        <w:rPr/>
        <w:t>、资本化金额计算方法</w:t>
      </w:r>
    </w:p>
    <w:p>
      <w:pPr>
        <w:pStyle w:val="BodyText"/>
        <w:spacing w:line="410" w:lineRule="auto" w:before="54"/>
        <w:ind w:right="1131" w:firstLine="420"/>
        <w:jc w:val="both"/>
      </w:pPr>
      <w:r>
        <w:rPr>
          <w:spacing w:val="-1"/>
        </w:rPr>
        <w:t>资本化期间，是指从借款费用开始资本化时点到停止资本化时点的期间。借款费用暂停资本化的期间</w:t>
      </w:r>
      <w:r>
        <w:rPr/>
        <w:t> 不包括在内。在购建或生产过程中发生非正常中断、且中断时间连续超过</w:t>
      </w:r>
      <w:r>
        <w:rPr>
          <w:spacing w:val="-64"/>
        </w:rPr>
        <w:t> </w:t>
      </w:r>
      <w:r>
        <w:rPr>
          <w:rFonts w:ascii="宋体" w:hAnsi="宋体" w:cs="宋体" w:eastAsia="宋体" w:hint="default"/>
        </w:rPr>
        <w:t>3</w:t>
      </w:r>
      <w:r>
        <w:rPr>
          <w:rFonts w:ascii="宋体" w:hAnsi="宋体" w:cs="宋体" w:eastAsia="宋体" w:hint="default"/>
          <w:spacing w:val="-64"/>
        </w:rPr>
        <w:t> </w:t>
      </w:r>
      <w:r>
        <w:rPr/>
        <w:t>个月的，应当暂停借款费用的 资本化。</w:t>
      </w:r>
    </w:p>
    <w:p>
      <w:pPr>
        <w:pStyle w:val="BodyText"/>
        <w:spacing w:line="408" w:lineRule="auto" w:before="82"/>
        <w:ind w:left="1134" w:right="1131" w:firstLine="420"/>
        <w:jc w:val="both"/>
      </w:pPr>
      <w:r>
        <w:rPr>
          <w:spacing w:val="-1"/>
        </w:rPr>
        <w:t>借入专门借款，按照专门借款当期实际发生的利息费用，减去将尚未动用的借款资金存入银行取得的</w:t>
      </w:r>
      <w:r>
        <w:rPr/>
        <w:t> </w:t>
      </w:r>
      <w:r>
        <w:rPr>
          <w:spacing w:val="-1"/>
        </w:rPr>
        <w:t>利息收入或进行暂时性投资取得的投资收益后的金额确定；占用一般借款按照累计资产支出超过专门借款</w:t>
      </w:r>
      <w:r>
        <w:rPr>
          <w:spacing w:val="-81"/>
        </w:rPr>
        <w:t> </w:t>
      </w:r>
      <w:r>
        <w:rPr>
          <w:spacing w:val="-81"/>
        </w:rPr>
      </w:r>
      <w:r>
        <w:rPr>
          <w:spacing w:val="-1"/>
        </w:rPr>
        <w:t>部分的资产支出加权平均数乘以所占用一般借款的资本化率计算确定，资本化率为一般借款的加权平均利</w:t>
      </w:r>
      <w:r>
        <w:rPr>
          <w:spacing w:val="-81"/>
        </w:rPr>
        <w:t> </w:t>
      </w:r>
      <w:r>
        <w:rPr>
          <w:spacing w:val="-81"/>
        </w:rPr>
      </w:r>
      <w:r>
        <w:rPr>
          <w:spacing w:val="-1"/>
        </w:rPr>
        <w:t>率；借款存在折价或溢价的，按照实际利率法确定每一会计期间应摊销的折价或溢价金额，调整每期利息</w:t>
      </w:r>
      <w:r>
        <w:rPr>
          <w:spacing w:val="-83"/>
        </w:rPr>
        <w:t> </w:t>
      </w:r>
      <w:r>
        <w:rPr>
          <w:spacing w:val="-83"/>
        </w:rPr>
      </w:r>
      <w:r>
        <w:rPr/>
        <w:t>金额。</w:t>
      </w:r>
    </w:p>
    <w:p>
      <w:pPr>
        <w:pStyle w:val="BodyText"/>
        <w:spacing w:line="410" w:lineRule="auto" w:before="84"/>
        <w:ind w:left="1134" w:right="1132" w:firstLine="420"/>
        <w:jc w:val="both"/>
      </w:pPr>
      <w:r>
        <w:rPr>
          <w:spacing w:val="-1"/>
        </w:rPr>
        <w:t>实际利率法是根据借款实际利率计算其摊余折价或溢价或利息费用的方法。其中实际利率是借款在预</w:t>
      </w:r>
      <w:r>
        <w:rPr/>
        <w:t> 期存续期间的未来现金流量，折现为该借款当前账面价值所使用的利率。</w:t>
      </w:r>
    </w:p>
    <w:p>
      <w:pPr>
        <w:spacing w:line="240" w:lineRule="auto" w:before="4"/>
        <w:rPr>
          <w:rFonts w:ascii="宋体" w:hAnsi="宋体" w:cs="宋体" w:eastAsia="宋体" w:hint="default"/>
          <w:sz w:val="20"/>
          <w:szCs w:val="20"/>
        </w:rPr>
      </w:pPr>
    </w:p>
    <w:p>
      <w:pPr>
        <w:pStyle w:val="Heading3"/>
        <w:spacing w:line="240" w:lineRule="auto"/>
        <w:ind w:left="1133" w:right="1117"/>
        <w:jc w:val="left"/>
        <w:rPr>
          <w:b w:val="0"/>
          <w:bCs w:val="0"/>
        </w:rPr>
      </w:pPr>
      <w:bookmarkStart w:name="19、无形资产" w:id="179"/>
      <w:bookmarkEnd w:id="179"/>
      <w:r>
        <w:rPr>
          <w:b w:val="0"/>
          <w:bCs w:val="0"/>
        </w:rPr>
      </w:r>
      <w:r>
        <w:rPr>
          <w:rFonts w:ascii="Times New Roman" w:hAnsi="Times New Roman" w:cs="Times New Roman" w:eastAsia="Times New Roman" w:hint="default"/>
        </w:rPr>
        <w:t>19</w:t>
      </w:r>
      <w:r>
        <w:rPr/>
        <w:t>、无形资产</w:t>
      </w:r>
      <w:r>
        <w:rPr>
          <w:b w:val="0"/>
          <w:bCs w:val="0"/>
        </w:rPr>
      </w:r>
    </w:p>
    <w:p>
      <w:pPr>
        <w:spacing w:line="692" w:lineRule="exact" w:before="14"/>
        <w:ind w:left="1554" w:right="6854" w:hanging="420"/>
        <w:jc w:val="left"/>
        <w:rPr>
          <w:rFonts w:ascii="宋体" w:hAnsi="宋体" w:cs="宋体" w:eastAsia="宋体" w:hint="default"/>
          <w:sz w:val="21"/>
          <w:szCs w:val="21"/>
        </w:rPr>
      </w:pPr>
      <w:bookmarkStart w:name="（1）计价方法、使用寿命、减值测试" w:id="180"/>
      <w:bookmarkEnd w:id="1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、无形资产的计价方法</w:t>
      </w:r>
    </w:p>
    <w:p>
      <w:pPr>
        <w:pStyle w:val="BodyText"/>
        <w:spacing w:line="410" w:lineRule="auto" w:before="124"/>
        <w:ind w:left="1134" w:right="1131" w:firstLine="420"/>
        <w:jc w:val="both"/>
      </w:pPr>
      <w:r>
        <w:rPr>
          <w:spacing w:val="-1"/>
        </w:rPr>
        <w:t>本公司无形资产按照成本进行初始计量。购入的无形资产，按实际支付的价款和相关支出作为实际成</w:t>
      </w:r>
      <w:r>
        <w:rPr/>
        <w:t> </w:t>
      </w: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BodyText"/>
        <w:spacing w:line="408" w:lineRule="auto" w:before="82"/>
        <w:ind w:right="1131" w:firstLine="420"/>
        <w:jc w:val="both"/>
      </w:pPr>
      <w:r>
        <w:rPr>
          <w:spacing w:val="-1"/>
        </w:rPr>
        <w:t>本公司无形资产后续计量方法分别为：使用寿命有限无形资产采用直线法摊销，并在年度终了，对无</w:t>
      </w:r>
      <w:r>
        <w:rPr/>
        <w:t> </w:t>
      </w:r>
      <w:r>
        <w:rPr>
          <w:spacing w:val="-1"/>
        </w:rPr>
        <w:t>形资产的使用寿命和摊销方法进行复核，如与原先估计数存在差异的，进行相应的调整；使用寿命不确定</w:t>
      </w:r>
      <w:r>
        <w:rPr>
          <w:spacing w:val="-83"/>
        </w:rPr>
        <w:t> </w:t>
      </w:r>
      <w:r>
        <w:rPr>
          <w:spacing w:val="-83"/>
        </w:rPr>
      </w:r>
      <w:r>
        <w:rPr>
          <w:spacing w:val="-1"/>
        </w:rPr>
        <w:t>的无形资产不摊销，但在年度终了，对使用寿命进行复核，当有确凿证据表明其使用寿命是有限的，则估</w:t>
      </w:r>
      <w:r>
        <w:rPr>
          <w:spacing w:val="-86"/>
        </w:rPr>
        <w:t> </w:t>
      </w:r>
      <w:r>
        <w:rPr>
          <w:spacing w:val="-86"/>
        </w:rPr>
      </w:r>
      <w:r>
        <w:rPr/>
        <w:t>计其使用寿命，按直线法进行摊销。</w:t>
      </w:r>
    </w:p>
    <w:p>
      <w:pPr>
        <w:pStyle w:val="BodyText"/>
        <w:spacing w:line="444" w:lineRule="auto" w:before="85"/>
        <w:ind w:left="1553" w:right="1117"/>
        <w:jc w:val="left"/>
      </w:pPr>
      <w:r>
        <w:rPr>
          <w:rFonts w:ascii="宋体" w:hAnsi="宋体" w:cs="宋体" w:eastAsia="宋体" w:hint="default"/>
        </w:rPr>
        <w:t>2</w:t>
      </w:r>
      <w:r>
        <w:rPr/>
        <w:t>、使用寿命不确定的判断依据 </w:t>
      </w:r>
      <w:r>
        <w:rPr>
          <w:spacing w:val="-1"/>
        </w:rPr>
        <w:t>本公司将无法预见该资产为公司带来经济利益的期限，或使用期限不确定等无形资产确定为使用寿命</w:t>
      </w:r>
    </w:p>
    <w:p>
      <w:pPr>
        <w:pStyle w:val="BodyText"/>
        <w:spacing w:line="410" w:lineRule="auto" w:before="14"/>
        <w:ind w:right="1130"/>
        <w:jc w:val="both"/>
      </w:pPr>
      <w:r>
        <w:rPr>
          <w:spacing w:val="-1"/>
        </w:rPr>
        <w:t>不确定的无形资产。使用寿命不确定的判断依据为：来源于合同性权利或其他法定权利，但合同规定或法</w:t>
      </w:r>
      <w:r>
        <w:rPr>
          <w:spacing w:val="-82"/>
        </w:rPr>
        <w:t> </w:t>
      </w:r>
      <w:r>
        <w:rPr>
          <w:spacing w:val="-82"/>
        </w:rPr>
      </w:r>
      <w:r>
        <w:rPr>
          <w:spacing w:val="-1"/>
        </w:rPr>
        <w:t>律规定无明确使用年限；综合同行业情况或相关专家论证等，仍无法判断无形资产为公司带来经济利益的</w:t>
      </w:r>
      <w:r>
        <w:rPr>
          <w:spacing w:val="-81"/>
        </w:rPr>
        <w:t> </w:t>
      </w:r>
      <w:r>
        <w:rPr>
          <w:spacing w:val="-81"/>
        </w:rPr>
      </w:r>
      <w:r>
        <w:rPr/>
        <w:t>期限。</w:t>
      </w:r>
    </w:p>
    <w:p>
      <w:pPr>
        <w:pStyle w:val="BodyText"/>
        <w:spacing w:line="240" w:lineRule="auto" w:before="82"/>
        <w:ind w:left="1553" w:right="712"/>
        <w:jc w:val="left"/>
      </w:pPr>
      <w:r>
        <w:rPr/>
        <w:t>每年年末，对使用寿命不确定无形资产使用寿命进行复核，主要采取自下而上的方式，由无形资产使</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left="1134" w:right="0"/>
        <w:jc w:val="both"/>
      </w:pPr>
      <w:r>
        <w:rPr/>
        <w:t>用相关部门进行基础复核，评价使用寿命不确定判断依据是否存在变化等。</w:t>
      </w:r>
    </w:p>
    <w:p>
      <w:pPr>
        <w:spacing w:line="670" w:lineRule="atLeast" w:before="37"/>
        <w:ind w:left="1553" w:right="1117" w:hanging="420"/>
        <w:jc w:val="left"/>
        <w:rPr>
          <w:rFonts w:ascii="宋体" w:hAnsi="宋体" w:cs="宋体" w:eastAsia="宋体" w:hint="default"/>
          <w:sz w:val="21"/>
          <w:szCs w:val="21"/>
        </w:rPr>
      </w:pPr>
      <w:bookmarkStart w:name="（2）内部研究开发支出会计政策"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内部研究开发项目研究阶段的支出，于发生时计入当期损益；开发阶段的支出，满足确认为无形资产</w:t>
      </w:r>
    </w:p>
    <w:p>
      <w:pPr>
        <w:spacing w:line="240" w:lineRule="auto" w:before="11"/>
        <w:rPr>
          <w:rFonts w:ascii="宋体" w:hAnsi="宋体" w:cs="宋体" w:eastAsia="宋体" w:hint="default"/>
          <w:sz w:val="14"/>
          <w:szCs w:val="14"/>
        </w:rPr>
      </w:pPr>
    </w:p>
    <w:p>
      <w:pPr>
        <w:pStyle w:val="BodyText"/>
        <w:spacing w:line="441" w:lineRule="auto" w:before="0"/>
        <w:ind w:left="1553" w:right="1117" w:hanging="420"/>
        <w:jc w:val="left"/>
      </w:pPr>
      <w:r>
        <w:rPr/>
        <w:t>条件的转入无形资产核算。 </w:t>
      </w:r>
      <w:r>
        <w:rPr>
          <w:spacing w:val="-1"/>
        </w:rPr>
        <w:t>划分内部研究开发项目的研究阶段和开发阶段的具体标准：内部研究开发项目研究阶段的支出，于发</w:t>
      </w:r>
    </w:p>
    <w:p>
      <w:pPr>
        <w:pStyle w:val="BodyText"/>
        <w:spacing w:line="408" w:lineRule="auto" w:before="16"/>
        <w:ind w:right="1130"/>
        <w:jc w:val="both"/>
      </w:pPr>
      <w:r>
        <w:rPr>
          <w:spacing w:val="-1"/>
        </w:rPr>
        <w:t>生时计入当期损益；开发阶段的支出，满足确认为无形资产条件的转入无形资产核算。划分内部研究开发</w:t>
      </w:r>
      <w:r>
        <w:rPr>
          <w:spacing w:val="-82"/>
        </w:rPr>
        <w:t> </w:t>
      </w:r>
      <w:r>
        <w:rPr>
          <w:spacing w:val="-82"/>
        </w:rPr>
      </w:r>
      <w:r>
        <w:rPr>
          <w:spacing w:val="-1"/>
        </w:rPr>
        <w:t>项目的研究阶段和开发阶段的具体标准：为获取新的技术和知识等进行的有计划的调查阶段，应确定为研</w:t>
      </w:r>
      <w:r>
        <w:rPr>
          <w:spacing w:val="-81"/>
        </w:rPr>
        <w:t> </w:t>
      </w:r>
      <w:r>
        <w:rPr>
          <w:spacing w:val="-81"/>
        </w:rPr>
      </w:r>
      <w:r>
        <w:rPr>
          <w:spacing w:val="-1"/>
        </w:rPr>
        <w:t>究阶段，该阶段具有计划性和探索性等特点；在进行商业性生产或使用前，将研究成果或其他知识应用于</w:t>
      </w:r>
      <w:r>
        <w:rPr>
          <w:spacing w:val="-83"/>
        </w:rPr>
        <w:t> </w:t>
      </w:r>
      <w:r>
        <w:rPr>
          <w:spacing w:val="-83"/>
        </w:rPr>
      </w:r>
      <w:r>
        <w:rPr>
          <w:spacing w:val="-1"/>
        </w:rPr>
        <w:t>某项计划或设计，以生产出新的或具有实质性改进的材料、装置、产品等阶段，应确定为开发阶段，该阶</w:t>
      </w:r>
      <w:r>
        <w:rPr>
          <w:spacing w:val="-83"/>
        </w:rPr>
        <w:t> </w:t>
      </w:r>
      <w:r>
        <w:rPr>
          <w:spacing w:val="-83"/>
        </w:rPr>
      </w:r>
      <w:r>
        <w:rPr>
          <w:spacing w:val="-5"/>
        </w:rPr>
        <w:t>段具有针对性和形成成果的可能性较大等特点。开发阶段的支出，同时满足下列条件的，确认为无形资产：</w:t>
      </w:r>
    </w:p>
    <w:p>
      <w:pPr>
        <w:pStyle w:val="BodyText"/>
        <w:spacing w:line="408" w:lineRule="auto"/>
        <w:ind w:right="1130"/>
        <w:jc w:val="both"/>
      </w:pPr>
      <w:r>
        <w:rPr>
          <w:spacing w:val="-1"/>
        </w:rPr>
        <w:t>①完成该无形资产以使其能够使用或出售在技术上具有可行性；②具有完成该无形资产并使用或出售的意</w:t>
      </w:r>
      <w:r>
        <w:rPr>
          <w:spacing w:val="-80"/>
        </w:rPr>
        <w:t> </w:t>
      </w:r>
      <w:r>
        <w:rPr>
          <w:spacing w:val="-80"/>
        </w:rPr>
      </w:r>
      <w:r>
        <w:rPr>
          <w:spacing w:val="-1"/>
        </w:rPr>
        <w:t>图；③无形资产产生经济利益的方式，包括能够证明运用该无形资产生产的产品存在市场或无形资产自身</w:t>
      </w:r>
      <w:r>
        <w:rPr>
          <w:spacing w:val="-81"/>
        </w:rPr>
        <w:t> </w:t>
      </w:r>
      <w:r>
        <w:rPr>
          <w:spacing w:val="-81"/>
        </w:rPr>
      </w:r>
      <w:r>
        <w:rPr>
          <w:spacing w:val="-1"/>
        </w:rPr>
        <w:t>存在市场，无形资产将在内部使用的，能证明其有用性；④有足够的技术、财务资源和其他资源支持，以</w:t>
      </w:r>
      <w:r>
        <w:rPr>
          <w:spacing w:val="-83"/>
        </w:rPr>
        <w:t> </w:t>
      </w:r>
      <w:r>
        <w:rPr>
          <w:spacing w:val="-83"/>
        </w:rPr>
      </w:r>
      <w:r>
        <w:rPr>
          <w:spacing w:val="-1"/>
        </w:rPr>
        <w:t>完成该无形资产的开发，并有能力使用或出售该无形资产；⑤归属于该无形资产开发阶段的支出能够可靠</w:t>
      </w:r>
      <w:r>
        <w:rPr>
          <w:spacing w:val="-81"/>
        </w:rPr>
        <w:t> </w:t>
      </w:r>
      <w:r>
        <w:rPr>
          <w:spacing w:val="-81"/>
        </w:rPr>
      </w:r>
      <w:r>
        <w:rPr/>
        <w:t>地计量。</w:t>
      </w:r>
    </w:p>
    <w:p>
      <w:pPr>
        <w:spacing w:line="240" w:lineRule="auto" w:before="6"/>
        <w:rPr>
          <w:rFonts w:ascii="宋体" w:hAnsi="宋体" w:cs="宋体" w:eastAsia="宋体" w:hint="default"/>
          <w:sz w:val="20"/>
          <w:szCs w:val="20"/>
        </w:rPr>
      </w:pPr>
    </w:p>
    <w:p>
      <w:pPr>
        <w:pStyle w:val="Heading3"/>
        <w:spacing w:line="240" w:lineRule="auto"/>
        <w:ind w:left="1133" w:right="0"/>
        <w:jc w:val="both"/>
        <w:rPr>
          <w:b w:val="0"/>
          <w:bCs w:val="0"/>
        </w:rPr>
      </w:pPr>
      <w:bookmarkStart w:name="20、长期资产减值" w:id="182"/>
      <w:bookmarkEnd w:id="182"/>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10" w:lineRule="auto" w:before="0"/>
        <w:ind w:left="1134" w:right="1133" w:firstLine="420"/>
        <w:jc w:val="both"/>
      </w:pPr>
      <w:r>
        <w:rPr>
          <w:spacing w:val="-1"/>
        </w:rPr>
        <w:t>长期股权投资、采用成本模式计量的投资性房地产、固定资产、在建工程、采用成本模式计量的生产</w:t>
      </w:r>
      <w:r>
        <w:rPr/>
        <w:t> </w:t>
      </w:r>
      <w:r>
        <w:rPr>
          <w:spacing w:val="-1"/>
        </w:rPr>
        <w:t>性生物资产、油气资产、无形资产、商誉等长期资产于资产负债表日存在减值迹象的，进行减值测试。减</w:t>
      </w:r>
      <w:r>
        <w:rPr>
          <w:spacing w:val="-83"/>
        </w:rPr>
        <w:t> </w:t>
      </w:r>
      <w:r>
        <w:rPr>
          <w:spacing w:val="-83"/>
        </w:rPr>
      </w:r>
      <w:r>
        <w:rPr/>
        <w:t>值测试结果表明资产的可收回金额低于其账面价值的，按其差额计提减值准备并计入减值损失。</w:t>
      </w:r>
    </w:p>
    <w:p>
      <w:pPr>
        <w:pStyle w:val="BodyText"/>
        <w:spacing w:line="410" w:lineRule="auto" w:before="83"/>
        <w:ind w:right="1117" w:firstLine="420"/>
        <w:jc w:val="left"/>
      </w:pPr>
      <w:r>
        <w:rPr/>
        <w:t>可收回金额为资产的公允价值减去处置费用后的净额与资产预计未来现金流量的现值两者之间的较 </w:t>
      </w:r>
      <w:r>
        <w:rPr>
          <w:spacing w:val="-1"/>
        </w:rPr>
        <w:t>高者。资产减值准备按单项资产为基础计算并确认，如果难以对单项资产的可收回金额进行估计的，以该</w:t>
      </w:r>
      <w:r>
        <w:rPr>
          <w:spacing w:val="-83"/>
        </w:rPr>
        <w:t> </w:t>
      </w:r>
      <w:r>
        <w:rPr>
          <w:spacing w:val="-83"/>
        </w:rPr>
      </w:r>
      <w:r>
        <w:rPr/>
        <w:t>资产所属的资产组确定资产组的可收回金额。资产组是能够独立产生现金流入的最小资产组合。</w:t>
      </w:r>
    </w:p>
    <w:p>
      <w:pPr>
        <w:pStyle w:val="BodyText"/>
        <w:spacing w:line="408" w:lineRule="auto" w:before="82"/>
        <w:ind w:right="1130" w:firstLine="420"/>
        <w:jc w:val="both"/>
      </w:pPr>
      <w:r>
        <w:rPr>
          <w:spacing w:val="-1"/>
        </w:rPr>
        <w:t>在财务报表中单独列示的商誉，无论是否存在减值迹象，至少每年进行减值测试。减值测试时，商誉</w:t>
      </w:r>
      <w:r>
        <w:rPr/>
        <w:t> </w:t>
      </w:r>
      <w:r>
        <w:rPr>
          <w:spacing w:val="-1"/>
        </w:rPr>
        <w:t>的账面价值分摊至预期从企业合并的协同效应中受益的资产组或资产组组合。测试结果表明包含分摊的商</w:t>
      </w:r>
      <w:r>
        <w:rPr>
          <w:spacing w:val="-80"/>
        </w:rPr>
        <w:t> </w:t>
      </w:r>
      <w:r>
        <w:rPr>
          <w:spacing w:val="-80"/>
        </w:rPr>
      </w:r>
      <w:r>
        <w:rPr>
          <w:spacing w:val="-1"/>
        </w:rPr>
        <w:t>誉的资产组或资产组组合的可收回金额低于其账面价值的，确认相应的减值损失。减值损失金额先抵减分</w:t>
      </w:r>
      <w:r>
        <w:rPr>
          <w:spacing w:val="-81"/>
        </w:rPr>
        <w:t> </w:t>
      </w:r>
      <w:r>
        <w:rPr>
          <w:spacing w:val="-81"/>
        </w:rPr>
      </w:r>
      <w:r>
        <w:rPr>
          <w:spacing w:val="-1"/>
        </w:rPr>
        <w:t>摊至该资产组或资产组组合的商誉的账面价值，再根据资产组或资产组组合中除商誉以外的其他各项资产</w:t>
      </w:r>
      <w:r>
        <w:rPr>
          <w:spacing w:val="-81"/>
        </w:rPr>
        <w:t> </w:t>
      </w:r>
      <w:r>
        <w:rPr>
          <w:spacing w:val="-81"/>
        </w:rPr>
      </w:r>
      <w:r>
        <w:rPr/>
        <w:t>的账面价值所占比重，按比例抵减其他各项资产的账面价值。</w:t>
      </w:r>
    </w:p>
    <w:p>
      <w:pPr>
        <w:spacing w:after="0" w:line="408" w:lineRule="auto"/>
        <w:jc w:val="both"/>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left="1554" w:right="1117"/>
        <w:jc w:val="left"/>
      </w:pPr>
      <w:r>
        <w:rPr/>
        <w:t>上述资产减值损失一经确认，以后期间不予转回价值得以恢复的部分。</w:t>
      </w:r>
    </w:p>
    <w:p>
      <w:pPr>
        <w:pStyle w:val="BodyText"/>
        <w:spacing w:line="670" w:lineRule="atLeast" w:before="34"/>
        <w:ind w:left="1554" w:right="1117" w:hanging="420"/>
        <w:jc w:val="left"/>
      </w:pPr>
      <w:bookmarkStart w:name="21、长期待摊费用" w:id="183"/>
      <w:bookmarkEnd w:id="183"/>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spacing w:val="-1"/>
        </w:rPr>
        <w:t>本公司长期待摊费用是指已经支出，但受益期限在一年以上（不含一年）的各项费用。长期待摊费用</w:t>
      </w:r>
    </w:p>
    <w:p>
      <w:pPr>
        <w:spacing w:line="240" w:lineRule="auto" w:before="10"/>
        <w:rPr>
          <w:rFonts w:ascii="宋体" w:hAnsi="宋体" w:cs="宋体" w:eastAsia="宋体" w:hint="default"/>
          <w:sz w:val="14"/>
          <w:szCs w:val="14"/>
        </w:rPr>
      </w:pPr>
    </w:p>
    <w:p>
      <w:pPr>
        <w:pStyle w:val="BodyText"/>
        <w:spacing w:line="410" w:lineRule="auto" w:before="0"/>
        <w:ind w:left="1134" w:right="1117"/>
        <w:jc w:val="left"/>
      </w:pPr>
      <w:r>
        <w:rPr>
          <w:spacing w:val="-1"/>
        </w:rPr>
        <w:t>按费用项目的受益期限分期摊销。若长期待摊的费用项目不能使以后会计期间受益，则将尚未摊销的该项</w:t>
      </w:r>
      <w:r>
        <w:rPr>
          <w:spacing w:val="-80"/>
        </w:rPr>
        <w:t> </w:t>
      </w:r>
      <w:r>
        <w:rPr>
          <w:spacing w:val="-80"/>
        </w:rPr>
      </w:r>
      <w:r>
        <w:rPr/>
        <w:t>目的摊余价值全部转入当期损益。</w:t>
      </w:r>
    </w:p>
    <w:p>
      <w:pPr>
        <w:spacing w:line="240" w:lineRule="auto" w:before="3"/>
        <w:rPr>
          <w:rFonts w:ascii="宋体" w:hAnsi="宋体" w:cs="宋体" w:eastAsia="宋体" w:hint="default"/>
          <w:sz w:val="20"/>
          <w:szCs w:val="20"/>
        </w:rPr>
      </w:pPr>
    </w:p>
    <w:p>
      <w:pPr>
        <w:pStyle w:val="Heading3"/>
        <w:spacing w:line="240" w:lineRule="auto"/>
        <w:ind w:right="1117"/>
        <w:jc w:val="left"/>
        <w:rPr>
          <w:b w:val="0"/>
          <w:bCs w:val="0"/>
        </w:rPr>
      </w:pPr>
      <w:bookmarkStart w:name="22、职工薪酬" w:id="184"/>
      <w:bookmarkEnd w:id="184"/>
      <w:r>
        <w:rPr>
          <w:b w:val="0"/>
          <w:bCs w:val="0"/>
        </w:rPr>
      </w:r>
      <w:r>
        <w:rPr>
          <w:rFonts w:ascii="Times New Roman" w:hAnsi="Times New Roman" w:cs="Times New Roman" w:eastAsia="Times New Roman" w:hint="default"/>
        </w:rPr>
        <w:t>22</w:t>
      </w:r>
      <w:r>
        <w:rPr/>
        <w:t>、职工薪酬</w:t>
      </w:r>
      <w:r>
        <w:rPr>
          <w:b w:val="0"/>
          <w:bCs w:val="0"/>
        </w:rPr>
      </w:r>
    </w:p>
    <w:p>
      <w:pPr>
        <w:spacing w:line="690" w:lineRule="exact" w:before="17"/>
        <w:ind w:left="1554" w:right="1117" w:hanging="420"/>
        <w:jc w:val="left"/>
        <w:rPr>
          <w:rFonts w:ascii="宋体" w:hAnsi="宋体" w:cs="宋体" w:eastAsia="宋体" w:hint="default"/>
          <w:sz w:val="21"/>
          <w:szCs w:val="21"/>
        </w:rPr>
      </w:pPr>
      <w:bookmarkStart w:name="（1）短期薪酬的会计处理方法"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在职工为本公司提供服务的会计期间，将实际发生的短期薪酬确认为负债，并计入当期损益，其他会</w:t>
      </w:r>
    </w:p>
    <w:p>
      <w:pPr>
        <w:pStyle w:val="BodyText"/>
        <w:spacing w:line="408" w:lineRule="auto" w:before="84"/>
        <w:ind w:left="1134" w:right="712"/>
        <w:jc w:val="left"/>
      </w:pPr>
      <w:r>
        <w:rPr/>
        <w:t>计准则要求或允许计入资产成本的除外。本公司发生的职工福利费，在实际发生时根据实际发生额计入当 期损益或相关资产成本。职工福利费为非货币性福利的，按照公允价值计量。企业为职工缴纳的医疗保险 费、工伤保险费、生育保险费等社会保险费和住房公积金，以及按规定提取的工会经费和职工教育经费，</w:t>
      </w:r>
      <w:r>
        <w:rPr>
          <w:spacing w:val="-38"/>
        </w:rPr>
        <w:t> </w:t>
      </w:r>
      <w:r>
        <w:rPr>
          <w:spacing w:val="-38"/>
        </w:rPr>
      </w:r>
      <w:r>
        <w:rPr/>
        <w:t>在职工提供服务的会计期间，根据规定的计提基础和计提比例计算确定相应的职工薪酬金额，并确认相应</w:t>
      </w:r>
      <w:r>
        <w:rPr/>
        <w:t> 负债，计入当期损益或相关资产成本。</w:t>
      </w:r>
    </w:p>
    <w:p>
      <w:pPr>
        <w:spacing w:line="240" w:lineRule="auto" w:before="7"/>
        <w:rPr>
          <w:rFonts w:ascii="宋体" w:hAnsi="宋体" w:cs="宋体" w:eastAsia="宋体" w:hint="default"/>
          <w:sz w:val="20"/>
          <w:szCs w:val="20"/>
        </w:rPr>
      </w:pPr>
    </w:p>
    <w:p>
      <w:pPr>
        <w:pStyle w:val="Heading3"/>
        <w:spacing w:line="240" w:lineRule="auto"/>
        <w:ind w:right="1117"/>
        <w:jc w:val="left"/>
        <w:rPr>
          <w:b w:val="0"/>
          <w:bCs w:val="0"/>
        </w:rPr>
      </w:pPr>
      <w:bookmarkStart w:name="（2）离职后福利的会计处理方法" w:id="186"/>
      <w:bookmarkEnd w:id="18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10" w:lineRule="auto" w:before="0"/>
        <w:ind w:left="1134" w:right="1131" w:firstLine="420"/>
        <w:jc w:val="both"/>
      </w:pPr>
      <w:r>
        <w:rPr>
          <w:spacing w:val="-1"/>
        </w:rPr>
        <w:t>本公司在职工提供服务的会计期间，根据设定提存计划计算的应缴存金额确认为负债，并计入当期损</w:t>
      </w:r>
      <w:r>
        <w:rPr/>
        <w:t> </w:t>
      </w:r>
      <w:r>
        <w:rPr>
          <w:spacing w:val="-1"/>
        </w:rPr>
        <w:t>益或相关资产成本。根据预期累计福利单位法确定的公式将设定受益计划产生的福利义务归属于职工提供</w:t>
      </w:r>
      <w:r>
        <w:rPr>
          <w:spacing w:val="-81"/>
        </w:rPr>
        <w:t> </w:t>
      </w:r>
      <w:r>
        <w:rPr>
          <w:spacing w:val="-81"/>
        </w:rPr>
      </w:r>
      <w:r>
        <w:rPr/>
        <w:t>服务的期间，并计入当期损益或相关资产成本。</w:t>
      </w:r>
    </w:p>
    <w:p>
      <w:pPr>
        <w:spacing w:line="240" w:lineRule="auto" w:before="4"/>
        <w:rPr>
          <w:rFonts w:ascii="宋体" w:hAnsi="宋体" w:cs="宋体" w:eastAsia="宋体" w:hint="default"/>
          <w:sz w:val="20"/>
          <w:szCs w:val="20"/>
        </w:rPr>
      </w:pPr>
    </w:p>
    <w:p>
      <w:pPr>
        <w:pStyle w:val="Heading3"/>
        <w:spacing w:line="240" w:lineRule="auto"/>
        <w:ind w:right="1117"/>
        <w:jc w:val="left"/>
        <w:rPr>
          <w:b w:val="0"/>
          <w:bCs w:val="0"/>
        </w:rPr>
      </w:pPr>
      <w:bookmarkStart w:name="（3）辞退福利的会计处理方法" w:id="187"/>
      <w:bookmarkEnd w:id="18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10" w:lineRule="auto" w:before="0"/>
        <w:ind w:left="1134" w:right="1131" w:firstLine="420"/>
        <w:jc w:val="both"/>
      </w:pPr>
      <w:r>
        <w:rPr>
          <w:spacing w:val="-1"/>
        </w:rPr>
        <w:t>本公司向职工提供辞退福利时，在下列两者孰早日确认辞退福利产生的职工薪酬负债，并计入当期损</w:t>
      </w:r>
      <w:r>
        <w:rPr/>
        <w:t> </w:t>
      </w:r>
      <w:r>
        <w:rPr>
          <w:spacing w:val="-1"/>
        </w:rPr>
        <w:t>益：本公司不能单方面撤回因解除劳动关系计划或裁减建议所提供的辞退福利时；本公司确认与涉及支付</w:t>
      </w:r>
      <w:r>
        <w:rPr>
          <w:spacing w:val="-81"/>
        </w:rPr>
        <w:t> </w:t>
      </w:r>
      <w:r>
        <w:rPr>
          <w:spacing w:val="-81"/>
        </w:rPr>
      </w:r>
      <w:r>
        <w:rPr/>
        <w:t>辞退福利的重组相关的成本或费用时。</w:t>
      </w:r>
    </w:p>
    <w:p>
      <w:pPr>
        <w:spacing w:line="240" w:lineRule="auto" w:before="4"/>
        <w:rPr>
          <w:rFonts w:ascii="宋体" w:hAnsi="宋体" w:cs="宋体" w:eastAsia="宋体" w:hint="default"/>
          <w:sz w:val="20"/>
          <w:szCs w:val="20"/>
        </w:rPr>
      </w:pPr>
    </w:p>
    <w:p>
      <w:pPr>
        <w:pStyle w:val="Heading3"/>
        <w:spacing w:line="240" w:lineRule="auto"/>
        <w:ind w:right="1117"/>
        <w:jc w:val="left"/>
        <w:rPr>
          <w:b w:val="0"/>
          <w:bCs w:val="0"/>
        </w:rPr>
      </w:pPr>
      <w:bookmarkStart w:name="（4）其他长期职工福利的会计处理方法" w:id="188"/>
      <w:bookmarkEnd w:id="18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10" w:lineRule="auto" w:before="0"/>
        <w:ind w:left="1134" w:right="1131" w:firstLine="420"/>
        <w:jc w:val="both"/>
      </w:pPr>
      <w:r>
        <w:rPr>
          <w:spacing w:val="-1"/>
        </w:rPr>
        <w:t>本公司向职工提供的其他长期职工福利，符合设定提存计划条件的，应当按照有关设定提存计划的规</w:t>
      </w:r>
      <w:r>
        <w:rPr/>
        <w:t> 定进行处理；除此外，根据设定受益计划的有关规定，确认和计量其他长期职工福利净负债或净资产。</w:t>
      </w:r>
    </w:p>
    <w:p>
      <w:pPr>
        <w:spacing w:after="0" w:line="410" w:lineRule="auto"/>
        <w:jc w:val="both"/>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both"/>
        <w:rPr>
          <w:b w:val="0"/>
          <w:bCs w:val="0"/>
        </w:rPr>
      </w:pPr>
      <w:bookmarkStart w:name="23、预计负债" w:id="189"/>
      <w:bookmarkEnd w:id="189"/>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134" w:right="1130" w:firstLine="420"/>
        <w:jc w:val="both"/>
      </w:pPr>
      <w:r>
        <w:rPr>
          <w:spacing w:val="-1"/>
        </w:rPr>
        <w:t>当与或有事项相关的义务是公司承担的现时义务，且履行该义务很可能导致经济利益流出，同时其金</w:t>
      </w:r>
      <w:r>
        <w:rPr/>
        <w:t> </w:t>
      </w:r>
      <w:r>
        <w:rPr>
          <w:spacing w:val="-1"/>
        </w:rPr>
        <w:t>额能够可靠地计量时确认该义务为预计负债。本公司按照履行相关现时义务所需支出的最佳估计数进行初</w:t>
      </w:r>
      <w:r>
        <w:rPr>
          <w:spacing w:val="-81"/>
        </w:rPr>
        <w:t> </w:t>
      </w:r>
      <w:r>
        <w:rPr>
          <w:spacing w:val="-81"/>
        </w:rPr>
      </w:r>
      <w:r>
        <w:rPr>
          <w:spacing w:val="-1"/>
        </w:rPr>
        <w:t>始计量，如所需支出存在一个连续范围，且该范围内各种结果发生的可能性相同，最佳估计数按照该范围</w:t>
      </w:r>
      <w:r>
        <w:rPr>
          <w:spacing w:val="-82"/>
        </w:rPr>
        <w:t> </w:t>
      </w:r>
      <w:r>
        <w:rPr>
          <w:spacing w:val="-82"/>
        </w:rPr>
      </w:r>
      <w:r>
        <w:rPr/>
        <w:t>内的中间值确定；如涉及多个项目，按照各种可能结果及相关概率计算确定最佳估计数。</w:t>
      </w:r>
    </w:p>
    <w:p>
      <w:pPr>
        <w:pStyle w:val="BodyText"/>
        <w:spacing w:line="410" w:lineRule="auto" w:before="84"/>
        <w:ind w:right="1132" w:firstLine="420"/>
        <w:jc w:val="both"/>
      </w:pPr>
      <w:r>
        <w:rPr>
          <w:spacing w:val="-1"/>
        </w:rPr>
        <w:t>资产负债表日应当对预计负债账面价值进行复核，有确凿证据表明该账面价值不能真实反映当前最佳</w:t>
      </w:r>
      <w:r>
        <w:rPr/>
        <w:t> 估计数，应当按照当前最佳估计数对该账面价值进行调整。</w:t>
      </w:r>
    </w:p>
    <w:p>
      <w:pPr>
        <w:pStyle w:val="BodyText"/>
        <w:spacing w:line="240" w:lineRule="auto" w:before="85"/>
        <w:ind w:left="1554" w:right="1117"/>
        <w:jc w:val="left"/>
      </w:pPr>
      <w:r>
        <w:rPr/>
        <w:t>依据上述计量方法，公司实际预计负债确认程序为：</w:t>
      </w:r>
    </w:p>
    <w:p>
      <w:pPr>
        <w:spacing w:line="240" w:lineRule="auto" w:before="9"/>
        <w:rPr>
          <w:rFonts w:ascii="宋体" w:hAnsi="宋体" w:cs="宋体" w:eastAsia="宋体" w:hint="default"/>
          <w:sz w:val="17"/>
          <w:szCs w:val="17"/>
        </w:rPr>
      </w:pPr>
    </w:p>
    <w:p>
      <w:pPr>
        <w:pStyle w:val="BodyText"/>
        <w:spacing w:line="410" w:lineRule="auto" w:before="0"/>
        <w:ind w:left="1134" w:right="712" w:firstLine="420"/>
        <w:jc w:val="left"/>
      </w:pPr>
      <w:r>
        <w:rPr>
          <w:spacing w:val="-1"/>
        </w:rPr>
        <w:t>①对工程建造项目产生的预计质保维修费用，根据以往年度经验确定的发生质保维修费用最佳估计数，</w:t>
      </w:r>
      <w:r>
        <w:rPr/>
        <w:t> 按照报告期实际确认的工程建造项目营业收入的</w:t>
      </w:r>
      <w:r>
        <w:rPr>
          <w:spacing w:val="-54"/>
        </w:rPr>
        <w:t> </w:t>
      </w:r>
      <w:r>
        <w:rPr>
          <w:rFonts w:ascii="宋体" w:hAnsi="宋体" w:cs="宋体" w:eastAsia="宋体" w:hint="default"/>
        </w:rPr>
        <w:t>1%</w:t>
      </w:r>
      <w:r>
        <w:rPr/>
        <w:t>确认预计负债。</w:t>
      </w:r>
    </w:p>
    <w:p>
      <w:pPr>
        <w:pStyle w:val="BodyText"/>
        <w:spacing w:line="410" w:lineRule="auto" w:before="82"/>
        <w:ind w:right="1130" w:firstLine="420"/>
        <w:jc w:val="both"/>
      </w:pPr>
      <w:r>
        <w:rPr/>
        <w:t>②对</w:t>
      </w:r>
      <w:r>
        <w:rPr>
          <w:spacing w:val="-63"/>
        </w:rPr>
        <w:t> </w:t>
      </w:r>
      <w:r>
        <w:rPr>
          <w:rFonts w:ascii="宋体" w:hAnsi="宋体" w:cs="宋体" w:eastAsia="宋体" w:hint="default"/>
        </w:rPr>
        <w:t>BOT</w:t>
      </w:r>
      <w:r>
        <w:rPr>
          <w:rFonts w:ascii="宋体" w:hAnsi="宋体" w:cs="宋体" w:eastAsia="宋体" w:hint="default"/>
          <w:spacing w:val="-63"/>
        </w:rPr>
        <w:t> </w:t>
      </w:r>
      <w:r>
        <w:rPr/>
        <w:t>项目产生的预计环保设备大修及更新费用，按照当前确定的最佳估计数确认预计负债，每个 </w:t>
      </w:r>
      <w:r>
        <w:rPr>
          <w:spacing w:val="-1"/>
        </w:rPr>
        <w:t>报告期末对上期确定的最佳估计数进行复核，如有有确凿证据表明该账面价值不能真实反映当前最佳估计</w:t>
      </w:r>
      <w:r>
        <w:rPr>
          <w:spacing w:val="-81"/>
        </w:rPr>
        <w:t> </w:t>
      </w:r>
      <w:r>
        <w:rPr>
          <w:spacing w:val="-81"/>
        </w:rPr>
      </w:r>
      <w:r>
        <w:rPr/>
        <w:t>数，按照当前最佳估计数对该账面价值进行调整。</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bookmarkStart w:name="24、股份支付" w:id="190"/>
      <w:bookmarkEnd w:id="190"/>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本公司股份支付包括以权益结算的股份支付和以现金结算的股份支付。以权益结算的股份支付换取职</w:t>
      </w:r>
      <w:r>
        <w:rPr/>
        <w:t> </w:t>
      </w:r>
      <w:r>
        <w:rPr>
          <w:spacing w:val="-1"/>
        </w:rPr>
        <w:t>工提供服务的，以授予职工权益工具的公允价值计量。存在活跃市场的，按照活跃市场中的报价确定；不</w:t>
      </w:r>
      <w:r>
        <w:rPr>
          <w:spacing w:val="-85"/>
        </w:rPr>
        <w:t> </w:t>
      </w:r>
      <w:r>
        <w:rPr>
          <w:spacing w:val="-85"/>
        </w:rPr>
      </w:r>
      <w:r>
        <w:rPr>
          <w:spacing w:val="-1"/>
        </w:rPr>
        <w:t>存在活跃市场的，采用估值技术确定，包括参考熟悉情况并自愿交易的各方最近进行的市场交易中使用的</w:t>
      </w:r>
      <w:r>
        <w:rPr>
          <w:spacing w:val="-81"/>
        </w:rPr>
        <w:t> </w:t>
      </w:r>
      <w:r>
        <w:rPr>
          <w:spacing w:val="-81"/>
        </w:rPr>
      </w:r>
      <w:r>
        <w:rPr/>
        <w:t>价格、参照实质上相同的其他金融工具的当前公允价值、现金流量折现法和期权定价模型等。</w:t>
      </w:r>
    </w:p>
    <w:p>
      <w:pPr>
        <w:pStyle w:val="BodyText"/>
        <w:spacing w:line="410" w:lineRule="auto" w:before="85"/>
        <w:ind w:left="1134" w:right="1131" w:firstLine="420"/>
        <w:jc w:val="both"/>
      </w:pPr>
      <w:r>
        <w:rPr>
          <w:spacing w:val="-1"/>
        </w:rPr>
        <w:t>在各个资产负债表日，根据最新取得的可行权人数变动、业绩指标完成情况等后续信息，修正预计可</w:t>
      </w:r>
      <w:r>
        <w:rPr/>
        <w:t> </w:t>
      </w:r>
      <w:r>
        <w:rPr>
          <w:spacing w:val="-1"/>
        </w:rPr>
        <w:t>行权的股票期权数量，并以此为依据确认各期应分摊的费用。对于跨越多个会计期间的期权费用，一般可</w:t>
      </w:r>
      <w:r>
        <w:rPr>
          <w:spacing w:val="-83"/>
        </w:rPr>
        <w:t> </w:t>
      </w:r>
      <w:r>
        <w:rPr>
          <w:spacing w:val="-83"/>
        </w:rPr>
      </w:r>
      <w:r>
        <w:rPr/>
        <w:t>以按照该期权在某会计期间内等待期长度占整个等待期长度的比例进行分摊。</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5、收入" w:id="191"/>
      <w:bookmarkEnd w:id="191"/>
      <w:r>
        <w:rPr>
          <w:b w:val="0"/>
          <w:bCs w:val="0"/>
        </w:rPr>
      </w:r>
      <w:r>
        <w:rPr>
          <w:rFonts w:ascii="Times New Roman" w:hAnsi="Times New Roman" w:cs="Times New Roman" w:eastAsia="Times New Roman" w:hint="default"/>
        </w:rPr>
        <w:t>25</w:t>
      </w:r>
      <w:r>
        <w:rPr/>
        <w:t>、收入</w:t>
      </w:r>
      <w:r>
        <w:rPr>
          <w:b w:val="0"/>
          <w:bCs w:val="0"/>
        </w:rPr>
      </w:r>
    </w:p>
    <w:p>
      <w:pPr>
        <w:spacing w:line="240" w:lineRule="auto" w:before="9"/>
        <w:rPr>
          <w:rFonts w:ascii="宋体" w:hAnsi="宋体" w:cs="宋体" w:eastAsia="宋体" w:hint="default"/>
          <w:b/>
          <w:bCs/>
          <w:sz w:val="30"/>
          <w:szCs w:val="30"/>
        </w:rPr>
      </w:pPr>
    </w:p>
    <w:p>
      <w:pPr>
        <w:pStyle w:val="BodyText"/>
        <w:spacing w:line="441" w:lineRule="auto" w:before="0"/>
        <w:ind w:left="1553" w:right="1117"/>
        <w:jc w:val="left"/>
      </w:pPr>
      <w:r>
        <w:rPr>
          <w:rFonts w:ascii="宋体" w:hAnsi="宋体" w:cs="宋体" w:eastAsia="宋体" w:hint="default"/>
        </w:rPr>
        <w:t>1</w:t>
      </w:r>
      <w:r>
        <w:rPr/>
        <w:t>、销售商品 </w:t>
      </w:r>
      <w:r>
        <w:rPr>
          <w:spacing w:val="-1"/>
        </w:rPr>
        <w:t>公司按照从购货方已收或应收的合同或协议价款确定销售商品收入金额，但已收或应收的合同或协议</w:t>
      </w:r>
    </w:p>
    <w:p>
      <w:pPr>
        <w:pStyle w:val="BodyText"/>
        <w:spacing w:line="410" w:lineRule="auto" w:before="17"/>
        <w:ind w:right="1131"/>
        <w:jc w:val="both"/>
      </w:pPr>
      <w:r>
        <w:rPr>
          <w:spacing w:val="-1"/>
        </w:rPr>
        <w:t>价款不公允的除外。合同或协议价款的收取采用递延方式，实质上具有融资性质的，按照应收的合同或协</w:t>
      </w:r>
      <w:r>
        <w:rPr>
          <w:spacing w:val="-83"/>
        </w:rPr>
        <w:t> </w:t>
      </w:r>
      <w:r>
        <w:rPr>
          <w:spacing w:val="-83"/>
        </w:rPr>
      </w:r>
      <w:r>
        <w:rPr>
          <w:spacing w:val="-1"/>
        </w:rPr>
        <w:t>议价款的公允价值确定销售商品收入金额。应收的合同或协议价款与其公允价值之间的差额，在合同或协</w:t>
      </w:r>
      <w:r>
        <w:rPr>
          <w:spacing w:val="-81"/>
        </w:rPr>
        <w:t> </w:t>
      </w:r>
      <w:r>
        <w:rPr>
          <w:spacing w:val="-81"/>
        </w:rPr>
      </w:r>
      <w:r>
        <w:rPr/>
        <w:t>议期间内采用实际利率法进行摊销，计入当期损益。</w:t>
      </w:r>
    </w:p>
    <w:p>
      <w:pPr>
        <w:spacing w:after="0" w:line="410"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10" w:lineRule="auto" w:before="35"/>
        <w:ind w:left="1134" w:right="1131" w:firstLine="420"/>
        <w:jc w:val="both"/>
      </w:pPr>
      <w:r>
        <w:rPr>
          <w:spacing w:val="-1"/>
        </w:rPr>
        <w:t>销售商品涉及现金折扣的，按照扣除现金折扣前的金额确定销售商品收入金额。销售商品涉及商业折</w:t>
      </w:r>
      <w:r>
        <w:rPr/>
        <w:t> </w:t>
      </w:r>
      <w:r>
        <w:rPr>
          <w:spacing w:val="-1"/>
        </w:rPr>
        <w:t>扣的，按照扣除商业折扣后的金额确定销售商品收入金额。本公司已经确认销售商品收入的售出商品发生</w:t>
      </w:r>
      <w:r>
        <w:rPr>
          <w:spacing w:val="-81"/>
        </w:rPr>
        <w:t> </w:t>
      </w:r>
      <w:r>
        <w:rPr>
          <w:spacing w:val="-81"/>
        </w:rPr>
      </w:r>
      <w:r>
        <w:rPr/>
        <w:t>销售折让的，在发生时冲减当期销售商品收入。</w:t>
      </w:r>
    </w:p>
    <w:p>
      <w:pPr>
        <w:pStyle w:val="BodyText"/>
        <w:spacing w:line="444" w:lineRule="auto" w:before="84"/>
        <w:ind w:left="1553" w:right="1117"/>
        <w:jc w:val="left"/>
      </w:pPr>
      <w:r>
        <w:rPr/>
        <w:t>公司已经确认销售商品收入的售出商品发生销售退回的，在发生时冲减当期销售商品收入。 确认销售收入具体方法： </w:t>
      </w:r>
      <w:r>
        <w:rPr>
          <w:spacing w:val="-1"/>
        </w:rPr>
        <w:t>系统产品销售收入：公司对需要安装的监控系统等，根据和客户签订的系统产品销售合同经审批后组</w:t>
      </w:r>
    </w:p>
    <w:p>
      <w:pPr>
        <w:pStyle w:val="BodyText"/>
        <w:spacing w:line="410" w:lineRule="auto" w:before="14"/>
        <w:ind w:left="1134" w:right="1117"/>
        <w:jc w:val="left"/>
      </w:pPr>
      <w:r>
        <w:rPr>
          <w:spacing w:val="-1"/>
        </w:rPr>
        <w:t>织发货，项目安装完毕，客户验收后出具安装调试报告或验收报告，公司根据合同、销售出库单、货物回</w:t>
      </w:r>
      <w:r>
        <w:rPr>
          <w:spacing w:val="-83"/>
        </w:rPr>
        <w:t> </w:t>
      </w:r>
      <w:r>
        <w:rPr>
          <w:spacing w:val="-83"/>
        </w:rPr>
      </w:r>
      <w:r>
        <w:rPr/>
        <w:t>单、安装调试报告或验收报告确认收入。</w:t>
      </w:r>
    </w:p>
    <w:p>
      <w:pPr>
        <w:pStyle w:val="BodyText"/>
        <w:spacing w:line="410" w:lineRule="auto" w:before="82"/>
        <w:ind w:left="1134" w:right="1017" w:firstLine="420"/>
        <w:jc w:val="left"/>
      </w:pPr>
      <w:r>
        <w:rPr>
          <w:spacing w:val="-3"/>
        </w:rPr>
        <w:t>环保设备销售收入：公司的环保设备销售业务收入确认根据销售合同约定，按以下两种方式确认收入：</w:t>
      </w:r>
      <w:r>
        <w:rPr/>
        <w:t> </w:t>
      </w:r>
      <w:r>
        <w:rPr>
          <w:rFonts w:ascii="宋体" w:hAnsi="宋体" w:cs="宋体" w:eastAsia="宋体" w:hint="default"/>
        </w:rPr>
        <w:t>1</w:t>
      </w:r>
      <w:r>
        <w:rPr/>
        <w:t>）不承担安装义务的产品：公司将产品运输到合同约定地点，由客户负责签收，公司依据签收单回执，</w:t>
      </w:r>
      <w:r>
        <w:rPr>
          <w:spacing w:val="-34"/>
        </w:rPr>
        <w:t> </w:t>
      </w:r>
      <w:r>
        <w:rPr>
          <w:spacing w:val="-34"/>
        </w:rPr>
      </w:r>
      <w:r>
        <w:rPr/>
        <w:t>确认为当期销售收入；</w:t>
      </w:r>
      <w:r>
        <w:rPr>
          <w:rFonts w:ascii="宋体" w:hAnsi="宋体" w:cs="宋体" w:eastAsia="宋体" w:hint="default"/>
        </w:rPr>
        <w:t>2</w:t>
      </w:r>
      <w:r>
        <w:rPr/>
        <w:t>）承担安装义务的产品：在产品单机安装验收合格后确认为当期销售收入。</w:t>
      </w:r>
    </w:p>
    <w:p>
      <w:pPr>
        <w:pStyle w:val="BodyText"/>
        <w:spacing w:line="410" w:lineRule="auto" w:before="83"/>
        <w:ind w:left="1134" w:right="1117" w:firstLine="420"/>
        <w:jc w:val="left"/>
      </w:pPr>
      <w:r>
        <w:rPr>
          <w:spacing w:val="-1"/>
        </w:rPr>
        <w:t>系统集成产品销售收入：公司根据和客户签订的系统集成产品销售合同约定，经审批后组织发货并安</w:t>
      </w:r>
      <w:r>
        <w:rPr/>
        <w:t> 装调试，客户进行初验，公司根据初验报告确认收入。</w:t>
      </w:r>
    </w:p>
    <w:p>
      <w:pPr>
        <w:pStyle w:val="BodyText"/>
        <w:spacing w:line="410" w:lineRule="auto" w:before="82"/>
        <w:ind w:left="1134" w:right="712" w:firstLine="420"/>
        <w:jc w:val="left"/>
      </w:pPr>
      <w:r>
        <w:rPr/>
        <w:t>软件产品销售收入：公司根据和客户签订的软件产品销售合同约定，经审批后组织发货并安装调试， 客户进行初验，公司根据初验报告确认收入。</w:t>
      </w:r>
    </w:p>
    <w:p>
      <w:pPr>
        <w:pStyle w:val="BodyText"/>
        <w:spacing w:line="410" w:lineRule="auto" w:before="82"/>
        <w:ind w:left="1134" w:right="712" w:firstLine="420"/>
        <w:jc w:val="left"/>
      </w:pPr>
      <w:r>
        <w:rPr/>
        <w:t>其他产品销售收入：根据和客户签订的产品销售合同经审批后组织发货，产品送达客户指定地点后， 由客户检验核对无误，验收后出具收货或验收确认单据，公司根据合同、销售出库单、货物回单、收货或 验收确认单据确认收入。</w:t>
      </w:r>
    </w:p>
    <w:p>
      <w:pPr>
        <w:pStyle w:val="BodyText"/>
        <w:spacing w:line="444" w:lineRule="auto" w:before="85"/>
        <w:ind w:left="1554" w:right="8022"/>
        <w:jc w:val="left"/>
      </w:pPr>
      <w:r>
        <w:rPr>
          <w:rFonts w:ascii="宋体" w:hAnsi="宋体" w:cs="宋体" w:eastAsia="宋体" w:hint="default"/>
        </w:rPr>
        <w:t>2</w:t>
      </w:r>
      <w:r>
        <w:rPr/>
        <w:t>、提供劳务 确认劳务收入具体方法：</w:t>
      </w:r>
    </w:p>
    <w:p>
      <w:pPr>
        <w:pStyle w:val="BodyText"/>
        <w:spacing w:line="444" w:lineRule="auto" w:before="54"/>
        <w:ind w:left="1554" w:right="1117"/>
        <w:jc w:val="left"/>
      </w:pPr>
      <w:r>
        <w:rPr/>
        <w:t>运营收入：按每个月计量的实际处理的工作量（水量或气量等）经业主确认后确认收入。 </w:t>
      </w:r>
      <w:r>
        <w:rPr>
          <w:spacing w:val="-1"/>
        </w:rPr>
        <w:t>技术服务收入：公司在完成技术服务合同中约定结算的具体服务内容并提交相应技术服务成果，经业</w:t>
      </w:r>
    </w:p>
    <w:p>
      <w:pPr>
        <w:pStyle w:val="BodyText"/>
        <w:spacing w:line="441" w:lineRule="auto" w:before="16"/>
        <w:ind w:left="1554" w:right="1117" w:hanging="420"/>
        <w:jc w:val="left"/>
      </w:pPr>
      <w:r>
        <w:rPr/>
        <w:t>主确认后确认收入。 </w:t>
      </w:r>
      <w:r>
        <w:rPr>
          <w:spacing w:val="-1"/>
        </w:rPr>
        <w:t>工程收入：对于公司提供的土建、安装等劳务，按照实际发生的成本占预计总成本的比例计算的完工</w:t>
      </w:r>
    </w:p>
    <w:p>
      <w:pPr>
        <w:pStyle w:val="BodyText"/>
        <w:spacing w:line="410" w:lineRule="auto" w:before="16"/>
        <w:ind w:left="1134" w:right="1117"/>
        <w:jc w:val="left"/>
      </w:pPr>
      <w:r>
        <w:rPr>
          <w:spacing w:val="-1"/>
        </w:rPr>
        <w:t>进度确认营业收入，并需取得完工进度外部确认文件。外部确认文件包括但不限于最终验收报告、工程量</w:t>
      </w:r>
      <w:r>
        <w:rPr>
          <w:spacing w:val="-83"/>
        </w:rPr>
        <w:t> </w:t>
      </w:r>
      <w:r>
        <w:rPr>
          <w:spacing w:val="-83"/>
        </w:rPr>
      </w:r>
      <w:r>
        <w:rPr/>
        <w:t>确认单或其他按照业主统一格式出具的验收文件等。</w:t>
      </w:r>
    </w:p>
    <w:p>
      <w:pPr>
        <w:pStyle w:val="BodyText"/>
        <w:spacing w:line="444" w:lineRule="auto" w:before="84"/>
        <w:ind w:left="1554" w:right="1117"/>
        <w:jc w:val="left"/>
      </w:pPr>
      <w:r>
        <w:rPr>
          <w:rFonts w:ascii="宋体" w:hAnsi="宋体" w:cs="宋体" w:eastAsia="宋体" w:hint="default"/>
        </w:rPr>
        <w:t>3</w:t>
      </w:r>
      <w:r>
        <w:rPr/>
        <w:t>、让渡资产使用权 </w:t>
      </w:r>
      <w:r>
        <w:rPr>
          <w:spacing w:val="-1"/>
        </w:rPr>
        <w:t>让渡资产使用权根据与资产使用权让渡相关的经济利益能够流入及收入的金额能够可靠地计量时，确</w:t>
      </w:r>
    </w:p>
    <w:p>
      <w:pPr>
        <w:spacing w:after="0" w:line="444" w:lineRule="auto"/>
        <w:jc w:val="left"/>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left="1134" w:right="0"/>
        <w:jc w:val="both"/>
      </w:pPr>
      <w:r>
        <w:rPr/>
        <w:t>认收入。</w:t>
      </w:r>
    </w:p>
    <w:p>
      <w:pPr>
        <w:spacing w:line="240" w:lineRule="auto" w:before="10"/>
        <w:rPr>
          <w:rFonts w:ascii="宋体" w:hAnsi="宋体" w:cs="宋体" w:eastAsia="宋体" w:hint="default"/>
          <w:sz w:val="17"/>
          <w:szCs w:val="17"/>
        </w:rPr>
      </w:pPr>
    </w:p>
    <w:p>
      <w:pPr>
        <w:pStyle w:val="BodyText"/>
        <w:spacing w:line="240" w:lineRule="auto" w:before="0"/>
        <w:ind w:left="1554" w:right="1117"/>
        <w:jc w:val="left"/>
      </w:pPr>
      <w:r>
        <w:rPr>
          <w:rFonts w:ascii="宋体" w:hAnsi="宋体" w:cs="宋体" w:eastAsia="宋体" w:hint="default"/>
        </w:rPr>
        <w:t>4</w:t>
      </w:r>
      <w:r>
        <w:rPr/>
        <w:t>、建造合同</w:t>
      </w:r>
    </w:p>
    <w:p>
      <w:pPr>
        <w:spacing w:line="240" w:lineRule="auto" w:before="12"/>
        <w:rPr>
          <w:rFonts w:ascii="宋体" w:hAnsi="宋体" w:cs="宋体" w:eastAsia="宋体" w:hint="default"/>
          <w:sz w:val="17"/>
          <w:szCs w:val="17"/>
        </w:rPr>
      </w:pPr>
    </w:p>
    <w:p>
      <w:pPr>
        <w:pStyle w:val="BodyText"/>
        <w:spacing w:line="240" w:lineRule="auto" w:before="0"/>
        <w:ind w:left="1554" w:right="1117"/>
        <w:jc w:val="left"/>
      </w:pPr>
      <w:r>
        <w:rPr>
          <w:rFonts w:ascii="宋体" w:hAnsi="宋体" w:cs="宋体" w:eastAsia="宋体" w:hint="default"/>
        </w:rPr>
        <w:t>BOT</w:t>
      </w:r>
      <w:r>
        <w:rPr>
          <w:rFonts w:ascii="宋体" w:hAnsi="宋体" w:cs="宋体" w:eastAsia="宋体" w:hint="default"/>
          <w:spacing w:val="-54"/>
        </w:rPr>
        <w:t> </w:t>
      </w:r>
      <w:r>
        <w:rPr/>
        <w:t>项目收入确认的具体方式：</w:t>
      </w:r>
    </w:p>
    <w:p>
      <w:pPr>
        <w:spacing w:line="240" w:lineRule="auto" w:before="10"/>
        <w:rPr>
          <w:rFonts w:ascii="宋体" w:hAnsi="宋体" w:cs="宋体" w:eastAsia="宋体" w:hint="default"/>
          <w:sz w:val="17"/>
          <w:szCs w:val="17"/>
        </w:rPr>
      </w:pPr>
    </w:p>
    <w:p>
      <w:pPr>
        <w:pStyle w:val="BodyText"/>
        <w:spacing w:line="240" w:lineRule="auto" w:before="0"/>
        <w:ind w:left="1554" w:right="712"/>
        <w:jc w:val="left"/>
      </w:pPr>
      <w:r>
        <w:rPr/>
        <w:t>建造期间，公司对于所提供的建造服务按照《企业会计准则第 </w:t>
      </w:r>
      <w:r>
        <w:rPr>
          <w:rFonts w:ascii="宋体" w:hAnsi="宋体" w:cs="宋体" w:eastAsia="宋体" w:hint="default"/>
        </w:rPr>
        <w:t>15</w:t>
      </w:r>
      <w:r>
        <w:rPr>
          <w:rFonts w:ascii="宋体" w:hAnsi="宋体" w:cs="宋体" w:eastAsia="宋体" w:hint="default"/>
          <w:spacing w:val="-22"/>
        </w:rPr>
        <w:t> </w:t>
      </w:r>
      <w:r>
        <w:rPr/>
        <w:t>号——建造合同》确认相关的收入</w:t>
      </w:r>
    </w:p>
    <w:p>
      <w:pPr>
        <w:spacing w:line="240" w:lineRule="auto" w:before="10"/>
        <w:rPr>
          <w:rFonts w:ascii="宋体" w:hAnsi="宋体" w:cs="宋体" w:eastAsia="宋体" w:hint="default"/>
          <w:sz w:val="14"/>
          <w:szCs w:val="14"/>
        </w:rPr>
      </w:pPr>
    </w:p>
    <w:p>
      <w:pPr>
        <w:pStyle w:val="BodyText"/>
        <w:spacing w:line="410" w:lineRule="auto" w:before="0"/>
        <w:ind w:left="1134" w:right="1131"/>
        <w:jc w:val="both"/>
      </w:pPr>
      <w:r>
        <w:rPr/>
        <w:t>和费用。基础设施建成后，项目公司按照《企业会计准则第 </w:t>
      </w:r>
      <w:r>
        <w:rPr>
          <w:rFonts w:ascii="宋体" w:hAnsi="宋体" w:cs="宋体" w:eastAsia="宋体" w:hint="default"/>
        </w:rPr>
        <w:t>14</w:t>
      </w:r>
      <w:r>
        <w:rPr>
          <w:rFonts w:ascii="宋体" w:hAnsi="宋体" w:cs="宋体" w:eastAsia="宋体" w:hint="default"/>
          <w:spacing w:val="-22"/>
        </w:rPr>
        <w:t> </w:t>
      </w:r>
      <w:r>
        <w:rPr/>
        <w:t>号——收入》确认与后续经营服务相关的 </w:t>
      </w:r>
      <w:r>
        <w:rPr>
          <w:spacing w:val="-1"/>
        </w:rPr>
        <w:t>收入。建造合同收入按照收取或应收对价的公允价值计量，并分别以下情况在确认收入的同时，确认金融</w:t>
      </w:r>
      <w:r>
        <w:rPr>
          <w:spacing w:val="-83"/>
        </w:rPr>
        <w:t> </w:t>
      </w:r>
      <w:r>
        <w:rPr>
          <w:spacing w:val="-83"/>
        </w:rPr>
      </w:r>
      <w:r>
        <w:rPr/>
        <w:t>资产或无形资产：</w:t>
      </w:r>
    </w:p>
    <w:p>
      <w:pPr>
        <w:pStyle w:val="BodyText"/>
        <w:spacing w:line="408" w:lineRule="auto" w:before="82"/>
        <w:ind w:left="1134" w:right="1130" w:firstLine="420"/>
        <w:jc w:val="both"/>
      </w:pPr>
      <w:r>
        <w:rPr>
          <w:spacing w:val="-1"/>
        </w:rPr>
        <w:t>合同规定基础设施建成后的一定期间内，项目公司可以无条件地自合同授予方收取确定金额的货币资</w:t>
      </w:r>
      <w:r>
        <w:rPr/>
        <w:t> </w:t>
      </w:r>
      <w:r>
        <w:rPr>
          <w:spacing w:val="-1"/>
        </w:rPr>
        <w:t>金或其他金融资产的；或在项目公司提供经营服务的收费低于某一限定金额的情况下，合同授予方按照合</w:t>
      </w:r>
      <w:r>
        <w:rPr>
          <w:spacing w:val="-81"/>
        </w:rPr>
        <w:t> </w:t>
      </w:r>
      <w:r>
        <w:rPr>
          <w:spacing w:val="-81"/>
        </w:rPr>
      </w:r>
      <w:r>
        <w:rPr>
          <w:spacing w:val="-1"/>
        </w:rPr>
        <w:t>同规定负责将有关差价补偿给项目公司的，应当在确认收入的同时确认金融资产，并按照《企业会计准则</w:t>
      </w:r>
      <w:r>
        <w:rPr>
          <w:spacing w:val="-83"/>
        </w:rPr>
        <w:t> </w:t>
      </w:r>
      <w:r>
        <w:rPr>
          <w:spacing w:val="-83"/>
        </w:rPr>
      </w:r>
      <w:r>
        <w:rPr/>
        <w:t>第</w:t>
      </w:r>
      <w:r>
        <w:rPr>
          <w:spacing w:val="-55"/>
        </w:rPr>
        <w:t> </w:t>
      </w:r>
      <w:r>
        <w:rPr>
          <w:rFonts w:ascii="宋体" w:hAnsi="宋体" w:cs="宋体" w:eastAsia="宋体" w:hint="default"/>
        </w:rPr>
        <w:t>22</w:t>
      </w:r>
      <w:r>
        <w:rPr>
          <w:rFonts w:ascii="宋体" w:hAnsi="宋体" w:cs="宋体" w:eastAsia="宋体" w:hint="default"/>
          <w:spacing w:val="-54"/>
        </w:rPr>
        <w:t> </w:t>
      </w:r>
      <w:r>
        <w:rPr/>
        <w:t>号——金融工具确认和计量》的规定处理。</w:t>
      </w:r>
    </w:p>
    <w:p>
      <w:pPr>
        <w:pStyle w:val="BodyText"/>
        <w:spacing w:line="410" w:lineRule="auto" w:before="85"/>
        <w:ind w:left="1134" w:right="712" w:firstLine="420"/>
        <w:jc w:val="left"/>
      </w:pPr>
      <w:r>
        <w:rPr>
          <w:spacing w:val="-1"/>
        </w:rPr>
        <w:t>合同规定项目公司在有关基础设施建成后，从事经营的一定期间内有权利向获取服务的对象收取费用，</w:t>
      </w:r>
      <w:r>
        <w:rPr/>
        <w:t> 但收费金额不确定的，该权利不构成一项无条件收取现金的权利，项目公司在确认收入的同时确认无形资 产。</w:t>
      </w:r>
    </w:p>
    <w:p>
      <w:pPr>
        <w:pStyle w:val="BodyText"/>
        <w:spacing w:line="410" w:lineRule="auto" w:before="83"/>
        <w:ind w:left="1134" w:right="1117" w:firstLine="420"/>
        <w:jc w:val="left"/>
      </w:pPr>
      <w:r>
        <w:rPr>
          <w:spacing w:val="-1"/>
        </w:rPr>
        <w:t>项目公司未提供实际建造服务，将基础设施建造发包给其他方的，不确认建造服务收入，按照建造过</w:t>
      </w:r>
      <w:r>
        <w:rPr/>
        <w:t> 程中支付的工程价款等考虑合同规定，分别确认为金融资产或无形资产。</w:t>
      </w:r>
    </w:p>
    <w:p>
      <w:pPr>
        <w:pStyle w:val="BodyText"/>
        <w:spacing w:line="410" w:lineRule="auto" w:before="82"/>
        <w:ind w:right="712" w:firstLine="420"/>
        <w:jc w:val="left"/>
      </w:pPr>
      <w:r>
        <w:rPr/>
        <w:t>对于公司提供的建造服务，按照实际发生的成本占预计总成本的比例计算的完工进度确认营业收入， 并需取得完工进度外部确认文件。外部确认文件包括但不限于最终验收报告、工程量确认单或其他按照业 主统一格式出具的验收文件等。</w:t>
      </w:r>
    </w:p>
    <w:p>
      <w:pPr>
        <w:spacing w:line="240" w:lineRule="auto" w:before="4"/>
        <w:rPr>
          <w:rFonts w:ascii="宋体" w:hAnsi="宋体" w:cs="宋体" w:eastAsia="宋体" w:hint="default"/>
          <w:sz w:val="20"/>
          <w:szCs w:val="20"/>
        </w:rPr>
      </w:pPr>
    </w:p>
    <w:p>
      <w:pPr>
        <w:pStyle w:val="Heading3"/>
        <w:spacing w:line="240" w:lineRule="auto"/>
        <w:ind w:left="1133" w:right="0"/>
        <w:jc w:val="both"/>
        <w:rPr>
          <w:b w:val="0"/>
          <w:bCs w:val="0"/>
        </w:rPr>
      </w:pPr>
      <w:bookmarkStart w:name="26、政府补助" w:id="192"/>
      <w:bookmarkEnd w:id="192"/>
      <w:r>
        <w:rPr>
          <w:b w:val="0"/>
          <w:bCs w:val="0"/>
        </w:rPr>
      </w:r>
      <w:r>
        <w:rPr>
          <w:rFonts w:ascii="Times New Roman" w:hAnsi="Times New Roman" w:cs="Times New Roman" w:eastAsia="Times New Roman" w:hint="default"/>
        </w:rPr>
        <w:t>26</w:t>
      </w:r>
      <w:r>
        <w:rPr/>
        <w:t>、政府补助</w:t>
      </w:r>
      <w:r>
        <w:rPr>
          <w:b w:val="0"/>
          <w:bCs w:val="0"/>
        </w:rPr>
      </w:r>
    </w:p>
    <w:p>
      <w:pPr>
        <w:spacing w:line="690" w:lineRule="exact" w:before="15"/>
        <w:ind w:left="1554" w:right="1117" w:hanging="420"/>
        <w:jc w:val="left"/>
        <w:rPr>
          <w:rFonts w:ascii="宋体" w:hAnsi="宋体" w:cs="宋体" w:eastAsia="宋体" w:hint="default"/>
          <w:sz w:val="21"/>
          <w:szCs w:val="21"/>
        </w:rPr>
      </w:pPr>
      <w:bookmarkStart w:name="（1）与资产相关的政府补助判断依据及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本公司取得的、用于购建或以其他方式形成长期资产的政府补助，确认为与资产相关的政府补助，与</w:t>
      </w:r>
    </w:p>
    <w:p>
      <w:pPr>
        <w:pStyle w:val="BodyText"/>
        <w:spacing w:line="408" w:lineRule="auto" w:before="84"/>
        <w:ind w:left="1134" w:right="1133"/>
        <w:jc w:val="both"/>
      </w:pPr>
      <w:r>
        <w:rPr>
          <w:spacing w:val="-1"/>
        </w:rPr>
        <w:t>资产相关的政府补助，确认为递延收益，自相关资产可供使用时起，按照相关资产的预计使用期限，将递</w:t>
      </w:r>
      <w:r>
        <w:rPr>
          <w:spacing w:val="-86"/>
        </w:rPr>
        <w:t> </w:t>
      </w:r>
      <w:r>
        <w:rPr>
          <w:spacing w:val="-86"/>
        </w:rPr>
      </w:r>
      <w:r>
        <w:rPr/>
        <w:t>延收益平均分摊转入当期损益。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与收益相关的政府补助判断依据及会计处理方法" w:id="194"/>
      <w:bookmarkEnd w:id="19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17" w:firstLine="420"/>
        <w:jc w:val="left"/>
      </w:pPr>
      <w:r>
        <w:rPr>
          <w:spacing w:val="-1"/>
        </w:rPr>
        <w:t>除与资产相关的政府补助之外的政府补助，确认为与收益相关的政府补助。分别下列情况处理：用于</w:t>
      </w:r>
      <w:r>
        <w:rPr/>
        <w:t> </w:t>
      </w:r>
      <w:r>
        <w:rPr>
          <w:spacing w:val="-1"/>
        </w:rPr>
        <w:t>补偿企业以后期间的相关费用或损失的，确认为递延收益，并在确认相关费用的期间，计入当期损益；用</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553" w:right="1117" w:hanging="420"/>
        <w:jc w:val="left"/>
      </w:pPr>
      <w:r>
        <w:rPr/>
        <w:t>于补偿企业已发生的相关费用或损失的，直接计入当期损益。 区分与资产相关政府补助和与收益相关政府补助的具体标准 </w:t>
      </w:r>
      <w:r>
        <w:rPr>
          <w:spacing w:val="-1"/>
        </w:rPr>
        <w:t>若政府文件未明确规定补助对象，将该政府补助划分为与资产相关或与收益相关的判断依据：①政府</w:t>
      </w:r>
    </w:p>
    <w:p>
      <w:pPr>
        <w:pStyle w:val="BodyText"/>
        <w:spacing w:line="408" w:lineRule="auto"/>
        <w:ind w:right="1131"/>
        <w:jc w:val="both"/>
      </w:pPr>
      <w:r>
        <w:rPr>
          <w:spacing w:val="-1"/>
        </w:rPr>
        <w:t>文件明确了补助所针对的特定项目的，根据该特定项目的预算中将形成资产的支出金额和计入费用的支出</w:t>
      </w:r>
      <w:r>
        <w:rPr>
          <w:spacing w:val="-81"/>
        </w:rPr>
        <w:t> </w:t>
      </w:r>
      <w:r>
        <w:rPr>
          <w:spacing w:val="-81"/>
        </w:rPr>
      </w:r>
      <w:r>
        <w:rPr>
          <w:spacing w:val="-1"/>
        </w:rPr>
        <w:t>金额的相对比例进行划分，对该划分比例需在每个资产负债表日进行复核，必要时进行变更；②政府文件</w:t>
      </w:r>
      <w:r>
        <w:rPr>
          <w:spacing w:val="-83"/>
        </w:rPr>
        <w:t> </w:t>
      </w:r>
      <w:r>
        <w:rPr>
          <w:spacing w:val="-83"/>
        </w:rPr>
      </w:r>
      <w:r>
        <w:rPr/>
        <w:t>中对用途仅作一般性表述，没有指明特定项目的，作为与收益相关的政府补助。</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27、递延所得税资产/递延所得税负债" w:id="195"/>
      <w:bookmarkEnd w:id="195"/>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rFonts w:ascii="宋体" w:hAnsi="宋体" w:cs="宋体" w:eastAsia="宋体" w:hint="default"/>
        </w:rPr>
        <w:t>1</w:t>
      </w:r>
      <w:r>
        <w:rPr/>
        <w:t>、根据资产、负债的账面价值与其计税基础之间的差额（未作为资产和负债确认的项目按照税法规 </w:t>
      </w:r>
      <w:r>
        <w:rPr>
          <w:spacing w:val="-1"/>
        </w:rPr>
        <w:t>定可以确定其计税基础的，确定该计税基础为其差额），按照预期收回该资产或清偿该负债期间的适用税</w:t>
      </w:r>
      <w:r>
        <w:rPr>
          <w:spacing w:val="-83"/>
        </w:rPr>
        <w:t> </w:t>
      </w:r>
      <w:r>
        <w:rPr>
          <w:spacing w:val="-83"/>
        </w:rPr>
      </w:r>
      <w:r>
        <w:rPr/>
        <w:t>率计算确认递延所得税资产或递延所得税负债。</w:t>
      </w:r>
    </w:p>
    <w:p>
      <w:pPr>
        <w:pStyle w:val="BodyText"/>
        <w:spacing w:line="408" w:lineRule="auto"/>
        <w:ind w:left="1134" w:right="1131" w:firstLine="420"/>
        <w:jc w:val="both"/>
      </w:pPr>
      <w:r>
        <w:rPr>
          <w:rFonts w:ascii="宋体" w:hAnsi="宋体" w:cs="宋体" w:eastAsia="宋体" w:hint="default"/>
        </w:rPr>
        <w:t>2</w:t>
      </w:r>
      <w:r>
        <w:rPr/>
        <w:t>、递延所得税资产的确认以很可能取得用来抵扣可抵扣暂时性差异的应纳税所得额为限。资产负债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spacing w:val="-1"/>
        </w:rPr>
        <w:t>会计期间未确认的递延所得税资产。如未来期间很可能无法获得足够的应纳税所得额用以抵扣递延所得税</w:t>
      </w:r>
      <w:r>
        <w:rPr>
          <w:spacing w:val="-81"/>
        </w:rPr>
        <w:t> </w:t>
      </w:r>
      <w:r>
        <w:rPr>
          <w:spacing w:val="-81"/>
        </w:rPr>
      </w:r>
      <w:r>
        <w:rPr/>
        <w:t>资产的，则减记递延所得税资产的账面价值。</w:t>
      </w:r>
    </w:p>
    <w:p>
      <w:pPr>
        <w:pStyle w:val="BodyText"/>
        <w:spacing w:line="408" w:lineRule="auto"/>
        <w:ind w:left="1134" w:right="1131" w:firstLine="420"/>
        <w:jc w:val="both"/>
      </w:pPr>
      <w:r>
        <w:rPr>
          <w:rFonts w:ascii="宋体" w:hAnsi="宋体" w:cs="宋体" w:eastAsia="宋体" w:hint="default"/>
        </w:rPr>
        <w:t>3</w:t>
      </w:r>
      <w:r>
        <w:rPr/>
        <w:t>、对与子公司及联营企业投资相关的应纳税暂时性差异，确认递延所得税负债，除非本公司能够控 </w:t>
      </w:r>
      <w:r>
        <w:rPr>
          <w:spacing w:val="-1"/>
        </w:rPr>
        <w:t>制暂时性差异转回的时间且该暂时性差异在可预见的未来很可能不会转回。对与子公司及联营企业投资相</w:t>
      </w:r>
      <w:r>
        <w:rPr>
          <w:spacing w:val="-81"/>
        </w:rPr>
        <w:t> </w:t>
      </w:r>
      <w:r>
        <w:rPr>
          <w:spacing w:val="-81"/>
        </w:rPr>
      </w:r>
      <w:r>
        <w:rPr>
          <w:spacing w:val="-1"/>
        </w:rPr>
        <w:t>关的可抵扣暂时性差异，当该暂时性差异在可预见的未来很可能转回且未来很可能获得用来抵扣可抵扣暂</w:t>
      </w:r>
      <w:r>
        <w:rPr>
          <w:spacing w:val="-81"/>
        </w:rPr>
        <w:t> </w:t>
      </w:r>
      <w:r>
        <w:rPr>
          <w:spacing w:val="-81"/>
        </w:rPr>
      </w:r>
      <w:r>
        <w:rPr/>
        <w:t>时性差异的应纳税所得额时，确认递延所得税资产。</w:t>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28、租赁" w:id="196"/>
      <w:bookmarkEnd w:id="196"/>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spacing w:line="506" w:lineRule="auto" w:before="0"/>
        <w:ind w:left="1554" w:right="3402" w:hanging="420"/>
        <w:jc w:val="left"/>
        <w:rPr>
          <w:rFonts w:ascii="宋体" w:hAnsi="宋体" w:cs="宋体" w:eastAsia="宋体" w:hint="default"/>
          <w:sz w:val="21"/>
          <w:szCs w:val="21"/>
        </w:rPr>
      </w:pPr>
      <w:bookmarkStart w:name="（1）经营租赁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pStyle w:val="Heading3"/>
        <w:spacing w:line="240" w:lineRule="auto" w:before="105"/>
        <w:ind w:left="1133" w:right="1117"/>
        <w:jc w:val="left"/>
        <w:rPr>
          <w:b w:val="0"/>
          <w:bCs w:val="0"/>
        </w:rPr>
      </w:pPr>
      <w:bookmarkStart w:name="（2）融资租赁的会计处理方法" w:id="198"/>
      <w:bookmarkEnd w:id="19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以租赁资产的公允价值与最低租赁付款额的现值两者中较低者作为租入资产的入账价值，租入资产的</w:t>
      </w:r>
      <w:r>
        <w:rPr/>
        <w:t> </w:t>
      </w:r>
      <w:r>
        <w:rPr>
          <w:spacing w:val="-1"/>
        </w:rPr>
        <w:t>入账价值与最低租赁付款额之间的差额作为未确认融资费用，在租赁期内按实际利率法摊销。最低租赁付</w:t>
      </w:r>
      <w:r>
        <w:rPr>
          <w:spacing w:val="-81"/>
        </w:rPr>
        <w:t> </w:t>
      </w:r>
      <w:r>
        <w:rPr>
          <w:spacing w:val="-81"/>
        </w:rPr>
      </w:r>
      <w:r>
        <w:rPr/>
        <w:t>款额扣除未确认融资费用后的余额作为长期应付款列示。</w:t>
      </w:r>
    </w:p>
    <w:p>
      <w:pPr>
        <w:spacing w:after="0" w:line="408"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29、其他重要的会计政策和会计估计" w:id="199"/>
      <w:bookmarkEnd w:id="199"/>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30、重要会计政策和会计估计变更" w:id="200"/>
      <w:bookmarkEnd w:id="200"/>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重要会计政策变更"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3" w:right="1117"/>
        <w:jc w:val="left"/>
        <w:rPr>
          <w:b w:val="0"/>
          <w:bCs w:val="0"/>
        </w:rPr>
      </w:pPr>
      <w:bookmarkStart w:name="（2）重要会计估计变更" w:id="202"/>
      <w:bookmarkEnd w:id="20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六、税项" w:id="203"/>
      <w:bookmarkEnd w:id="20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主要税种及税率" w:id="204"/>
      <w:bookmarkEnd w:id="20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销售货物或者提供应税劳务收入</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6%</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应交增值税、营业税额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应交增值税、营业税额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应交增值税、营业税额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2%</w:t>
            </w:r>
          </w:p>
        </w:tc>
      </w:tr>
    </w:tbl>
    <w:p>
      <w:pPr>
        <w:spacing w:before="10"/>
        <w:ind w:left="1134" w:right="111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5"/>
          <w:szCs w:val="5"/>
        </w:rPr>
      </w:pPr>
    </w:p>
    <w:tbl>
      <w:tblPr>
        <w:tblW w:w="0" w:type="auto"/>
        <w:jc w:val="left"/>
        <w:tblInd w:w="1101" w:type="dxa"/>
        <w:tblLayout w:type="fixed"/>
        <w:tblCellMar>
          <w:top w:w="0" w:type="dxa"/>
          <w:left w:w="0" w:type="dxa"/>
          <w:bottom w:w="0" w:type="dxa"/>
          <w:right w:w="0" w:type="dxa"/>
        </w:tblCellMar>
        <w:tblLook w:val="01E0"/>
      </w:tblPr>
      <w:tblGrid>
        <w:gridCol w:w="4845"/>
        <w:gridCol w:w="4850"/>
      </w:tblGrid>
      <w:tr>
        <w:trPr>
          <w:trHeight w:val="402"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汉威电子</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炜盛科技</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汉威智慧安全</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上海中威</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12.50%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上海英森</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合肥嘉园水处理投资有限公司（以下简称“合肥嘉园”）</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上海嘉园环保科技有限公司（以下简称“上海嘉园”）</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15.00%</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福安市嘉园水处理有限公司（以下简称“福安嘉园”）</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25.00%</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2、税收优惠" w:id="205"/>
      <w:bookmarkEnd w:id="20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554" w:right="1117"/>
        <w:jc w:val="left"/>
      </w:pPr>
      <w:r>
        <w:rPr>
          <w:rFonts w:ascii="宋体" w:hAnsi="宋体" w:cs="宋体" w:eastAsia="宋体" w:hint="default"/>
        </w:rPr>
        <w:t>1</w:t>
      </w:r>
      <w:r>
        <w:rPr/>
        <w:t>、所得税税收优惠</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132" w:firstLine="420"/>
        <w:jc w:val="both"/>
      </w:pPr>
      <w:r>
        <w:rPr>
          <w:spacing w:val="-1"/>
        </w:rPr>
        <w:t>汉威电子、炜盛科技、汉威智慧安全、上海英森、沈阳金建、鞍山易兴、嘉园环保、上海嘉园经相关</w:t>
      </w:r>
      <w:r>
        <w:rPr/>
        <w:t> </w:t>
      </w:r>
      <w:r>
        <w:rPr>
          <w:spacing w:val="-1"/>
        </w:rPr>
        <w:t>部门批复认定为高新技术企业，根据《中华人民共和国企业所得税法》及《关于高新技术企业</w:t>
      </w:r>
      <w:r>
        <w:rPr>
          <w:rFonts w:ascii="宋体" w:hAnsi="宋体" w:cs="宋体" w:eastAsia="宋体" w:hint="default"/>
          <w:spacing w:val="-1"/>
        </w:rPr>
        <w:t>2008</w:t>
      </w:r>
      <w:r>
        <w:rPr>
          <w:spacing w:val="-1"/>
        </w:rPr>
        <w:t>年度缴</w:t>
      </w:r>
      <w:r>
        <w:rPr>
          <w:spacing w:val="-84"/>
        </w:rPr>
        <w:t> </w:t>
      </w:r>
      <w:r>
        <w:rPr>
          <w:spacing w:val="-84"/>
        </w:rPr>
      </w:r>
      <w:r>
        <w:rPr/>
        <w:t>纳企业所得税问题的通知》（国税（</w:t>
      </w:r>
      <w:r>
        <w:rPr>
          <w:rFonts w:ascii="宋体" w:hAnsi="宋体" w:cs="宋体" w:eastAsia="宋体" w:hint="default"/>
        </w:rPr>
        <w:t>2008</w:t>
      </w:r>
      <w:r>
        <w:rPr/>
        <w:t>）</w:t>
      </w:r>
      <w:r>
        <w:rPr>
          <w:rFonts w:ascii="宋体" w:hAnsi="宋体" w:cs="宋体" w:eastAsia="宋体" w:hint="default"/>
        </w:rPr>
        <w:t>985</w:t>
      </w:r>
      <w:r>
        <w:rPr/>
        <w:t>号）有关规定，适用</w:t>
      </w:r>
      <w:r>
        <w:rPr>
          <w:rFonts w:ascii="宋体" w:hAnsi="宋体" w:cs="宋体" w:eastAsia="宋体" w:hint="default"/>
        </w:rPr>
        <w:t>15%</w:t>
      </w:r>
      <w:r>
        <w:rPr/>
        <w:t>的所得税优惠税率。</w:t>
      </w:r>
    </w:p>
    <w:p>
      <w:pPr>
        <w:pStyle w:val="BodyText"/>
        <w:spacing w:line="408" w:lineRule="auto"/>
        <w:ind w:right="712" w:firstLine="420"/>
        <w:jc w:val="left"/>
      </w:pPr>
      <w:r>
        <w:rPr/>
        <w:t>上海中威根据《财政部、国家税务总局关于进一步鼓励软件产业和集成电路产业发展企业所得税政策 的通知》，经上海市浦东新区国税局浦税十五所备（</w:t>
      </w:r>
      <w:r>
        <w:rPr>
          <w:rFonts w:ascii="宋体" w:hAnsi="宋体" w:cs="宋体" w:eastAsia="宋体" w:hint="default"/>
        </w:rPr>
        <w:t>2013</w:t>
      </w:r>
      <w:r>
        <w:rPr/>
        <w:t>）</w:t>
      </w:r>
      <w:r>
        <w:rPr>
          <w:rFonts w:ascii="宋体" w:hAnsi="宋体" w:cs="宋体" w:eastAsia="宋体" w:hint="default"/>
        </w:rPr>
        <w:t>19</w:t>
      </w:r>
      <w:r>
        <w:rPr/>
        <w:t>号《企业所得税优惠事先备案结果通知书》</w:t>
      </w:r>
      <w:r>
        <w:rPr>
          <w:spacing w:val="-30"/>
        </w:rPr>
        <w:t> </w:t>
      </w:r>
      <w:r>
        <w:rPr>
          <w:spacing w:val="-30"/>
        </w:rPr>
      </w:r>
      <w:r>
        <w:rPr/>
        <w:t>批准，自</w:t>
      </w:r>
      <w:r>
        <w:rPr>
          <w:rFonts w:ascii="宋体" w:hAnsi="宋体" w:cs="宋体" w:eastAsia="宋体" w:hint="default"/>
        </w:rPr>
        <w:t>2012</w:t>
      </w:r>
      <w:r>
        <w:rPr/>
        <w:t>年度起享受软件企业所得税“两免三减半”税收优惠。</w:t>
      </w:r>
    </w:p>
    <w:p>
      <w:pPr>
        <w:pStyle w:val="BodyText"/>
        <w:spacing w:line="408" w:lineRule="auto"/>
        <w:ind w:right="712" w:firstLine="420"/>
        <w:jc w:val="left"/>
      </w:pPr>
      <w:r>
        <w:rPr/>
        <w:t>据《中华人民共和国企业所得税法》第二十七条以及《中华人民共和国企业所得税法实施条例》第九 十条的规定，对符合条件的技术转让所得不超过</w:t>
      </w:r>
      <w:r>
        <w:rPr>
          <w:rFonts w:ascii="宋体" w:hAnsi="宋体" w:cs="宋体" w:eastAsia="宋体" w:hint="default"/>
        </w:rPr>
        <w:t>500</w:t>
      </w:r>
      <w:r>
        <w:rPr/>
        <w:t>万元的部分，免征企业所得税；超过</w:t>
      </w:r>
      <w:r>
        <w:rPr>
          <w:rFonts w:ascii="宋体" w:hAnsi="宋体" w:cs="宋体" w:eastAsia="宋体" w:hint="default"/>
        </w:rPr>
        <w:t>500</w:t>
      </w:r>
      <w:r>
        <w:rPr/>
        <w:t>万元的部分，</w:t>
      </w:r>
      <w:r>
        <w:rPr>
          <w:spacing w:val="-27"/>
        </w:rPr>
        <w:t> </w:t>
      </w:r>
      <w:r>
        <w:rPr>
          <w:spacing w:val="-27"/>
        </w:rPr>
      </w:r>
      <w:r>
        <w:rPr/>
        <w:t>减半征收企业所得税。</w:t>
      </w:r>
    </w:p>
    <w:p>
      <w:pPr>
        <w:pStyle w:val="BodyText"/>
        <w:spacing w:line="408" w:lineRule="auto"/>
        <w:ind w:right="1117" w:firstLine="420"/>
        <w:jc w:val="left"/>
      </w:pPr>
      <w:r>
        <w:rPr>
          <w:spacing w:val="-1"/>
        </w:rPr>
        <w:t>合肥嘉园根据《中华人民共和国企业所得税法》第二十七条以及《中华人民共和国企业所得税法实施</w:t>
      </w:r>
      <w:r>
        <w:rPr/>
        <w:t> 条例》第八十八条的规定，享受企业所得税三免三减半税收优惠。</w:t>
      </w:r>
    </w:p>
    <w:p>
      <w:pPr>
        <w:pStyle w:val="BodyText"/>
        <w:spacing w:line="408" w:lineRule="auto"/>
        <w:ind w:left="1553" w:right="1117"/>
        <w:jc w:val="left"/>
      </w:pPr>
      <w:r>
        <w:rPr>
          <w:rFonts w:ascii="宋体" w:hAnsi="宋体" w:cs="宋体" w:eastAsia="宋体" w:hint="default"/>
        </w:rPr>
        <w:t>2</w:t>
      </w:r>
      <w:r>
        <w:rPr/>
        <w:t>、增值税税收优惠 本公司及炜盛科技、创威煤安、上海中威、福州丰泽根据“财税（</w:t>
      </w:r>
      <w:r>
        <w:rPr>
          <w:rFonts w:ascii="宋体" w:hAnsi="宋体" w:cs="宋体" w:eastAsia="宋体" w:hint="default"/>
        </w:rPr>
        <w:t>2011</w:t>
      </w:r>
      <w:r>
        <w:rPr/>
        <w:t>）</w:t>
      </w:r>
      <w:r>
        <w:rPr>
          <w:rFonts w:ascii="宋体" w:hAnsi="宋体" w:cs="宋体" w:eastAsia="宋体" w:hint="default"/>
        </w:rPr>
        <w:t>100</w:t>
      </w:r>
      <w:r>
        <w:rPr/>
        <w:t>号《财政部、国家税务</w:t>
      </w:r>
    </w:p>
    <w:p>
      <w:pPr>
        <w:pStyle w:val="BodyText"/>
        <w:spacing w:line="408" w:lineRule="auto"/>
        <w:ind w:right="1128"/>
        <w:jc w:val="right"/>
      </w:pPr>
      <w:r>
        <w:rPr>
          <w:spacing w:val="-1"/>
        </w:rPr>
        <w:t>总局关于软件产品增值税政策的通知》“的规定，自</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日起对增值税一般纳税人销售其自行开发</w:t>
      </w:r>
      <w:r>
        <w:rPr>
          <w:spacing w:val="-95"/>
        </w:rPr>
        <w:t> </w:t>
      </w:r>
      <w:r>
        <w:rPr>
          <w:spacing w:val="-95"/>
        </w:rPr>
      </w:r>
      <w:r>
        <w:rPr>
          <w:spacing w:val="-3"/>
        </w:rPr>
        <w:t>生产的软件产品，按</w:t>
      </w:r>
      <w:r>
        <w:rPr>
          <w:rFonts w:ascii="宋体" w:hAnsi="宋体" w:cs="宋体" w:eastAsia="宋体" w:hint="default"/>
          <w:spacing w:val="-3"/>
        </w:rPr>
        <w:t>17%</w:t>
      </w:r>
      <w:r>
        <w:rPr>
          <w:spacing w:val="-3"/>
        </w:rPr>
        <w:t>的法定税率征收增值税后，对其增值税实际税负超过</w:t>
      </w:r>
      <w:r>
        <w:rPr>
          <w:rFonts w:ascii="宋体" w:hAnsi="宋体" w:cs="宋体" w:eastAsia="宋体" w:hint="default"/>
          <w:spacing w:val="-3"/>
        </w:rPr>
        <w:t>3%</w:t>
      </w:r>
      <w:r>
        <w:rPr>
          <w:spacing w:val="-3"/>
        </w:rPr>
        <w:t>的部分实行即征即退政策。</w:t>
      </w:r>
      <w:r>
        <w:rPr>
          <w:spacing w:val="-102"/>
        </w:rPr>
        <w:t> </w:t>
      </w:r>
      <w:r>
        <w:rPr>
          <w:spacing w:val="-102"/>
        </w:rPr>
      </w:r>
      <w:r>
        <w:rPr/>
        <w:t>东山嘉园根据“财税</w:t>
      </w:r>
      <w:r>
        <w:rPr>
          <w:rFonts w:ascii="宋体" w:hAnsi="宋体" w:cs="宋体" w:eastAsia="宋体" w:hint="default"/>
        </w:rPr>
        <w:t>[2015]78</w:t>
      </w:r>
      <w:r>
        <w:rPr/>
        <w:t>号</w:t>
      </w:r>
      <w:r>
        <w:rPr>
          <w:rFonts w:ascii="宋体" w:hAnsi="宋体" w:cs="宋体" w:eastAsia="宋体" w:hint="default"/>
        </w:rPr>
        <w:t>-</w:t>
      </w:r>
      <w:r>
        <w:rPr/>
        <w:t>关于印发《资源综合利用产品和劳务增值税优惠目录》的通知”的</w:t>
      </w:r>
    </w:p>
    <w:p>
      <w:pPr>
        <w:pStyle w:val="BodyText"/>
        <w:spacing w:line="240" w:lineRule="auto"/>
        <w:ind w:right="1117"/>
        <w:jc w:val="left"/>
      </w:pPr>
      <w:r>
        <w:rPr/>
        <w:t>规定，对污水处理劳务按照</w:t>
      </w:r>
      <w:r>
        <w:rPr>
          <w:rFonts w:ascii="宋体" w:hAnsi="宋体" w:cs="宋体" w:eastAsia="宋体" w:hint="default"/>
        </w:rPr>
        <w:t>70%</w:t>
      </w:r>
      <w:r>
        <w:rPr/>
        <w:t>享受增值税即征即退政策。</w:t>
      </w:r>
    </w:p>
    <w:p>
      <w:pPr>
        <w:spacing w:line="240" w:lineRule="auto" w:before="10"/>
        <w:rPr>
          <w:rFonts w:ascii="宋体" w:hAnsi="宋体" w:cs="宋体" w:eastAsia="宋体" w:hint="default"/>
          <w:sz w:val="14"/>
          <w:szCs w:val="14"/>
        </w:rPr>
      </w:pPr>
    </w:p>
    <w:p>
      <w:pPr>
        <w:pStyle w:val="BodyText"/>
        <w:spacing w:line="408" w:lineRule="auto" w:before="0"/>
        <w:ind w:left="1134" w:right="1117" w:firstLine="420"/>
        <w:jc w:val="left"/>
      </w:pPr>
      <w:r>
        <w:rPr/>
        <w:t>合肥嘉园根据“财税</w:t>
      </w:r>
      <w:r>
        <w:rPr>
          <w:rFonts w:ascii="宋体" w:hAnsi="宋体" w:cs="宋体" w:eastAsia="宋体" w:hint="default"/>
        </w:rPr>
        <w:t>[2015]78</w:t>
      </w:r>
      <w:r>
        <w:rPr/>
        <w:t>号</w:t>
      </w:r>
      <w:r>
        <w:rPr>
          <w:rFonts w:ascii="宋体" w:hAnsi="宋体" w:cs="宋体" w:eastAsia="宋体" w:hint="default"/>
        </w:rPr>
        <w:t>-</w:t>
      </w:r>
      <w:r>
        <w:rPr/>
        <w:t>关于印发《资源综合利用产品和劳务增值税优惠目录》的通知”的 规定，对垃圾处理厂渗透（滤）液按照</w:t>
      </w:r>
      <w:r>
        <w:rPr>
          <w:rFonts w:ascii="宋体" w:hAnsi="宋体" w:cs="宋体" w:eastAsia="宋体" w:hint="default"/>
        </w:rPr>
        <w:t>50%</w:t>
      </w:r>
      <w:r>
        <w:rPr/>
        <w:t>享受增值税即征即退政策。</w:t>
      </w:r>
    </w:p>
    <w:p>
      <w:pPr>
        <w:spacing w:line="240" w:lineRule="auto" w:before="8"/>
        <w:rPr>
          <w:rFonts w:ascii="宋体" w:hAnsi="宋体" w:cs="宋体" w:eastAsia="宋体" w:hint="default"/>
          <w:sz w:val="20"/>
          <w:szCs w:val="20"/>
        </w:rPr>
      </w:pPr>
    </w:p>
    <w:p>
      <w:pPr>
        <w:spacing w:line="487" w:lineRule="auto" w:before="0"/>
        <w:ind w:left="1134" w:right="7333" w:firstLine="0"/>
        <w:jc w:val="left"/>
        <w:rPr>
          <w:rFonts w:ascii="宋体" w:hAnsi="宋体" w:cs="宋体" w:eastAsia="宋体" w:hint="default"/>
          <w:sz w:val="21"/>
          <w:szCs w:val="21"/>
        </w:rPr>
      </w:pPr>
      <w:bookmarkStart w:name="3、其他" w:id="206"/>
      <w:bookmarkEnd w:id="20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07"/>
      <w:bookmarkEnd w:id="20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08"/>
      <w:bookmarkEnd w:id="20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393,176.32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865,925.04</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502,559,805.51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223,386,262.88</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12,425,834.82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18,176,068.49</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515,378,816.65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242,428,256.41</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712"/>
        <w:jc w:val="left"/>
      </w:pPr>
      <w:r>
        <w:rPr/>
        <w:t>期末其他货币资金中汇票、保函、信用证保证金</w:t>
      </w:r>
      <w:r>
        <w:rPr>
          <w:rFonts w:ascii="宋体" w:hAnsi="宋体" w:cs="宋体" w:eastAsia="宋体" w:hint="default"/>
        </w:rPr>
        <w:t>12,425,834.82</w:t>
      </w:r>
      <w:r>
        <w:rPr/>
        <w:t>元，其中将于</w:t>
      </w:r>
      <w:r>
        <w:rPr>
          <w:rFonts w:ascii="宋体" w:hAnsi="宋体" w:cs="宋体" w:eastAsia="宋体" w:hint="default"/>
        </w:rPr>
        <w:t>3</w:t>
      </w:r>
      <w:r>
        <w:rPr/>
        <w:t>个月后到期的汇票、保</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554" w:right="3087" w:hanging="420"/>
        <w:jc w:val="left"/>
      </w:pPr>
      <w:r>
        <w:rPr/>
        <w:t>函、信用证保证金</w:t>
      </w:r>
      <w:r>
        <w:rPr>
          <w:rFonts w:ascii="宋体" w:hAnsi="宋体" w:cs="宋体" w:eastAsia="宋体" w:hint="default"/>
        </w:rPr>
        <w:t>12,317,834.82</w:t>
      </w:r>
      <w:r>
        <w:rPr/>
        <w:t>元。</w:t>
      </w:r>
      <w:r>
        <w:rPr>
          <w:spacing w:val="-2"/>
        </w:rPr>
        <w:t> </w:t>
      </w:r>
      <w:r>
        <w:rPr/>
        <w:t>货币资金较期初增加</w:t>
      </w:r>
      <w:r>
        <w:rPr>
          <w:rFonts w:ascii="宋体" w:hAnsi="宋体" w:cs="宋体" w:eastAsia="宋体" w:hint="default"/>
        </w:rPr>
        <w:t>112.59%</w:t>
      </w:r>
      <w:r>
        <w:rPr/>
        <w:t>，主要系新增的长期借款部分暂未投入使用所致。</w:t>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2、应收票据" w:id="209"/>
      <w:bookmarkEnd w:id="20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应收票据分类列示"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207"/>
        <w:gridCol w:w="3245"/>
        <w:gridCol w:w="3232"/>
      </w:tblGrid>
      <w:tr>
        <w:trPr>
          <w:trHeight w:val="32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9"/>
                <w:szCs w:val="9"/>
              </w:rPr>
            </w:pPr>
            <w:r>
              <w:rPr>
                <w:rFonts w:ascii="宋体"/>
                <w:sz w:val="18"/>
              </w:rPr>
              <w:t>8,894,900.02</w:t>
            </w:r>
            <w:r>
              <w:rPr>
                <w:rFonts w:ascii="宋体"/>
                <w:color w:val="FF0000"/>
                <w:position w:val="9"/>
                <w:sz w:val="9"/>
              </w:rPr>
              <w:t>1</w:t>
            </w:r>
            <w:r>
              <w:rPr>
                <w:rFonts w:ascii="宋体"/>
                <w:sz w:val="9"/>
              </w:rPr>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19,762,146.02</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45" w:type="dxa"/>
            <w:tcBorders>
              <w:top w:val="single" w:sz="4" w:space="0" w:color="000000"/>
              <w:left w:val="single" w:sz="13" w:space="0" w:color="D2D2D2"/>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1,461,000.00</w:t>
            </w:r>
          </w:p>
        </w:tc>
      </w:tr>
      <w:tr>
        <w:trPr>
          <w:trHeight w:val="32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8,894,900.02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21,223,146.02</w:t>
            </w:r>
          </w:p>
        </w:tc>
      </w:tr>
    </w:tbl>
    <w:p>
      <w:pPr>
        <w:pStyle w:val="BodyText"/>
        <w:spacing w:line="240" w:lineRule="auto" w:before="63"/>
        <w:ind w:left="1554" w:right="1117"/>
        <w:jc w:val="left"/>
      </w:pPr>
      <w:r>
        <w:rPr/>
        <w:t>注：</w:t>
      </w:r>
      <w:r>
        <w:rPr>
          <w:rFonts w:ascii="宋体" w:hAnsi="宋体" w:cs="宋体" w:eastAsia="宋体" w:hint="default"/>
        </w:rPr>
        <w:t>1</w:t>
      </w:r>
      <w:r>
        <w:rPr/>
        <w:t>、应收票据较期初减少</w:t>
      </w:r>
      <w:r>
        <w:rPr>
          <w:spacing w:val="-55"/>
        </w:rPr>
        <w:t> </w:t>
      </w:r>
      <w:r>
        <w:rPr>
          <w:rFonts w:ascii="宋体" w:hAnsi="宋体" w:cs="宋体" w:eastAsia="宋体" w:hint="default"/>
        </w:rPr>
        <w:t>58.09%</w:t>
      </w:r>
      <w:r>
        <w:rPr/>
        <w:t>，主要系加强票据的使用流通，积极降低应收票据库存所致。</w:t>
      </w:r>
    </w:p>
    <w:p>
      <w:pPr>
        <w:spacing w:line="240" w:lineRule="auto" w:before="0"/>
        <w:rPr>
          <w:rFonts w:ascii="宋体" w:hAnsi="宋体" w:cs="宋体" w:eastAsia="宋体" w:hint="default"/>
          <w:sz w:val="20"/>
          <w:szCs w:val="20"/>
        </w:rPr>
      </w:pPr>
    </w:p>
    <w:p>
      <w:pPr>
        <w:pStyle w:val="Heading3"/>
        <w:spacing w:line="240" w:lineRule="auto" w:before="154"/>
        <w:ind w:left="1133" w:right="1117"/>
        <w:jc w:val="left"/>
        <w:rPr>
          <w:b w:val="0"/>
          <w:bCs w:val="0"/>
        </w:rPr>
      </w:pPr>
      <w:bookmarkStart w:name="（2）期末公司已背书或贴现且在资产负债表日尚未到期的应收票据" w:id="211"/>
      <w:bookmarkEnd w:id="211"/>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3207"/>
        <w:gridCol w:w="3245"/>
        <w:gridCol w:w="3232"/>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03"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0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5,238,759.42</w:t>
            </w: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5,238,759.42</w:t>
            </w:r>
          </w:p>
        </w:tc>
        <w:tc>
          <w:tcPr>
            <w:tcW w:w="32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3、应收账款" w:id="212"/>
      <w:bookmarkEnd w:id="21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应收账款分类披露"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76"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1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23" w:space="0" w:color="D2D2D2"/>
              <w:right w:val="single" w:sz="9" w:space="0" w:color="D2D2D2"/>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23" w:space="0" w:color="D2D2D2"/>
              <w:bottom w:val="nil" w:sz="6" w:space="0" w:color="auto"/>
              <w:right w:val="single" w:sz="9" w:space="0" w:color="D2D2D2"/>
            </w:tcBorders>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94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宋体" w:hAnsi="宋体" w:cs="宋体" w:eastAsia="宋体" w:hint="default"/>
                <w:sz w:val="18"/>
                <w:szCs w:val="18"/>
              </w:rPr>
            </w:pPr>
            <w:r>
              <w:rPr>
                <w:rFonts w:ascii="宋体"/>
                <w:sz w:val="18"/>
              </w:rPr>
              <w:t>310,156</w:t>
            </w:r>
          </w:p>
          <w:p>
            <w:pPr>
              <w:pStyle w:val="TableParagraph"/>
              <w:spacing w:line="240" w:lineRule="auto" w:before="76"/>
              <w:ind w:left="87" w:right="0"/>
              <w:jc w:val="left"/>
              <w:rPr>
                <w:rFonts w:ascii="宋体" w:hAnsi="宋体" w:cs="宋体" w:eastAsia="宋体" w:hint="default"/>
                <w:sz w:val="18"/>
                <w:szCs w:val="18"/>
              </w:rPr>
            </w:pPr>
            <w:r>
              <w:rPr>
                <w:rFonts w:ascii="宋体"/>
                <w:sz w:val="18"/>
              </w:rPr>
              <w:t>,676.17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99.36%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34,364,</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350.14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11.08%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sz w:val="18"/>
              </w:rPr>
              <w:t>275,792,</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326.03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237,92</w:t>
            </w:r>
          </w:p>
          <w:p>
            <w:pPr>
              <w:pStyle w:val="TableParagraph"/>
              <w:spacing w:line="240" w:lineRule="auto" w:before="76"/>
              <w:ind w:right="23"/>
              <w:jc w:val="right"/>
              <w:rPr>
                <w:rFonts w:ascii="宋体" w:hAnsi="宋体" w:cs="宋体" w:eastAsia="宋体" w:hint="default"/>
                <w:sz w:val="18"/>
                <w:szCs w:val="18"/>
              </w:rPr>
            </w:pPr>
            <w:r>
              <w:rPr>
                <w:rFonts w:ascii="宋体"/>
                <w:sz w:val="18"/>
              </w:rPr>
              <w:t>3,655.</w:t>
            </w:r>
          </w:p>
          <w:p>
            <w:pPr>
              <w:pStyle w:val="TableParagraph"/>
              <w:spacing w:line="240" w:lineRule="auto" w:before="76"/>
              <w:ind w:right="23"/>
              <w:jc w:val="right"/>
              <w:rPr>
                <w:rFonts w:ascii="宋体" w:hAnsi="宋体" w:cs="宋体" w:eastAsia="宋体" w:hint="default"/>
                <w:sz w:val="18"/>
                <w:szCs w:val="18"/>
              </w:rPr>
            </w:pPr>
            <w:r>
              <w:rPr>
                <w:rFonts w:ascii="宋体"/>
                <w:sz w:val="18"/>
              </w:rPr>
              <w:t>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99.64%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sz w:val="18"/>
              </w:rPr>
              <w:t>24,427,7</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71.83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sz w:val="18"/>
              </w:rPr>
              <w:t>213,495,8</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84.00</w:t>
            </w:r>
          </w:p>
        </w:tc>
      </w:tr>
      <w:tr>
        <w:trPr>
          <w:trHeight w:val="94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宋体" w:hAnsi="宋体" w:cs="宋体" w:eastAsia="宋体" w:hint="default"/>
                <w:sz w:val="18"/>
                <w:szCs w:val="18"/>
              </w:rPr>
            </w:pPr>
            <w:r>
              <w:rPr>
                <w:rFonts w:ascii="宋体"/>
                <w:sz w:val="18"/>
              </w:rPr>
              <w:t>1,999,5</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63.52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 w:right="0"/>
              <w:jc w:val="center"/>
              <w:rPr>
                <w:rFonts w:ascii="宋体" w:hAnsi="宋体" w:cs="宋体" w:eastAsia="宋体" w:hint="default"/>
                <w:sz w:val="18"/>
                <w:szCs w:val="18"/>
              </w:rPr>
            </w:pPr>
            <w:r>
              <w:rPr>
                <w:rFonts w:ascii="宋体"/>
                <w:sz w:val="18"/>
              </w:rPr>
              <w:t>1,567,5</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63.52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78.40%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432,000.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 w:right="0"/>
              <w:jc w:val="center"/>
              <w:rPr>
                <w:rFonts w:ascii="宋体" w:hAnsi="宋体" w:cs="宋体" w:eastAsia="宋体" w:hint="default"/>
                <w:sz w:val="18"/>
                <w:szCs w:val="18"/>
              </w:rPr>
            </w:pPr>
            <w:r>
              <w:rPr>
                <w:rFonts w:ascii="宋体"/>
                <w:sz w:val="18"/>
              </w:rPr>
              <w:t>864,00</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432,000.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432,000.0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sz w:val="18"/>
              </w:rPr>
              <w:t>312,156</w:t>
            </w:r>
          </w:p>
          <w:p>
            <w:pPr>
              <w:pStyle w:val="TableParagraph"/>
              <w:spacing w:line="240" w:lineRule="auto" w:before="76"/>
              <w:ind w:left="93" w:right="0"/>
              <w:jc w:val="left"/>
              <w:rPr>
                <w:rFonts w:ascii="宋体" w:hAnsi="宋体" w:cs="宋体" w:eastAsia="宋体" w:hint="default"/>
                <w:sz w:val="18"/>
                <w:szCs w:val="18"/>
              </w:rPr>
            </w:pPr>
            <w:r>
              <w:rPr>
                <w:rFonts w:ascii="宋体"/>
                <w:sz w:val="18"/>
              </w:rPr>
              <w:t>,239.69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35,931,</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913.66</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sz w:val="18"/>
              </w:rPr>
              <w:t>276,224,</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326.03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238,78</w:t>
            </w:r>
          </w:p>
          <w:p>
            <w:pPr>
              <w:pStyle w:val="TableParagraph"/>
              <w:spacing w:line="240" w:lineRule="auto" w:before="76"/>
              <w:ind w:right="23"/>
              <w:jc w:val="right"/>
              <w:rPr>
                <w:rFonts w:ascii="宋体" w:hAnsi="宋体" w:cs="宋体" w:eastAsia="宋体" w:hint="default"/>
                <w:sz w:val="18"/>
                <w:szCs w:val="18"/>
              </w:rPr>
            </w:pPr>
            <w:r>
              <w:rPr>
                <w:rFonts w:ascii="宋体"/>
                <w:sz w:val="18"/>
              </w:rPr>
              <w:t>7,655.</w:t>
            </w:r>
          </w:p>
          <w:p>
            <w:pPr>
              <w:pStyle w:val="TableParagraph"/>
              <w:spacing w:line="240" w:lineRule="auto" w:before="77"/>
              <w:ind w:right="23"/>
              <w:jc w:val="right"/>
              <w:rPr>
                <w:rFonts w:ascii="宋体" w:hAnsi="宋体" w:cs="宋体" w:eastAsia="宋体" w:hint="default"/>
                <w:sz w:val="18"/>
                <w:szCs w:val="18"/>
              </w:rPr>
            </w:pPr>
            <w:r>
              <w:rPr>
                <w:rFonts w:ascii="宋体"/>
                <w:sz w:val="18"/>
              </w:rPr>
              <w:t>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sz w:val="18"/>
              </w:rPr>
              <w:t>24,859,7</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71.83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sz w:val="18"/>
              </w:rPr>
              <w:t>213,927,8</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84.00</w:t>
            </w:r>
          </w:p>
        </w:tc>
      </w:tr>
      <w:tr>
        <w:trPr>
          <w:trHeight w:val="31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after="0" w:line="3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75" w:type="dxa"/>
        <w:tblLayout w:type="fixed"/>
        <w:tblCellMar>
          <w:top w:w="0" w:type="dxa"/>
          <w:left w:w="0" w:type="dxa"/>
          <w:bottom w:w="0" w:type="dxa"/>
          <w:right w:w="0" w:type="dxa"/>
        </w:tblCellMar>
        <w:tblLook w:val="01E0"/>
      </w:tblPr>
      <w:tblGrid>
        <w:gridCol w:w="2376"/>
        <w:gridCol w:w="2398"/>
        <w:gridCol w:w="2392"/>
        <w:gridCol w:w="2393"/>
      </w:tblGrid>
      <w:tr>
        <w:trPr>
          <w:trHeight w:val="166"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2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76"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205,705,967.44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10,285,298.38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45,408,065.91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4,540,806.59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w:t>
            </w:r>
          </w:p>
        </w:tc>
      </w:tr>
      <w:tr>
        <w:trPr>
          <w:trHeight w:val="32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29,651,104.21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5,930,220.85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20.00%</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29,391,538.61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13,608,024.32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18,029,249.40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5,408,774.82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w:t>
            </w:r>
          </w:p>
        </w:tc>
      </w:tr>
      <w:tr>
        <w:trPr>
          <w:trHeight w:val="32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6,326,079.41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3,163,039.70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50.00%</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5,036,209.80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5,036,209.80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r>
      <w:tr>
        <w:trPr>
          <w:trHeight w:val="32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310,156,676.17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34,364,350.14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133" w:right="1117"/>
        <w:jc w:val="left"/>
        <w:rPr>
          <w:b w:val="0"/>
          <w:bCs w:val="0"/>
        </w:rPr>
      </w:pPr>
      <w:bookmarkStart w:name="（2）本期计提、收回或转回的坏账准备情况" w:id="214"/>
      <w:bookmarkEnd w:id="2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10,771,292.10</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8,201.00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6"/>
          <w:szCs w:val="26"/>
        </w:rPr>
      </w:pPr>
    </w:p>
    <w:p>
      <w:pPr>
        <w:pStyle w:val="Heading3"/>
        <w:spacing w:line="240" w:lineRule="auto"/>
        <w:ind w:left="1133" w:right="1117"/>
        <w:jc w:val="left"/>
        <w:rPr>
          <w:b w:val="0"/>
          <w:bCs w:val="0"/>
        </w:rPr>
      </w:pPr>
      <w:bookmarkStart w:name="（3）本期实际核销的应收账款情况" w:id="215"/>
      <w:bookmarkEnd w:id="21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45,593.42</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按欠款方归集的期末余额前五名的应收账款情况" w:id="216"/>
      <w:bookmarkEnd w:id="21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17" w:type="dxa"/>
        <w:tblLayout w:type="fixed"/>
        <w:tblCellMar>
          <w:top w:w="0" w:type="dxa"/>
          <w:left w:w="0" w:type="dxa"/>
          <w:bottom w:w="0" w:type="dxa"/>
          <w:right w:w="0" w:type="dxa"/>
        </w:tblCellMar>
        <w:tblLook w:val="01E0"/>
      </w:tblPr>
      <w:tblGrid>
        <w:gridCol w:w="4359"/>
        <w:gridCol w:w="2040"/>
        <w:gridCol w:w="1730"/>
        <w:gridCol w:w="1530"/>
      </w:tblGrid>
      <w:tr>
        <w:trPr>
          <w:trHeight w:val="661" w:hRule="exact"/>
        </w:trPr>
        <w:tc>
          <w:tcPr>
            <w:tcW w:w="435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4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64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0"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0"/>
              <w:ind w:left="629" w:right="45" w:hanging="585"/>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宋体" w:hAnsi="宋体" w:cs="宋体" w:eastAsia="宋体" w:hint="default"/>
                <w:sz w:val="18"/>
                <w:szCs w:val="18"/>
              </w:rPr>
              <w:t>(%)</w:t>
            </w:r>
          </w:p>
        </w:tc>
        <w:tc>
          <w:tcPr>
            <w:tcW w:w="153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2" w:hRule="exact"/>
        </w:trPr>
        <w:tc>
          <w:tcPr>
            <w:tcW w:w="435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河南新合鑫置业有限公司</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10,600,000.00</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3.40</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530,000.00</w:t>
            </w:r>
          </w:p>
        </w:tc>
      </w:tr>
      <w:tr>
        <w:trPr>
          <w:trHeight w:val="352" w:hRule="exact"/>
        </w:trPr>
        <w:tc>
          <w:tcPr>
            <w:tcW w:w="435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光大环保技术装备（常州）有限公司</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6,666,400.00</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2.14</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452,890.00</w:t>
            </w:r>
          </w:p>
        </w:tc>
      </w:tr>
      <w:tr>
        <w:trPr>
          <w:trHeight w:val="353" w:hRule="exact"/>
        </w:trPr>
        <w:tc>
          <w:tcPr>
            <w:tcW w:w="435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河南省明瑞置业有限公司</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6,060,000.00</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1.94</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303,000.00</w:t>
            </w:r>
          </w:p>
        </w:tc>
      </w:tr>
      <w:tr>
        <w:trPr>
          <w:trHeight w:val="352" w:hRule="exact"/>
        </w:trPr>
        <w:tc>
          <w:tcPr>
            <w:tcW w:w="435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郑州市基正房地产开发有限公司</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5,560,000.00</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1.78</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278,000.00</w:t>
            </w:r>
          </w:p>
        </w:tc>
      </w:tr>
      <w:tr>
        <w:trPr>
          <w:trHeight w:val="352" w:hRule="exact"/>
        </w:trPr>
        <w:tc>
          <w:tcPr>
            <w:tcW w:w="435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5,393,250.00</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1.73</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269,662.50</w:t>
            </w:r>
          </w:p>
        </w:tc>
      </w:tr>
      <w:tr>
        <w:trPr>
          <w:trHeight w:val="353" w:hRule="exact"/>
        </w:trPr>
        <w:tc>
          <w:tcPr>
            <w:tcW w:w="435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34,279,650.00</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10.99</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1,833,552.50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spacing w:before="35"/>
        <w:ind w:left="1134" w:right="1117" w:firstLine="0"/>
        <w:jc w:val="left"/>
        <w:rPr>
          <w:rFonts w:ascii="宋体" w:hAnsi="宋体" w:cs="宋体" w:eastAsia="宋体" w:hint="default"/>
          <w:sz w:val="21"/>
          <w:szCs w:val="21"/>
        </w:rPr>
      </w:pPr>
      <w:bookmarkStart w:name="4、预付款项" w:id="217"/>
      <w:bookmarkEnd w:id="21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预付款项按账龄列示"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925"/>
        <w:gridCol w:w="1953"/>
        <w:gridCol w:w="1938"/>
        <w:gridCol w:w="1940"/>
        <w:gridCol w:w="1939"/>
      </w:tblGrid>
      <w:tr>
        <w:trPr>
          <w:trHeight w:val="167"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91"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25" w:type="dxa"/>
            <w:vMerge/>
            <w:tcBorders>
              <w:left w:val="single" w:sz="4" w:space="0" w:color="000000"/>
              <w:bottom w:val="nil" w:sz="6" w:space="0" w:color="auto"/>
              <w:right w:val="single" w:sz="4" w:space="0" w:color="000000"/>
            </w:tcBorders>
            <w:shd w:val="clear" w:color="auto" w:fill="D2D2D2"/>
          </w:tcPr>
          <w:p>
            <w:pPr/>
          </w:p>
        </w:tc>
        <w:tc>
          <w:tcPr>
            <w:tcW w:w="19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6"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3" w:type="dxa"/>
            <w:vMerge/>
            <w:tcBorders>
              <w:left w:val="single" w:sz="4" w:space="0" w:color="000000"/>
              <w:bottom w:val="single" w:sz="4" w:space="0" w:color="000000"/>
              <w:right w:val="single" w:sz="4" w:space="0" w:color="000000"/>
            </w:tcBorders>
            <w:shd w:val="clear" w:color="auto" w:fill="D2D2D2"/>
          </w:tcPr>
          <w:p>
            <w:pPr/>
          </w:p>
        </w:tc>
        <w:tc>
          <w:tcPr>
            <w:tcW w:w="1938"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22,184,622.45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80.81%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10,002,212.15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68.56%</w:t>
            </w:r>
          </w:p>
        </w:tc>
      </w:tr>
      <w:tr>
        <w:trPr>
          <w:trHeight w:val="32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1,393,748.53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2,917,190.02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19.99%</w:t>
            </w:r>
          </w:p>
        </w:tc>
      </w:tr>
      <w:tr>
        <w:trPr>
          <w:trHeight w:val="322"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2,637,644.89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9.61%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884,716.61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6.06%</w:t>
            </w:r>
          </w:p>
        </w:tc>
      </w:tr>
      <w:tr>
        <w:trPr>
          <w:trHeight w:val="322"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1,236,519.85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786,147.72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5.39%</w:t>
            </w:r>
          </w:p>
        </w:tc>
      </w:tr>
      <w:tr>
        <w:trPr>
          <w:trHeight w:val="32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27,452,535.72</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94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1"/>
              <w:ind w:right="14"/>
              <w:jc w:val="right"/>
              <w:rPr>
                <w:rFonts w:ascii="宋体" w:hAnsi="宋体" w:cs="宋体" w:eastAsia="宋体" w:hint="default"/>
                <w:sz w:val="18"/>
                <w:szCs w:val="18"/>
              </w:rPr>
            </w:pPr>
            <w:r>
              <w:rPr>
                <w:rFonts w:ascii="宋体"/>
                <w:sz w:val="18"/>
              </w:rPr>
              <w:t>14,590,266.50</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114" w:type="dxa"/>
        <w:tblLayout w:type="fixed"/>
        <w:tblCellMar>
          <w:top w:w="0" w:type="dxa"/>
          <w:left w:w="0" w:type="dxa"/>
          <w:bottom w:w="0" w:type="dxa"/>
          <w:right w:w="0" w:type="dxa"/>
        </w:tblCellMar>
        <w:tblLook w:val="01E0"/>
      </w:tblPr>
      <w:tblGrid>
        <w:gridCol w:w="3662"/>
        <w:gridCol w:w="1650"/>
        <w:gridCol w:w="1282"/>
        <w:gridCol w:w="3065"/>
      </w:tblGrid>
      <w:tr>
        <w:trPr>
          <w:trHeight w:val="349" w:hRule="exact"/>
        </w:trPr>
        <w:tc>
          <w:tcPr>
            <w:tcW w:w="366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65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8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449"/>
              <w:jc w:val="right"/>
              <w:rPr>
                <w:rFonts w:ascii="宋体" w:hAnsi="宋体" w:cs="宋体" w:eastAsia="宋体" w:hint="default"/>
                <w:sz w:val="18"/>
                <w:szCs w:val="18"/>
              </w:rPr>
            </w:pPr>
            <w:r>
              <w:rPr>
                <w:rFonts w:ascii="宋体" w:hAnsi="宋体" w:cs="宋体" w:eastAsia="宋体" w:hint="default"/>
                <w:sz w:val="18"/>
                <w:szCs w:val="18"/>
              </w:rPr>
              <w:t>账龄</w:t>
            </w:r>
          </w:p>
        </w:tc>
        <w:tc>
          <w:tcPr>
            <w:tcW w:w="306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3" w:hRule="exact"/>
        </w:trPr>
        <w:tc>
          <w:tcPr>
            <w:tcW w:w="3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深圳恒通源水处理科技有限公司</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1,000,000.00</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403"/>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3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750"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按预付对象归集的期末余额前五名的预付款情况" w:id="219"/>
      <w:bookmarkEnd w:id="21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7" w:type="dxa"/>
        <w:tblLayout w:type="fixed"/>
        <w:tblCellMar>
          <w:top w:w="0" w:type="dxa"/>
          <w:left w:w="0" w:type="dxa"/>
          <w:bottom w:w="0" w:type="dxa"/>
          <w:right w:w="0" w:type="dxa"/>
        </w:tblCellMar>
        <w:tblLook w:val="01E0"/>
      </w:tblPr>
      <w:tblGrid>
        <w:gridCol w:w="4202"/>
        <w:gridCol w:w="2670"/>
        <w:gridCol w:w="2787"/>
      </w:tblGrid>
      <w:tr>
        <w:trPr>
          <w:trHeight w:val="349" w:hRule="exact"/>
        </w:trPr>
        <w:tc>
          <w:tcPr>
            <w:tcW w:w="42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7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87"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53" w:hRule="exact"/>
        </w:trPr>
        <w:tc>
          <w:tcPr>
            <w:tcW w:w="4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河南省百隆建筑工程有限公司</w:t>
            </w:r>
          </w:p>
        </w:tc>
        <w:tc>
          <w:tcPr>
            <w:tcW w:w="2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5,753,511.22</w:t>
            </w:r>
          </w:p>
        </w:tc>
        <w:tc>
          <w:tcPr>
            <w:tcW w:w="27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20.96</w:t>
            </w:r>
          </w:p>
        </w:tc>
      </w:tr>
      <w:tr>
        <w:trPr>
          <w:trHeight w:val="352" w:hRule="exact"/>
        </w:trPr>
        <w:tc>
          <w:tcPr>
            <w:tcW w:w="4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濮阳市中信建设工程有限公司</w:t>
            </w:r>
          </w:p>
        </w:tc>
        <w:tc>
          <w:tcPr>
            <w:tcW w:w="2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3,830,000.00</w:t>
            </w:r>
          </w:p>
        </w:tc>
        <w:tc>
          <w:tcPr>
            <w:tcW w:w="27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13.95</w:t>
            </w:r>
          </w:p>
        </w:tc>
      </w:tr>
      <w:tr>
        <w:trPr>
          <w:trHeight w:val="352" w:hRule="exact"/>
        </w:trPr>
        <w:tc>
          <w:tcPr>
            <w:tcW w:w="4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云南中竣宏伟建筑工程有限公司</w:t>
            </w:r>
          </w:p>
        </w:tc>
        <w:tc>
          <w:tcPr>
            <w:tcW w:w="2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3,021,432.86</w:t>
            </w:r>
          </w:p>
        </w:tc>
        <w:tc>
          <w:tcPr>
            <w:tcW w:w="27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11.01</w:t>
            </w:r>
          </w:p>
        </w:tc>
      </w:tr>
      <w:tr>
        <w:trPr>
          <w:trHeight w:val="353" w:hRule="exact"/>
        </w:trPr>
        <w:tc>
          <w:tcPr>
            <w:tcW w:w="4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深圳恒通源水处理科技有限公司</w:t>
            </w:r>
          </w:p>
        </w:tc>
        <w:tc>
          <w:tcPr>
            <w:tcW w:w="2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1,000,000.00</w:t>
            </w:r>
          </w:p>
        </w:tc>
        <w:tc>
          <w:tcPr>
            <w:tcW w:w="27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3.64</w:t>
            </w:r>
          </w:p>
        </w:tc>
      </w:tr>
      <w:tr>
        <w:trPr>
          <w:trHeight w:val="352" w:hRule="exact"/>
        </w:trPr>
        <w:tc>
          <w:tcPr>
            <w:tcW w:w="4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北京博宏兴盛科技有限公司</w:t>
            </w:r>
          </w:p>
        </w:tc>
        <w:tc>
          <w:tcPr>
            <w:tcW w:w="2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800,000.00</w:t>
            </w:r>
          </w:p>
        </w:tc>
        <w:tc>
          <w:tcPr>
            <w:tcW w:w="27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2.91</w:t>
            </w:r>
          </w:p>
        </w:tc>
      </w:tr>
      <w:tr>
        <w:trPr>
          <w:trHeight w:val="353" w:hRule="exact"/>
        </w:trPr>
        <w:tc>
          <w:tcPr>
            <w:tcW w:w="4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14,404,944.08</w:t>
            </w:r>
          </w:p>
        </w:tc>
        <w:tc>
          <w:tcPr>
            <w:tcW w:w="27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52.47</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1554" w:right="1117"/>
        <w:jc w:val="left"/>
      </w:pPr>
      <w:r>
        <w:rPr/>
        <w:t>预付账款较期初增加</w:t>
      </w:r>
      <w:r>
        <w:rPr>
          <w:rFonts w:ascii="宋体" w:hAnsi="宋体" w:cs="宋体" w:eastAsia="宋体" w:hint="default"/>
        </w:rPr>
        <w:t>88.16%</w:t>
      </w:r>
      <w:r>
        <w:rPr/>
        <w:t>，主要系汉威公用预付的供水工程款项所致。</w:t>
      </w:r>
    </w:p>
    <w:p>
      <w:pPr>
        <w:spacing w:line="240" w:lineRule="auto" w:before="11"/>
        <w:rPr>
          <w:rFonts w:ascii="宋体" w:hAnsi="宋体" w:cs="宋体" w:eastAsia="宋体" w:hint="default"/>
          <w:sz w:val="25"/>
          <w:szCs w:val="25"/>
        </w:rPr>
      </w:pPr>
    </w:p>
    <w:p>
      <w:pPr>
        <w:pStyle w:val="Heading3"/>
        <w:spacing w:line="240" w:lineRule="auto"/>
        <w:ind w:left="1133" w:right="1117"/>
        <w:jc w:val="left"/>
        <w:rPr>
          <w:b w:val="0"/>
          <w:bCs w:val="0"/>
        </w:rPr>
      </w:pPr>
      <w:bookmarkStart w:name="5、应收股利" w:id="220"/>
      <w:bookmarkEnd w:id="220"/>
      <w:r>
        <w:rPr>
          <w:b w:val="0"/>
          <w:bCs w:val="0"/>
        </w:rPr>
      </w:r>
      <w:r>
        <w:rPr>
          <w:rFonts w:ascii="Times New Roman" w:hAnsi="Times New Roman" w:cs="Times New Roman" w:eastAsia="Times New Roman" w:hint="default"/>
        </w:rPr>
        <w:t>5</w:t>
      </w:r>
      <w:r>
        <w:rPr/>
        <w:t>、应收股利</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应收股利"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1,805,638.78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1,805,638.78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6、其他应收款" w:id="222"/>
      <w:bookmarkEnd w:id="22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其他应收款分类披露"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2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23" w:space="0" w:color="D2D2D2"/>
              <w:right w:val="single" w:sz="23" w:space="0" w:color="D2D2D2"/>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23" w:space="0" w:color="D2D2D2"/>
              <w:bottom w:val="nil" w:sz="6" w:space="0" w:color="auto"/>
              <w:right w:val="single" w:sz="23" w:space="0" w:color="D2D2D2"/>
            </w:tcBorders>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8"/>
                <w:szCs w:val="18"/>
              </w:rPr>
            </w:pPr>
            <w:r>
              <w:rPr>
                <w:rFonts w:ascii="宋体"/>
                <w:sz w:val="18"/>
              </w:rPr>
              <w:t>93,950,</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78.95%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8" w:right="0"/>
              <w:jc w:val="left"/>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sz w:val="18"/>
              </w:rPr>
              <w:t>93,950,0</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20" w:right="0"/>
              <w:jc w:val="left"/>
              <w:rPr>
                <w:rFonts w:ascii="宋体" w:hAnsi="宋体" w:cs="宋体" w:eastAsia="宋体" w:hint="default"/>
                <w:sz w:val="18"/>
                <w:szCs w:val="18"/>
              </w:rPr>
            </w:pPr>
            <w:r>
              <w:rPr>
                <w:rFonts w:ascii="宋体"/>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94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8"/>
                <w:szCs w:val="18"/>
              </w:rPr>
            </w:pPr>
            <w:r>
              <w:rPr>
                <w:rFonts w:ascii="宋体"/>
                <w:sz w:val="18"/>
              </w:rPr>
              <w:t>19,776,</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098.31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16.62%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center"/>
              <w:rPr>
                <w:rFonts w:ascii="宋体" w:hAnsi="宋体" w:cs="宋体" w:eastAsia="宋体" w:hint="default"/>
                <w:sz w:val="18"/>
                <w:szCs w:val="18"/>
              </w:rPr>
            </w:pPr>
            <w:r>
              <w:rPr>
                <w:rFonts w:ascii="宋体"/>
                <w:sz w:val="18"/>
              </w:rPr>
              <w:t>2,349,4</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24.78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11.88%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sz w:val="18"/>
              </w:rPr>
              <w:t>17,426,6</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73.53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15,167</w:t>
            </w:r>
          </w:p>
          <w:p>
            <w:pPr>
              <w:pStyle w:val="TableParagraph"/>
              <w:spacing w:line="240" w:lineRule="auto" w:before="76"/>
              <w:ind w:right="23"/>
              <w:jc w:val="right"/>
              <w:rPr>
                <w:rFonts w:ascii="宋体" w:hAnsi="宋体" w:cs="宋体" w:eastAsia="宋体" w:hint="default"/>
                <w:sz w:val="18"/>
                <w:szCs w:val="18"/>
              </w:rPr>
            </w:pPr>
            <w:r>
              <w:rPr>
                <w:rFonts w:ascii="宋体"/>
                <w:sz w:val="18"/>
              </w:rPr>
              <w:t>,639.2</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96.19%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sz w:val="18"/>
              </w:rPr>
              <w:t>1,550,28</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9.24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sz w:val="18"/>
              </w:rPr>
              <w:t>13,617,35</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0.05</w:t>
            </w:r>
          </w:p>
        </w:tc>
      </w:tr>
      <w:tr>
        <w:trPr>
          <w:trHeight w:val="94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center"/>
              <w:rPr>
                <w:rFonts w:ascii="宋体" w:hAnsi="宋体" w:cs="宋体" w:eastAsia="宋体" w:hint="default"/>
                <w:sz w:val="18"/>
                <w:szCs w:val="18"/>
              </w:rPr>
            </w:pPr>
            <w:r>
              <w:rPr>
                <w:rFonts w:ascii="宋体"/>
                <w:sz w:val="18"/>
              </w:rPr>
              <w:t>5,275,5</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94.95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4.43%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600,000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11.37%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sz w:val="18"/>
              </w:rPr>
              <w:t>4,675,59</w:t>
            </w:r>
          </w:p>
          <w:p>
            <w:pPr>
              <w:pStyle w:val="TableParagraph"/>
              <w:spacing w:line="240" w:lineRule="auto" w:before="76"/>
              <w:ind w:left="397" w:right="0"/>
              <w:jc w:val="left"/>
              <w:rPr>
                <w:rFonts w:ascii="宋体" w:hAnsi="宋体" w:cs="宋体" w:eastAsia="宋体" w:hint="default"/>
                <w:sz w:val="18"/>
                <w:szCs w:val="18"/>
              </w:rPr>
            </w:pPr>
            <w:r>
              <w:rPr>
                <w:rFonts w:ascii="宋体"/>
                <w:sz w:val="18"/>
              </w:rPr>
              <w:t>4.95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 w:right="0"/>
              <w:jc w:val="center"/>
              <w:rPr>
                <w:rFonts w:ascii="宋体" w:hAnsi="宋体" w:cs="宋体" w:eastAsia="宋体" w:hint="default"/>
                <w:sz w:val="18"/>
                <w:szCs w:val="18"/>
              </w:rPr>
            </w:pPr>
            <w:r>
              <w:rPr>
                <w:rFonts w:ascii="宋体"/>
                <w:sz w:val="18"/>
              </w:rPr>
              <w:t>600,00</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3.81%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600,000.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119,001</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,693.26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 w:right="0"/>
              <w:jc w:val="center"/>
              <w:rPr>
                <w:rFonts w:ascii="宋体" w:hAnsi="宋体" w:cs="宋体" w:eastAsia="宋体" w:hint="default"/>
                <w:sz w:val="18"/>
                <w:szCs w:val="18"/>
              </w:rPr>
            </w:pPr>
            <w:r>
              <w:rPr>
                <w:rFonts w:ascii="宋体"/>
                <w:sz w:val="18"/>
              </w:rPr>
              <w:t>2,949,4</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24.78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9" w:right="0"/>
              <w:jc w:val="left"/>
              <w:rPr>
                <w:rFonts w:ascii="宋体" w:hAnsi="宋体" w:cs="宋体" w:eastAsia="宋体" w:hint="default"/>
                <w:sz w:val="18"/>
                <w:szCs w:val="18"/>
              </w:rPr>
            </w:pPr>
            <w:r>
              <w:rPr>
                <w:rFonts w:ascii="宋体"/>
                <w:sz w:val="18"/>
              </w:rPr>
              <w:t>2.48%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sz w:val="18"/>
              </w:rPr>
              <w:t>116,052,</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268.48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15,767</w:t>
            </w:r>
          </w:p>
          <w:p>
            <w:pPr>
              <w:pStyle w:val="TableParagraph"/>
              <w:spacing w:line="240" w:lineRule="auto" w:before="76"/>
              <w:ind w:right="23"/>
              <w:jc w:val="right"/>
              <w:rPr>
                <w:rFonts w:ascii="宋体" w:hAnsi="宋体" w:cs="宋体" w:eastAsia="宋体" w:hint="default"/>
                <w:sz w:val="18"/>
                <w:szCs w:val="18"/>
              </w:rPr>
            </w:pPr>
            <w:r>
              <w:rPr>
                <w:rFonts w:ascii="宋体"/>
                <w:sz w:val="18"/>
              </w:rPr>
              <w:t>,639.2</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sz w:val="18"/>
              </w:rPr>
              <w:t>2,150,28</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9.24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9" w:right="0"/>
              <w:jc w:val="left"/>
              <w:rPr>
                <w:rFonts w:ascii="宋体" w:hAnsi="宋体" w:cs="宋体" w:eastAsia="宋体" w:hint="default"/>
                <w:sz w:val="18"/>
                <w:szCs w:val="18"/>
              </w:rPr>
            </w:pPr>
            <w:r>
              <w:rPr>
                <w:rFonts w:ascii="宋体"/>
                <w:sz w:val="18"/>
              </w:rPr>
              <w:t>13.64%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sz w:val="18"/>
              </w:rPr>
              <w:t>13,617,35</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0.05</w:t>
            </w:r>
          </w:p>
        </w:tc>
      </w:tr>
      <w:tr>
        <w:trPr>
          <w:trHeight w:val="31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465"/>
            <w:col w:w="2990"/>
          </w:cols>
        </w:sectPr>
      </w:pP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936"/>
        <w:gridCol w:w="1942"/>
        <w:gridCol w:w="1938"/>
        <w:gridCol w:w="1940"/>
        <w:gridCol w:w="1939"/>
      </w:tblGrid>
      <w:tr>
        <w:trPr>
          <w:trHeight w:val="322" w:hRule="exact"/>
        </w:trPr>
        <w:tc>
          <w:tcPr>
            <w:tcW w:w="1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36" w:type="dxa"/>
            <w:vMerge/>
            <w:tcBorders>
              <w:left w:val="single" w:sz="4" w:space="0" w:color="000000"/>
              <w:bottom w:val="single" w:sz="4" w:space="0" w:color="000000"/>
              <w:right w:val="single" w:sz="4" w:space="0" w:color="000000"/>
            </w:tcBorders>
            <w:shd w:val="clear" w:color="auto" w:fill="D2D2D2"/>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3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01"/>
              <w:jc w:val="left"/>
              <w:rPr>
                <w:rFonts w:ascii="宋体" w:hAnsi="宋体" w:cs="宋体" w:eastAsia="宋体" w:hint="default"/>
                <w:sz w:val="18"/>
                <w:szCs w:val="18"/>
              </w:rPr>
            </w:pPr>
            <w:r>
              <w:rPr>
                <w:rFonts w:ascii="宋体" w:hAnsi="宋体" w:cs="宋体" w:eastAsia="宋体" w:hint="default"/>
                <w:sz w:val="18"/>
                <w:szCs w:val="18"/>
              </w:rPr>
              <w:t>郑州高新技术产业开发 区工程审核办公室</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93,950,000.00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政府单位未计提坏账准 备</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93,950,000.00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pStyle w:val="BodyText"/>
        <w:spacing w:line="386" w:lineRule="auto" w:before="63"/>
        <w:ind w:left="1134" w:right="1197" w:firstLine="420"/>
        <w:jc w:val="left"/>
      </w:pPr>
      <w:r>
        <w:rPr/>
        <w:t>注：</w:t>
      </w:r>
      <w:r>
        <w:rPr>
          <w:rFonts w:ascii="Times New Roman" w:hAnsi="Times New Roman" w:cs="Times New Roman" w:eastAsia="Times New Roman" w:hint="default"/>
        </w:rPr>
        <w:t>1</w:t>
      </w:r>
      <w:r>
        <w:rPr/>
        <w:t>、郑州高新区工程审核办公室期末余额为公司投资汉威公用事业之前郑州高新供水有限责任公 司暂借给高新区工程审核办公室的款项，此款项由郑州高新区财政局承诺还款。</w:t>
      </w:r>
    </w:p>
    <w:p>
      <w:pPr>
        <w:spacing w:after="0" w:line="386" w:lineRule="auto"/>
        <w:jc w:val="left"/>
        <w:sectPr>
          <w:type w:val="continuous"/>
          <w:pgSz w:w="11910" w:h="16840"/>
          <w:pgMar w:top="1060" w:bottom="1160" w:left="0" w:right="0"/>
        </w:sectPr>
      </w:pPr>
    </w:p>
    <w:p>
      <w:pPr>
        <w:spacing w:before="53"/>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645"/>
            <w:col w:w="2990"/>
          </w:cols>
        </w:sectPr>
      </w:pP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404"/>
        <w:gridCol w:w="2431"/>
        <w:gridCol w:w="2424"/>
        <w:gridCol w:w="2424"/>
      </w:tblGrid>
      <w:tr>
        <w:trPr>
          <w:trHeight w:val="166" w:hRule="exact"/>
        </w:trPr>
        <w:tc>
          <w:tcPr>
            <w:tcW w:w="2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280"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2404" w:type="dxa"/>
            <w:vMerge/>
            <w:tcBorders>
              <w:left w:val="single" w:sz="4" w:space="0" w:color="000000"/>
              <w:bottom w:val="nil" w:sz="6" w:space="0" w:color="auto"/>
              <w:right w:val="single" w:sz="4" w:space="0" w:color="000000"/>
            </w:tcBorders>
            <w:shd w:val="clear" w:color="auto" w:fill="D2D2D2"/>
          </w:tcPr>
          <w:p>
            <w:pPr/>
          </w:p>
        </w:tc>
        <w:tc>
          <w:tcPr>
            <w:tcW w:w="2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7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2431" w:type="dxa"/>
            <w:vMerge/>
            <w:tcBorders>
              <w:left w:val="single" w:sz="4" w:space="0" w:color="000000"/>
              <w:bottom w:val="single" w:sz="4" w:space="0" w:color="000000"/>
              <w:right w:val="single" w:sz="4" w:space="0" w:color="000000"/>
            </w:tcBorders>
            <w:shd w:val="clear" w:color="auto" w:fill="D2D2D2"/>
          </w:tcPr>
          <w:p>
            <w:pPr/>
          </w:p>
        </w:tc>
        <w:tc>
          <w:tcPr>
            <w:tcW w:w="2424" w:type="dxa"/>
            <w:vMerge/>
            <w:tcBorders>
              <w:left w:val="single" w:sz="4" w:space="0" w:color="000000"/>
              <w:bottom w:val="single" w:sz="4" w:space="0" w:color="000000"/>
              <w:right w:val="single" w:sz="4" w:space="0" w:color="000000"/>
            </w:tcBorders>
            <w:shd w:val="clear" w:color="auto" w:fill="D2D2D2"/>
          </w:tcPr>
          <w:p>
            <w:pPr/>
          </w:p>
        </w:tc>
        <w:tc>
          <w:tcPr>
            <w:tcW w:w="2424"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96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22"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12,430,348.78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621,517.46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w:t>
            </w:r>
          </w:p>
        </w:tc>
      </w:tr>
      <w:tr>
        <w:trPr>
          <w:trHeight w:val="323"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3,506,277.73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350,627.77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w:t>
            </w:r>
          </w:p>
        </w:tc>
      </w:tr>
      <w:tr>
        <w:trPr>
          <w:trHeight w:val="322"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1,291,308.69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258,261.74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w:t>
            </w:r>
          </w:p>
        </w:tc>
      </w:tr>
      <w:tr>
        <w:trPr>
          <w:trHeight w:val="322"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2,548,163.11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1,119,017.81</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1,190,554.00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357,166.20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w:t>
            </w:r>
          </w:p>
        </w:tc>
      </w:tr>
      <w:tr>
        <w:trPr>
          <w:trHeight w:val="322"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1,191,515.00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595,757.50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50.00%</w:t>
            </w:r>
          </w:p>
        </w:tc>
      </w:tr>
      <w:tr>
        <w:trPr>
          <w:trHeight w:val="322"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166,094.11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166,094.11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r>
      <w:tr>
        <w:trPr>
          <w:trHeight w:val="323" w:hRule="exact"/>
        </w:trPr>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19,776,098.31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2,349,424.78</w:t>
            </w:r>
          </w:p>
        </w:tc>
        <w:tc>
          <w:tcPr>
            <w:tcW w:w="2424"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1"/>
          <w:szCs w:val="21"/>
        </w:rPr>
      </w:pPr>
    </w:p>
    <w:p>
      <w:pPr>
        <w:spacing w:line="338" w:lineRule="auto" w:before="44"/>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777,599.24</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6"/>
          <w:szCs w:val="26"/>
        </w:rPr>
      </w:pPr>
    </w:p>
    <w:p>
      <w:pPr>
        <w:pStyle w:val="Heading3"/>
        <w:spacing w:line="240" w:lineRule="auto"/>
        <w:ind w:left="1133" w:right="1117"/>
        <w:jc w:val="left"/>
        <w:rPr>
          <w:b w:val="0"/>
          <w:bCs w:val="0"/>
        </w:rPr>
      </w:pPr>
      <w:bookmarkStart w:name="（3）其他应收款按款项性质分类情况" w:id="225"/>
      <w:bookmarkEnd w:id="22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98,625,594.95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15,299,675.85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10,853,610.01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3,316,432.87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3,328,034.64</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1,759,989.59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1,585,994.64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119,001,693.26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15,767,639.29</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按欠款方归集的期末余额前五名的其他应收款情况" w:id="226"/>
      <w:bookmarkEnd w:id="22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2582"/>
        <w:gridCol w:w="1134"/>
        <w:gridCol w:w="1416"/>
        <w:gridCol w:w="1328"/>
        <w:gridCol w:w="1618"/>
        <w:gridCol w:w="1616"/>
      </w:tblGrid>
      <w:tr>
        <w:trPr>
          <w:trHeight w:val="634"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82"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34"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郑州高新技术产业开发区工程审 核办公室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93,950,000.00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78.95%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322"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4,675,594.95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福安市环境卫生管理处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110,000.00</w:t>
            </w:r>
          </w:p>
        </w:tc>
      </w:tr>
      <w:tr>
        <w:trPr>
          <w:trHeight w:val="322"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宜宾市投资集团有限责任公司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2,133,196.00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213,319.60</w:t>
            </w:r>
          </w:p>
        </w:tc>
      </w:tr>
      <w:tr>
        <w:trPr>
          <w:trHeight w:val="634"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湖南省永州市坦塘垃圾处理有限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0.84%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r>
      <w:tr>
        <w:trPr>
          <w:trHeight w:val="32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103,958,790.95</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87.36%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823,319.60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7、存货" w:id="227"/>
      <w:bookmarkEnd w:id="227"/>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存货分类"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376"/>
        <w:gridCol w:w="1386"/>
        <w:gridCol w:w="1385"/>
        <w:gridCol w:w="1384"/>
        <w:gridCol w:w="1384"/>
        <w:gridCol w:w="1385"/>
        <w:gridCol w:w="1384"/>
      </w:tblGrid>
      <w:tr>
        <w:trPr>
          <w:trHeight w:val="167" w:hRule="exact"/>
        </w:trPr>
        <w:tc>
          <w:tcPr>
            <w:tcW w:w="1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5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155" w:type="dxa"/>
            <w:gridSpan w:val="3"/>
            <w:vMerge/>
            <w:tcBorders>
              <w:left w:val="single" w:sz="4" w:space="0" w:color="000000"/>
              <w:bottom w:val="single" w:sz="4" w:space="0" w:color="000000"/>
              <w:right w:val="single" w:sz="4" w:space="0" w:color="000000"/>
            </w:tcBorders>
            <w:shd w:val="clear" w:color="auto" w:fill="D2D2D2"/>
          </w:tcPr>
          <w:p>
            <w:pPr/>
          </w:p>
        </w:tc>
        <w:tc>
          <w:tcPr>
            <w:tcW w:w="4152"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76" w:type="dxa"/>
            <w:vMerge/>
            <w:tcBorders>
              <w:left w:val="single" w:sz="4" w:space="0" w:color="000000"/>
              <w:bottom w:val="nil" w:sz="6" w:space="0" w:color="auto"/>
              <w:right w:val="single" w:sz="4" w:space="0" w:color="000000"/>
            </w:tcBorders>
            <w:shd w:val="clear" w:color="auto" w:fill="D2D2D2"/>
          </w:tcPr>
          <w:p>
            <w:pP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27,024,299.46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27,024,299.46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22,523,525.56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22,523,525.56</w:t>
            </w:r>
          </w:p>
        </w:tc>
      </w:tr>
      <w:tr>
        <w:trPr>
          <w:trHeight w:val="32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20,745,819.38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20,745,819.38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16,964,757.87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16,964,757.87</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23,049,673.43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23,049,673.43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25,417,249.24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25,417,249.24</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1376"/>
        <w:gridCol w:w="1398"/>
        <w:gridCol w:w="1385"/>
        <w:gridCol w:w="1384"/>
        <w:gridCol w:w="1384"/>
        <w:gridCol w:w="1385"/>
        <w:gridCol w:w="1384"/>
      </w:tblGrid>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145,741.85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145,741.85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120,816.09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120,816.09</w:t>
            </w:r>
          </w:p>
        </w:tc>
      </w:tr>
      <w:tr>
        <w:trPr>
          <w:trHeight w:val="947"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81"/>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104,974,877.67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104,974,877.67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112,768,630.72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112,768,630.72</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1,053,290.86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1,053,290.86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1,481,630.15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1,481,630.15</w:t>
            </w:r>
          </w:p>
        </w:tc>
      </w:tr>
      <w:tr>
        <w:trPr>
          <w:trHeight w:val="32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176,993,702.65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176,993,702.65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179,276,609.63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179,276,609.63</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期末建造合同形成的已完工未结算资产情况" w:id="229"/>
      <w:bookmarkEnd w:id="229"/>
      <w:r>
        <w:rPr>
          <w:b w:val="0"/>
          <w:bCs w:val="0"/>
        </w:rPr>
      </w: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4822"/>
        <w:gridCol w:w="4861"/>
      </w:tblGrid>
      <w:tr>
        <w:trPr>
          <w:trHeight w:val="322" w:hRule="exact"/>
        </w:trPr>
        <w:tc>
          <w:tcPr>
            <w:tcW w:w="4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4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204,108,370.67</w:t>
            </w:r>
          </w:p>
        </w:tc>
      </w:tr>
      <w:tr>
        <w:trPr>
          <w:trHeight w:val="322" w:hRule="exact"/>
        </w:trPr>
        <w:tc>
          <w:tcPr>
            <w:tcW w:w="4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99,611,933.89</w:t>
            </w:r>
          </w:p>
        </w:tc>
      </w:tr>
      <w:tr>
        <w:trPr>
          <w:trHeight w:val="322" w:hRule="exact"/>
        </w:trPr>
        <w:tc>
          <w:tcPr>
            <w:tcW w:w="4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198,745,426.89</w:t>
            </w:r>
          </w:p>
        </w:tc>
      </w:tr>
      <w:tr>
        <w:trPr>
          <w:trHeight w:val="322" w:hRule="exact"/>
        </w:trPr>
        <w:tc>
          <w:tcPr>
            <w:tcW w:w="4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104,974,877.67</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8、其他流动资产" w:id="230"/>
      <w:bookmarkEnd w:id="23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636,611.07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777,178.56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326,509.40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7,602.76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理财投资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117,717,388.89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423,413.75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119,103,923.11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784,781.32</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1554" w:right="1117"/>
        <w:jc w:val="left"/>
      </w:pPr>
      <w:r>
        <w:rPr/>
        <w:t>其他流动资产较期初增加</w:t>
      </w:r>
      <w:r>
        <w:rPr>
          <w:rFonts w:ascii="宋体" w:hAnsi="宋体" w:cs="宋体" w:eastAsia="宋体" w:hint="default"/>
        </w:rPr>
        <w:t>15,076.70%</w:t>
      </w:r>
      <w:r>
        <w:rPr/>
        <w:t>，主要系公司利用暂时闲置资金购买银行理财产品所致。</w:t>
      </w:r>
    </w:p>
    <w:p>
      <w:pPr>
        <w:spacing w:line="240" w:lineRule="auto" w:before="0"/>
        <w:rPr>
          <w:rFonts w:ascii="宋体" w:hAnsi="宋体" w:cs="宋体" w:eastAsia="宋体" w:hint="default"/>
          <w:sz w:val="20"/>
          <w:szCs w:val="20"/>
        </w:rPr>
      </w:pPr>
    </w:p>
    <w:p>
      <w:pPr>
        <w:pStyle w:val="Heading3"/>
        <w:spacing w:line="240" w:lineRule="auto" w:before="154"/>
        <w:ind w:left="1133" w:right="1117"/>
        <w:jc w:val="left"/>
        <w:rPr>
          <w:b w:val="0"/>
          <w:bCs w:val="0"/>
        </w:rPr>
      </w:pPr>
      <w:bookmarkStart w:name="9、可供出售金融资产" w:id="231"/>
      <w:bookmarkEnd w:id="231"/>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可供出售金融资产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988"/>
        <w:gridCol w:w="1237"/>
        <w:gridCol w:w="1198"/>
        <w:gridCol w:w="1271"/>
        <w:gridCol w:w="1249"/>
        <w:gridCol w:w="1370"/>
        <w:gridCol w:w="1370"/>
      </w:tblGrid>
      <w:tr>
        <w:trPr>
          <w:trHeight w:val="16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06" w:type="dxa"/>
            <w:gridSpan w:val="3"/>
            <w:vMerge/>
            <w:tcBorders>
              <w:left w:val="single" w:sz="4" w:space="0" w:color="000000"/>
              <w:bottom w:val="single" w:sz="4" w:space="0" w:color="000000"/>
              <w:right w:val="single" w:sz="4" w:space="0" w:color="000000"/>
            </w:tcBorders>
            <w:shd w:val="clear" w:color="auto" w:fill="D2D2D2"/>
          </w:tcPr>
          <w:p>
            <w:pPr/>
          </w:p>
        </w:tc>
        <w:tc>
          <w:tcPr>
            <w:tcW w:w="3989"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2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60,600,000.00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9"/>
                <w:szCs w:val="9"/>
              </w:rPr>
            </w:pPr>
            <w:r>
              <w:rPr>
                <w:rFonts w:ascii="宋体"/>
                <w:sz w:val="18"/>
              </w:rPr>
              <w:t>60,600,000.00</w:t>
            </w:r>
            <w:r>
              <w:rPr>
                <w:rFonts w:ascii="宋体"/>
                <w:color w:val="FF0000"/>
                <w:position w:val="9"/>
                <w:sz w:val="9"/>
              </w:rPr>
              <w:t>1</w:t>
            </w:r>
            <w:r>
              <w:rPr>
                <w:rFonts w:ascii="宋体"/>
                <w:sz w:val="9"/>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200,000.00</w:t>
            </w:r>
          </w:p>
        </w:tc>
      </w:tr>
      <w:tr>
        <w:trPr>
          <w:trHeight w:val="32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60,600,000.00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60,600,000.00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200,000.00</w:t>
            </w:r>
          </w:p>
        </w:tc>
      </w:tr>
      <w:tr>
        <w:trPr>
          <w:trHeight w:val="32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60,600,000.00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60,600,000.00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200,000.00</w:t>
            </w:r>
          </w:p>
        </w:tc>
      </w:tr>
    </w:tbl>
    <w:p>
      <w:pPr>
        <w:spacing w:line="240" w:lineRule="auto" w:before="4"/>
        <w:rPr>
          <w:rFonts w:ascii="宋体" w:hAnsi="宋体" w:cs="宋体" w:eastAsia="宋体" w:hint="default"/>
          <w:sz w:val="5"/>
          <w:szCs w:val="5"/>
        </w:rPr>
      </w:pPr>
    </w:p>
    <w:p>
      <w:pPr>
        <w:pStyle w:val="BodyText"/>
        <w:spacing w:line="408" w:lineRule="auto" w:before="35"/>
        <w:ind w:left="1134" w:right="1119" w:firstLine="420"/>
        <w:jc w:val="left"/>
      </w:pPr>
      <w:r>
        <w:rPr>
          <w:spacing w:val="-8"/>
        </w:rPr>
        <w:t>注：</w:t>
      </w:r>
      <w:r>
        <w:rPr>
          <w:rFonts w:ascii="宋体" w:hAnsi="宋体" w:cs="宋体" w:eastAsia="宋体" w:hint="default"/>
          <w:spacing w:val="-8"/>
        </w:rPr>
        <w:t>1</w:t>
      </w:r>
      <w:r>
        <w:rPr>
          <w:spacing w:val="-8"/>
        </w:rPr>
        <w:t>、可供出售金融资产较期初增加</w:t>
      </w:r>
      <w:r>
        <w:rPr>
          <w:spacing w:val="-35"/>
        </w:rPr>
        <w:t> </w:t>
      </w:r>
      <w:r>
        <w:rPr>
          <w:rFonts w:ascii="宋体" w:hAnsi="宋体" w:cs="宋体" w:eastAsia="宋体" w:hint="default"/>
          <w:spacing w:val="-2"/>
        </w:rPr>
        <w:t>30,200.00%</w:t>
      </w:r>
      <w:r>
        <w:rPr>
          <w:spacing w:val="-2"/>
        </w:rPr>
        <w:t>，主要系投资河南华夏海纳创业投资集团有限公司、</w:t>
      </w:r>
      <w:r>
        <w:rPr/>
        <w:t> 浙江风向标科技有限公司、泰瑞数创科技（北京）有限公司等所致。</w:t>
      </w:r>
    </w:p>
    <w:p>
      <w:pPr>
        <w:spacing w:after="0" w:line="408"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1117"/>
        <w:jc w:val="left"/>
        <w:rPr>
          <w:b w:val="0"/>
          <w:bCs w:val="0"/>
        </w:rPr>
      </w:pPr>
      <w:bookmarkStart w:name="（2）期末按成本计量的可供出售金融资产" w:id="233"/>
      <w:bookmarkEnd w:id="23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779"/>
        <w:gridCol w:w="956"/>
        <w:gridCol w:w="1225"/>
        <w:gridCol w:w="787"/>
        <w:gridCol w:w="1227"/>
        <w:gridCol w:w="787"/>
        <w:gridCol w:w="786"/>
        <w:gridCol w:w="788"/>
        <w:gridCol w:w="787"/>
        <w:gridCol w:w="787"/>
        <w:gridCol w:w="785"/>
      </w:tblGrid>
      <w:tr>
        <w:trPr>
          <w:trHeight w:val="322" w:hRule="exact"/>
        </w:trPr>
        <w:tc>
          <w:tcPr>
            <w:tcW w:w="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94" w:right="2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1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1"/>
              <w:ind w:left="27" w:right="2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779"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河南开云 信息技术 有限公司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浙江风向 标科技有 限公司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15,000,000.00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15,000,000.00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13.04%</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4"/>
              <w:jc w:val="both"/>
              <w:rPr>
                <w:rFonts w:ascii="宋体" w:hAnsi="宋体" w:cs="宋体" w:eastAsia="宋体" w:hint="default"/>
                <w:sz w:val="18"/>
                <w:szCs w:val="18"/>
              </w:rPr>
            </w:pPr>
            <w:r>
              <w:rPr>
                <w:rFonts w:ascii="宋体" w:hAnsi="宋体" w:cs="宋体" w:eastAsia="宋体" w:hint="default"/>
                <w:sz w:val="18"/>
                <w:szCs w:val="18"/>
              </w:rPr>
              <w:t>德熙智能 科技（上 海）有限 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15.00%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郑州易度 传感技术 有限公司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河南华夏 海纳创业 投资集团 有限公司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5.45%</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4"/>
              <w:jc w:val="both"/>
              <w:rPr>
                <w:rFonts w:ascii="宋体" w:hAnsi="宋体" w:cs="宋体" w:eastAsia="宋体" w:hint="default"/>
                <w:sz w:val="18"/>
                <w:szCs w:val="18"/>
              </w:rPr>
            </w:pPr>
            <w:r>
              <w:rPr>
                <w:rFonts w:ascii="宋体" w:hAnsi="宋体" w:cs="宋体" w:eastAsia="宋体" w:hint="default"/>
                <w:sz w:val="18"/>
                <w:szCs w:val="18"/>
              </w:rPr>
              <w:t>泰瑞数创 科技（北 京）有限 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上海戴维 蓝普传感 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200,000.00</w:t>
            </w:r>
          </w:p>
        </w:tc>
        <w:tc>
          <w:tcPr>
            <w:tcW w:w="122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12.50%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200,000.00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60,400,000.00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60,600,000.00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10、长期应收款" w:id="234"/>
      <w:bookmarkEnd w:id="234"/>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长期应收款情况"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383"/>
        <w:gridCol w:w="1180"/>
        <w:gridCol w:w="1168"/>
        <w:gridCol w:w="1168"/>
        <w:gridCol w:w="1226"/>
        <w:gridCol w:w="1168"/>
        <w:gridCol w:w="1226"/>
        <w:gridCol w:w="1164"/>
      </w:tblGrid>
      <w:tr>
        <w:trPr>
          <w:trHeight w:val="167" w:hRule="exact"/>
        </w:trPr>
        <w:tc>
          <w:tcPr>
            <w:tcW w:w="1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2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5" w:hRule="exact"/>
        </w:trPr>
        <w:tc>
          <w:tcPr>
            <w:tcW w:w="13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6" w:type="dxa"/>
            <w:gridSpan w:val="3"/>
            <w:vMerge/>
            <w:tcBorders>
              <w:left w:val="single" w:sz="4" w:space="0" w:color="000000"/>
              <w:bottom w:val="single" w:sz="4" w:space="0" w:color="000000"/>
              <w:right w:val="single" w:sz="4" w:space="0" w:color="000000"/>
            </w:tcBorders>
            <w:shd w:val="clear" w:color="auto" w:fill="D2D2D2"/>
          </w:tcPr>
          <w:p>
            <w:pPr/>
          </w:p>
        </w:tc>
        <w:tc>
          <w:tcPr>
            <w:tcW w:w="3621"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57" w:hRule="exact"/>
        </w:trPr>
        <w:tc>
          <w:tcPr>
            <w:tcW w:w="1383" w:type="dxa"/>
            <w:vMerge/>
            <w:tcBorders>
              <w:left w:val="single" w:sz="4" w:space="0" w:color="000000"/>
              <w:bottom w:val="nil" w:sz="6" w:space="0" w:color="auto"/>
              <w:right w:val="single" w:sz="4" w:space="0" w:color="000000"/>
            </w:tcBorders>
            <w:shd w:val="clear" w:color="auto" w:fill="D2D2D2"/>
          </w:tcPr>
          <w:p>
            <w:pPr/>
          </w:p>
        </w:tc>
        <w:tc>
          <w:tcPr>
            <w:tcW w:w="11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4"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99"/>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7,996,332.61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 w:right="0"/>
              <w:jc w:val="center"/>
              <w:rPr>
                <w:rFonts w:ascii="宋体" w:hAnsi="宋体" w:cs="宋体" w:eastAsia="宋体" w:hint="default"/>
                <w:sz w:val="18"/>
                <w:szCs w:val="18"/>
              </w:rPr>
            </w:pPr>
            <w:r>
              <w:rPr>
                <w:rFonts w:ascii="宋体"/>
                <w:sz w:val="18"/>
              </w:rPr>
              <w:t>7,996,332.61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10,992,958.00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10,992,958.00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7,996,332.61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center"/>
              <w:rPr>
                <w:rFonts w:ascii="宋体" w:hAnsi="宋体" w:cs="宋体" w:eastAsia="宋体" w:hint="default"/>
                <w:sz w:val="18"/>
                <w:szCs w:val="18"/>
              </w:rPr>
            </w:pPr>
            <w:r>
              <w:rPr>
                <w:rFonts w:ascii="宋体"/>
                <w:sz w:val="18"/>
              </w:rPr>
              <w:t>7,996,332.61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10,992,958.00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12" w:right="0"/>
              <w:jc w:val="center"/>
              <w:rPr>
                <w:rFonts w:ascii="宋体" w:hAnsi="宋体" w:cs="宋体" w:eastAsia="宋体" w:hint="default"/>
                <w:sz w:val="18"/>
                <w:szCs w:val="18"/>
              </w:rPr>
            </w:pPr>
            <w:r>
              <w:rPr>
                <w:rFonts w:ascii="宋体"/>
                <w:sz w:val="18"/>
              </w:rPr>
              <w:t>10,992,958.00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11、长期股权投资" w:id="236"/>
      <w:bookmarkEnd w:id="236"/>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51"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2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94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94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1"/>
              <w:jc w:val="both"/>
              <w:rPr>
                <w:rFonts w:ascii="宋体" w:hAnsi="宋体" w:cs="宋体" w:eastAsia="宋体" w:hint="default"/>
                <w:sz w:val="18"/>
                <w:szCs w:val="18"/>
              </w:rPr>
            </w:pPr>
            <w:r>
              <w:rPr>
                <w:rFonts w:ascii="宋体" w:hAnsi="宋体" w:cs="宋体" w:eastAsia="宋体" w:hint="default"/>
                <w:sz w:val="18"/>
                <w:szCs w:val="18"/>
              </w:rPr>
              <w:t>郑州高新 梧桐水务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21,624,4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2,037,93</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-1,805,6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28,305,7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62.34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sz w:val="18"/>
              </w:rPr>
              <w:t>50,162,5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22.54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21,624,4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59.86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2,037,93</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-1,805,6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38.78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28,305,7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62.34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50,162,5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22.54</w:t>
            </w: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13" w:space="0" w:color="D2D2D2"/>
              <w:bottom w:val="nil" w:sz="6" w:space="0" w:color="auto"/>
              <w:right w:val="single" w:sz="13" w:space="0" w:color="D2D2D2"/>
            </w:tcBorders>
          </w:tcPr>
          <w:p>
            <w:pPr>
              <w:pStyle w:val="TableParagraph"/>
              <w:tabs>
                <w:tab w:pos="750" w:val="left" w:leader="none"/>
              </w:tabs>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小计</w:t>
              <w:tab/>
            </w:r>
            <w:r>
              <w:rPr>
                <w:rFonts w:ascii="宋体" w:hAnsi="宋体" w:cs="宋体" w:eastAsia="宋体" w:hint="default"/>
                <w:sz w:val="18"/>
                <w:szCs w:val="18"/>
              </w:rPr>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2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25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1"/>
              <w:jc w:val="both"/>
              <w:rPr>
                <w:rFonts w:ascii="宋体" w:hAnsi="宋体" w:cs="宋体" w:eastAsia="宋体" w:hint="default"/>
                <w:sz w:val="18"/>
                <w:szCs w:val="18"/>
              </w:rPr>
            </w:pPr>
            <w:r>
              <w:rPr>
                <w:rFonts w:ascii="宋体" w:hAnsi="宋体" w:cs="宋体" w:eastAsia="宋体" w:hint="default"/>
                <w:sz w:val="18"/>
                <w:szCs w:val="18"/>
              </w:rPr>
              <w:t>苏州能斯 达电子科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sz w:val="18"/>
              </w:rPr>
              <w:t>-499,935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sz w:val="18"/>
              </w:rPr>
              <w:t>3,327,31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2.03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-499,935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3,327,31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2.03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23,774,4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1,538,00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-1,805,6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28,305,7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62.34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sz w:val="18"/>
              </w:rPr>
              <w:t>53,489,8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34.57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1554" w:right="1117"/>
        <w:jc w:val="left"/>
      </w:pPr>
      <w:r>
        <w:rPr/>
        <w:t>长期股权投资较期初增加</w:t>
      </w:r>
      <w:r>
        <w:rPr>
          <w:rFonts w:ascii="宋体" w:hAnsi="宋体" w:cs="宋体" w:eastAsia="宋体" w:hint="default"/>
        </w:rPr>
        <w:t>3,089.14%</w:t>
      </w:r>
      <w:r>
        <w:rPr/>
        <w:t>，主要系合并范围增加所致。</w:t>
      </w:r>
    </w:p>
    <w:p>
      <w:pPr>
        <w:spacing w:line="240" w:lineRule="auto" w:before="11"/>
        <w:rPr>
          <w:rFonts w:ascii="宋体" w:hAnsi="宋体" w:cs="宋体" w:eastAsia="宋体" w:hint="default"/>
          <w:sz w:val="25"/>
          <w:szCs w:val="25"/>
        </w:rPr>
      </w:pPr>
    </w:p>
    <w:p>
      <w:pPr>
        <w:pStyle w:val="Heading3"/>
        <w:spacing w:line="240" w:lineRule="auto"/>
        <w:ind w:right="1117"/>
        <w:jc w:val="left"/>
        <w:rPr>
          <w:b w:val="0"/>
          <w:bCs w:val="0"/>
        </w:rPr>
      </w:pPr>
      <w:bookmarkStart w:name="12、投资性房地产" w:id="237"/>
      <w:bookmarkEnd w:id="237"/>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采用成本计量模式的投资性房地产"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913"/>
        <w:gridCol w:w="1953"/>
        <w:gridCol w:w="1938"/>
        <w:gridCol w:w="1940"/>
        <w:gridCol w:w="1939"/>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53" w:type="dxa"/>
            <w:tcBorders>
              <w:top w:val="single" w:sz="4" w:space="0" w:color="000000"/>
              <w:left w:val="single" w:sz="13" w:space="0" w:color="D2D2D2"/>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67,784,343.28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67,784,343.28</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147,826,780.85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147,826,780.85</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147,826,780.85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147,826,780.85</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0.00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215,611,124.13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215,611,124.13</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1936"/>
        <w:gridCol w:w="1942"/>
        <w:gridCol w:w="1938"/>
        <w:gridCol w:w="1940"/>
        <w:gridCol w:w="1939"/>
      </w:tblGrid>
      <w:tr>
        <w:trPr>
          <w:trHeight w:val="634"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5,685,003.06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5,685,003.06</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9,227,016.38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9,227,016.38</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5,704,436.93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5,704,436.93</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）固定资产转入</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3,522,579.45</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3,522,579.45</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14,912,019.44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14,912,019.44</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200,699,104.69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200,699,104.69</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62,099,340.22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62,099,340.22</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2）未办妥产权证书的投资性房地产情况" w:id="239"/>
      <w:bookmarkEnd w:id="239"/>
      <w:r>
        <w:rPr>
          <w:b w:val="0"/>
          <w:bCs w:val="0"/>
        </w:rPr>
      </w: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汉威国际传感器科技园</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33,560,677.26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120,406,253.37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1554" w:right="1117"/>
        <w:jc w:val="left"/>
      </w:pPr>
      <w:r>
        <w:rPr/>
        <w:t>投资性房地产较期初增加</w:t>
      </w:r>
      <w:r>
        <w:rPr>
          <w:rFonts w:ascii="宋体" w:hAnsi="宋体" w:cs="宋体" w:eastAsia="宋体" w:hint="default"/>
        </w:rPr>
        <w:t>223.19%</w:t>
      </w:r>
      <w:r>
        <w:rPr/>
        <w:t>，主要系公司闲置房产对外出租所致。</w:t>
      </w:r>
    </w:p>
    <w:p>
      <w:pPr>
        <w:spacing w:line="240" w:lineRule="auto" w:before="11"/>
        <w:rPr>
          <w:rFonts w:ascii="宋体" w:hAnsi="宋体" w:cs="宋体" w:eastAsia="宋体" w:hint="default"/>
          <w:sz w:val="25"/>
          <w:szCs w:val="25"/>
        </w:rPr>
      </w:pPr>
    </w:p>
    <w:p>
      <w:pPr>
        <w:pStyle w:val="Heading3"/>
        <w:spacing w:line="240" w:lineRule="auto"/>
        <w:ind w:right="1117"/>
        <w:jc w:val="left"/>
        <w:rPr>
          <w:b w:val="0"/>
          <w:bCs w:val="0"/>
        </w:rPr>
      </w:pPr>
      <w:bookmarkStart w:name="13、固定资产" w:id="240"/>
      <w:bookmarkEnd w:id="240"/>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固定资产情况"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373"/>
        <w:gridCol w:w="1397"/>
        <w:gridCol w:w="1385"/>
        <w:gridCol w:w="1385"/>
        <w:gridCol w:w="1386"/>
        <w:gridCol w:w="1385"/>
        <w:gridCol w:w="1384"/>
      </w:tblGrid>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7" w:right="0"/>
              <w:jc w:val="left"/>
              <w:rPr>
                <w:rFonts w:ascii="宋体" w:hAnsi="宋体" w:cs="宋体" w:eastAsia="宋体" w:hint="default"/>
                <w:sz w:val="18"/>
                <w:szCs w:val="18"/>
              </w:rPr>
            </w:pPr>
            <w:r>
              <w:rPr>
                <w:rFonts w:ascii="宋体" w:hAnsi="宋体" w:cs="宋体" w:eastAsia="宋体" w:hint="default"/>
                <w:sz w:val="18"/>
                <w:szCs w:val="18"/>
              </w:rPr>
              <w:t>管道沟槽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391,282,282.08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48,024,673.30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14,973,986.60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27,726,341.12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482,007,283.10</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8"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 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21,208,445.05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4,719,249.20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6,352,789.53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89,440,053.85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7,130,799.38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128,851,337.01</w:t>
            </w:r>
          </w:p>
        </w:tc>
      </w:tr>
      <w:tr>
        <w:trPr>
          <w:trHeight w:val="32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714,306.34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3,393,333.52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4,894,446.44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3,796,941.07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12,799,027.37</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01" w:type="dxa"/>
        <w:tblLayout w:type="fixed"/>
        <w:tblCellMar>
          <w:top w:w="0" w:type="dxa"/>
          <w:left w:w="0" w:type="dxa"/>
          <w:bottom w:w="0" w:type="dxa"/>
          <w:right w:w="0" w:type="dxa"/>
        </w:tblCellMar>
        <w:tblLook w:val="01E0"/>
      </w:tblPr>
      <w:tblGrid>
        <w:gridCol w:w="1373"/>
        <w:gridCol w:w="1397"/>
        <w:gridCol w:w="1385"/>
        <w:gridCol w:w="1385"/>
        <w:gridCol w:w="1386"/>
        <w:gridCol w:w="1385"/>
        <w:gridCol w:w="1384"/>
      </w:tblGrid>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1" w:firstLine="34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）在建工</w:t>
            </w:r>
            <w:r>
              <w:rPr>
                <w:rFonts w:ascii="宋体" w:hAnsi="宋体" w:cs="宋体" w:eastAsia="宋体" w:hint="default"/>
                <w:sz w:val="18"/>
                <w:szCs w:val="18"/>
              </w:rPr>
              <w:t> 程转入</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905,700.00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4,726.93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15,810,194.91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229,957.27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16,950,579.11</w:t>
            </w:r>
          </w:p>
        </w:tc>
      </w:tr>
      <w:tr>
        <w:trPr>
          <w:trHeight w:val="63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1" w:firstLine="34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sz w:val="18"/>
                <w:szCs w:val="18"/>
              </w:rPr>
              <w:t> 并增加</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19,588,438.71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1,321,188.75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1,458,343.09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73,629,858.94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3,103,901.04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99,101,730.53</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97" w:type="dxa"/>
            <w:tcBorders>
              <w:top w:val="single" w:sz="4" w:space="0" w:color="000000"/>
              <w:left w:val="single" w:sz="13" w:space="0" w:color="E0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8"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 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147,826,780.85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288,852.99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268,222.40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528,183.07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5,500.00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148,917,539.31</w:t>
            </w:r>
          </w:p>
        </w:tc>
      </w:tr>
      <w:tr>
        <w:trPr>
          <w:trHeight w:val="63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1" w:firstLine="34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sz w:val="18"/>
                <w:szCs w:val="18"/>
              </w:rPr>
              <w:t> 报废</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288,852.99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268,222.40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528,183.07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5,500.00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1,090,758.46</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0"/>
              <w:ind w:left="22" w:right="11"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）转入投</w:t>
            </w:r>
            <w:r>
              <w:rPr>
                <w:rFonts w:ascii="宋体" w:hAnsi="宋体" w:cs="宋体" w:eastAsia="宋体" w:hint="default"/>
                <w:sz w:val="18"/>
                <w:szCs w:val="18"/>
              </w:rPr>
              <w:t> 资性房地产</w:t>
            </w:r>
          </w:p>
        </w:tc>
        <w:tc>
          <w:tcPr>
            <w:tcW w:w="13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147,826,780.85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147,826,780.85</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264,663,946.28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52,455,069.51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21,058,553.73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88,911,870.78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34,851,640.50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461,941,080.80</w:t>
            </w:r>
          </w:p>
        </w:tc>
      </w:tr>
      <w:tr>
        <w:trPr>
          <w:trHeight w:val="32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23,345,185.23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17,550,858.29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7,231,643.07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9,253,764.84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57,381,451.43</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8"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 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15,004,683.30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5,343,807.13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2,847,238.00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5,836,037.06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5,748,707.25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34,780,472.74</w:t>
            </w:r>
          </w:p>
        </w:tc>
      </w:tr>
      <w:tr>
        <w:trPr>
          <w:trHeight w:val="32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11,785,165.11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5,019,963.69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1,942,764.65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2,992,064.66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5,358,444.41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27,098,402.52</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0"/>
              <w:ind w:left="22" w:right="11"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3,219,518.19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323,843.44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904,473.35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2,843,972.40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390,262.84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7,682,070.22</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8"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 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3,522,579.45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224,941.71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194,564.43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36,753.50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1,076.62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3,979,915.71</w:t>
            </w:r>
          </w:p>
        </w:tc>
      </w:tr>
      <w:tr>
        <w:trPr>
          <w:trHeight w:val="63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
              <w:ind w:left="22" w:right="11" w:firstLine="34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sz w:val="18"/>
                <w:szCs w:val="18"/>
              </w:rPr>
              <w:t> 报废</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224,941.71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194,564.43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36,753.50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1,076.62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457,336.26</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）转入投资性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w:t>
            </w:r>
          </w:p>
        </w:tc>
        <w:tc>
          <w:tcPr>
            <w:tcW w:w="13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3,522,579.45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3,522,579.45</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34,827,289.08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22,669,723.71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9,884,316.64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5,799,283.56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15,001,395.47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88,182,008.46</w:t>
            </w:r>
          </w:p>
        </w:tc>
      </w:tr>
      <w:tr>
        <w:trPr>
          <w:trHeight w:val="32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8"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 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32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97" w:type="dxa"/>
            <w:tcBorders>
              <w:top w:val="single" w:sz="4" w:space="0" w:color="000000"/>
              <w:left w:val="single" w:sz="13" w:space="0" w:color="E0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8"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 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63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1" w:firstLine="34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sz w:val="18"/>
                <w:szCs w:val="18"/>
              </w:rPr>
              <w:t> 报废</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97" w:type="dxa"/>
            <w:tcBorders>
              <w:top w:val="single" w:sz="4" w:space="0" w:color="000000"/>
              <w:left w:val="single" w:sz="13" w:space="0" w:color="E0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78" w:firstLine="18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 值</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229,836,657.20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29,785,345.80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11,174,237.09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83,112,587.22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19,850,245.03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373,759,072.34</w:t>
            </w:r>
          </w:p>
        </w:tc>
      </w:tr>
      <w:tr>
        <w:trPr>
          <w:trHeight w:val="63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8"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 值</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367,937,096.85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30,473,815.01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7,742,343.53</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18,472,576.28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424,625,831.67</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1117"/>
        <w:jc w:val="left"/>
        <w:rPr>
          <w:b w:val="0"/>
          <w:bCs w:val="0"/>
        </w:rPr>
      </w:pPr>
      <w:bookmarkStart w:name="（2）未办妥产权证书的固定资产情况" w:id="242"/>
      <w:bookmarkEnd w:id="242"/>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1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汉威国际传感器科技园</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129,048,843.97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8,673,550.96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嘉园环保</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厂房</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19,143,963.33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嘉园环保闽侯公寓楼</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3,847,551.99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沈阳金建办公用房</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5,355,251.31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14、在建工程" w:id="243"/>
      <w:bookmarkEnd w:id="243"/>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在建工程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388"/>
        <w:gridCol w:w="1386"/>
        <w:gridCol w:w="1385"/>
        <w:gridCol w:w="1384"/>
        <w:gridCol w:w="1384"/>
        <w:gridCol w:w="1385"/>
        <w:gridCol w:w="1384"/>
      </w:tblGrid>
      <w:tr>
        <w:trPr>
          <w:trHeight w:val="322" w:hRule="exact"/>
        </w:trPr>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88" w:type="dxa"/>
            <w:vMerge/>
            <w:tcBorders>
              <w:left w:val="single" w:sz="4" w:space="0" w:color="000000"/>
              <w:bottom w:val="single" w:sz="4" w:space="0" w:color="000000"/>
              <w:right w:val="single" w:sz="4" w:space="0" w:color="000000"/>
            </w:tcBorders>
            <w:shd w:val="clear" w:color="auto" w:fill="D2D2D2"/>
          </w:tcPr>
          <w:p>
            <w:pP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管网及配套</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34,243,519.39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34,243,519.39</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93"/>
              <w:jc w:val="left"/>
              <w:rPr>
                <w:rFonts w:ascii="宋体" w:hAnsi="宋体" w:cs="宋体" w:eastAsia="宋体" w:hint="default"/>
                <w:sz w:val="18"/>
                <w:szCs w:val="18"/>
              </w:rPr>
            </w:pPr>
            <w:r>
              <w:rPr>
                <w:rFonts w:ascii="宋体" w:hAnsi="宋体" w:cs="宋体" w:eastAsia="宋体" w:hint="default"/>
                <w:sz w:val="18"/>
                <w:szCs w:val="18"/>
              </w:rPr>
              <w:t>汉威信息化升级 改造</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4,345,751.12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4,345,751.12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4,210,851.12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4,210,851.12</w:t>
            </w:r>
          </w:p>
        </w:tc>
      </w:tr>
      <w:tr>
        <w:trPr>
          <w:trHeight w:val="32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其他在建工程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1,422,464.16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1,422,464.16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925,048.09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925,048.09</w:t>
            </w:r>
          </w:p>
        </w:tc>
      </w:tr>
      <w:tr>
        <w:trPr>
          <w:trHeight w:val="32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40,011,734.67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9"/>
                <w:szCs w:val="9"/>
              </w:rPr>
            </w:pPr>
            <w:r>
              <w:rPr>
                <w:rFonts w:ascii="宋体"/>
                <w:sz w:val="18"/>
              </w:rPr>
              <w:t>40,011,734.67</w:t>
            </w:r>
            <w:r>
              <w:rPr>
                <w:rFonts w:ascii="宋体"/>
                <w:color w:val="FF0000"/>
                <w:position w:val="9"/>
                <w:sz w:val="9"/>
              </w:rPr>
              <w:t>1</w:t>
            </w:r>
            <w:r>
              <w:rPr>
                <w:rFonts w:ascii="宋体"/>
                <w:sz w:val="9"/>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5,135,899.21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5,135,899.21</w:t>
            </w:r>
          </w:p>
        </w:tc>
      </w:tr>
    </w:tbl>
    <w:p>
      <w:pPr>
        <w:pStyle w:val="BodyText"/>
        <w:spacing w:line="240" w:lineRule="auto" w:before="26"/>
        <w:ind w:left="1554" w:right="1117"/>
        <w:jc w:val="left"/>
      </w:pPr>
      <w:r>
        <w:rPr/>
        <w:t>注：</w:t>
      </w:r>
      <w:r>
        <w:rPr>
          <w:rFonts w:ascii="宋体" w:hAnsi="宋体" w:cs="宋体" w:eastAsia="宋体" w:hint="default"/>
        </w:rPr>
        <w:t>1</w:t>
      </w:r>
      <w:r>
        <w:rPr/>
        <w:t>、在建工程较期初增加</w:t>
      </w:r>
      <w:r>
        <w:rPr>
          <w:spacing w:val="-56"/>
        </w:rPr>
        <w:t> </w:t>
      </w:r>
      <w:r>
        <w:rPr>
          <w:rFonts w:ascii="宋体" w:hAnsi="宋体" w:cs="宋体" w:eastAsia="宋体" w:hint="default"/>
        </w:rPr>
        <w:t>679.06%</w:t>
      </w:r>
      <w:r>
        <w:rPr/>
        <w:t>，主要系汉威公用市政供水管网建设项目所致。</w:t>
      </w:r>
    </w:p>
    <w:p>
      <w:pPr>
        <w:spacing w:line="240" w:lineRule="auto" w:before="9"/>
        <w:rPr>
          <w:rFonts w:ascii="宋体" w:hAnsi="宋体" w:cs="宋体" w:eastAsia="宋体" w:hint="default"/>
          <w:sz w:val="25"/>
          <w:szCs w:val="25"/>
        </w:rPr>
      </w:pPr>
    </w:p>
    <w:p>
      <w:pPr>
        <w:pStyle w:val="Heading3"/>
        <w:spacing w:line="240" w:lineRule="auto"/>
        <w:ind w:right="1117"/>
        <w:jc w:val="left"/>
        <w:rPr>
          <w:b w:val="0"/>
          <w:bCs w:val="0"/>
        </w:rPr>
      </w:pPr>
      <w:bookmarkStart w:name="（2）重要在建工程项目本期变动情况" w:id="245"/>
      <w:bookmarkEnd w:id="24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530"/>
        <w:gridCol w:w="1226"/>
        <w:gridCol w:w="533"/>
        <w:gridCol w:w="1226"/>
        <w:gridCol w:w="1227"/>
        <w:gridCol w:w="533"/>
        <w:gridCol w:w="1225"/>
        <w:gridCol w:w="597"/>
        <w:gridCol w:w="506"/>
        <w:gridCol w:w="497"/>
        <w:gridCol w:w="533"/>
        <w:gridCol w:w="533"/>
        <w:gridCol w:w="529"/>
      </w:tblGrid>
      <w:tr>
        <w:trPr>
          <w:trHeight w:val="1882" w:hRule="exact"/>
        </w:trPr>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7" w:right="69" w:hanging="181"/>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81" w:right="79"/>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3" w:right="6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81" w:right="-40" w:hanging="59"/>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81" w:right="79"/>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94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5"/>
              <w:jc w:val="both"/>
              <w:rPr>
                <w:rFonts w:ascii="宋体" w:hAnsi="宋体" w:cs="宋体" w:eastAsia="宋体" w:hint="default"/>
                <w:sz w:val="18"/>
                <w:szCs w:val="18"/>
              </w:rPr>
            </w:pPr>
            <w:r>
              <w:rPr>
                <w:rFonts w:ascii="宋体" w:hAnsi="宋体" w:cs="宋体" w:eastAsia="宋体" w:hint="default"/>
                <w:sz w:val="18"/>
                <w:szCs w:val="18"/>
              </w:rPr>
              <w:t>管网 及配 套</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75,000,000.00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50,053,714.30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15,810,194.91</w:t>
            </w:r>
          </w:p>
        </w:tc>
        <w:tc>
          <w:tcPr>
            <w:tcW w:w="53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34,243,519.39</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66.74%</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65.00</w:t>
            </w:r>
          </w:p>
        </w:tc>
        <w:tc>
          <w:tcPr>
            <w:tcW w:w="49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23" w:hRule="exact"/>
        </w:trPr>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75,000,000.00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50,053,714.30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15,810,194.91</w:t>
            </w:r>
          </w:p>
        </w:tc>
        <w:tc>
          <w:tcPr>
            <w:tcW w:w="53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34,243,519.39</w:t>
            </w:r>
          </w:p>
        </w:tc>
        <w:tc>
          <w:tcPr>
            <w:tcW w:w="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8"/>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15、无形资产" w:id="246"/>
      <w:bookmarkEnd w:id="246"/>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9"/>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无形资产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702"/>
        <w:gridCol w:w="1032"/>
        <w:gridCol w:w="1368"/>
        <w:gridCol w:w="1367"/>
        <w:gridCol w:w="1367"/>
        <w:gridCol w:w="1367"/>
        <w:gridCol w:w="1367"/>
      </w:tblGrid>
      <w:tr>
        <w:trPr>
          <w:trHeight w:val="322" w:hRule="exact"/>
        </w:trPr>
        <w:tc>
          <w:tcPr>
            <w:tcW w:w="1702" w:type="dxa"/>
            <w:tcBorders>
              <w:top w:val="single" w:sz="4" w:space="0" w:color="000000"/>
              <w:left w:val="single" w:sz="4" w:space="0" w:color="000000"/>
              <w:bottom w:val="single" w:sz="4" w:space="0" w:color="000000"/>
              <w:right w:val="single" w:sz="9" w:space="0" w:color="E4DFEB"/>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right="5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68,608,268</w:t>
            </w:r>
          </w:p>
          <w:p>
            <w:pPr>
              <w:pStyle w:val="TableParagraph"/>
              <w:spacing w:line="240" w:lineRule="auto" w:before="76"/>
              <w:ind w:right="20"/>
              <w:jc w:val="right"/>
              <w:rPr>
                <w:rFonts w:ascii="宋体" w:hAnsi="宋体" w:cs="宋体" w:eastAsia="宋体" w:hint="default"/>
                <w:sz w:val="18"/>
                <w:szCs w:val="18"/>
              </w:rPr>
            </w:pPr>
            <w:r>
              <w:rPr>
                <w:rFonts w:ascii="宋体"/>
                <w:sz w:val="18"/>
              </w:rPr>
              <w:t>.17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49,027,476.58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23,229,512.19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8,510,471.53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225,424,138.39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374,799,866.86</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4,817,688.21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324,358.98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2,198,672.97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68,137,565.00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75,478,285.16</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324,358.98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1,907,772.97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68,137,565.00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70,369,696.95</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）内部研发</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1,579,310.75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1,579,310.75</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3,238,377.46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290,900.00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3,529,277.46</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500,681.20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500,681.20</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500,681.20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500,681.20</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68,608,268</w:t>
            </w:r>
          </w:p>
          <w:p>
            <w:pPr>
              <w:pStyle w:val="TableParagraph"/>
              <w:spacing w:line="240" w:lineRule="auto" w:before="76"/>
              <w:ind w:right="20"/>
              <w:jc w:val="right"/>
              <w:rPr>
                <w:rFonts w:ascii="宋体" w:hAnsi="宋体" w:cs="宋体" w:eastAsia="宋体" w:hint="default"/>
                <w:sz w:val="18"/>
                <w:szCs w:val="18"/>
              </w:rPr>
            </w:pPr>
            <w:r>
              <w:rPr>
                <w:rFonts w:ascii="宋体"/>
                <w:sz w:val="18"/>
              </w:rPr>
              <w:t>.17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53,845,164.79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23,553,871.17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10,208,463.30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293,561,703.39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449,777,470.82</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5,498,701.</w:t>
            </w:r>
          </w:p>
          <w:p>
            <w:pPr>
              <w:pStyle w:val="TableParagraph"/>
              <w:spacing w:line="240" w:lineRule="auto" w:before="76"/>
              <w:ind w:right="20"/>
              <w:jc w:val="right"/>
              <w:rPr>
                <w:rFonts w:ascii="宋体" w:hAnsi="宋体" w:cs="宋体" w:eastAsia="宋体" w:hint="default"/>
                <w:sz w:val="18"/>
                <w:szCs w:val="18"/>
              </w:rPr>
            </w:pPr>
            <w:r>
              <w:rPr>
                <w:rFonts w:ascii="宋体"/>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2,069,813.37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2,536,742.23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2,517,284.97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20,164,650.20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32,787,192.12</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1,394,988.</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8,805,017.28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2,239,895.38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989,754.45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11,012,023.36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24,441,678.47</w:t>
            </w:r>
          </w:p>
        </w:tc>
      </w:tr>
      <w:tr>
        <w:trPr>
          <w:trHeight w:val="63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1,394,988.</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8,589,125.44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2,239,895.38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949,762.78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11,012,023.36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24,185,794.96</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宋体" w:hAnsi="宋体" w:cs="宋体" w:eastAsia="宋体" w:hint="default"/>
                <w:spacing w:val="-10"/>
                <w:sz w:val="18"/>
                <w:szCs w:val="18"/>
              </w:rPr>
              <w:t>2</w:t>
            </w:r>
            <w:r>
              <w:rPr>
                <w:rFonts w:ascii="宋体" w:hAnsi="宋体" w:cs="宋体" w:eastAsia="宋体" w:hint="default"/>
                <w:spacing w:val="-10"/>
                <w:sz w:val="18"/>
                <w:szCs w:val="18"/>
              </w:rPr>
              <w:t>）企业合并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215,891.84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39,991.67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255,883.51</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500,681.20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500,681.20</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500,681.20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500,681.20</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6,893,689.</w:t>
            </w:r>
          </w:p>
          <w:p>
            <w:pPr>
              <w:pStyle w:val="TableParagraph"/>
              <w:spacing w:line="240" w:lineRule="auto" w:before="76"/>
              <w:ind w:right="20"/>
              <w:jc w:val="right"/>
              <w:rPr>
                <w:rFonts w:ascii="宋体" w:hAnsi="宋体" w:cs="宋体" w:eastAsia="宋体" w:hint="default"/>
                <w:sz w:val="18"/>
                <w:szCs w:val="18"/>
              </w:rPr>
            </w:pPr>
            <w:r>
              <w:rPr>
                <w:rFonts w:ascii="宋体"/>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10,874,830.65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4,776,637.61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3,006,358.22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31,176,673.56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56,728,189.39</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61,714,578</w:t>
            </w:r>
          </w:p>
          <w:p>
            <w:pPr>
              <w:pStyle w:val="TableParagraph"/>
              <w:spacing w:line="240" w:lineRule="auto" w:before="76"/>
              <w:ind w:right="20"/>
              <w:jc w:val="right"/>
              <w:rPr>
                <w:rFonts w:ascii="宋体" w:hAnsi="宋体" w:cs="宋体" w:eastAsia="宋体" w:hint="default"/>
                <w:sz w:val="18"/>
                <w:szCs w:val="18"/>
              </w:rPr>
            </w:pPr>
            <w:r>
              <w:rPr>
                <w:rFonts w:ascii="宋体"/>
                <w:sz w:val="18"/>
              </w:rPr>
              <w:t>.82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42,970,334.14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18,777,233.56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7,202,105.08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262,385,029.83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393,049,281.43</w:t>
            </w:r>
          </w:p>
        </w:tc>
      </w:tr>
      <w:tr>
        <w:trPr>
          <w:trHeight w:val="63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63,109,566</w:t>
            </w:r>
          </w:p>
          <w:p>
            <w:pPr>
              <w:pStyle w:val="TableParagraph"/>
              <w:spacing w:line="240" w:lineRule="auto" w:before="76"/>
              <w:ind w:right="20"/>
              <w:jc w:val="right"/>
              <w:rPr>
                <w:rFonts w:ascii="宋体" w:hAnsi="宋体" w:cs="宋体" w:eastAsia="宋体" w:hint="default"/>
                <w:sz w:val="18"/>
                <w:szCs w:val="18"/>
              </w:rPr>
            </w:pPr>
            <w:r>
              <w:rPr>
                <w:rFonts w:ascii="宋体"/>
                <w:sz w:val="18"/>
              </w:rPr>
              <w:t>.82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46,957,663.21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20,692,769.96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5,993,186.56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205,259,488.19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342,012,674.74</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16、开发支出" w:id="248"/>
      <w:bookmarkEnd w:id="248"/>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124"/>
        <w:gridCol w:w="1138"/>
        <w:gridCol w:w="1252"/>
        <w:gridCol w:w="686"/>
        <w:gridCol w:w="1390"/>
        <w:gridCol w:w="1256"/>
        <w:gridCol w:w="848"/>
      </w:tblGrid>
      <w:tr>
        <w:trPr>
          <w:trHeight w:val="322" w:hRule="exact"/>
        </w:trPr>
        <w:tc>
          <w:tcPr>
            <w:tcW w:w="31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3124"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9"/>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8"/>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转入当期损益</w:t>
            </w:r>
          </w:p>
        </w:tc>
        <w:tc>
          <w:tcPr>
            <w:tcW w:w="848"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危险化学品事故应急快速响应软硬件装 备产业化关键技术开发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4,156,473.65</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8" w:right="0"/>
              <w:jc w:val="center"/>
              <w:rPr>
                <w:rFonts w:ascii="宋体" w:hAnsi="宋体" w:cs="宋体" w:eastAsia="宋体" w:hint="default"/>
                <w:sz w:val="18"/>
                <w:szCs w:val="18"/>
              </w:rPr>
            </w:pPr>
            <w:r>
              <w:rPr>
                <w:rFonts w:ascii="宋体"/>
                <w:sz w:val="18"/>
              </w:rPr>
              <w:t>4,156,473.65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634"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9"/>
              <w:jc w:val="left"/>
              <w:rPr>
                <w:rFonts w:ascii="宋体" w:hAnsi="宋体" w:cs="宋体" w:eastAsia="宋体" w:hint="default"/>
                <w:sz w:val="18"/>
                <w:szCs w:val="18"/>
              </w:rPr>
            </w:pPr>
            <w:r>
              <w:rPr>
                <w:rFonts w:ascii="宋体" w:hAnsi="宋体" w:cs="宋体" w:eastAsia="宋体" w:hint="default"/>
                <w:sz w:val="18"/>
                <w:szCs w:val="18"/>
              </w:rPr>
              <w:t>粮食仓储中氧气、磷化氢电化学气体传 感器研制</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3,967,427.47</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8" w:right="0"/>
              <w:jc w:val="center"/>
              <w:rPr>
                <w:rFonts w:ascii="宋体" w:hAnsi="宋体" w:cs="宋体" w:eastAsia="宋体" w:hint="default"/>
                <w:sz w:val="18"/>
                <w:szCs w:val="18"/>
              </w:rPr>
            </w:pPr>
            <w:r>
              <w:rPr>
                <w:rFonts w:ascii="宋体"/>
                <w:sz w:val="18"/>
              </w:rPr>
              <w:t>3,967,427.47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635"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9"/>
              <w:jc w:val="left"/>
              <w:rPr>
                <w:rFonts w:ascii="宋体" w:hAnsi="宋体" w:cs="宋体" w:eastAsia="宋体" w:hint="default"/>
                <w:sz w:val="18"/>
                <w:szCs w:val="18"/>
              </w:rPr>
            </w:pPr>
            <w:r>
              <w:rPr>
                <w:rFonts w:ascii="宋体" w:hAnsi="宋体" w:cs="宋体" w:eastAsia="宋体" w:hint="default"/>
                <w:sz w:val="18"/>
                <w:szCs w:val="18"/>
              </w:rPr>
              <w:t>难降解废水高效臭氧</w:t>
            </w:r>
            <w:r>
              <w:rPr>
                <w:rFonts w:ascii="宋体" w:hAnsi="宋体" w:cs="宋体" w:eastAsia="宋体" w:hint="default"/>
                <w:sz w:val="18"/>
                <w:szCs w:val="18"/>
              </w:rPr>
              <w:t>-</w:t>
            </w:r>
            <w:r>
              <w:rPr>
                <w:rFonts w:ascii="宋体" w:hAnsi="宋体" w:cs="宋体" w:eastAsia="宋体" w:hint="default"/>
                <w:sz w:val="18"/>
                <w:szCs w:val="18"/>
              </w:rPr>
              <w:t>生物活性炭处理 技术</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3,845,865.10</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宋体" w:hAnsi="宋体" w:cs="宋体" w:eastAsia="宋体" w:hint="default"/>
                <w:sz w:val="18"/>
                <w:szCs w:val="18"/>
              </w:rPr>
            </w:pPr>
            <w:r>
              <w:rPr>
                <w:rFonts w:ascii="宋体"/>
                <w:sz w:val="18"/>
              </w:rPr>
              <w:t>3,845,865.10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322"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便携式标定平台研发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3,055,447.40</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center"/>
              <w:rPr>
                <w:rFonts w:ascii="宋体" w:hAnsi="宋体" w:cs="宋体" w:eastAsia="宋体" w:hint="default"/>
                <w:sz w:val="18"/>
                <w:szCs w:val="18"/>
              </w:rPr>
            </w:pPr>
            <w:r>
              <w:rPr>
                <w:rFonts w:ascii="宋体"/>
                <w:sz w:val="18"/>
              </w:rPr>
              <w:t>3,055,447.40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634"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微</w:t>
            </w:r>
            <w:r>
              <w:rPr>
                <w:rFonts w:ascii="宋体" w:hAnsi="宋体" w:cs="宋体" w:eastAsia="宋体" w:hint="default"/>
                <w:sz w:val="18"/>
                <w:szCs w:val="18"/>
              </w:rPr>
              <w:t>-</w:t>
            </w:r>
            <w:r>
              <w:rPr>
                <w:rFonts w:ascii="宋体" w:hAnsi="宋体" w:cs="宋体" w:eastAsia="宋体" w:hint="default"/>
                <w:sz w:val="18"/>
                <w:szCs w:val="18"/>
              </w:rPr>
              <w:t>纳智能传感工业监控系统关键技术 研究</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2,948,535.68</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8" w:right="0"/>
              <w:jc w:val="center"/>
              <w:rPr>
                <w:rFonts w:ascii="宋体" w:hAnsi="宋体" w:cs="宋体" w:eastAsia="宋体" w:hint="default"/>
                <w:sz w:val="18"/>
                <w:szCs w:val="18"/>
              </w:rPr>
            </w:pPr>
            <w:r>
              <w:rPr>
                <w:rFonts w:ascii="宋体"/>
                <w:sz w:val="18"/>
              </w:rPr>
              <w:t>2,948,535.68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323"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经济型分布式大气环境检测系统研发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2,872,782.38</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8" w:right="0"/>
              <w:jc w:val="center"/>
              <w:rPr>
                <w:rFonts w:ascii="宋体" w:hAnsi="宋体" w:cs="宋体" w:eastAsia="宋体" w:hint="default"/>
                <w:sz w:val="18"/>
                <w:szCs w:val="18"/>
              </w:rPr>
            </w:pPr>
            <w:r>
              <w:rPr>
                <w:rFonts w:ascii="宋体"/>
                <w:sz w:val="18"/>
              </w:rPr>
              <w:t>2,872,782.38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室内空气质量检测仪研发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2,697,468.95</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center"/>
              <w:rPr>
                <w:rFonts w:ascii="宋体" w:hAnsi="宋体" w:cs="宋体" w:eastAsia="宋体" w:hint="default"/>
                <w:sz w:val="18"/>
                <w:szCs w:val="18"/>
              </w:rPr>
            </w:pPr>
            <w:r>
              <w:rPr>
                <w:rFonts w:ascii="宋体"/>
                <w:sz w:val="18"/>
              </w:rPr>
              <w:t>2,697,468.95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MEMS</w:t>
            </w:r>
            <w:r>
              <w:rPr>
                <w:rFonts w:ascii="宋体" w:hAnsi="宋体" w:cs="宋体" w:eastAsia="宋体" w:hint="default"/>
                <w:spacing w:val="-46"/>
                <w:sz w:val="18"/>
                <w:szCs w:val="18"/>
              </w:rPr>
              <w:t> </w:t>
            </w:r>
            <w:r>
              <w:rPr>
                <w:rFonts w:ascii="宋体" w:hAnsi="宋体" w:cs="宋体" w:eastAsia="宋体" w:hint="default"/>
                <w:sz w:val="18"/>
                <w:szCs w:val="18"/>
              </w:rPr>
              <w:t>气体传感器开发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2,660,486.15</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center"/>
              <w:rPr>
                <w:rFonts w:ascii="宋体" w:hAnsi="宋体" w:cs="宋体" w:eastAsia="宋体" w:hint="default"/>
                <w:sz w:val="18"/>
                <w:szCs w:val="18"/>
              </w:rPr>
            </w:pPr>
            <w:r>
              <w:rPr>
                <w:rFonts w:ascii="宋体"/>
                <w:sz w:val="18"/>
              </w:rPr>
              <w:t>2,660,486.15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专用型气相色谱分析仪研发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2,646,980.10</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8" w:right="0"/>
              <w:jc w:val="center"/>
              <w:rPr>
                <w:rFonts w:ascii="宋体" w:hAnsi="宋体" w:cs="宋体" w:eastAsia="宋体" w:hint="default"/>
                <w:sz w:val="18"/>
                <w:szCs w:val="18"/>
              </w:rPr>
            </w:pPr>
            <w:r>
              <w:rPr>
                <w:rFonts w:ascii="宋体"/>
                <w:sz w:val="18"/>
              </w:rPr>
              <w:t>2,646,980.10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消防总线气体检测系统研发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2,444,318.13</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center"/>
              <w:rPr>
                <w:rFonts w:ascii="宋体" w:hAnsi="宋体" w:cs="宋体" w:eastAsia="宋体" w:hint="default"/>
                <w:sz w:val="18"/>
                <w:szCs w:val="18"/>
              </w:rPr>
            </w:pPr>
            <w:r>
              <w:rPr>
                <w:rFonts w:ascii="宋体"/>
                <w:sz w:val="18"/>
              </w:rPr>
              <w:t>2,444,318.13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工业废气净化与资源化技术及示范</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2,355,113.18</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center"/>
              <w:rPr>
                <w:rFonts w:ascii="宋体" w:hAnsi="宋体" w:cs="宋体" w:eastAsia="宋体" w:hint="default"/>
                <w:sz w:val="18"/>
                <w:szCs w:val="18"/>
              </w:rPr>
            </w:pPr>
            <w:r>
              <w:rPr>
                <w:rFonts w:ascii="宋体"/>
                <w:sz w:val="18"/>
              </w:rPr>
              <w:t>2,355,113.18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压力传感器</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2,262,315.09</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8" w:right="0"/>
              <w:jc w:val="center"/>
              <w:rPr>
                <w:rFonts w:ascii="宋体" w:hAnsi="宋体" w:cs="宋体" w:eastAsia="宋体" w:hint="default"/>
                <w:sz w:val="18"/>
                <w:szCs w:val="18"/>
              </w:rPr>
            </w:pPr>
            <w:r>
              <w:rPr>
                <w:rFonts w:ascii="宋体"/>
                <w:sz w:val="18"/>
              </w:rPr>
              <w:t>2,262,315.09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清华长三角研发项目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1,576,624.47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2,686.28</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1,579,310.75</w:t>
            </w:r>
          </w:p>
        </w:tc>
        <w:tc>
          <w:tcPr>
            <w:tcW w:w="125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11,998,929.51</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sz w:val="18"/>
              </w:rPr>
              <w:t>11,998,929.51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1,576,624.47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47,914,829.07</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1,579,310.75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center"/>
              <w:rPr>
                <w:rFonts w:ascii="宋体" w:hAnsi="宋体" w:cs="宋体" w:eastAsia="宋体" w:hint="default"/>
                <w:sz w:val="18"/>
                <w:szCs w:val="18"/>
              </w:rPr>
            </w:pPr>
            <w:r>
              <w:rPr>
                <w:rFonts w:ascii="宋体"/>
                <w:sz w:val="18"/>
              </w:rPr>
              <w:t>47,912,142.79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134" w:right="1131" w:firstLine="420"/>
        <w:jc w:val="both"/>
        <w:rPr>
          <w:rFonts w:ascii="新宋体" w:hAnsi="新宋体" w:cs="新宋体" w:eastAsia="新宋体" w:hint="default"/>
        </w:rPr>
      </w:pPr>
      <w:r>
        <w:rPr>
          <w:rFonts w:ascii="新宋体" w:hAnsi="新宋体" w:cs="新宋体" w:eastAsia="新宋体" w:hint="default"/>
          <w:spacing w:val="-1"/>
        </w:rPr>
        <w:t>“清华长三角研发项目”由公司子公司嘉园环保与浙江清华长三角研究院共同研究开发，项目具备开</w:t>
      </w:r>
      <w:r>
        <w:rPr>
          <w:rFonts w:ascii="新宋体" w:hAnsi="新宋体" w:cs="新宋体" w:eastAsia="新宋体" w:hint="default"/>
        </w:rPr>
        <w:t> </w:t>
      </w:r>
      <w:r>
        <w:rPr>
          <w:rFonts w:ascii="新宋体" w:hAnsi="新宋体" w:cs="新宋体" w:eastAsia="新宋体" w:hint="default"/>
          <w:spacing w:val="-1"/>
        </w:rPr>
        <w:t>发所需的各项技术条件，嘉园环保设立了专门的研发中心负责产品的研发，项目费用独立核算。该项目为</w:t>
      </w:r>
      <w:r>
        <w:rPr>
          <w:rFonts w:ascii="新宋体" w:hAnsi="新宋体" w:cs="新宋体" w:eastAsia="新宋体" w:hint="default"/>
          <w:spacing w:val="-83"/>
        </w:rPr>
        <w:t> </w:t>
      </w:r>
      <w:r>
        <w:rPr>
          <w:rFonts w:ascii="新宋体" w:hAnsi="新宋体" w:cs="新宋体" w:eastAsia="新宋体" w:hint="default"/>
          <w:spacing w:val="-83"/>
        </w:rPr>
      </w:r>
      <w:r>
        <w:rPr>
          <w:rFonts w:ascii="新宋体" w:hAnsi="新宋体" w:cs="新宋体" w:eastAsia="新宋体" w:hint="default"/>
          <w:spacing w:val="-1"/>
        </w:rPr>
        <w:t>石化、纺织、轻工等相关行业废水深度处理提供了可行的技术保障，对改善投资环境、保障人民群众身体</w:t>
      </w:r>
      <w:r>
        <w:rPr>
          <w:rFonts w:ascii="新宋体" w:hAnsi="新宋体" w:cs="新宋体" w:eastAsia="新宋体" w:hint="default"/>
          <w:spacing w:val="-86"/>
        </w:rPr>
        <w:t> </w:t>
      </w:r>
      <w:r>
        <w:rPr>
          <w:rFonts w:ascii="新宋体" w:hAnsi="新宋体" w:cs="新宋体" w:eastAsia="新宋体" w:hint="default"/>
          <w:spacing w:val="-86"/>
        </w:rPr>
      </w:r>
      <w:r>
        <w:rPr>
          <w:rFonts w:ascii="新宋体" w:hAnsi="新宋体" w:cs="新宋体" w:eastAsia="新宋体" w:hint="default"/>
        </w:rPr>
        <w:t>健康，促进相关产业自身可持续发展发挥了重大作用。</w:t>
      </w:r>
    </w:p>
    <w:p>
      <w:pPr>
        <w:pStyle w:val="BodyText"/>
        <w:spacing w:line="410" w:lineRule="auto" w:before="84"/>
        <w:ind w:left="1134" w:right="1130" w:firstLine="420"/>
        <w:jc w:val="both"/>
        <w:rPr>
          <w:rFonts w:ascii="新宋体" w:hAnsi="新宋体" w:cs="新宋体" w:eastAsia="新宋体" w:hint="default"/>
        </w:rPr>
      </w:pPr>
      <w:r>
        <w:rPr>
          <w:rFonts w:ascii="新宋体" w:hAnsi="新宋体" w:cs="新宋体" w:eastAsia="新宋体" w:hint="default"/>
        </w:rPr>
        <w:t>嘉园环保已按期完成各项考核指标，于</w:t>
      </w:r>
      <w:r>
        <w:rPr>
          <w:rFonts w:ascii="新宋体" w:hAnsi="新宋体" w:cs="新宋体" w:eastAsia="新宋体" w:hint="default"/>
          <w:spacing w:val="-48"/>
        </w:rPr>
        <w:t> </w:t>
      </w:r>
      <w:r>
        <w:rPr>
          <w:rFonts w:ascii="新宋体" w:hAnsi="新宋体" w:cs="新宋体" w:eastAsia="新宋体" w:hint="default"/>
        </w:rPr>
        <w:t>2015</w:t>
      </w:r>
      <w:r>
        <w:rPr>
          <w:rFonts w:ascii="新宋体" w:hAnsi="新宋体" w:cs="新宋体" w:eastAsia="新宋体" w:hint="default"/>
          <w:spacing w:val="-50"/>
        </w:rPr>
        <w:t> </w:t>
      </w:r>
      <w:r>
        <w:rPr>
          <w:rFonts w:ascii="新宋体" w:hAnsi="新宋体" w:cs="新宋体" w:eastAsia="新宋体" w:hint="default"/>
        </w:rPr>
        <w:t>年</w:t>
      </w:r>
      <w:r>
        <w:rPr>
          <w:rFonts w:ascii="新宋体" w:hAnsi="新宋体" w:cs="新宋体" w:eastAsia="新宋体" w:hint="default"/>
          <w:spacing w:val="-49"/>
        </w:rPr>
        <w:t> </w:t>
      </w:r>
      <w:r>
        <w:rPr>
          <w:rFonts w:ascii="新宋体" w:hAnsi="新宋体" w:cs="新宋体" w:eastAsia="新宋体" w:hint="default"/>
        </w:rPr>
        <w:t>5</w:t>
      </w:r>
      <w:r>
        <w:rPr>
          <w:rFonts w:ascii="新宋体" w:hAnsi="新宋体" w:cs="新宋体" w:eastAsia="新宋体" w:hint="default"/>
          <w:spacing w:val="-50"/>
        </w:rPr>
        <w:t> </w:t>
      </w:r>
      <w:r>
        <w:rPr>
          <w:rFonts w:ascii="新宋体" w:hAnsi="新宋体" w:cs="新宋体" w:eastAsia="新宋体" w:hint="default"/>
        </w:rPr>
        <w:t>月</w:t>
      </w:r>
      <w:r>
        <w:rPr>
          <w:rFonts w:ascii="新宋体" w:hAnsi="新宋体" w:cs="新宋体" w:eastAsia="新宋体" w:hint="default"/>
          <w:spacing w:val="-49"/>
        </w:rPr>
        <w:t> </w:t>
      </w:r>
      <w:r>
        <w:rPr>
          <w:rFonts w:ascii="新宋体" w:hAnsi="新宋体" w:cs="新宋体" w:eastAsia="新宋体" w:hint="default"/>
        </w:rPr>
        <w:t>4</w:t>
      </w:r>
      <w:r>
        <w:rPr>
          <w:rFonts w:ascii="新宋体" w:hAnsi="新宋体" w:cs="新宋体" w:eastAsia="新宋体" w:hint="default"/>
          <w:spacing w:val="-50"/>
        </w:rPr>
        <w:t> </w:t>
      </w:r>
      <w:r>
        <w:rPr>
          <w:rFonts w:ascii="新宋体" w:hAnsi="新宋体" w:cs="新宋体" w:eastAsia="新宋体" w:hint="default"/>
        </w:rPr>
        <w:t>日提出验收申请，</w:t>
      </w:r>
      <w:r>
        <w:rPr>
          <w:rFonts w:ascii="新宋体" w:hAnsi="新宋体" w:cs="新宋体" w:eastAsia="新宋体" w:hint="default"/>
        </w:rPr>
        <w:t>2015</w:t>
      </w:r>
      <w:r>
        <w:rPr>
          <w:rFonts w:ascii="新宋体" w:hAnsi="新宋体" w:cs="新宋体" w:eastAsia="新宋体" w:hint="default"/>
          <w:spacing w:val="-50"/>
        </w:rPr>
        <w:t> </w:t>
      </w:r>
      <w:r>
        <w:rPr>
          <w:rFonts w:ascii="新宋体" w:hAnsi="新宋体" w:cs="新宋体" w:eastAsia="新宋体" w:hint="default"/>
        </w:rPr>
        <w:t>年</w:t>
      </w:r>
      <w:r>
        <w:rPr>
          <w:rFonts w:ascii="新宋体" w:hAnsi="新宋体" w:cs="新宋体" w:eastAsia="新宋体" w:hint="default"/>
          <w:spacing w:val="-49"/>
        </w:rPr>
        <w:t> </w:t>
      </w:r>
      <w:r>
        <w:rPr>
          <w:rFonts w:ascii="新宋体" w:hAnsi="新宋体" w:cs="新宋体" w:eastAsia="新宋体" w:hint="default"/>
        </w:rPr>
        <w:t>6</w:t>
      </w:r>
      <w:r>
        <w:rPr>
          <w:rFonts w:ascii="新宋体" w:hAnsi="新宋体" w:cs="新宋体" w:eastAsia="新宋体" w:hint="default"/>
          <w:spacing w:val="-50"/>
        </w:rPr>
        <w:t> </w:t>
      </w:r>
      <w:r>
        <w:rPr>
          <w:rFonts w:ascii="新宋体" w:hAnsi="新宋体" w:cs="新宋体" w:eastAsia="新宋体" w:hint="default"/>
        </w:rPr>
        <w:t>月份完成验收，转 入无形资产。</w:t>
      </w:r>
    </w:p>
    <w:p>
      <w:pPr>
        <w:spacing w:line="240" w:lineRule="auto" w:before="3"/>
        <w:rPr>
          <w:rFonts w:ascii="新宋体" w:hAnsi="新宋体" w:cs="新宋体" w:eastAsia="新宋体" w:hint="default"/>
          <w:sz w:val="20"/>
          <w:szCs w:val="20"/>
        </w:rPr>
      </w:pPr>
    </w:p>
    <w:p>
      <w:pPr>
        <w:pStyle w:val="Heading3"/>
        <w:spacing w:line="240" w:lineRule="auto"/>
        <w:ind w:right="1117"/>
        <w:jc w:val="left"/>
        <w:rPr>
          <w:b w:val="0"/>
          <w:bCs w:val="0"/>
        </w:rPr>
      </w:pPr>
      <w:bookmarkStart w:name="17、商誉" w:id="249"/>
      <w:bookmarkEnd w:id="249"/>
      <w:r>
        <w:rPr>
          <w:b w:val="0"/>
          <w:bCs w:val="0"/>
        </w:rPr>
      </w: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商誉账面原值"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938"/>
        <w:gridCol w:w="1941"/>
        <w:gridCol w:w="1939"/>
        <w:gridCol w:w="1942"/>
        <w:gridCol w:w="1934"/>
      </w:tblGrid>
      <w:tr>
        <w:trPr>
          <w:trHeight w:val="513" w:hRule="exact"/>
        </w:trPr>
        <w:tc>
          <w:tcPr>
            <w:tcW w:w="1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514" w:right="63" w:hanging="451"/>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9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9"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7" w:hRule="exact"/>
        </w:trPr>
        <w:tc>
          <w:tcPr>
            <w:tcW w:w="1938" w:type="dxa"/>
            <w:vMerge/>
            <w:tcBorders>
              <w:left w:val="single" w:sz="4" w:space="0" w:color="000000"/>
              <w:bottom w:val="single" w:sz="4" w:space="0" w:color="000000"/>
              <w:right w:val="single" w:sz="4" w:space="0" w:color="000000"/>
            </w:tcBorders>
            <w:shd w:val="clear" w:color="auto" w:fill="D2D2D2"/>
          </w:tcPr>
          <w:p>
            <w:pPr/>
          </w:p>
        </w:tc>
        <w:tc>
          <w:tcPr>
            <w:tcW w:w="1941" w:type="dxa"/>
            <w:vMerge/>
            <w:tcBorders>
              <w:left w:val="single" w:sz="4" w:space="0" w:color="000000"/>
              <w:bottom w:val="single" w:sz="4" w:space="0" w:color="000000"/>
              <w:right w:val="single" w:sz="4" w:space="0" w:color="000000"/>
            </w:tcBorders>
            <w:shd w:val="clear" w:color="auto" w:fill="D2D2D2"/>
          </w:tcPr>
          <w:p>
            <w:pPr/>
          </w:p>
        </w:tc>
        <w:tc>
          <w:tcPr>
            <w:tcW w:w="1939" w:type="dxa"/>
            <w:tcBorders>
              <w:top w:val="single" w:sz="3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3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哈尔滨盈江</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198,883.77</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198,883.77</w:t>
            </w:r>
          </w:p>
        </w:tc>
      </w:tr>
      <w:tr>
        <w:trPr>
          <w:trHeight w:val="323"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25,819,827.09</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25,819,827.09</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222,690,686.33</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222,690,686.33</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1938"/>
        <w:gridCol w:w="1941"/>
        <w:gridCol w:w="1939"/>
        <w:gridCol w:w="1942"/>
        <w:gridCol w:w="1934"/>
      </w:tblGrid>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14,419,607.42</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14,419,607.42</w:t>
            </w:r>
          </w:p>
        </w:tc>
      </w:tr>
      <w:tr>
        <w:trPr>
          <w:trHeight w:val="323"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上海英森</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8,089,254.51</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8,089,254.51</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广东龙泉</w:t>
            </w:r>
          </w:p>
        </w:tc>
        <w:tc>
          <w:tcPr>
            <w:tcW w:w="1941"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16,546,736.87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16,546,736.87</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高新供水</w:t>
            </w:r>
          </w:p>
        </w:tc>
        <w:tc>
          <w:tcPr>
            <w:tcW w:w="1941"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1,131,181.30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1,131,181.30</w:t>
            </w:r>
          </w:p>
        </w:tc>
      </w:tr>
      <w:tr>
        <w:trPr>
          <w:trHeight w:val="323"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18"/>
                <w:szCs w:val="18"/>
              </w:rPr>
            </w:pPr>
            <w:r>
              <w:rPr>
                <w:rFonts w:ascii="宋体"/>
                <w:sz w:val="18"/>
              </w:rPr>
              <w:t>271,218,259.12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17,677,918.17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288,896,177.29</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商誉减值准备" w:id="251"/>
      <w:bookmarkEnd w:id="25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4872"/>
        <w:jc w:val="left"/>
      </w:pPr>
      <w:r>
        <w:rPr/>
        <w:t>报告期内没有计提商誉减值准备。 说明商誉减值测试过程、参数及商誉减值损失的确认方法：</w:t>
      </w:r>
    </w:p>
    <w:p>
      <w:pPr>
        <w:pStyle w:val="BodyText"/>
        <w:spacing w:line="408" w:lineRule="auto"/>
        <w:ind w:right="1131" w:firstLine="420"/>
        <w:jc w:val="both"/>
      </w:pPr>
      <w:r>
        <w:rPr>
          <w:spacing w:val="-1"/>
        </w:rPr>
        <w:t>报告期末商誉为公司以非同一控制下企业合并方式购买子公司产生的商誉。公司将商誉在所收购子公</w:t>
      </w:r>
      <w:r>
        <w:rPr/>
        <w:t> </w:t>
      </w:r>
      <w:r>
        <w:rPr>
          <w:spacing w:val="-1"/>
        </w:rPr>
        <w:t>司的全部资产确定为一个资产组组合，根据预期产品销售收入、成本及其他相关费用，采用现金流量预测</w:t>
      </w:r>
      <w:r>
        <w:rPr>
          <w:spacing w:val="-83"/>
        </w:rPr>
        <w:t> </w:t>
      </w:r>
      <w:r>
        <w:rPr>
          <w:spacing w:val="-83"/>
        </w:rPr>
      </w:r>
      <w:r>
        <w:rPr>
          <w:spacing w:val="-1"/>
        </w:rPr>
        <w:t>方法和能够反映相关资产组组合的特定风险的折现率，以分析资产组组合的可收回金额。公司相信这些重</w:t>
      </w:r>
      <w:r>
        <w:rPr>
          <w:spacing w:val="-81"/>
        </w:rPr>
        <w:t> </w:t>
      </w:r>
      <w:r>
        <w:rPr>
          <w:spacing w:val="-81"/>
        </w:rPr>
      </w:r>
      <w:r>
        <w:rPr>
          <w:spacing w:val="-1"/>
        </w:rPr>
        <w:t>要假设的任何重大变化都有可能会引起资产组组合的账面价值超过其可收回金额。经测试，资产负债表日</w:t>
      </w:r>
      <w:r>
        <w:rPr>
          <w:spacing w:val="-81"/>
        </w:rPr>
        <w:t> </w:t>
      </w:r>
      <w:r>
        <w:rPr>
          <w:spacing w:val="-81"/>
        </w:rPr>
      </w:r>
      <w:r>
        <w:rPr>
          <w:spacing w:val="-1"/>
        </w:rPr>
        <w:t>采用现金流折现方法得到的长期股权投资整体价值大于包括完全商誉在内账面价值，公司认为，基于上述</w:t>
      </w:r>
      <w:r>
        <w:rPr>
          <w:spacing w:val="-81"/>
        </w:rPr>
        <w:t> </w:t>
      </w:r>
      <w:r>
        <w:rPr>
          <w:spacing w:val="-81"/>
        </w:rPr>
      </w:r>
      <w:r>
        <w:rPr/>
        <w:t>估计报告期末商誉无需计提减值。</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18、长期待摊费用" w:id="252"/>
      <w:bookmarkEnd w:id="252"/>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616"/>
        <w:gridCol w:w="1619"/>
        <w:gridCol w:w="1616"/>
        <w:gridCol w:w="1614"/>
        <w:gridCol w:w="1616"/>
        <w:gridCol w:w="1615"/>
      </w:tblGrid>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1619"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40,000,000.00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2,333,333.31</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37,666,666.69</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399,564.46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3,711,357.99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894,317.26</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3,216,605.19</w:t>
            </w:r>
          </w:p>
        </w:tc>
      </w:tr>
      <w:tr>
        <w:trPr>
          <w:trHeight w:val="32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84,715.52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171,719.23</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245,834.75</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10,600.00</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484,279.98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43,883,077.22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3,473,485.32</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40,893,871.88</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1117"/>
        <w:jc w:val="left"/>
      </w:pPr>
      <w:r>
        <w:rPr/>
        <w:t>长期待摊费用较期初增加</w:t>
      </w:r>
      <w:r>
        <w:rPr>
          <w:rFonts w:ascii="宋体" w:hAnsi="宋体" w:cs="宋体" w:eastAsia="宋体" w:hint="default"/>
        </w:rPr>
        <w:t>8,344.26%</w:t>
      </w:r>
      <w:r>
        <w:rPr/>
        <w:t>，主要系新增的长期融资顾问费所致。</w:t>
      </w:r>
    </w:p>
    <w:p>
      <w:pPr>
        <w:spacing w:line="240" w:lineRule="auto" w:before="0"/>
        <w:rPr>
          <w:rFonts w:ascii="宋体" w:hAnsi="宋体" w:cs="宋体" w:eastAsia="宋体" w:hint="default"/>
          <w:sz w:val="20"/>
          <w:szCs w:val="20"/>
        </w:rPr>
      </w:pPr>
    </w:p>
    <w:p>
      <w:pPr>
        <w:pStyle w:val="Heading3"/>
        <w:spacing w:line="240" w:lineRule="auto" w:before="154"/>
        <w:ind w:right="1117"/>
        <w:jc w:val="left"/>
        <w:rPr>
          <w:b w:val="0"/>
          <w:bCs w:val="0"/>
        </w:rPr>
      </w:pPr>
      <w:bookmarkStart w:name="19、递延所得税资产/递延所得税负债" w:id="253"/>
      <w:bookmarkEnd w:id="253"/>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未经抵销的递延所得税资产"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1925"/>
        <w:gridCol w:w="1942"/>
        <w:gridCol w:w="1938"/>
        <w:gridCol w:w="1940"/>
        <w:gridCol w:w="1939"/>
      </w:tblGrid>
      <w:tr>
        <w:trPr>
          <w:trHeight w:val="166"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80"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25" w:type="dxa"/>
            <w:vMerge/>
            <w:tcBorders>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6"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38"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2"/>
              <w:jc w:val="right"/>
              <w:rPr>
                <w:rFonts w:ascii="宋体" w:hAnsi="宋体" w:cs="宋体" w:eastAsia="宋体" w:hint="default"/>
                <w:sz w:val="18"/>
                <w:szCs w:val="18"/>
              </w:rPr>
            </w:pPr>
            <w:r>
              <w:rPr>
                <w:rFonts w:ascii="宋体"/>
                <w:sz w:val="18"/>
              </w:rPr>
              <w:t>38,572,604.73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6,000,045.96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18"/>
                <w:szCs w:val="18"/>
              </w:rPr>
            </w:pPr>
            <w:r>
              <w:rPr>
                <w:rFonts w:ascii="宋体"/>
                <w:sz w:val="18"/>
              </w:rPr>
              <w:t>26,901,146.19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4,097,845.84</w:t>
            </w:r>
          </w:p>
        </w:tc>
      </w:tr>
      <w:tr>
        <w:trPr>
          <w:trHeight w:val="322"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4,643,871.13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753,304.24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1,453,869.41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278,965.92</w:t>
            </w:r>
          </w:p>
        </w:tc>
      </w:tr>
      <w:tr>
        <w:trPr>
          <w:trHeight w:val="322"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25,590,367.96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4,792,845.90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16,132,680.75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2,218,905.24</w:t>
            </w:r>
          </w:p>
        </w:tc>
      </w:tr>
      <w:tr>
        <w:trPr>
          <w:trHeight w:val="323"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52,772,711.59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12,549,755.69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16,485,442.91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2,405,579.83</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1936"/>
        <w:gridCol w:w="1942"/>
        <w:gridCol w:w="1938"/>
        <w:gridCol w:w="1940"/>
        <w:gridCol w:w="1939"/>
      </w:tblGrid>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7" w:right="0"/>
              <w:jc w:val="left"/>
              <w:rPr>
                <w:rFonts w:ascii="宋体" w:hAnsi="宋体" w:cs="宋体" w:eastAsia="宋体" w:hint="default"/>
                <w:sz w:val="18"/>
                <w:szCs w:val="18"/>
              </w:rPr>
            </w:pPr>
            <w:r>
              <w:rPr>
                <w:rFonts w:ascii="宋体"/>
                <w:sz w:val="18"/>
              </w:rPr>
              <w:t>121,579,555.41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5" w:right="0"/>
              <w:jc w:val="left"/>
              <w:rPr>
                <w:rFonts w:ascii="宋体" w:hAnsi="宋体" w:cs="宋体" w:eastAsia="宋体" w:hint="default"/>
                <w:sz w:val="18"/>
                <w:szCs w:val="18"/>
              </w:rPr>
            </w:pPr>
            <w:r>
              <w:rPr>
                <w:rFonts w:ascii="宋体"/>
                <w:sz w:val="18"/>
              </w:rPr>
              <w:t>24,095,951.79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sz w:val="18"/>
              </w:rPr>
              <w:t>60,973,139.26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5" w:right="0"/>
              <w:jc w:val="left"/>
              <w:rPr>
                <w:rFonts w:ascii="宋体" w:hAnsi="宋体" w:cs="宋体" w:eastAsia="宋体" w:hint="default"/>
                <w:sz w:val="18"/>
                <w:szCs w:val="18"/>
              </w:rPr>
            </w:pPr>
            <w:r>
              <w:rPr>
                <w:rFonts w:ascii="宋体"/>
                <w:sz w:val="18"/>
              </w:rPr>
              <w:t>9,001,296.83</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未经抵销的递延所得税负债" w:id="255"/>
      <w:bookmarkEnd w:id="25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936"/>
        <w:gridCol w:w="1942"/>
        <w:gridCol w:w="1938"/>
        <w:gridCol w:w="1940"/>
        <w:gridCol w:w="1939"/>
      </w:tblGrid>
      <w:tr>
        <w:trPr>
          <w:trHeight w:val="167" w:hRule="exact"/>
        </w:trPr>
        <w:tc>
          <w:tcPr>
            <w:tcW w:w="1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5" w:hRule="exact"/>
        </w:trPr>
        <w:tc>
          <w:tcPr>
            <w:tcW w:w="1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80"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36" w:type="dxa"/>
            <w:vMerge/>
            <w:tcBorders>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66" w:hRule="exact"/>
        </w:trPr>
        <w:tc>
          <w:tcPr>
            <w:tcW w:w="1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38"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95,114,691.21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18,066,732.75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90,040,375.31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15,741,194.89</w:t>
            </w: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95,114,691.21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18,066,732.75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90,040,375.31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15,741,194.89</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以抵销后净额列示的递延所得税资产或负债" w:id="256"/>
      <w:bookmarkEnd w:id="25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925"/>
        <w:gridCol w:w="1942"/>
        <w:gridCol w:w="1938"/>
        <w:gridCol w:w="1940"/>
        <w:gridCol w:w="1939"/>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424" w:right="65"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424" w:right="6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333" w:right="65"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12"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2" w:type="dxa"/>
            <w:vMerge/>
            <w:tcBorders>
              <w:left w:val="single" w:sz="4" w:space="0" w:color="000000"/>
              <w:right w:val="single" w:sz="4" w:space="0" w:color="000000"/>
            </w:tcBorders>
            <w:shd w:val="clear" w:color="auto" w:fill="D2D2D2"/>
          </w:tcPr>
          <w:p>
            <w:pPr/>
          </w:p>
        </w:tc>
        <w:tc>
          <w:tcPr>
            <w:tcW w:w="1938" w:type="dxa"/>
            <w:vMerge/>
            <w:tcBorders>
              <w:left w:val="single" w:sz="4" w:space="0" w:color="000000"/>
              <w:right w:val="single" w:sz="4" w:space="0" w:color="000000"/>
            </w:tcBorders>
            <w:shd w:val="clear" w:color="auto" w:fill="D2D2D2"/>
          </w:tcPr>
          <w:p>
            <w:pPr/>
          </w:p>
        </w:tc>
        <w:tc>
          <w:tcPr>
            <w:tcW w:w="1940" w:type="dxa"/>
            <w:vMerge/>
            <w:tcBorders>
              <w:left w:val="single" w:sz="4" w:space="0" w:color="000000"/>
              <w:right w:val="single" w:sz="4" w:space="0" w:color="000000"/>
            </w:tcBorders>
            <w:shd w:val="clear" w:color="auto" w:fill="D2D2D2"/>
          </w:tcPr>
          <w:p>
            <w:pPr/>
          </w:p>
        </w:tc>
        <w:tc>
          <w:tcPr>
            <w:tcW w:w="1939"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38"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42" w:type="dxa"/>
            <w:tcBorders>
              <w:top w:val="single" w:sz="4" w:space="0" w:color="000000"/>
              <w:left w:val="single" w:sz="13" w:space="0" w:color="D2D2D2"/>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24,095,951.79</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9,001,296.83</w:t>
            </w:r>
          </w:p>
        </w:tc>
      </w:tr>
      <w:tr>
        <w:trPr>
          <w:trHeight w:val="322"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42" w:type="dxa"/>
            <w:tcBorders>
              <w:top w:val="single" w:sz="4" w:space="0" w:color="000000"/>
              <w:left w:val="single" w:sz="13" w:space="0" w:color="D2D2D2"/>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18,066,732.75</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15,741,194.89</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0、其他非流动资产" w:id="257"/>
      <w:bookmarkEnd w:id="257"/>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预付房地产购置款项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71,153,780.00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预付收购子公司少数股权款项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8,750,000.00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运营维护保证金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5,507,078.40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5,507,078.40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85,410,858.40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5,507,078.40</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134" w:right="1117" w:firstLine="420"/>
        <w:jc w:val="left"/>
      </w:pPr>
      <w:r>
        <w:rPr>
          <w:rFonts w:ascii="宋体" w:hAnsi="宋体" w:cs="宋体" w:eastAsia="宋体" w:hint="default"/>
        </w:rPr>
        <w:t>1</w:t>
      </w:r>
      <w:r>
        <w:rPr/>
        <w:t>、预付房地产购置款项系根据公司与上海中骏创富房地产有限公司签订的房地产《认购书》预付的 房地产购置款。</w:t>
      </w:r>
    </w:p>
    <w:p>
      <w:pPr>
        <w:pStyle w:val="BodyText"/>
        <w:spacing w:line="408" w:lineRule="auto"/>
        <w:ind w:right="1117" w:firstLine="420"/>
        <w:jc w:val="left"/>
      </w:pPr>
      <w:r>
        <w:rPr>
          <w:rFonts w:ascii="宋体" w:hAnsi="宋体" w:cs="宋体" w:eastAsia="宋体" w:hint="default"/>
        </w:rPr>
        <w:t>2</w:t>
      </w:r>
      <w:r>
        <w:rPr/>
        <w:t>、预付收购子公司少数股权款项系根据公司与上海中威少数股东签订的《股权转让协议》预付的股 权收购款，相关变更程序于报告期末尚未完成。</w:t>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21、短期借款" w:id="258"/>
      <w:bookmarkEnd w:id="258"/>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短期借款分类"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206"/>
        <w:gridCol w:w="3246"/>
        <w:gridCol w:w="3231"/>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13" w:space="0" w:color="D2D2D2"/>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8,500,000.00</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031" w:right="0"/>
              <w:jc w:val="left"/>
              <w:rPr>
                <w:rFonts w:ascii="宋体" w:hAnsi="宋体" w:cs="宋体" w:eastAsia="宋体" w:hint="default"/>
                <w:sz w:val="18"/>
                <w:szCs w:val="18"/>
              </w:rPr>
            </w:pPr>
            <w:r>
              <w:rPr>
                <w:rFonts w:ascii="宋体"/>
                <w:sz w:val="18"/>
              </w:rPr>
              <w:t>50,000,000.00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40,000,000.00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229"/>
        <w:gridCol w:w="3235"/>
        <w:gridCol w:w="3231"/>
      </w:tblGrid>
      <w:tr>
        <w:trPr>
          <w:trHeight w:val="3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35,300,000.00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10,000,000.00</w:t>
            </w:r>
          </w:p>
        </w:tc>
      </w:tr>
      <w:tr>
        <w:trPr>
          <w:trHeight w:val="323"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200,000,000.00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110,000,000.00</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285,300,000.00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168,500,000.00</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12"/>
          <w:szCs w:val="12"/>
        </w:rPr>
      </w:pPr>
    </w:p>
    <w:p>
      <w:pPr>
        <w:pStyle w:val="BodyText"/>
        <w:spacing w:line="408" w:lineRule="auto" w:before="0"/>
        <w:ind w:right="1128" w:firstLine="420"/>
        <w:jc w:val="right"/>
      </w:pPr>
      <w:r>
        <w:rPr>
          <w:rFonts w:ascii="宋体" w:hAnsi="宋体" w:cs="宋体" w:eastAsia="宋体" w:hint="default"/>
          <w:spacing w:val="-1"/>
        </w:rPr>
        <w:t>1</w:t>
      </w:r>
      <w:r>
        <w:rPr>
          <w:spacing w:val="-1"/>
        </w:rPr>
        <w:t>、公司从中信银行郑州分行取得信用借款</w:t>
      </w:r>
      <w:r>
        <w:rPr>
          <w:rFonts w:ascii="宋体" w:hAnsi="宋体" w:cs="宋体" w:eastAsia="宋体" w:hint="default"/>
          <w:spacing w:val="-1"/>
        </w:rPr>
        <w:t>10,000</w:t>
      </w:r>
      <w:r>
        <w:rPr>
          <w:spacing w:val="-1"/>
        </w:rPr>
        <w:t>万元，借款期限</w:t>
      </w:r>
      <w:r>
        <w:rPr>
          <w:rFonts w:ascii="宋体" w:hAnsi="宋体" w:cs="宋体" w:eastAsia="宋体" w:hint="default"/>
          <w:spacing w:val="-1"/>
        </w:rPr>
        <w:t>1</w:t>
      </w:r>
      <w:r>
        <w:rPr>
          <w:spacing w:val="-1"/>
        </w:rPr>
        <w:t>年；从招商银行郑州金水路支行取</w:t>
      </w:r>
      <w:r>
        <w:rPr/>
        <w:t> 得信用借款</w:t>
      </w:r>
      <w:r>
        <w:rPr>
          <w:rFonts w:ascii="宋体" w:hAnsi="宋体" w:cs="宋体" w:eastAsia="宋体" w:hint="default"/>
        </w:rPr>
        <w:t>5,000</w:t>
      </w:r>
      <w:r>
        <w:rPr/>
        <w:t>万元，借款期限</w:t>
      </w:r>
      <w:r>
        <w:rPr>
          <w:rFonts w:ascii="宋体" w:hAnsi="宋体" w:cs="宋体" w:eastAsia="宋体" w:hint="default"/>
        </w:rPr>
        <w:t>1</w:t>
      </w:r>
      <w:r>
        <w:rPr/>
        <w:t>年；从中国银行郑州高新技术开发区支行取得信用借款</w:t>
      </w:r>
      <w:r>
        <w:rPr>
          <w:rFonts w:ascii="宋体" w:hAnsi="宋体" w:cs="宋体" w:eastAsia="宋体" w:hint="default"/>
        </w:rPr>
        <w:t>5,000</w:t>
      </w:r>
      <w:r>
        <w:rPr/>
        <w:t>万元，借</w:t>
      </w:r>
      <w:r>
        <w:rPr>
          <w:spacing w:val="-44"/>
        </w:rPr>
        <w:t> </w:t>
      </w:r>
      <w:r>
        <w:rPr>
          <w:spacing w:val="-3"/>
        </w:rPr>
        <w:t>款期限</w:t>
      </w:r>
      <w:r>
        <w:rPr>
          <w:rFonts w:ascii="宋体" w:hAnsi="宋体" w:cs="宋体" w:eastAsia="宋体" w:hint="default"/>
          <w:spacing w:val="-3"/>
        </w:rPr>
        <w:t>1</w:t>
      </w:r>
      <w:r>
        <w:rPr>
          <w:spacing w:val="-3"/>
        </w:rPr>
        <w:t>年；从浦发银行郑州分行取得保证借款</w:t>
      </w:r>
      <w:r>
        <w:rPr>
          <w:rFonts w:ascii="宋体" w:hAnsi="宋体" w:cs="宋体" w:eastAsia="宋体" w:hint="default"/>
          <w:spacing w:val="-3"/>
        </w:rPr>
        <w:t>3,000</w:t>
      </w:r>
      <w:r>
        <w:rPr>
          <w:spacing w:val="-3"/>
        </w:rPr>
        <w:t>万</w:t>
      </w:r>
      <w:r>
        <w:rPr>
          <w:rFonts w:ascii="宋体" w:hAnsi="宋体" w:cs="宋体" w:eastAsia="宋体" w:hint="default"/>
          <w:spacing w:val="-3"/>
        </w:rPr>
        <w:t>,</w:t>
      </w:r>
      <w:r>
        <w:rPr>
          <w:spacing w:val="-3"/>
        </w:rPr>
        <w:t>借款期限</w:t>
      </w:r>
      <w:r>
        <w:rPr>
          <w:rFonts w:ascii="宋体" w:hAnsi="宋体" w:cs="宋体" w:eastAsia="宋体" w:hint="default"/>
          <w:spacing w:val="-3"/>
        </w:rPr>
        <w:t>1</w:t>
      </w:r>
      <w:r>
        <w:rPr>
          <w:spacing w:val="-3"/>
        </w:rPr>
        <w:t>年</w:t>
      </w:r>
      <w:r>
        <w:rPr>
          <w:rFonts w:ascii="宋体" w:hAnsi="宋体" w:cs="宋体" w:eastAsia="宋体" w:hint="default"/>
          <w:spacing w:val="-3"/>
        </w:rPr>
        <w:t>,</w:t>
      </w:r>
      <w:r>
        <w:rPr>
          <w:spacing w:val="-3"/>
        </w:rPr>
        <w:t>由任红军、钟超承担连带担保责任。</w:t>
      </w:r>
      <w:r>
        <w:rPr/>
        <w:t> </w:t>
      </w:r>
      <w:r>
        <w:rPr>
          <w:rFonts w:ascii="宋体" w:hAnsi="宋体" w:cs="宋体" w:eastAsia="宋体" w:hint="default"/>
        </w:rPr>
        <w:t>2</w:t>
      </w:r>
      <w:r>
        <w:rPr/>
        <w:t>、嘉园环保向光大银行福州分行借款</w:t>
      </w:r>
      <w:r>
        <w:rPr>
          <w:rFonts w:ascii="宋体" w:hAnsi="宋体" w:cs="宋体" w:eastAsia="宋体" w:hint="default"/>
        </w:rPr>
        <w:t>500</w:t>
      </w:r>
      <w:r>
        <w:rPr/>
        <w:t>万元，借款期限</w:t>
      </w:r>
      <w:r>
        <w:rPr>
          <w:rFonts w:ascii="宋体" w:hAnsi="宋体" w:cs="宋体" w:eastAsia="宋体" w:hint="default"/>
        </w:rPr>
        <w:t>1</w:t>
      </w:r>
      <w:r>
        <w:rPr/>
        <w:t>年。该借款由股东陈泽枝、李泽清、高孔 </w:t>
      </w:r>
      <w:r>
        <w:rPr>
          <w:spacing w:val="-1"/>
        </w:rPr>
        <w:t>兴承担连带担保责任；向兴业银行福州分行借款</w:t>
      </w:r>
      <w:r>
        <w:rPr>
          <w:rFonts w:ascii="宋体" w:hAnsi="宋体" w:cs="宋体" w:eastAsia="宋体" w:hint="default"/>
          <w:spacing w:val="-1"/>
        </w:rPr>
        <w:t>3,000</w:t>
      </w:r>
      <w:r>
        <w:rPr>
          <w:spacing w:val="-1"/>
        </w:rPr>
        <w:t>万元，借款期限</w:t>
      </w:r>
      <w:r>
        <w:rPr>
          <w:rFonts w:ascii="宋体" w:hAnsi="宋体" w:cs="宋体" w:eastAsia="宋体" w:hint="default"/>
          <w:spacing w:val="-1"/>
        </w:rPr>
        <w:t>1</w:t>
      </w:r>
      <w:r>
        <w:rPr>
          <w:spacing w:val="-1"/>
        </w:rPr>
        <w:t>年，该借款以恒嘉环保的厂房及土</w:t>
      </w:r>
      <w:r>
        <w:rPr>
          <w:spacing w:val="-99"/>
        </w:rPr>
        <w:t> </w:t>
      </w:r>
      <w:r>
        <w:rPr>
          <w:spacing w:val="-99"/>
        </w:rPr>
      </w:r>
      <w:r>
        <w:rPr>
          <w:spacing w:val="-1"/>
        </w:rPr>
        <w:t>地为抵押物，并由合肥嘉园、李泽清、陈泽枝、高孔兴承担连带担保责任；向中国民生银行福州分行借款</w:t>
      </w:r>
      <w:r>
        <w:rPr>
          <w:spacing w:val="-96"/>
        </w:rPr>
        <w:t> </w:t>
      </w:r>
      <w:r>
        <w:rPr>
          <w:spacing w:val="-96"/>
        </w:rPr>
      </w:r>
      <w:r>
        <w:rPr>
          <w:rFonts w:ascii="宋体" w:hAnsi="宋体" w:cs="宋体" w:eastAsia="宋体" w:hint="default"/>
          <w:spacing w:val="-1"/>
        </w:rPr>
        <w:t>2,000</w:t>
      </w:r>
      <w:r>
        <w:rPr>
          <w:spacing w:val="-1"/>
        </w:rPr>
        <w:t>万元，借款期限</w:t>
      </w:r>
      <w:r>
        <w:rPr>
          <w:rFonts w:ascii="宋体" w:hAnsi="宋体" w:cs="宋体" w:eastAsia="宋体" w:hint="default"/>
          <w:spacing w:val="-1"/>
        </w:rPr>
        <w:t>1</w:t>
      </w:r>
      <w:r>
        <w:rPr>
          <w:spacing w:val="-1"/>
        </w:rPr>
        <w:t>年，该借款以公司所有的房产及土地为抵押物，同时陈泽枝、李泽清承担连带担保</w:t>
      </w:r>
    </w:p>
    <w:p>
      <w:pPr>
        <w:pStyle w:val="BodyText"/>
        <w:spacing w:line="240" w:lineRule="auto"/>
        <w:ind w:left="1134" w:right="1117"/>
        <w:jc w:val="left"/>
      </w:pPr>
      <w:r>
        <w:rPr/>
        <w:t>责任。</w:t>
      </w:r>
    </w:p>
    <w:p>
      <w:pPr>
        <w:spacing w:line="240" w:lineRule="auto" w:before="10"/>
        <w:rPr>
          <w:rFonts w:ascii="宋体" w:hAnsi="宋体" w:cs="宋体" w:eastAsia="宋体" w:hint="default"/>
          <w:sz w:val="14"/>
          <w:szCs w:val="14"/>
        </w:rPr>
      </w:pPr>
    </w:p>
    <w:p>
      <w:pPr>
        <w:pStyle w:val="BodyText"/>
        <w:spacing w:line="408" w:lineRule="auto" w:before="0"/>
        <w:ind w:right="1117" w:firstLine="420"/>
        <w:jc w:val="left"/>
      </w:pPr>
      <w:r>
        <w:rPr>
          <w:rFonts w:ascii="宋体" w:hAnsi="宋体" w:cs="宋体" w:eastAsia="宋体" w:hint="default"/>
          <w:spacing w:val="-1"/>
        </w:rPr>
        <w:t>3</w:t>
      </w:r>
      <w:r>
        <w:rPr>
          <w:spacing w:val="-1"/>
        </w:rPr>
        <w:t>、广东龙泉向建设银行广州海珠支行借款</w:t>
      </w:r>
      <w:r>
        <w:rPr>
          <w:rFonts w:ascii="宋体" w:hAnsi="宋体" w:cs="宋体" w:eastAsia="宋体" w:hint="default"/>
          <w:spacing w:val="-1"/>
        </w:rPr>
        <w:t>30</w:t>
      </w:r>
      <w:r>
        <w:rPr>
          <w:spacing w:val="-1"/>
        </w:rPr>
        <w:t>万元，借款期限</w:t>
      </w:r>
      <w:r>
        <w:rPr>
          <w:rFonts w:ascii="宋体" w:hAnsi="宋体" w:cs="宋体" w:eastAsia="宋体" w:hint="default"/>
          <w:spacing w:val="-1"/>
        </w:rPr>
        <w:t>1</w:t>
      </w:r>
      <w:r>
        <w:rPr>
          <w:spacing w:val="-1"/>
        </w:rPr>
        <w:t>年。该借款由股东及配偶周志刚、陈蔚</w:t>
      </w:r>
      <w:r>
        <w:rPr/>
        <w:t> 珊、王家豪、崔洁莹承担连带担保责任。</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22、应付票据" w:id="260"/>
      <w:bookmarkEnd w:id="260"/>
      <w:r>
        <w:rPr>
          <w:b w:val="0"/>
          <w:bCs w:val="0"/>
        </w:rPr>
      </w:r>
      <w:r>
        <w:rPr>
          <w:rFonts w:ascii="Times New Roman" w:hAnsi="Times New Roman" w:cs="Times New Roman" w:eastAsia="Times New Roman" w:hint="default"/>
        </w:rPr>
        <w:t>22</w:t>
      </w:r>
      <w:r>
        <w:rPr/>
        <w:t>、应付票据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206"/>
        <w:gridCol w:w="3246"/>
        <w:gridCol w:w="3231"/>
      </w:tblGrid>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27,591,973.85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23,571,593.63</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27,591,973.85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23,571,593.63</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1117"/>
        <w:jc w:val="left"/>
        <w:rPr>
          <w:b w:val="0"/>
          <w:bCs w:val="0"/>
        </w:rPr>
      </w:pPr>
      <w:bookmarkStart w:name="23、应付账款" w:id="261"/>
      <w:bookmarkEnd w:id="261"/>
      <w:r>
        <w:rPr>
          <w:b w:val="0"/>
          <w:bCs w:val="0"/>
        </w:rPr>
      </w: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应付账款列示"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116,117,888.43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141,075,924.25</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55,124,699.45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18,589,321.48</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171,242,587.88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159,665,245.73</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账龄超过1年的重要应付账款" w:id="263"/>
      <w:bookmarkEnd w:id="26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河南东方建设集团发展有限公司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31" w:right="0"/>
              <w:jc w:val="left"/>
              <w:rPr>
                <w:rFonts w:ascii="宋体" w:hAnsi="宋体" w:cs="宋体" w:eastAsia="宋体" w:hint="default"/>
                <w:sz w:val="18"/>
                <w:szCs w:val="18"/>
              </w:rPr>
            </w:pPr>
            <w:r>
              <w:rPr>
                <w:rFonts w:ascii="宋体"/>
                <w:sz w:val="18"/>
              </w:rPr>
              <w:t>25,712,154.90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尚未结清的工程款</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郑州市财政局</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6,119,799.30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4"/>
                <w:sz w:val="18"/>
                <w:szCs w:val="18"/>
              </w:rPr>
              <w:t>欧好光电控制技术（上海）股份有限公司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2,370,007.36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郑州凌达消防工程有限公司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1,168,000.00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尚未结清的工程款</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35,369,961.56</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24、预收款项" w:id="264"/>
      <w:bookmarkEnd w:id="264"/>
      <w:r>
        <w:rPr>
          <w:b w:val="0"/>
          <w:bCs w:val="0"/>
        </w:rPr>
      </w:r>
      <w:r>
        <w:rPr>
          <w:rFonts w:ascii="Times New Roman" w:hAnsi="Times New Roman" w:cs="Times New Roman" w:eastAsia="Times New Roman" w:hint="default"/>
        </w:rPr>
        <w:t>24</w:t>
      </w:r>
      <w:r>
        <w:rPr/>
        <w:t>、预收款项</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预收款项列示"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64,537,828.72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13,178,204.55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1,345,225.31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3,259,269.02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9"/>
                <w:szCs w:val="9"/>
              </w:rPr>
            </w:pPr>
            <w:r>
              <w:rPr>
                <w:rFonts w:ascii="宋体"/>
                <w:sz w:val="18"/>
              </w:rPr>
              <w:t>65,883,054.03</w:t>
            </w:r>
            <w:r>
              <w:rPr>
                <w:rFonts w:ascii="宋体"/>
                <w:color w:val="FF0000"/>
                <w:position w:val="9"/>
                <w:sz w:val="9"/>
              </w:rPr>
              <w:t>1</w:t>
            </w:r>
            <w:r>
              <w:rPr>
                <w:rFonts w:ascii="宋体"/>
                <w:sz w:val="9"/>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16,437,473.57</w:t>
            </w:r>
          </w:p>
        </w:tc>
      </w:tr>
    </w:tbl>
    <w:p>
      <w:pPr>
        <w:pStyle w:val="BodyText"/>
        <w:spacing w:line="240" w:lineRule="auto" w:before="26"/>
        <w:ind w:left="1554" w:right="1117"/>
        <w:jc w:val="left"/>
      </w:pPr>
      <w:r>
        <w:rPr/>
        <w:t>注：</w:t>
      </w:r>
      <w:r>
        <w:rPr>
          <w:rFonts w:ascii="宋体" w:hAnsi="宋体" w:cs="宋体" w:eastAsia="宋体" w:hint="default"/>
        </w:rPr>
        <w:t>1</w:t>
      </w:r>
      <w:r>
        <w:rPr/>
        <w:t>、预收款项较期初增加</w:t>
      </w:r>
      <w:r>
        <w:rPr>
          <w:spacing w:val="-56"/>
        </w:rPr>
        <w:t> </w:t>
      </w:r>
      <w:r>
        <w:rPr>
          <w:rFonts w:ascii="宋体" w:hAnsi="宋体" w:cs="宋体" w:eastAsia="宋体" w:hint="default"/>
        </w:rPr>
        <w:t>300.81%</w:t>
      </w:r>
      <w:r>
        <w:rPr/>
        <w:t>，主要系汉威公用预收的供水工程款项所致。</w:t>
      </w:r>
    </w:p>
    <w:p>
      <w:pPr>
        <w:spacing w:line="240" w:lineRule="auto" w:before="9"/>
        <w:rPr>
          <w:rFonts w:ascii="宋体" w:hAnsi="宋体" w:cs="宋体" w:eastAsia="宋体" w:hint="default"/>
          <w:sz w:val="25"/>
          <w:szCs w:val="25"/>
        </w:rPr>
      </w:pPr>
    </w:p>
    <w:p>
      <w:pPr>
        <w:pStyle w:val="Heading3"/>
        <w:spacing w:line="240" w:lineRule="auto"/>
        <w:ind w:right="1117"/>
        <w:jc w:val="left"/>
        <w:rPr>
          <w:b w:val="0"/>
          <w:bCs w:val="0"/>
        </w:rPr>
      </w:pPr>
      <w:bookmarkStart w:name="25、应付职工薪酬" w:id="266"/>
      <w:bookmarkEnd w:id="266"/>
      <w:r>
        <w:rPr>
          <w:b w:val="0"/>
          <w:bCs w:val="0"/>
        </w:rPr>
      </w: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应付职工薪酬列示"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1913"/>
        <w:gridCol w:w="1953"/>
        <w:gridCol w:w="1938"/>
        <w:gridCol w:w="1940"/>
        <w:gridCol w:w="1939"/>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10,103,689.95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114,483,948.56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110,872,542.72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13,715,095.79</w:t>
            </w:r>
          </w:p>
        </w:tc>
      </w:tr>
      <w:tr>
        <w:trPr>
          <w:trHeight w:val="63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9"/>
              <w:jc w:val="left"/>
              <w:rPr>
                <w:rFonts w:ascii="宋体" w:hAnsi="宋体" w:cs="宋体" w:eastAsia="宋体" w:hint="default"/>
                <w:sz w:val="18"/>
                <w:szCs w:val="18"/>
              </w:rPr>
            </w:pPr>
            <w:r>
              <w:rPr>
                <w:rFonts w:ascii="宋体" w:hAnsi="宋体" w:cs="宋体" w:eastAsia="宋体" w:hint="default"/>
                <w:spacing w:val="-1"/>
                <w:sz w:val="18"/>
                <w:szCs w:val="18"/>
              </w:rPr>
              <w:t>二、离职后福利</w:t>
            </w:r>
            <w:r>
              <w:rPr>
                <w:rFonts w:ascii="宋体" w:hAnsi="宋体" w:cs="宋体" w:eastAsia="宋体" w:hint="default"/>
                <w:spacing w:val="-1"/>
                <w:sz w:val="18"/>
                <w:szCs w:val="18"/>
              </w:rPr>
              <w:t>-</w:t>
            </w:r>
            <w:r>
              <w:rPr>
                <w:rFonts w:ascii="宋体" w:hAnsi="宋体" w:cs="宋体" w:eastAsia="宋体" w:hint="default"/>
                <w:spacing w:val="-1"/>
                <w:sz w:val="18"/>
                <w:szCs w:val="18"/>
              </w:rPr>
              <w:t>设定提</w:t>
            </w:r>
            <w:r>
              <w:rPr>
                <w:rFonts w:ascii="宋体" w:hAnsi="宋体" w:cs="宋体" w:eastAsia="宋体" w:hint="default"/>
                <w:sz w:val="18"/>
                <w:szCs w:val="18"/>
              </w:rPr>
              <w:t> 存计划</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25,069.91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8,192,595.67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8,188,366.17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29,299.41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318,909.00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318,909.00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10,128,759.86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122,995,453.23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119,379,817.89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13,744,395.20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短期薪酬列示" w:id="268"/>
      <w:bookmarkEnd w:id="26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274"/>
        <w:gridCol w:w="1592"/>
        <w:gridCol w:w="1938"/>
        <w:gridCol w:w="1940"/>
        <w:gridCol w:w="1939"/>
      </w:tblGrid>
      <w:tr>
        <w:trPr>
          <w:trHeight w:val="322"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9,965,065.87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102,676,476.30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99,077,201.27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13,564,340.90</w:t>
            </w:r>
          </w:p>
        </w:tc>
      </w:tr>
      <w:tr>
        <w:trPr>
          <w:trHeight w:val="322"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2,082.00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3,405,621.04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3,402,353.04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5,350.00</w:t>
            </w:r>
          </w:p>
        </w:tc>
      </w:tr>
      <w:tr>
        <w:trPr>
          <w:trHeight w:val="322"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14,696.18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4,427,653.20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4,427,511.45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14,837.93</w:t>
            </w:r>
          </w:p>
        </w:tc>
      </w:tr>
      <w:tr>
        <w:trPr>
          <w:trHeight w:val="323"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11,783.43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3,829,168.19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3,827,357.69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13,593.93</w:t>
            </w:r>
          </w:p>
        </w:tc>
      </w:tr>
      <w:tr>
        <w:trPr>
          <w:trHeight w:val="322"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2,244.45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271,722.13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273,522.58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444.00</w:t>
            </w:r>
          </w:p>
        </w:tc>
      </w:tr>
      <w:tr>
        <w:trPr>
          <w:trHeight w:val="322"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668.30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326,762.88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326,631.18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800.00</w:t>
            </w:r>
          </w:p>
        </w:tc>
      </w:tr>
      <w:tr>
        <w:trPr>
          <w:trHeight w:val="323"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9,992.00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2,323,059.10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2,324,306.10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8,745.00</w:t>
            </w:r>
          </w:p>
        </w:tc>
      </w:tr>
      <w:tr>
        <w:trPr>
          <w:trHeight w:val="322"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111,853.90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1,651,138.92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1,641,170.86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121,821.96</w:t>
            </w:r>
          </w:p>
        </w:tc>
      </w:tr>
      <w:tr>
        <w:trPr>
          <w:trHeight w:val="323"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10,103,689.95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114,483,948.56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110,872,542.72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13,715,095.79</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3）设定提存计划列示" w:id="269"/>
      <w:bookmarkEnd w:id="26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913"/>
        <w:gridCol w:w="1953"/>
        <w:gridCol w:w="1938"/>
        <w:gridCol w:w="1940"/>
        <w:gridCol w:w="1939"/>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21,049.05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7,635,317.59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7,631,285.59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25,081.05</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4,020.86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557,278.08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557,080.58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4,218.36</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25,069.91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8,192,595.67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8,188,366.17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29,299.41</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6、应交税费" w:id="270"/>
      <w:bookmarkEnd w:id="270"/>
      <w:r>
        <w:rPr>
          <w:b w:val="0"/>
          <w:bCs w:val="0"/>
        </w:rPr>
      </w:r>
      <w:r>
        <w:rPr>
          <w:rFonts w:ascii="Times New Roman" w:hAnsi="Times New Roman" w:cs="Times New Roman" w:eastAsia="Times New Roman" w:hint="default"/>
        </w:rPr>
        <w:t>26</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10,708,169.35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12,590,297.58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3,687,924.16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1,089,002.40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28,172,201.24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7,840,403.78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302,009.48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127,497.22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539,025.06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642,092.66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950,262.03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431,865.40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377,227.11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369,937.11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397,470.23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466,760.08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216,971.76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108,597.85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45,351,260.42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23,666,454.08</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7、应付利息" w:id="271"/>
      <w:bookmarkEnd w:id="271"/>
      <w:r>
        <w:rPr>
          <w:b w:val="0"/>
          <w:bCs w:val="0"/>
        </w:rPr>
      </w:r>
      <w:r>
        <w:rPr>
          <w:rFonts w:ascii="Times New Roman" w:hAnsi="Times New Roman" w:cs="Times New Roman" w:eastAsia="Times New Roman" w:hint="default"/>
        </w:rPr>
        <w:t>27</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3206"/>
        <w:gridCol w:w="3246"/>
        <w:gridCol w:w="3231"/>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101,521.66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115,960.37</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102,047.92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305,116.67</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203,569.58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421,077.04</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8、其他应付款" w:id="272"/>
      <w:bookmarkEnd w:id="272"/>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按款项性质列示其他应付款"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16,917,837.96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8,275,374.59</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8,703,680.00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17,231,440.00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8,678,027.18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5,777,995.89</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27,793,529.66</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732,229.29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608,486.14</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62,825,304.09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31,893,296.62</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2）账龄超过1年的重要其他应付款" w:id="274"/>
      <w:bookmarkEnd w:id="27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郑州高新区非税收入管理局</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9,688,915.43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代收款项待上缴</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河南银浩实业有限公司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16,688,915.43</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1554" w:right="1117"/>
        <w:jc w:val="left"/>
      </w:pPr>
      <w:r>
        <w:rPr/>
        <w:t>其他应付款中代收款项主要系汉威公用代收的污水处理费。</w:t>
      </w:r>
    </w:p>
    <w:p>
      <w:pPr>
        <w:spacing w:line="240" w:lineRule="auto" w:before="11"/>
        <w:rPr>
          <w:rFonts w:ascii="宋体" w:hAnsi="宋体" w:cs="宋体" w:eastAsia="宋体" w:hint="default"/>
          <w:sz w:val="25"/>
          <w:szCs w:val="25"/>
        </w:rPr>
      </w:pPr>
    </w:p>
    <w:p>
      <w:pPr>
        <w:pStyle w:val="Heading3"/>
        <w:spacing w:line="240" w:lineRule="auto"/>
        <w:ind w:left="1133" w:right="1117"/>
        <w:jc w:val="left"/>
        <w:rPr>
          <w:b w:val="0"/>
          <w:bCs w:val="0"/>
        </w:rPr>
      </w:pPr>
      <w:bookmarkStart w:name="29、一年内到期的非流动负债" w:id="275"/>
      <w:bookmarkEnd w:id="275"/>
      <w:r>
        <w:rPr>
          <w:b w:val="0"/>
          <w:bCs w:val="0"/>
        </w:rPr>
      </w:r>
      <w:r>
        <w:rPr>
          <w:rFonts w:ascii="Times New Roman" w:hAnsi="Times New Roman" w:cs="Times New Roman" w:eastAsia="Times New Roman" w:hint="default"/>
        </w:rPr>
        <w:t>29</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3206"/>
        <w:gridCol w:w="3246"/>
        <w:gridCol w:w="3231"/>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25,420,000.00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11,320,000.00</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3,274,567.44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13,992,907.92</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28,694,567.44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25,312,907.92</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0、长期借款" w:id="276"/>
      <w:bookmarkEnd w:id="276"/>
      <w:r>
        <w:rPr>
          <w:b w:val="0"/>
          <w:bCs w:val="0"/>
        </w:rPr>
      </w:r>
      <w:r>
        <w:rPr>
          <w:rFonts w:ascii="Times New Roman" w:hAnsi="Times New Roman" w:cs="Times New Roman" w:eastAsia="Times New Roman" w:hint="default"/>
        </w:rPr>
        <w:t>30</w:t>
      </w:r>
      <w:r>
        <w:rPr/>
        <w:t>、长期借款</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长期借款分类"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3206"/>
        <w:gridCol w:w="3246"/>
        <w:gridCol w:w="3231"/>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456,560,000.00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42,880,000.00</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12,000,000.00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468,560,000.00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42,880,000.00</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2"/>
        <w:rPr>
          <w:rFonts w:ascii="宋体" w:hAnsi="宋体" w:cs="宋体" w:eastAsia="宋体" w:hint="default"/>
          <w:sz w:val="12"/>
          <w:szCs w:val="12"/>
        </w:rPr>
      </w:pPr>
    </w:p>
    <w:p>
      <w:pPr>
        <w:pStyle w:val="BodyText"/>
        <w:spacing w:line="408" w:lineRule="auto" w:before="0"/>
        <w:ind w:right="1117" w:firstLine="420"/>
        <w:jc w:val="left"/>
      </w:pPr>
      <w:r>
        <w:rPr>
          <w:rFonts w:ascii="宋体" w:hAnsi="宋体" w:cs="宋体" w:eastAsia="宋体" w:hint="default"/>
          <w:spacing w:val="-3"/>
        </w:rPr>
        <w:t>1</w:t>
      </w:r>
      <w:r>
        <w:rPr>
          <w:spacing w:val="-3"/>
        </w:rPr>
        <w:t>、高新供水</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30</w:t>
      </w:r>
      <w:r>
        <w:rPr>
          <w:spacing w:val="-3"/>
        </w:rPr>
        <w:t>日与中国工商银行郑州陇海路支行签订借款合同，借款金额</w:t>
      </w:r>
      <w:r>
        <w:rPr>
          <w:rFonts w:ascii="宋体" w:hAnsi="宋体" w:cs="宋体" w:eastAsia="宋体" w:hint="default"/>
          <w:spacing w:val="-3"/>
        </w:rPr>
        <w:t>10,900.00</w:t>
      </w:r>
      <w:r>
        <w:rPr>
          <w:spacing w:val="-3"/>
        </w:rPr>
        <w:t>万元；</w:t>
      </w:r>
      <w:r>
        <w:rPr/>
        <w:t> 该项借款以郑州高新自来水费收费权作质押，并由郑州高新投资建设集团有限公司承担连带担保责任。</w:t>
      </w:r>
    </w:p>
    <w:p>
      <w:pPr>
        <w:pStyle w:val="BodyText"/>
        <w:spacing w:line="408" w:lineRule="auto"/>
        <w:ind w:right="1117" w:firstLine="420"/>
        <w:jc w:val="left"/>
      </w:pPr>
      <w:r>
        <w:rPr>
          <w:rFonts w:ascii="宋体" w:hAnsi="宋体" w:cs="宋体" w:eastAsia="宋体" w:hint="default"/>
          <w:spacing w:val="-3"/>
        </w:rPr>
        <w:t>2</w:t>
      </w:r>
      <w:r>
        <w:rPr>
          <w:spacing w:val="-3"/>
        </w:rPr>
        <w:t>、高新供水</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w:t>
      </w:r>
      <w:r>
        <w:rPr>
          <w:spacing w:val="-3"/>
        </w:rPr>
        <w:t>日与中国工商银行郑州陇海路支行签订借款合同，借款金额</w:t>
      </w:r>
      <w:r>
        <w:rPr>
          <w:rFonts w:ascii="宋体" w:hAnsi="宋体" w:cs="宋体" w:eastAsia="宋体" w:hint="default"/>
          <w:spacing w:val="-3"/>
        </w:rPr>
        <w:t>31,200.00</w:t>
      </w:r>
      <w:r>
        <w:rPr>
          <w:spacing w:val="-3"/>
        </w:rPr>
        <w:t>万元，</w:t>
      </w:r>
      <w:r>
        <w:rPr/>
        <w:t> </w:t>
      </w:r>
      <w:r>
        <w:rPr>
          <w:spacing w:val="-1"/>
        </w:rPr>
        <w:t>借款期限自</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19</w:t>
      </w:r>
      <w:r>
        <w:rPr>
          <w:spacing w:val="-1"/>
        </w:rPr>
        <w:t>日至</w:t>
      </w:r>
      <w:r>
        <w:rPr>
          <w:rFonts w:ascii="宋体" w:hAnsi="宋体" w:cs="宋体" w:eastAsia="宋体" w:hint="default"/>
          <w:spacing w:val="-1"/>
        </w:rPr>
        <w:t>2025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19</w:t>
      </w:r>
      <w:r>
        <w:rPr>
          <w:spacing w:val="-1"/>
        </w:rPr>
        <w:t>日。该项借款以郑州高新自来水费收费权作质押，并由郑州高新</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554" w:right="1117" w:hanging="420"/>
        <w:jc w:val="left"/>
      </w:pPr>
      <w:r>
        <w:rPr/>
        <w:t>投资建设集团有限公司承担连带担保责任。 </w:t>
      </w:r>
      <w:r>
        <w:rPr>
          <w:rFonts w:ascii="宋体" w:hAnsi="宋体" w:cs="宋体" w:eastAsia="宋体" w:hint="default"/>
          <w:spacing w:val="5"/>
        </w:rPr>
        <w:t>3</w:t>
      </w:r>
      <w:r>
        <w:rPr>
          <w:spacing w:val="5"/>
        </w:rPr>
        <w:t>、合肥嘉园</w:t>
      </w:r>
      <w:r>
        <w:rPr>
          <w:rFonts w:ascii="宋体" w:hAnsi="宋体" w:cs="宋体" w:eastAsia="宋体" w:hint="default"/>
          <w:spacing w:val="5"/>
        </w:rPr>
        <w:t>2012</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29</w:t>
      </w:r>
      <w:r>
        <w:rPr>
          <w:spacing w:val="5"/>
        </w:rPr>
        <w:t>日与中国工商银行股份有限公司合肥城建支行签订借款合同，借款金额</w:t>
      </w:r>
    </w:p>
    <w:p>
      <w:pPr>
        <w:pStyle w:val="BodyText"/>
        <w:spacing w:line="408" w:lineRule="auto"/>
        <w:ind w:right="1117"/>
        <w:jc w:val="left"/>
      </w:pPr>
      <w:r>
        <w:rPr>
          <w:rFonts w:ascii="宋体" w:hAnsi="宋体" w:cs="宋体" w:eastAsia="宋体" w:hint="default"/>
          <w:spacing w:val="-1"/>
        </w:rPr>
        <w:t>50,000,000.00</w:t>
      </w:r>
      <w:r>
        <w:rPr>
          <w:spacing w:val="-1"/>
        </w:rPr>
        <w:t>元，借款期限自</w:t>
      </w:r>
      <w:r>
        <w:rPr>
          <w:rFonts w:ascii="宋体" w:hAnsi="宋体" w:cs="宋体" w:eastAsia="宋体" w:hint="default"/>
          <w:spacing w:val="-1"/>
        </w:rPr>
        <w:t>2012</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29</w:t>
      </w:r>
      <w:r>
        <w:rPr>
          <w:spacing w:val="-1"/>
        </w:rPr>
        <w:t>日至</w:t>
      </w:r>
      <w:r>
        <w:rPr>
          <w:rFonts w:ascii="宋体" w:hAnsi="宋体" w:cs="宋体" w:eastAsia="宋体" w:hint="default"/>
          <w:spacing w:val="-1"/>
        </w:rPr>
        <w:t>2019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28</w:t>
      </w:r>
      <w:r>
        <w:rPr>
          <w:spacing w:val="-1"/>
        </w:rPr>
        <w:t>日；该项借款由</w:t>
      </w:r>
      <w:r>
        <w:rPr>
          <w:rFonts w:ascii="宋体" w:hAnsi="宋体" w:cs="宋体" w:eastAsia="宋体" w:hint="default"/>
          <w:spacing w:val="-1"/>
        </w:rPr>
        <w:t>"</w:t>
      </w:r>
      <w:r>
        <w:rPr>
          <w:spacing w:val="-1"/>
        </w:rPr>
        <w:t>合肥市龙泉山生活垃圾处</w:t>
      </w:r>
      <w:r>
        <w:rPr>
          <w:spacing w:val="-77"/>
        </w:rPr>
        <w:t> </w:t>
      </w:r>
      <w:r>
        <w:rPr>
          <w:spacing w:val="-77"/>
        </w:rPr>
      </w:r>
      <w:r>
        <w:rPr/>
        <w:t>理场渗滤液处理厂</w:t>
      </w:r>
      <w:r>
        <w:rPr>
          <w:rFonts w:ascii="宋体" w:hAnsi="宋体" w:cs="宋体" w:eastAsia="宋体" w:hint="default"/>
        </w:rPr>
        <w:t>BOT</w:t>
      </w:r>
      <w:r>
        <w:rPr/>
        <w:t>项目</w:t>
      </w:r>
      <w:r>
        <w:rPr>
          <w:rFonts w:ascii="宋体" w:hAnsi="宋体" w:cs="宋体" w:eastAsia="宋体" w:hint="default"/>
        </w:rPr>
        <w:t>"</w:t>
      </w:r>
      <w:r>
        <w:rPr/>
        <w:t>特许经营权作质押，并由嘉园环保承担连带担保责任。</w:t>
      </w:r>
    </w:p>
    <w:p>
      <w:pPr>
        <w:pStyle w:val="BodyText"/>
        <w:spacing w:line="240" w:lineRule="auto"/>
        <w:ind w:left="1553" w:right="712"/>
        <w:jc w:val="left"/>
      </w:pPr>
      <w:r>
        <w:rPr>
          <w:rFonts w:ascii="宋体" w:hAnsi="宋体" w:cs="宋体" w:eastAsia="宋体" w:hint="default"/>
        </w:rPr>
        <w:t>4</w:t>
      </w:r>
      <w:r>
        <w:rPr>
          <w:rFonts w:ascii="宋体" w:hAnsi="宋体" w:cs="宋体" w:eastAsia="宋体" w:hint="default"/>
          <w:spacing w:val="-77"/>
        </w:rPr>
        <w:t> </w:t>
      </w:r>
      <w:r>
        <w:rPr/>
        <w:t>、</w:t>
      </w:r>
      <w:r>
        <w:rPr>
          <w:spacing w:val="-79"/>
        </w:rPr>
        <w:t> </w:t>
      </w:r>
      <w:r>
        <w:rPr/>
        <w:t>东</w:t>
      </w:r>
      <w:r>
        <w:rPr>
          <w:spacing w:val="-78"/>
        </w:rPr>
        <w:t> </w:t>
      </w:r>
      <w:r>
        <w:rPr/>
        <w:t>山</w:t>
      </w:r>
      <w:r>
        <w:rPr>
          <w:spacing w:val="-79"/>
        </w:rPr>
        <w:t> </w:t>
      </w:r>
      <w:r>
        <w:rPr/>
        <w:t>嘉</w:t>
      </w:r>
      <w:r>
        <w:rPr>
          <w:spacing w:val="-79"/>
        </w:rPr>
        <w:t> </w:t>
      </w:r>
      <w:r>
        <w:rPr/>
        <w:t>园</w:t>
      </w:r>
      <w:r>
        <w:rPr>
          <w:spacing w:val="-78"/>
        </w:rPr>
        <w:t> </w:t>
      </w:r>
      <w:r>
        <w:rPr/>
        <w:t>于</w:t>
      </w:r>
      <w:r>
        <w:rPr>
          <w:spacing w:val="-77"/>
        </w:rPr>
        <w:t> </w:t>
      </w:r>
      <w:r>
        <w:rPr>
          <w:rFonts w:ascii="宋体" w:hAnsi="宋体" w:cs="宋体" w:eastAsia="宋体" w:hint="default"/>
        </w:rPr>
        <w:t>2009</w:t>
      </w:r>
      <w:r>
        <w:rPr>
          <w:rFonts w:ascii="宋体" w:hAnsi="宋体" w:cs="宋体" w:eastAsia="宋体" w:hint="default"/>
          <w:spacing w:val="-79"/>
        </w:rPr>
        <w:t> </w:t>
      </w:r>
      <w:r>
        <w:rPr/>
        <w:t>年</w:t>
      </w:r>
      <w:r>
        <w:rPr>
          <w:spacing w:val="-79"/>
        </w:rPr>
        <w:t> </w:t>
      </w:r>
      <w:r>
        <w:rPr>
          <w:rFonts w:ascii="宋体" w:hAnsi="宋体" w:cs="宋体" w:eastAsia="宋体" w:hint="default"/>
        </w:rPr>
        <w:t>7</w:t>
      </w:r>
      <w:r>
        <w:rPr>
          <w:rFonts w:ascii="宋体" w:hAnsi="宋体" w:cs="宋体" w:eastAsia="宋体" w:hint="default"/>
          <w:spacing w:val="-77"/>
        </w:rPr>
        <w:t> </w:t>
      </w:r>
      <w:r>
        <w:rPr/>
        <w:t>月</w:t>
      </w:r>
      <w:r>
        <w:rPr>
          <w:spacing w:val="-79"/>
        </w:rPr>
        <w:t> </w:t>
      </w:r>
      <w:r>
        <w:rPr>
          <w:rFonts w:ascii="宋体" w:hAnsi="宋体" w:cs="宋体" w:eastAsia="宋体" w:hint="default"/>
        </w:rPr>
        <w:t>24</w:t>
      </w:r>
      <w:r>
        <w:rPr>
          <w:rFonts w:ascii="宋体" w:hAnsi="宋体" w:cs="宋体" w:eastAsia="宋体" w:hint="default"/>
          <w:spacing w:val="-77"/>
        </w:rPr>
        <w:t> </w:t>
      </w:r>
      <w:r>
        <w:rPr/>
        <w:t>日</w:t>
      </w:r>
      <w:r>
        <w:rPr>
          <w:spacing w:val="-79"/>
        </w:rPr>
        <w:t> </w:t>
      </w:r>
      <w:r>
        <w:rPr/>
        <w:t>与</w:t>
      </w:r>
      <w:r>
        <w:rPr>
          <w:spacing w:val="-79"/>
        </w:rPr>
        <w:t> </w:t>
      </w:r>
      <w:r>
        <w:rPr/>
        <w:t>中</w:t>
      </w:r>
      <w:r>
        <w:rPr>
          <w:spacing w:val="-78"/>
        </w:rPr>
        <w:t> </w:t>
      </w:r>
      <w:r>
        <w:rPr/>
        <w:t>国</w:t>
      </w:r>
      <w:r>
        <w:rPr>
          <w:spacing w:val="-78"/>
        </w:rPr>
        <w:t> </w:t>
      </w:r>
      <w:r>
        <w:rPr/>
        <w:t>银</w:t>
      </w:r>
      <w:r>
        <w:rPr>
          <w:spacing w:val="-79"/>
        </w:rPr>
        <w:t> </w:t>
      </w:r>
      <w:r>
        <w:rPr/>
        <w:t>行</w:t>
      </w:r>
      <w:r>
        <w:rPr>
          <w:spacing w:val="-78"/>
        </w:rPr>
        <w:t> </w:t>
      </w:r>
      <w:r>
        <w:rPr/>
        <w:t>股</w:t>
      </w:r>
      <w:r>
        <w:rPr>
          <w:spacing w:val="-79"/>
        </w:rPr>
        <w:t> </w:t>
      </w:r>
      <w:r>
        <w:rPr/>
        <w:t>份</w:t>
      </w:r>
      <w:r>
        <w:rPr>
          <w:spacing w:val="-78"/>
        </w:rPr>
        <w:t> </w:t>
      </w:r>
      <w:r>
        <w:rPr/>
        <w:t>有</w:t>
      </w:r>
      <w:r>
        <w:rPr>
          <w:spacing w:val="-78"/>
        </w:rPr>
        <w:t> </w:t>
      </w:r>
      <w:r>
        <w:rPr/>
        <w:t>限</w:t>
      </w:r>
      <w:r>
        <w:rPr>
          <w:spacing w:val="-79"/>
        </w:rPr>
        <w:t> </w:t>
      </w:r>
      <w:r>
        <w:rPr/>
        <w:t>公</w:t>
      </w:r>
      <w:r>
        <w:rPr>
          <w:spacing w:val="-78"/>
        </w:rPr>
        <w:t> </w:t>
      </w:r>
      <w:r>
        <w:rPr/>
        <w:t>司</w:t>
      </w:r>
      <w:r>
        <w:rPr>
          <w:spacing w:val="-79"/>
        </w:rPr>
        <w:t> </w:t>
      </w:r>
      <w:r>
        <w:rPr/>
        <w:t>东</w:t>
      </w:r>
      <w:r>
        <w:rPr>
          <w:spacing w:val="-78"/>
        </w:rPr>
        <w:t> </w:t>
      </w:r>
      <w:r>
        <w:rPr/>
        <w:t>山</w:t>
      </w:r>
      <w:r>
        <w:rPr>
          <w:spacing w:val="-78"/>
        </w:rPr>
        <w:t> </w:t>
      </w:r>
      <w:r>
        <w:rPr/>
        <w:t>支</w:t>
      </w:r>
      <w:r>
        <w:rPr>
          <w:spacing w:val="-79"/>
        </w:rPr>
        <w:t> </w:t>
      </w:r>
      <w:r>
        <w:rPr/>
        <w:t>行</w:t>
      </w:r>
      <w:r>
        <w:rPr>
          <w:spacing w:val="-78"/>
        </w:rPr>
        <w:t> </w:t>
      </w:r>
      <w:r>
        <w:rPr/>
        <w:t>签</w:t>
      </w:r>
      <w:r>
        <w:rPr>
          <w:spacing w:val="-79"/>
        </w:rPr>
        <w:t> </w:t>
      </w:r>
      <w:r>
        <w:rPr/>
        <w:t>订</w:t>
      </w:r>
      <w:r>
        <w:rPr>
          <w:spacing w:val="-78"/>
        </w:rPr>
        <w:t> </w:t>
      </w:r>
      <w:r>
        <w:rPr/>
        <w:t>借</w:t>
      </w:r>
      <w:r>
        <w:rPr>
          <w:spacing w:val="-78"/>
        </w:rPr>
        <w:t> </w:t>
      </w:r>
      <w:r>
        <w:rPr/>
        <w:t>款</w:t>
      </w:r>
      <w:r>
        <w:rPr>
          <w:spacing w:val="-79"/>
        </w:rPr>
        <w:t> </w:t>
      </w:r>
      <w:r>
        <w:rPr/>
        <w:t>合</w:t>
      </w:r>
      <w:r>
        <w:rPr>
          <w:spacing w:val="-78"/>
        </w:rPr>
        <w:t> </w:t>
      </w:r>
      <w:r>
        <w:rPr/>
        <w:t>同</w:t>
      </w:r>
      <w:r>
        <w:rPr>
          <w:spacing w:val="-79"/>
        </w:rPr>
        <w:t> </w:t>
      </w:r>
      <w:r>
        <w:rPr/>
        <w:t>，</w:t>
      </w:r>
      <w:r>
        <w:rPr>
          <w:spacing w:val="-78"/>
        </w:rPr>
        <w:t> </w:t>
      </w:r>
      <w:r>
        <w:rPr/>
        <w:t>借</w:t>
      </w:r>
      <w:r>
        <w:rPr>
          <w:spacing w:val="-78"/>
        </w:rPr>
        <w:t> </w:t>
      </w:r>
      <w:r>
        <w:rPr/>
        <w:t>款</w:t>
      </w:r>
      <w:r>
        <w:rPr>
          <w:spacing w:val="-79"/>
        </w:rPr>
        <w:t> </w:t>
      </w:r>
      <w:r>
        <w:rPr/>
        <w:t>金</w:t>
      </w:r>
      <w:r>
        <w:rPr>
          <w:spacing w:val="-78"/>
        </w:rPr>
        <w:t> </w:t>
      </w:r>
      <w:r>
        <w:rPr/>
        <w:t>额</w:t>
      </w:r>
    </w:p>
    <w:p>
      <w:pPr>
        <w:spacing w:line="240" w:lineRule="auto" w:before="10"/>
        <w:rPr>
          <w:rFonts w:ascii="宋体" w:hAnsi="宋体" w:cs="宋体" w:eastAsia="宋体" w:hint="default"/>
          <w:sz w:val="14"/>
          <w:szCs w:val="14"/>
        </w:rPr>
      </w:pPr>
    </w:p>
    <w:p>
      <w:pPr>
        <w:pStyle w:val="BodyText"/>
        <w:spacing w:line="408" w:lineRule="auto" w:before="0"/>
        <w:ind w:right="1129"/>
        <w:jc w:val="both"/>
      </w:pPr>
      <w:r>
        <w:rPr>
          <w:rFonts w:ascii="宋体" w:hAnsi="宋体" w:cs="宋体" w:eastAsia="宋体" w:hint="default"/>
          <w:spacing w:val="-1"/>
        </w:rPr>
        <w:t>15,000,000.00</w:t>
      </w:r>
      <w:r>
        <w:rPr>
          <w:spacing w:val="-1"/>
        </w:rPr>
        <w:t>元，借款期限自</w:t>
      </w:r>
      <w:r>
        <w:rPr>
          <w:rFonts w:ascii="宋体" w:hAnsi="宋体" w:cs="宋体" w:eastAsia="宋体" w:hint="default"/>
          <w:spacing w:val="-1"/>
        </w:rPr>
        <w:t>2009</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24</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20</w:t>
      </w:r>
      <w:r>
        <w:rPr>
          <w:spacing w:val="-1"/>
        </w:rPr>
        <w:t>日，由东山双东污水处理厂特许经营权作质</w:t>
      </w:r>
      <w:r>
        <w:rPr>
          <w:spacing w:val="-77"/>
        </w:rPr>
        <w:t> </w:t>
      </w:r>
      <w:r>
        <w:rPr>
          <w:spacing w:val="-77"/>
        </w:rPr>
      </w:r>
      <w:r>
        <w:rPr>
          <w:spacing w:val="-1"/>
        </w:rPr>
        <w:t>押，并由嘉园环保及李泽清承担连带担保责任；于</w:t>
      </w:r>
      <w:r>
        <w:rPr>
          <w:rFonts w:ascii="宋体" w:hAnsi="宋体" w:cs="宋体" w:eastAsia="宋体" w:hint="default"/>
          <w:spacing w:val="-1"/>
        </w:rPr>
        <w:t>2010</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10</w:t>
      </w:r>
      <w:r>
        <w:rPr>
          <w:spacing w:val="-1"/>
        </w:rPr>
        <w:t>日与中国银行股份有限公司东山支行签订</w:t>
      </w:r>
      <w:r>
        <w:rPr>
          <w:spacing w:val="-82"/>
        </w:rPr>
        <w:t> </w:t>
      </w:r>
      <w:r>
        <w:rPr>
          <w:spacing w:val="-82"/>
        </w:rPr>
      </w:r>
      <w:r>
        <w:rPr/>
        <w:t>借款合同，借款金额</w:t>
      </w:r>
      <w:r>
        <w:rPr>
          <w:rFonts w:ascii="宋体" w:hAnsi="宋体" w:cs="宋体" w:eastAsia="宋体" w:hint="default"/>
        </w:rPr>
        <w:t>9,000,000.00</w:t>
      </w:r>
      <w:r>
        <w:rPr/>
        <w:t>元，借款期限自</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10</w:t>
      </w:r>
      <w:r>
        <w:rPr/>
        <w:t>日至</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21</w:t>
      </w:r>
      <w:r>
        <w:rPr/>
        <w:t>日，由东山双东污水处</w:t>
      </w:r>
      <w:r>
        <w:rPr>
          <w:spacing w:val="-33"/>
        </w:rPr>
        <w:t> </w:t>
      </w:r>
      <w:r>
        <w:rPr>
          <w:spacing w:val="-33"/>
        </w:rPr>
      </w:r>
      <w:r>
        <w:rPr/>
        <w:t>理厂特许经营权作质押，并由嘉园环保及李泽清承担连带担保责任，于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16</w:t>
      </w:r>
      <w:r>
        <w:rPr/>
        <w:t>日与中国银行股份有</w:t>
      </w:r>
      <w:r>
        <w:rPr>
          <w:spacing w:val="-29"/>
        </w:rPr>
        <w:t> </w:t>
      </w:r>
      <w:r>
        <w:rPr>
          <w:spacing w:val="-29"/>
        </w:rPr>
      </w:r>
      <w:r>
        <w:rPr>
          <w:spacing w:val="-3"/>
        </w:rPr>
        <w:t>限公司东山支行签订借款合同，借款金额</w:t>
      </w:r>
      <w:r>
        <w:rPr>
          <w:rFonts w:ascii="宋体" w:hAnsi="宋体" w:cs="宋体" w:eastAsia="宋体" w:hint="default"/>
          <w:spacing w:val="-3"/>
        </w:rPr>
        <w:t>11,000,000.00</w:t>
      </w:r>
      <w:r>
        <w:rPr>
          <w:spacing w:val="-3"/>
        </w:rPr>
        <w:t>元，借款期限自</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16</w:t>
      </w:r>
      <w:r>
        <w:rPr>
          <w:spacing w:val="-3"/>
        </w:rPr>
        <w:t>日至</w:t>
      </w:r>
      <w:r>
        <w:rPr>
          <w:rFonts w:ascii="宋体" w:hAnsi="宋体" w:cs="宋体" w:eastAsia="宋体" w:hint="default"/>
          <w:spacing w:val="-3"/>
        </w:rPr>
        <w:t>2024</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22</w:t>
      </w:r>
      <w:r>
        <w:rPr>
          <w:spacing w:val="-3"/>
        </w:rPr>
        <w:t>日，</w:t>
      </w:r>
      <w:r>
        <w:rPr>
          <w:spacing w:val="-59"/>
        </w:rPr>
        <w:t> </w:t>
      </w:r>
      <w:r>
        <w:rPr/>
        <w:t>由东山双东污水处理厂特许经营权作质押，并由嘉园环保、陈泽枝及董中屿承担连带担保责任。</w:t>
      </w:r>
    </w:p>
    <w:p>
      <w:pPr>
        <w:pStyle w:val="BodyText"/>
        <w:spacing w:line="408" w:lineRule="auto"/>
        <w:ind w:right="712" w:firstLine="420"/>
        <w:jc w:val="left"/>
      </w:pPr>
      <w:r>
        <w:rPr>
          <w:rFonts w:ascii="宋体" w:hAnsi="宋体" w:cs="宋体" w:eastAsia="宋体" w:hint="default"/>
        </w:rPr>
        <w:t>5</w:t>
      </w:r>
      <w:r>
        <w:rPr/>
        <w:t>、福安嘉园于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10</w:t>
      </w:r>
      <w:r>
        <w:rPr/>
        <w:t>日与福建海峡银行宁德分行签订借款合同，借款金额</w:t>
      </w:r>
      <w:r>
        <w:rPr>
          <w:rFonts w:ascii="宋体" w:hAnsi="宋体" w:cs="宋体" w:eastAsia="宋体" w:hint="default"/>
        </w:rPr>
        <w:t>14,000,000.00</w:t>
      </w:r>
      <w:r>
        <w:rPr/>
        <w:t>元，</w:t>
      </w:r>
      <w:r>
        <w:rPr>
          <w:spacing w:val="3"/>
        </w:rPr>
        <w:t> </w:t>
      </w:r>
      <w:r>
        <w:rPr/>
        <w:t>借款期限自</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10</w:t>
      </w:r>
      <w:r>
        <w:rPr/>
        <w:t>日至</w:t>
      </w:r>
      <w:r>
        <w:rPr>
          <w:rFonts w:ascii="宋体" w:hAnsi="宋体" w:cs="宋体" w:eastAsia="宋体" w:hint="default"/>
        </w:rPr>
        <w:t>2023</w:t>
      </w:r>
      <w:r>
        <w:rPr/>
        <w:t>年</w:t>
      </w:r>
      <w:r>
        <w:rPr>
          <w:rFonts w:ascii="宋体" w:hAnsi="宋体" w:cs="宋体" w:eastAsia="宋体" w:hint="default"/>
        </w:rPr>
        <w:t>11</w:t>
      </w:r>
      <w:r>
        <w:rPr/>
        <w:t>月</w:t>
      </w:r>
      <w:r>
        <w:rPr>
          <w:rFonts w:ascii="宋体" w:hAnsi="宋体" w:cs="宋体" w:eastAsia="宋体" w:hint="default"/>
        </w:rPr>
        <w:t>10</w:t>
      </w:r>
      <w:r>
        <w:rPr/>
        <w:t>日，由福安嘉园应收账款作质押，并由嘉园环保承担连带担保 责任。</w:t>
      </w:r>
    </w:p>
    <w:p>
      <w:pPr>
        <w:pStyle w:val="BodyText"/>
        <w:spacing w:line="240" w:lineRule="auto"/>
        <w:ind w:left="1553" w:right="1117"/>
        <w:jc w:val="left"/>
      </w:pPr>
      <w:r>
        <w:rPr>
          <w:rFonts w:ascii="宋体" w:hAnsi="宋体" w:cs="宋体" w:eastAsia="宋体" w:hint="default"/>
        </w:rPr>
        <w:t>6</w:t>
      </w:r>
      <w:r>
        <w:rPr>
          <w:rFonts w:ascii="宋体" w:hAnsi="宋体" w:cs="宋体" w:eastAsia="宋体" w:hint="default"/>
          <w:spacing w:val="-73"/>
        </w:rPr>
        <w:t> </w:t>
      </w:r>
      <w:r>
        <w:rPr/>
        <w:t>、</w:t>
      </w:r>
      <w:r>
        <w:rPr>
          <w:spacing w:val="-77"/>
        </w:rPr>
        <w:t> </w:t>
      </w:r>
      <w:r>
        <w:rPr/>
        <w:t>汉</w:t>
      </w:r>
      <w:r>
        <w:rPr>
          <w:spacing w:val="-74"/>
        </w:rPr>
        <w:t> </w:t>
      </w:r>
      <w:r>
        <w:rPr/>
        <w:t>威</w:t>
      </w:r>
      <w:r>
        <w:rPr>
          <w:spacing w:val="-77"/>
        </w:rPr>
        <w:t> </w:t>
      </w:r>
      <w:r>
        <w:rPr/>
        <w:t>电</w:t>
      </w:r>
      <w:r>
        <w:rPr>
          <w:spacing w:val="-77"/>
        </w:rPr>
        <w:t> </w:t>
      </w:r>
      <w:r>
        <w:rPr/>
        <w:t>子</w:t>
      </w:r>
      <w:r>
        <w:rPr>
          <w:spacing w:val="-74"/>
        </w:rPr>
        <w:t> </w:t>
      </w:r>
      <w:r>
        <w:rPr/>
        <w:t>于</w:t>
      </w:r>
      <w:r>
        <w:rPr>
          <w:spacing w:val="-74"/>
        </w:rPr>
        <w:t> </w:t>
      </w:r>
      <w:r>
        <w:rPr>
          <w:rFonts w:ascii="宋体" w:hAnsi="宋体" w:cs="宋体" w:eastAsia="宋体" w:hint="default"/>
        </w:rPr>
        <w:t>2015</w:t>
      </w:r>
      <w:r>
        <w:rPr>
          <w:rFonts w:ascii="宋体" w:hAnsi="宋体" w:cs="宋体" w:eastAsia="宋体" w:hint="default"/>
          <w:spacing w:val="-76"/>
        </w:rPr>
        <w:t> </w:t>
      </w:r>
      <w:r>
        <w:rPr/>
        <w:t>年</w:t>
      </w:r>
      <w:r>
        <w:rPr>
          <w:spacing w:val="-76"/>
        </w:rPr>
        <w:t> </w:t>
      </w:r>
      <w:r>
        <w:rPr>
          <w:rFonts w:ascii="宋体" w:hAnsi="宋体" w:cs="宋体" w:eastAsia="宋体" w:hint="default"/>
        </w:rPr>
        <w:t>12</w:t>
      </w:r>
      <w:r>
        <w:rPr>
          <w:rFonts w:ascii="宋体" w:hAnsi="宋体" w:cs="宋体" w:eastAsia="宋体" w:hint="default"/>
          <w:spacing w:val="-76"/>
        </w:rPr>
        <w:t> </w:t>
      </w:r>
      <w:r>
        <w:rPr/>
        <w:t>月</w:t>
      </w:r>
      <w:r>
        <w:rPr>
          <w:spacing w:val="-74"/>
        </w:rPr>
        <w:t> </w:t>
      </w:r>
      <w:r>
        <w:rPr>
          <w:rFonts w:ascii="宋体" w:hAnsi="宋体" w:cs="宋体" w:eastAsia="宋体" w:hint="default"/>
        </w:rPr>
        <w:t>24</w:t>
      </w:r>
      <w:r>
        <w:rPr>
          <w:rFonts w:ascii="宋体" w:hAnsi="宋体" w:cs="宋体" w:eastAsia="宋体" w:hint="default"/>
          <w:spacing w:val="-76"/>
        </w:rPr>
        <w:t> </w:t>
      </w:r>
      <w:r>
        <w:rPr/>
        <w:t>日</w:t>
      </w:r>
      <w:r>
        <w:rPr>
          <w:spacing w:val="-74"/>
        </w:rPr>
        <w:t> </w:t>
      </w:r>
      <w:r>
        <w:rPr/>
        <w:t>与</w:t>
      </w:r>
      <w:r>
        <w:rPr>
          <w:spacing w:val="-77"/>
        </w:rPr>
        <w:t> </w:t>
      </w:r>
      <w:r>
        <w:rPr/>
        <w:t>招</w:t>
      </w:r>
      <w:r>
        <w:rPr>
          <w:spacing w:val="-74"/>
        </w:rPr>
        <w:t> </w:t>
      </w:r>
      <w:r>
        <w:rPr/>
        <w:t>商</w:t>
      </w:r>
      <w:r>
        <w:rPr>
          <w:spacing w:val="-74"/>
        </w:rPr>
        <w:t> </w:t>
      </w:r>
      <w:r>
        <w:rPr/>
        <w:t>银</w:t>
      </w:r>
      <w:r>
        <w:rPr>
          <w:spacing w:val="-77"/>
        </w:rPr>
        <w:t> </w:t>
      </w:r>
      <w:r>
        <w:rPr/>
        <w:t>行</w:t>
      </w:r>
      <w:r>
        <w:rPr>
          <w:spacing w:val="-74"/>
        </w:rPr>
        <w:t> </w:t>
      </w:r>
      <w:r>
        <w:rPr/>
        <w:t>郑</w:t>
      </w:r>
      <w:r>
        <w:rPr>
          <w:spacing w:val="-77"/>
        </w:rPr>
        <w:t> </w:t>
      </w:r>
      <w:r>
        <w:rPr/>
        <w:t>州</w:t>
      </w:r>
      <w:r>
        <w:rPr>
          <w:spacing w:val="-74"/>
        </w:rPr>
        <w:t> </w:t>
      </w:r>
      <w:r>
        <w:rPr/>
        <w:t>金</w:t>
      </w:r>
      <w:r>
        <w:rPr>
          <w:spacing w:val="-74"/>
        </w:rPr>
        <w:t> </w:t>
      </w:r>
      <w:r>
        <w:rPr/>
        <w:t>水</w:t>
      </w:r>
      <w:r>
        <w:rPr>
          <w:spacing w:val="-77"/>
        </w:rPr>
        <w:t> </w:t>
      </w:r>
      <w:r>
        <w:rPr/>
        <w:t>路</w:t>
      </w:r>
      <w:r>
        <w:rPr>
          <w:spacing w:val="-74"/>
        </w:rPr>
        <w:t> </w:t>
      </w:r>
      <w:r>
        <w:rPr/>
        <w:t>支</w:t>
      </w:r>
      <w:r>
        <w:rPr>
          <w:spacing w:val="-77"/>
        </w:rPr>
        <w:t> </w:t>
      </w:r>
      <w:r>
        <w:rPr/>
        <w:t>行</w:t>
      </w:r>
      <w:r>
        <w:rPr>
          <w:spacing w:val="-74"/>
        </w:rPr>
        <w:t> </w:t>
      </w:r>
      <w:r>
        <w:rPr/>
        <w:t>签</w:t>
      </w:r>
      <w:r>
        <w:rPr>
          <w:spacing w:val="-74"/>
        </w:rPr>
        <w:t> </w:t>
      </w:r>
      <w:r>
        <w:rPr/>
        <w:t>订</w:t>
      </w:r>
      <w:r>
        <w:rPr>
          <w:spacing w:val="-77"/>
        </w:rPr>
        <w:t> </w:t>
      </w:r>
      <w:r>
        <w:rPr/>
        <w:t>信</w:t>
      </w:r>
      <w:r>
        <w:rPr>
          <w:spacing w:val="-74"/>
        </w:rPr>
        <w:t> </w:t>
      </w:r>
      <w:r>
        <w:rPr/>
        <w:t>用</w:t>
      </w:r>
      <w:r>
        <w:rPr>
          <w:spacing w:val="-77"/>
        </w:rPr>
        <w:t> </w:t>
      </w:r>
      <w:r>
        <w:rPr/>
        <w:t>借</w:t>
      </w:r>
      <w:r>
        <w:rPr>
          <w:spacing w:val="-74"/>
        </w:rPr>
        <w:t> </w:t>
      </w:r>
      <w:r>
        <w:rPr/>
        <w:t>款</w:t>
      </w:r>
      <w:r>
        <w:rPr>
          <w:spacing w:val="-74"/>
        </w:rPr>
        <w:t> </w:t>
      </w:r>
      <w:r>
        <w:rPr/>
        <w:t>合</w:t>
      </w:r>
      <w:r>
        <w:rPr>
          <w:spacing w:val="-77"/>
        </w:rPr>
        <w:t> </w:t>
      </w:r>
      <w:r>
        <w:rPr/>
        <w:t>同</w:t>
      </w:r>
      <w:r>
        <w:rPr>
          <w:spacing w:val="-74"/>
        </w:rPr>
        <w:t> </w:t>
      </w:r>
      <w:r>
        <w:rPr/>
        <w:t>，</w:t>
      </w:r>
      <w:r>
        <w:rPr>
          <w:spacing w:val="-77"/>
        </w:rPr>
        <w:t> </w:t>
      </w:r>
      <w:r>
        <w:rPr/>
        <w:t>借</w:t>
      </w:r>
      <w:r>
        <w:rPr>
          <w:spacing w:val="-74"/>
        </w:rPr>
        <w:t> </w:t>
      </w:r>
      <w:r>
        <w:rPr/>
        <w:t>款</w:t>
      </w:r>
      <w:r>
        <w:rPr>
          <w:spacing w:val="-74"/>
        </w:rPr>
        <w:t> </w:t>
      </w:r>
      <w:r>
        <w:rPr/>
        <w:t>金</w:t>
      </w:r>
      <w:r>
        <w:rPr>
          <w:spacing w:val="-77"/>
        </w:rPr>
        <w:t> </w:t>
      </w:r>
      <w:r>
        <w:rPr/>
        <w:t>额</w:t>
      </w:r>
    </w:p>
    <w:p>
      <w:pPr>
        <w:spacing w:line="240" w:lineRule="auto" w:before="10"/>
        <w:rPr>
          <w:rFonts w:ascii="宋体" w:hAnsi="宋体" w:cs="宋体" w:eastAsia="宋体" w:hint="default"/>
          <w:sz w:val="14"/>
          <w:szCs w:val="14"/>
        </w:rPr>
      </w:pPr>
    </w:p>
    <w:p>
      <w:pPr>
        <w:pStyle w:val="BodyText"/>
        <w:spacing w:line="240" w:lineRule="auto" w:before="0"/>
        <w:ind w:left="1134" w:right="0"/>
        <w:jc w:val="both"/>
      </w:pPr>
      <w:r>
        <w:rPr>
          <w:rFonts w:ascii="宋体" w:hAnsi="宋体" w:cs="宋体" w:eastAsia="宋体" w:hint="default"/>
        </w:rPr>
        <w:t>12,000,000.00</w:t>
      </w:r>
      <w:r>
        <w:rPr/>
        <w:t>元，借款期限自</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24</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22</w:t>
      </w:r>
      <w:r>
        <w:rPr/>
        <w:t>日。</w:t>
      </w:r>
    </w:p>
    <w:p>
      <w:pPr>
        <w:spacing w:line="240" w:lineRule="auto" w:before="11"/>
        <w:rPr>
          <w:rFonts w:ascii="宋体" w:hAnsi="宋体" w:cs="宋体" w:eastAsia="宋体" w:hint="default"/>
          <w:sz w:val="13"/>
          <w:szCs w:val="13"/>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2"/>
        <w:rPr>
          <w:rFonts w:ascii="宋体" w:hAnsi="宋体" w:cs="宋体" w:eastAsia="宋体" w:hint="default"/>
          <w:sz w:val="12"/>
          <w:szCs w:val="12"/>
        </w:rPr>
      </w:pPr>
    </w:p>
    <w:p>
      <w:pPr>
        <w:pStyle w:val="BodyText"/>
        <w:spacing w:line="240" w:lineRule="auto" w:before="0"/>
        <w:ind w:right="0"/>
        <w:jc w:val="both"/>
        <w:rPr>
          <w:rFonts w:ascii="宋体" w:hAnsi="宋体" w:cs="宋体" w:eastAsia="宋体" w:hint="default"/>
        </w:rPr>
      </w:pPr>
      <w:r>
        <w:rPr/>
        <w:t>利率区间为：</w:t>
      </w:r>
      <w:r>
        <w:rPr>
          <w:rFonts w:ascii="宋体" w:hAnsi="宋体" w:cs="宋体" w:eastAsia="宋体" w:hint="default"/>
        </w:rPr>
        <w:t>4.99%-7.08%</w:t>
      </w:r>
    </w:p>
    <w:p>
      <w:pPr>
        <w:spacing w:line="240" w:lineRule="auto" w:before="0"/>
        <w:rPr>
          <w:rFonts w:ascii="宋体" w:hAnsi="宋体" w:cs="宋体" w:eastAsia="宋体" w:hint="default"/>
          <w:sz w:val="20"/>
          <w:szCs w:val="20"/>
        </w:rPr>
      </w:pPr>
    </w:p>
    <w:p>
      <w:pPr>
        <w:pStyle w:val="Heading3"/>
        <w:spacing w:line="240" w:lineRule="auto" w:before="154"/>
        <w:ind w:left="1133" w:right="0"/>
        <w:jc w:val="both"/>
        <w:rPr>
          <w:b w:val="0"/>
          <w:bCs w:val="0"/>
        </w:rPr>
      </w:pPr>
      <w:bookmarkStart w:name="31、专项应付款" w:id="278"/>
      <w:bookmarkEnd w:id="278"/>
      <w:r>
        <w:rPr>
          <w:b w:val="0"/>
          <w:bCs w:val="0"/>
        </w:rPr>
      </w:r>
      <w:r>
        <w:rPr>
          <w:rFonts w:ascii="Times New Roman" w:hAnsi="Times New Roman" w:cs="Times New Roman" w:eastAsia="Times New Roman" w:hint="default"/>
        </w:rPr>
        <w:t>31</w:t>
      </w:r>
      <w:r>
        <w:rPr/>
        <w:t>、专项应付款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2296"/>
        <w:gridCol w:w="1136"/>
        <w:gridCol w:w="1698"/>
        <w:gridCol w:w="1336"/>
        <w:gridCol w:w="1616"/>
        <w:gridCol w:w="1613"/>
      </w:tblGrid>
      <w:tr>
        <w:trPr>
          <w:trHeight w:val="322"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39"/>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市政自来水管网工程拨付款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9,989,805.98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宋体" w:hAnsi="宋体" w:cs="宋体" w:eastAsia="宋体" w:hint="default"/>
                <w:sz w:val="18"/>
                <w:szCs w:val="18"/>
              </w:rPr>
            </w:pPr>
            <w:r>
              <w:rPr>
                <w:rFonts w:ascii="宋体"/>
                <w:sz w:val="18"/>
              </w:rPr>
              <w:t>9,989,805.98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98"/>
              <w:jc w:val="right"/>
              <w:rPr>
                <w:rFonts w:ascii="宋体" w:hAnsi="宋体" w:cs="宋体" w:eastAsia="宋体" w:hint="default"/>
                <w:sz w:val="18"/>
                <w:szCs w:val="18"/>
              </w:rPr>
            </w:pPr>
            <w:r>
              <w:rPr>
                <w:rFonts w:ascii="宋体" w:hAnsi="宋体" w:cs="宋体" w:eastAsia="宋体" w:hint="default"/>
                <w:sz w:val="18"/>
                <w:szCs w:val="18"/>
              </w:rPr>
              <w:t>市政建设拨款</w:t>
            </w:r>
          </w:p>
        </w:tc>
      </w:tr>
      <w:tr>
        <w:trPr>
          <w:trHeight w:val="322"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9,989,805.98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1" w:right="0"/>
              <w:jc w:val="left"/>
              <w:rPr>
                <w:rFonts w:ascii="宋体" w:hAnsi="宋体" w:cs="宋体" w:eastAsia="宋体" w:hint="default"/>
                <w:sz w:val="18"/>
                <w:szCs w:val="18"/>
              </w:rPr>
            </w:pPr>
            <w:r>
              <w:rPr>
                <w:rFonts w:ascii="宋体"/>
                <w:sz w:val="18"/>
              </w:rPr>
              <w:t>9,989,805.98</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2、预计负债" w:id="279"/>
      <w:bookmarkEnd w:id="279"/>
      <w:r>
        <w:rPr>
          <w:b w:val="0"/>
          <w:bCs w:val="0"/>
        </w:rPr>
      </w:r>
      <w:r>
        <w:rPr>
          <w:rFonts w:ascii="Times New Roman" w:hAnsi="Times New Roman" w:cs="Times New Roman" w:eastAsia="Times New Roman" w:hint="default"/>
        </w:rPr>
        <w:t>32</w:t>
      </w:r>
      <w:r>
        <w:rPr/>
        <w:t>、预计负债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399"/>
        <w:gridCol w:w="1586"/>
        <w:gridCol w:w="1985"/>
        <w:gridCol w:w="3713"/>
      </w:tblGrid>
      <w:tr>
        <w:trPr>
          <w:trHeight w:val="32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370" w:right="0"/>
              <w:jc w:val="left"/>
              <w:rPr>
                <w:rFonts w:ascii="宋体" w:hAnsi="宋体" w:cs="宋体" w:eastAsia="宋体" w:hint="default"/>
                <w:sz w:val="18"/>
                <w:szCs w:val="18"/>
              </w:rPr>
            </w:pPr>
            <w:r>
              <w:rPr>
                <w:rFonts w:ascii="宋体"/>
                <w:sz w:val="18"/>
              </w:rPr>
              <w:t>58,181,118.99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48,863,867.43</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5"/>
              <w:jc w:val="center"/>
              <w:rPr>
                <w:rFonts w:ascii="宋体" w:hAnsi="宋体" w:cs="宋体" w:eastAsia="宋体" w:hint="default"/>
                <w:sz w:val="18"/>
                <w:szCs w:val="18"/>
              </w:rPr>
            </w:pPr>
            <w:r>
              <w:rPr>
                <w:rFonts w:ascii="宋体" w:hAnsi="宋体" w:cs="宋体" w:eastAsia="宋体" w:hint="default"/>
                <w:sz w:val="18"/>
                <w:szCs w:val="18"/>
              </w:rPr>
              <w:t>工程质量维修基金及</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项目恢复性大修费用</w:t>
            </w:r>
          </w:p>
        </w:tc>
      </w:tr>
      <w:tr>
        <w:trPr>
          <w:trHeight w:val="32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370" w:right="0"/>
              <w:jc w:val="left"/>
              <w:rPr>
                <w:rFonts w:ascii="宋体" w:hAnsi="宋体" w:cs="宋体" w:eastAsia="宋体" w:hint="default"/>
                <w:sz w:val="18"/>
                <w:szCs w:val="18"/>
              </w:rPr>
            </w:pPr>
            <w:r>
              <w:rPr>
                <w:rFonts w:ascii="宋体"/>
                <w:sz w:val="18"/>
              </w:rPr>
              <w:t>58,181,118.99</w:t>
            </w:r>
          </w:p>
        </w:tc>
        <w:tc>
          <w:tcPr>
            <w:tcW w:w="198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right="15"/>
              <w:jc w:val="right"/>
              <w:rPr>
                <w:rFonts w:ascii="宋体" w:hAnsi="宋体" w:cs="宋体" w:eastAsia="宋体" w:hint="default"/>
                <w:sz w:val="18"/>
                <w:szCs w:val="18"/>
              </w:rPr>
            </w:pPr>
            <w:r>
              <w:rPr>
                <w:rFonts w:ascii="宋体"/>
                <w:sz w:val="18"/>
              </w:rPr>
              <w:t>48,863,867.43</w:t>
            </w:r>
          </w:p>
        </w:tc>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2"/>
        <w:rPr>
          <w:rFonts w:ascii="宋体" w:hAnsi="宋体" w:cs="宋体" w:eastAsia="宋体" w:hint="default"/>
          <w:sz w:val="12"/>
          <w:szCs w:val="12"/>
        </w:rPr>
      </w:pPr>
    </w:p>
    <w:p>
      <w:pPr>
        <w:pStyle w:val="BodyText"/>
        <w:spacing w:line="240" w:lineRule="auto" w:before="0"/>
        <w:ind w:left="1554" w:right="1117"/>
        <w:jc w:val="left"/>
      </w:pPr>
      <w:r>
        <w:rPr>
          <w:rFonts w:ascii="宋体" w:hAnsi="宋体" w:cs="宋体" w:eastAsia="宋体" w:hint="default"/>
        </w:rPr>
        <w:t>1</w:t>
      </w:r>
      <w:r>
        <w:rPr/>
        <w:t>、工程维修基金为依据嘉园环保当期工程收入的</w:t>
      </w:r>
      <w:r>
        <w:rPr>
          <w:rFonts w:ascii="宋体" w:hAnsi="宋体" w:cs="宋体" w:eastAsia="宋体" w:hint="default"/>
        </w:rPr>
        <w:t>1%</w:t>
      </w:r>
      <w:r>
        <w:rPr/>
        <w:t>提取的售后维修费用。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117" w:firstLine="420"/>
        <w:jc w:val="left"/>
      </w:pPr>
      <w:r>
        <w:rPr>
          <w:rFonts w:ascii="宋体" w:hAnsi="宋体" w:cs="宋体" w:eastAsia="宋体" w:hint="default"/>
          <w:spacing w:val="-1"/>
        </w:rPr>
        <w:t>2</w:t>
      </w:r>
      <w:r>
        <w:rPr>
          <w:spacing w:val="-1"/>
        </w:rPr>
        <w:t>、恢复性大修费用为根据</w:t>
      </w:r>
      <w:r>
        <w:rPr>
          <w:rFonts w:ascii="宋体" w:hAnsi="宋体" w:cs="宋体" w:eastAsia="宋体" w:hint="default"/>
          <w:spacing w:val="-1"/>
        </w:rPr>
        <w:t>BOT</w:t>
      </w:r>
      <w:r>
        <w:rPr>
          <w:spacing w:val="-1"/>
        </w:rPr>
        <w:t>合同约定确认的对项目运营及移交过程中预计支付的大修理及设备更新</w:t>
      </w:r>
      <w:r>
        <w:rPr/>
        <w:t> 费用。</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33、递延收益" w:id="280"/>
      <w:bookmarkEnd w:id="280"/>
      <w:r>
        <w:rPr>
          <w:b w:val="0"/>
          <w:bCs w:val="0"/>
        </w:rPr>
      </w:r>
      <w:r>
        <w:rPr>
          <w:rFonts w:ascii="Times New Roman" w:hAnsi="Times New Roman" w:cs="Times New Roman" w:eastAsia="Times New Roman" w:hint="default"/>
        </w:rPr>
        <w:t>33</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616"/>
        <w:gridCol w:w="1619"/>
        <w:gridCol w:w="1616"/>
        <w:gridCol w:w="1614"/>
        <w:gridCol w:w="1616"/>
        <w:gridCol w:w="1615"/>
      </w:tblGrid>
      <w:tr>
        <w:trPr>
          <w:trHeight w:val="32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21,045,442.91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sz w:val="18"/>
              </w:rPr>
              <w:t>56,514,612.21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20,467,343.52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57,092,711.60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1"/>
              <w:jc w:val="left"/>
              <w:rPr>
                <w:rFonts w:ascii="宋体" w:hAnsi="宋体" w:cs="宋体" w:eastAsia="宋体" w:hint="default"/>
                <w:sz w:val="18"/>
                <w:szCs w:val="18"/>
              </w:rPr>
            </w:pPr>
            <w:r>
              <w:rPr>
                <w:rFonts w:ascii="宋体" w:hAnsi="宋体" w:cs="宋体" w:eastAsia="宋体" w:hint="default"/>
                <w:sz w:val="18"/>
                <w:szCs w:val="18"/>
              </w:rPr>
              <w:t>一年内到期的递延 收益</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-13,992,907.92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1" w:right="0"/>
              <w:jc w:val="left"/>
              <w:rPr>
                <w:rFonts w:ascii="宋体" w:hAnsi="宋体" w:cs="宋体" w:eastAsia="宋体" w:hint="default"/>
                <w:sz w:val="18"/>
                <w:szCs w:val="18"/>
              </w:rPr>
            </w:pPr>
            <w:r>
              <w:rPr>
                <w:rFonts w:ascii="宋体"/>
                <w:sz w:val="18"/>
              </w:rPr>
              <w:t>-3,274,567.44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-13,992,907.92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sz w:val="18"/>
              </w:rPr>
              <w:t>-3,274,567.44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7,052,534.99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1" w:right="0"/>
              <w:jc w:val="left"/>
              <w:rPr>
                <w:rFonts w:ascii="宋体" w:hAnsi="宋体" w:cs="宋体" w:eastAsia="宋体" w:hint="default"/>
                <w:sz w:val="18"/>
                <w:szCs w:val="18"/>
              </w:rPr>
            </w:pPr>
            <w:r>
              <w:rPr>
                <w:rFonts w:ascii="宋体"/>
                <w:sz w:val="18"/>
              </w:rPr>
              <w:t>53,240,044.77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6,474,435.60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2" w:right="0"/>
              <w:jc w:val="left"/>
              <w:rPr>
                <w:rFonts w:ascii="宋体" w:hAnsi="宋体" w:cs="宋体" w:eastAsia="宋体" w:hint="default"/>
                <w:sz w:val="18"/>
                <w:szCs w:val="18"/>
              </w:rPr>
            </w:pPr>
            <w:r>
              <w:rPr>
                <w:rFonts w:ascii="宋体"/>
                <w:sz w:val="18"/>
              </w:rPr>
              <w:t>53,818,144.16</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448"/>
        <w:gridCol w:w="1324"/>
        <w:gridCol w:w="1510"/>
        <w:gridCol w:w="2128"/>
        <w:gridCol w:w="849"/>
        <w:gridCol w:w="1277"/>
        <w:gridCol w:w="1160"/>
      </w:tblGrid>
      <w:tr>
        <w:trPr>
          <w:trHeight w:val="63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宋体" w:hAnsi="宋体" w:cs="宋体" w:eastAsia="宋体" w:hint="default"/>
                <w:sz w:val="18"/>
                <w:szCs w:val="18"/>
              </w:rPr>
            </w:pPr>
            <w:r>
              <w:rPr>
                <w:rFonts w:ascii="宋体" w:hAnsi="宋体" w:cs="宋体" w:eastAsia="宋体" w:hint="default"/>
                <w:sz w:val="18"/>
                <w:szCs w:val="18"/>
              </w:rPr>
              <w:t>本期新增补助金额</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本期计入营业外收入金额</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4" w:right="7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供水补贴</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47,923,412.21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637,889.92</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 w:right="0"/>
              <w:jc w:val="center"/>
              <w:rPr>
                <w:rFonts w:ascii="宋体" w:hAnsi="宋体" w:cs="宋体" w:eastAsia="宋体" w:hint="default"/>
                <w:sz w:val="18"/>
                <w:szCs w:val="18"/>
              </w:rPr>
            </w:pPr>
            <w:r>
              <w:rPr>
                <w:rFonts w:ascii="宋体"/>
                <w:sz w:val="18"/>
              </w:rPr>
              <w:t>47,285,522.29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JY-RTO</w:t>
            </w:r>
            <w:r>
              <w:rPr>
                <w:rFonts w:ascii="宋体" w:hAnsi="宋体" w:cs="宋体" w:eastAsia="宋体" w:hint="default"/>
                <w:spacing w:val="-46"/>
                <w:sz w:val="18"/>
                <w:szCs w:val="18"/>
              </w:rPr>
              <w:t> </w:t>
            </w:r>
            <w:r>
              <w:rPr>
                <w:rFonts w:ascii="宋体" w:hAnsi="宋体" w:cs="宋体" w:eastAsia="宋体" w:hint="default"/>
                <w:sz w:val="18"/>
                <w:szCs w:val="18"/>
              </w:rPr>
              <w:t>型大风量 复杂挥发性有机 气体控制项</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4,560,000.00</w:t>
            </w:r>
          </w:p>
        </w:tc>
        <w:tc>
          <w:tcPr>
            <w:tcW w:w="151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240,000.00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9" w:right="0"/>
              <w:jc w:val="center"/>
              <w:rPr>
                <w:rFonts w:ascii="宋体" w:hAnsi="宋体" w:cs="宋体" w:eastAsia="宋体" w:hint="default"/>
                <w:sz w:val="18"/>
                <w:szCs w:val="18"/>
              </w:rPr>
            </w:pPr>
            <w:r>
              <w:rPr>
                <w:rFonts w:ascii="宋体"/>
                <w:sz w:val="18"/>
              </w:rPr>
              <w:t>4,320,000.00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3"/>
              <w:jc w:val="both"/>
              <w:rPr>
                <w:rFonts w:ascii="宋体" w:hAnsi="宋体" w:cs="宋体" w:eastAsia="宋体" w:hint="default"/>
                <w:sz w:val="18"/>
                <w:szCs w:val="18"/>
              </w:rPr>
            </w:pPr>
            <w:r>
              <w:rPr>
                <w:rFonts w:ascii="宋体" w:hAnsi="宋体" w:cs="宋体" w:eastAsia="宋体" w:hint="default"/>
                <w:sz w:val="18"/>
                <w:szCs w:val="18"/>
              </w:rPr>
              <w:t>危险化学品事故 应急快速响应软 硬件装备产业化 关键技术开发</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1,589,464.32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1,720,000.00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401,333.24</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9" w:right="0"/>
              <w:jc w:val="center"/>
              <w:rPr>
                <w:rFonts w:ascii="宋体" w:hAnsi="宋体" w:cs="宋体" w:eastAsia="宋体" w:hint="default"/>
                <w:sz w:val="18"/>
                <w:szCs w:val="18"/>
              </w:rPr>
            </w:pPr>
            <w:r>
              <w:rPr>
                <w:rFonts w:ascii="宋体"/>
                <w:sz w:val="18"/>
              </w:rPr>
              <w:t>2,908,131.08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传感器智能制造</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2,600,000.00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1,508,000.00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9" w:right="0"/>
              <w:jc w:val="center"/>
              <w:rPr>
                <w:rFonts w:ascii="宋体" w:hAnsi="宋体" w:cs="宋体" w:eastAsia="宋体" w:hint="default"/>
                <w:sz w:val="18"/>
                <w:szCs w:val="18"/>
              </w:rPr>
            </w:pPr>
            <w:r>
              <w:rPr>
                <w:rFonts w:ascii="宋体"/>
                <w:sz w:val="18"/>
              </w:rPr>
              <w:t>1,092,000.00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3"/>
              <w:jc w:val="both"/>
              <w:rPr>
                <w:rFonts w:ascii="宋体" w:hAnsi="宋体" w:cs="宋体" w:eastAsia="宋体" w:hint="default"/>
                <w:sz w:val="18"/>
                <w:szCs w:val="18"/>
              </w:rPr>
            </w:pPr>
            <w:r>
              <w:rPr>
                <w:rFonts w:ascii="宋体" w:hAnsi="宋体" w:cs="宋体" w:eastAsia="宋体" w:hint="default"/>
                <w:sz w:val="18"/>
                <w:szCs w:val="18"/>
              </w:rPr>
              <w:t>智能化燃气管网 综合信息管理系 统</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5,500,000.00</w:t>
            </w:r>
          </w:p>
        </w:tc>
        <w:tc>
          <w:tcPr>
            <w:tcW w:w="151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5,500,000.00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微</w:t>
            </w:r>
            <w:r>
              <w:rPr>
                <w:rFonts w:ascii="宋体" w:hAnsi="宋体" w:cs="宋体" w:eastAsia="宋体" w:hint="default"/>
                <w:sz w:val="18"/>
                <w:szCs w:val="18"/>
              </w:rPr>
              <w:t>-</w:t>
            </w:r>
            <w:r>
              <w:rPr>
                <w:rFonts w:ascii="宋体" w:hAnsi="宋体" w:cs="宋体" w:eastAsia="宋体" w:hint="default"/>
                <w:sz w:val="18"/>
                <w:szCs w:val="18"/>
              </w:rPr>
              <w:t>纳智能传感工 业监控系统关键 技术研究</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3,000,000.00</w:t>
            </w:r>
          </w:p>
        </w:tc>
        <w:tc>
          <w:tcPr>
            <w:tcW w:w="151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3,000,000.00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53"/>
              <w:jc w:val="both"/>
              <w:rPr>
                <w:rFonts w:ascii="宋体" w:hAnsi="宋体" w:cs="宋体" w:eastAsia="宋体" w:hint="default"/>
                <w:sz w:val="18"/>
                <w:szCs w:val="18"/>
              </w:rPr>
            </w:pPr>
            <w:r>
              <w:rPr>
                <w:rFonts w:ascii="宋体" w:hAnsi="宋体" w:cs="宋体" w:eastAsia="宋体" w:hint="default"/>
                <w:sz w:val="18"/>
                <w:szCs w:val="18"/>
              </w:rPr>
              <w:t>市政燃气危险源 智能传感终端及 云应用</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2,500,000.00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2,500,000.00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3,895,978.59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1,771,200.00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4,180,120.36</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center"/>
              <w:rPr>
                <w:rFonts w:ascii="宋体" w:hAnsi="宋体" w:cs="宋体" w:eastAsia="宋体" w:hint="default"/>
                <w:sz w:val="18"/>
                <w:szCs w:val="18"/>
              </w:rPr>
            </w:pPr>
            <w:r>
              <w:rPr>
                <w:rFonts w:ascii="宋体"/>
                <w:sz w:val="18"/>
              </w:rPr>
              <w:t>1,487,058.23</w:t>
            </w: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21,045,442.91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56,514,612.21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20,467,343.52</w:t>
            </w:r>
          </w:p>
        </w:tc>
        <w:tc>
          <w:tcPr>
            <w:tcW w:w="8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55" w:right="0"/>
              <w:jc w:val="center"/>
              <w:rPr>
                <w:rFonts w:ascii="宋体" w:hAnsi="宋体" w:cs="宋体" w:eastAsia="宋体" w:hint="default"/>
                <w:sz w:val="18"/>
                <w:szCs w:val="18"/>
              </w:rPr>
            </w:pPr>
            <w:r>
              <w:rPr>
                <w:rFonts w:ascii="宋体"/>
                <w:sz w:val="18"/>
              </w:rPr>
              <w:t>57,092,711.60</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4、股本" w:id="281"/>
      <w:bookmarkEnd w:id="281"/>
      <w:r>
        <w:rPr>
          <w:b w:val="0"/>
          <w:bCs w:val="0"/>
        </w:rPr>
      </w:r>
      <w:r>
        <w:rPr>
          <w:rFonts w:ascii="Times New Roman" w:hAnsi="Times New Roman" w:cs="Times New Roman" w:eastAsia="Times New Roman" w:hint="default"/>
        </w:rPr>
        <w:t>34</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094"/>
        <w:gridCol w:w="1316"/>
        <w:gridCol w:w="1108"/>
        <w:gridCol w:w="1109"/>
        <w:gridCol w:w="1315"/>
        <w:gridCol w:w="1109"/>
        <w:gridCol w:w="1304"/>
        <w:gridCol w:w="1328"/>
      </w:tblGrid>
      <w:tr>
        <w:trPr>
          <w:trHeight w:val="167" w:hRule="exact"/>
        </w:trPr>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5" w:hRule="exact"/>
        </w:trPr>
        <w:tc>
          <w:tcPr>
            <w:tcW w:w="1094"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45" w:type="dxa"/>
            <w:gridSpan w:val="5"/>
            <w:vMerge/>
            <w:tcBorders>
              <w:left w:val="single" w:sz="4" w:space="0" w:color="000000"/>
              <w:bottom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1094"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1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8"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sz w:val="18"/>
              </w:rPr>
              <w:t>146,511,403.00</w:t>
            </w:r>
          </w:p>
        </w:tc>
        <w:tc>
          <w:tcPr>
            <w:tcW w:w="110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146,511,403.00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146,511,403.00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293,022,806.00</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1554" w:right="712"/>
        <w:jc w:val="left"/>
      </w:pPr>
      <w:r>
        <w:rPr/>
        <w:t>经公司</w:t>
      </w:r>
      <w:r>
        <w:rPr>
          <w:rFonts w:ascii="宋体" w:hAnsi="宋体" w:cs="宋体" w:eastAsia="宋体" w:hint="default"/>
        </w:rPr>
        <w:t>2015</w:t>
      </w:r>
      <w:r>
        <w:rPr/>
        <w:t>年第二次临时股东大会审议通过，</w:t>
      </w:r>
      <w:r>
        <w:rPr>
          <w:rFonts w:ascii="宋体" w:hAnsi="宋体" w:cs="宋体" w:eastAsia="宋体" w:hint="default"/>
        </w:rPr>
        <w:t>2015</w:t>
      </w:r>
      <w:r>
        <w:rPr/>
        <w:t>年半年度以资本公积金向全体股东每</w:t>
      </w:r>
      <w:r>
        <w:rPr>
          <w:rFonts w:ascii="宋体" w:hAnsi="宋体" w:cs="宋体" w:eastAsia="宋体" w:hint="default"/>
        </w:rPr>
        <w:t>10</w:t>
      </w:r>
      <w:r>
        <w:rPr/>
        <w:t>股转增</w:t>
      </w:r>
      <w:r>
        <w:rPr>
          <w:rFonts w:ascii="宋体" w:hAnsi="宋体" w:cs="宋体" w:eastAsia="宋体" w:hint="default"/>
        </w:rPr>
        <w:t>10</w:t>
      </w:r>
      <w:r>
        <w:rPr/>
        <w:t>股。</w:t>
      </w:r>
    </w:p>
    <w:p>
      <w:pPr>
        <w:spacing w:line="240" w:lineRule="auto" w:before="11"/>
        <w:rPr>
          <w:rFonts w:ascii="宋体" w:hAnsi="宋体" w:cs="宋体" w:eastAsia="宋体" w:hint="default"/>
          <w:sz w:val="25"/>
          <w:szCs w:val="25"/>
        </w:rPr>
      </w:pPr>
    </w:p>
    <w:p>
      <w:pPr>
        <w:pStyle w:val="Heading3"/>
        <w:spacing w:line="240" w:lineRule="auto"/>
        <w:ind w:left="1133" w:right="1117"/>
        <w:jc w:val="left"/>
        <w:rPr>
          <w:b w:val="0"/>
          <w:bCs w:val="0"/>
        </w:rPr>
      </w:pPr>
      <w:bookmarkStart w:name="35、资本公积" w:id="282"/>
      <w:bookmarkEnd w:id="282"/>
      <w:r>
        <w:rPr>
          <w:b w:val="0"/>
          <w:bCs w:val="0"/>
        </w:rPr>
      </w:r>
      <w:r>
        <w:rPr>
          <w:rFonts w:ascii="Times New Roman" w:hAnsi="Times New Roman" w:cs="Times New Roman" w:eastAsia="Times New Roman" w:hint="default"/>
        </w:rPr>
        <w:t>35</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744,789,561.95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147,499.61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149,720,936.95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595,216,124.61</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808,300.00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808,300.00</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745,597,861.95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147,499.61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149,720,936.95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596,024,424.61</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240" w:lineRule="auto" w:before="0"/>
        <w:ind w:left="1554" w:right="1117"/>
        <w:jc w:val="left"/>
      </w:pPr>
      <w:r>
        <w:rPr>
          <w:rFonts w:ascii="宋体" w:hAnsi="宋体" w:cs="宋体" w:eastAsia="宋体" w:hint="default"/>
        </w:rPr>
        <w:t>1</w:t>
      </w:r>
      <w:r>
        <w:rPr/>
        <w:t>、本期增加额系调整前次股票发行费用中所含的增值税进项税额</w:t>
      </w:r>
      <w:r>
        <w:rPr>
          <w:rFonts w:ascii="宋体" w:hAnsi="宋体" w:cs="宋体" w:eastAsia="宋体" w:hint="default"/>
        </w:rPr>
        <w:t>147,499.61</w:t>
      </w:r>
      <w:r>
        <w:rPr/>
        <w:t>元所致。</w:t>
      </w:r>
    </w:p>
    <w:p>
      <w:pPr>
        <w:spacing w:line="240" w:lineRule="auto" w:before="10"/>
        <w:rPr>
          <w:rFonts w:ascii="宋体" w:hAnsi="宋体" w:cs="宋体" w:eastAsia="宋体" w:hint="default"/>
          <w:sz w:val="14"/>
          <w:szCs w:val="14"/>
        </w:rPr>
      </w:pPr>
    </w:p>
    <w:p>
      <w:pPr>
        <w:pStyle w:val="BodyText"/>
        <w:spacing w:line="408" w:lineRule="auto" w:before="0"/>
        <w:ind w:right="1198" w:firstLine="420"/>
        <w:jc w:val="left"/>
      </w:pPr>
      <w:r>
        <w:rPr>
          <w:rFonts w:ascii="宋体" w:hAnsi="宋体" w:cs="宋体" w:eastAsia="宋体" w:hint="default"/>
        </w:rPr>
        <w:t>2</w:t>
      </w:r>
      <w:r>
        <w:rPr/>
        <w:t>、本期减少额系公司以资本公积转增股本</w:t>
      </w:r>
      <w:r>
        <w:rPr>
          <w:rFonts w:ascii="宋体" w:hAnsi="宋体" w:cs="宋体" w:eastAsia="宋体" w:hint="default"/>
        </w:rPr>
        <w:t>146,511,403.00</w:t>
      </w:r>
      <w:r>
        <w:rPr/>
        <w:t>元及购买子公司上海英森少数股东股权调 减资本公积</w:t>
      </w:r>
      <w:r>
        <w:rPr>
          <w:rFonts w:ascii="宋体" w:hAnsi="宋体" w:cs="宋体" w:eastAsia="宋体" w:hint="default"/>
        </w:rPr>
        <w:t>3,209,533.95</w:t>
      </w:r>
      <w:r>
        <w:rPr/>
        <w:t>元所致。</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36、盈余公积" w:id="283"/>
      <w:bookmarkEnd w:id="283"/>
      <w:r>
        <w:rPr>
          <w:b w:val="0"/>
          <w:bCs w:val="0"/>
        </w:rPr>
      </w:r>
      <w:r>
        <w:rPr>
          <w:rFonts w:ascii="Times New Roman" w:hAnsi="Times New Roman" w:cs="Times New Roman" w:eastAsia="Times New Roman" w:hint="default"/>
        </w:rPr>
        <w:t>36</w:t>
      </w:r>
      <w:r>
        <w:rPr/>
        <w:t>、盈余公积</w:t>
      </w:r>
      <w:r>
        <w:rPr>
          <w:b w:val="0"/>
          <w:bCs w:val="0"/>
        </w:rPr>
      </w:r>
    </w:p>
    <w:p>
      <w:pPr>
        <w:spacing w:line="240" w:lineRule="auto" w:before="7"/>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23,933,007.99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2,258,665.26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26,191,673.25</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23,933,007.99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2,258,665.26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26,191,673.25</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0"/>
        <w:ind w:left="1554" w:right="1117"/>
        <w:jc w:val="left"/>
      </w:pPr>
      <w:r>
        <w:rPr/>
        <w:t>报告期内盈余公积增加数为本公司依据公司章程规定的计提数。</w:t>
      </w:r>
    </w:p>
    <w:p>
      <w:pPr>
        <w:spacing w:line="240" w:lineRule="auto" w:before="11"/>
        <w:rPr>
          <w:rFonts w:ascii="宋体" w:hAnsi="宋体" w:cs="宋体" w:eastAsia="宋体" w:hint="default"/>
          <w:sz w:val="25"/>
          <w:szCs w:val="25"/>
        </w:rPr>
      </w:pPr>
    </w:p>
    <w:p>
      <w:pPr>
        <w:pStyle w:val="Heading3"/>
        <w:spacing w:line="240" w:lineRule="auto"/>
        <w:ind w:left="1133" w:right="1117"/>
        <w:jc w:val="left"/>
        <w:rPr>
          <w:b w:val="0"/>
          <w:bCs w:val="0"/>
        </w:rPr>
      </w:pPr>
      <w:bookmarkStart w:name="37、未分配利润" w:id="284"/>
      <w:bookmarkEnd w:id="284"/>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3752"/>
        <w:gridCol w:w="2974"/>
        <w:gridCol w:w="2957"/>
      </w:tblGrid>
      <w:tr>
        <w:trPr>
          <w:trHeight w:val="322"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7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235,195,448.72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188,647,177.77</w:t>
            </w:r>
          </w:p>
        </w:tc>
      </w:tr>
      <w:tr>
        <w:trPr>
          <w:trHeight w:val="322"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7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235,195,448.72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188,647,177.77</w:t>
            </w:r>
          </w:p>
        </w:tc>
      </w:tr>
      <w:tr>
        <w:trPr>
          <w:trHeight w:val="322"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7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78,646,513.40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57,341,790.34</w:t>
            </w:r>
          </w:p>
        </w:tc>
      </w:tr>
      <w:tr>
        <w:trPr>
          <w:trHeight w:val="322"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7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2,258,665.26</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4,893,519.39</w:t>
            </w:r>
          </w:p>
        </w:tc>
      </w:tr>
      <w:tr>
        <w:trPr>
          <w:trHeight w:val="322"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7,325,570.15</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5,900,000.00</w:t>
            </w:r>
          </w:p>
        </w:tc>
      </w:tr>
      <w:tr>
        <w:trPr>
          <w:trHeight w:val="322"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7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304,257,726.71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235,195,448.72</w:t>
            </w:r>
          </w:p>
        </w:tc>
      </w:tr>
    </w:tbl>
    <w:p>
      <w:pPr>
        <w:spacing w:line="436" w:lineRule="auto" w:before="51"/>
        <w:ind w:left="1134" w:right="364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w:t>
      </w:r>
      <w:r>
        <w:rPr>
          <w:rFonts w:ascii="宋体" w:hAnsi="宋体" w:cs="宋体" w:eastAsia="宋体"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85"/>
        <w:ind w:left="1133" w:right="111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7"/>
          <w:szCs w:val="17"/>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7"/>
          <w:szCs w:val="17"/>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1"/>
        <w:rPr>
          <w:rFonts w:ascii="宋体" w:hAnsi="宋体" w:cs="宋体" w:eastAsia="宋体" w:hint="default"/>
          <w:sz w:val="27"/>
          <w:szCs w:val="27"/>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7"/>
        <w:jc w:val="left"/>
        <w:rPr>
          <w:b w:val="0"/>
          <w:bCs w:val="0"/>
        </w:rPr>
      </w:pPr>
      <w:bookmarkStart w:name="38、营业收入和营业成本" w:id="285"/>
      <w:bookmarkEnd w:id="285"/>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719,953,913.24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417,005,705.23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383,447,512.08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193,544,983.78</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26,764,711.04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10,010,639.58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15,859,318.02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7,425,097.42</w:t>
            </w:r>
          </w:p>
        </w:tc>
      </w:tr>
      <w:tr>
        <w:trPr>
          <w:trHeight w:val="3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746,718,624.28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427,016,344.81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399,306,830.10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200,970,081.20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9、营业税金及附加" w:id="286"/>
      <w:bookmarkEnd w:id="286"/>
      <w:r>
        <w:rPr>
          <w:b w:val="0"/>
          <w:bCs w:val="0"/>
        </w:rPr>
      </w:r>
      <w:r>
        <w:rPr>
          <w:rFonts w:ascii="Times New Roman" w:hAnsi="Times New Roman" w:cs="Times New Roman" w:eastAsia="Times New Roman" w:hint="default"/>
        </w:rPr>
        <w:t>39</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7,200,789.45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825,838.81</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2,771,989.37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2,341,436.03</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2,031,803.93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1,686,186.98</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141,839.03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13,623.00</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12,146,421.78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4,867,084.82</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40、销售费用" w:id="287"/>
      <w:bookmarkEnd w:id="287"/>
      <w:r>
        <w:rPr>
          <w:b w:val="0"/>
          <w:bCs w:val="0"/>
        </w:rPr>
      </w:r>
      <w:r>
        <w:rPr>
          <w:rFonts w:ascii="Times New Roman" w:hAnsi="Times New Roman" w:cs="Times New Roman" w:eastAsia="Times New Roman" w:hint="default"/>
        </w:rPr>
        <w:t>40</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30,676,706.17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25,790,020.41</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7,685,663.68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8,226,430.68</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3,834,831.28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4,180,321.27</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2,733,473.93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3,203,770.80</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2,242,480.88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1,264,548.08</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广告、宣传费、展会费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2,231,076.05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3,301,124.30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办公费、水电、电话及低耗</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1,916,527.17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3,168,001.23</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1,390,807.91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3,823,555.15</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7,797,662.43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5,319,802.46</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60,509,229.50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58,277,574.38</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1、管理费用" w:id="288"/>
      <w:bookmarkEnd w:id="288"/>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47,912,142.79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36,795,231.27</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36,947,498.52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17,474,087.67</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20,289,946.81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14,556,103.71</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7,783,022.81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4,315,283.17</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6,526,824.90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2,310,831.04</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6,129,857.76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3,832,888.47</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3,067,406.81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1,406,655.69</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2,810,014.35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1,860,483.06</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2,302,030.75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1,440,114.40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4,509,669.02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4,850,894.85</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138,278,414.52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88,842,573.33</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134" w:right="1117" w:firstLine="420"/>
        <w:jc w:val="left"/>
      </w:pPr>
      <w:r>
        <w:rPr>
          <w:spacing w:val="-1"/>
        </w:rPr>
        <w:t>管理费用较上期发生额增长了</w:t>
      </w:r>
      <w:r>
        <w:rPr>
          <w:rFonts w:ascii="宋体" w:hAnsi="宋体" w:cs="宋体" w:eastAsia="宋体" w:hint="default"/>
          <w:spacing w:val="-1"/>
        </w:rPr>
        <w:t>55.64%</w:t>
      </w:r>
      <w:r>
        <w:rPr>
          <w:spacing w:val="-1"/>
        </w:rPr>
        <w:t>，主要系合并范围增加、研发投入力度加大、固定资产折旧费用</w:t>
      </w:r>
      <w:r>
        <w:rPr/>
        <w:t> 增加及人员工资增长所致。</w:t>
      </w:r>
    </w:p>
    <w:p>
      <w:pPr>
        <w:spacing w:line="240" w:lineRule="auto" w:before="8"/>
        <w:rPr>
          <w:rFonts w:ascii="宋体" w:hAnsi="宋体" w:cs="宋体" w:eastAsia="宋体" w:hint="default"/>
          <w:sz w:val="20"/>
          <w:szCs w:val="20"/>
        </w:rPr>
      </w:pPr>
    </w:p>
    <w:p>
      <w:pPr>
        <w:pStyle w:val="Heading3"/>
        <w:spacing w:line="240" w:lineRule="auto"/>
        <w:ind w:right="1117"/>
        <w:jc w:val="left"/>
        <w:rPr>
          <w:b w:val="0"/>
          <w:bCs w:val="0"/>
        </w:rPr>
      </w:pPr>
      <w:bookmarkStart w:name="42、财务费用" w:id="289"/>
      <w:bookmarkEnd w:id="289"/>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30,124,884.71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7,751,313.95</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4,215,633.57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2,624,959.06</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137,442.16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519,279.68</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212,855.38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73,776.61</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508,165.96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181,976.45</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26,342,003.88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5,753,834.41</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1554" w:right="1117"/>
        <w:jc w:val="left"/>
      </w:pPr>
      <w:r>
        <w:rPr/>
        <w:t>财务费用较上期增长了</w:t>
      </w:r>
      <w:r>
        <w:rPr>
          <w:rFonts w:ascii="宋体" w:hAnsi="宋体" w:cs="宋体" w:eastAsia="宋体" w:hint="default"/>
        </w:rPr>
        <w:t>357.82%</w:t>
      </w:r>
      <w:r>
        <w:rPr/>
        <w:t>，主要系银行借款增加所致。</w:t>
      </w:r>
    </w:p>
    <w:p>
      <w:pPr>
        <w:spacing w:line="240" w:lineRule="auto" w:before="11"/>
        <w:rPr>
          <w:rFonts w:ascii="宋体" w:hAnsi="宋体" w:cs="宋体" w:eastAsia="宋体" w:hint="default"/>
          <w:sz w:val="25"/>
          <w:szCs w:val="25"/>
        </w:rPr>
      </w:pPr>
    </w:p>
    <w:p>
      <w:pPr>
        <w:pStyle w:val="Heading3"/>
        <w:spacing w:line="240" w:lineRule="auto"/>
        <w:ind w:right="1117"/>
        <w:jc w:val="left"/>
        <w:rPr>
          <w:b w:val="0"/>
          <w:bCs w:val="0"/>
        </w:rPr>
      </w:pPr>
      <w:bookmarkStart w:name="43、资产减值损失" w:id="290"/>
      <w:bookmarkEnd w:id="290"/>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206"/>
        <w:gridCol w:w="3246"/>
        <w:gridCol w:w="3231"/>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11,548,891.34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7,032,094.90</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11,548,891.34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7,032,094.90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4、投资收益" w:id="291"/>
      <w:bookmarkEnd w:id="291"/>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32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1,313,532.01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-472,752.59</w:t>
            </w: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2,755,469.01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601,800.66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4,670,801.68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-472,752.59</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45、营业外收入" w:id="292"/>
      <w:bookmarkEnd w:id="292"/>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2420"/>
        <w:gridCol w:w="2427"/>
        <w:gridCol w:w="2424"/>
        <w:gridCol w:w="2424"/>
      </w:tblGrid>
      <w:tr>
        <w:trPr>
          <w:trHeight w:val="323"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43,886,593.82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33,767,159.12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40,297,076.31</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203,775.60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76,110.99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203,775.60</w:t>
            </w:r>
          </w:p>
        </w:tc>
      </w:tr>
      <w:tr>
        <w:trPr>
          <w:trHeight w:val="323"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44,090,369.42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33,843,270.11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40,500,851.91</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036"/>
        <w:gridCol w:w="1033"/>
        <w:gridCol w:w="793"/>
        <w:gridCol w:w="1134"/>
        <w:gridCol w:w="992"/>
        <w:gridCol w:w="1218"/>
        <w:gridCol w:w="1227"/>
        <w:gridCol w:w="1226"/>
        <w:gridCol w:w="1034"/>
      </w:tblGrid>
      <w:tr>
        <w:trPr>
          <w:trHeight w:val="946" w:hRule="exact"/>
        </w:trPr>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0"/>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是否特殊补贴</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9"/>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16" w:lineRule="auto" w:before="76"/>
              <w:ind w:left="422" w:right="107" w:hanging="31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p>
        </w:tc>
      </w:tr>
      <w:tr>
        <w:trPr>
          <w:trHeight w:val="2507"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供水补贴</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郑州市高新 区财政局</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1"/>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宋体" w:hAnsi="宋体" w:cs="宋体" w:eastAsia="宋体" w:hint="default"/>
                <w:sz w:val="18"/>
                <w:szCs w:val="18"/>
              </w:rPr>
            </w:pPr>
            <w:r>
              <w:rPr>
                <w:rFonts w:ascii="宋体"/>
                <w:sz w:val="18"/>
              </w:rPr>
              <w:t>8,900,287.79</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06"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供水补贴</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郑州市高新 区财政局</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1"/>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2"/>
              <w:jc w:val="right"/>
              <w:rPr>
                <w:rFonts w:ascii="宋体" w:hAnsi="宋体" w:cs="宋体" w:eastAsia="宋体" w:hint="default"/>
                <w:sz w:val="18"/>
                <w:szCs w:val="18"/>
              </w:rPr>
            </w:pPr>
            <w:r>
              <w:rPr>
                <w:rFonts w:ascii="宋体"/>
                <w:sz w:val="18"/>
              </w:rPr>
              <w:t>637,889.92</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智能化燃气 管网综合信 息管理系统</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国家工信部</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5,500,000.00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9"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01"/>
              <w:jc w:val="both"/>
              <w:rPr>
                <w:rFonts w:ascii="宋体" w:hAnsi="宋体" w:cs="宋体" w:eastAsia="宋体" w:hint="default"/>
                <w:sz w:val="18"/>
                <w:szCs w:val="18"/>
              </w:rPr>
            </w:pPr>
            <w:r>
              <w:rPr>
                <w:rFonts w:ascii="宋体" w:hAnsi="宋体" w:cs="宋体" w:eastAsia="宋体" w:hint="default"/>
                <w:sz w:val="18"/>
                <w:szCs w:val="18"/>
              </w:rPr>
              <w:t>市政燃气危 险源智能传 感终端及云 应用</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郑州市财政 局</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5,000,000.00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微</w:t>
            </w:r>
            <w:r>
              <w:rPr>
                <w:rFonts w:ascii="宋体" w:hAnsi="宋体" w:cs="宋体" w:eastAsia="宋体" w:hint="default"/>
                <w:sz w:val="18"/>
                <w:szCs w:val="18"/>
              </w:rPr>
              <w:t>-</w:t>
            </w:r>
            <w:r>
              <w:rPr>
                <w:rFonts w:ascii="宋体" w:hAnsi="宋体" w:cs="宋体" w:eastAsia="宋体" w:hint="default"/>
                <w:sz w:val="18"/>
                <w:szCs w:val="18"/>
              </w:rPr>
              <w:t>纳智能 传感工业监 控系统关键 技术研究</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98"/>
              <w:jc w:val="both"/>
              <w:rPr>
                <w:rFonts w:ascii="宋体" w:hAnsi="宋体" w:cs="宋体" w:eastAsia="宋体" w:hint="default"/>
                <w:sz w:val="18"/>
                <w:szCs w:val="18"/>
              </w:rPr>
            </w:pPr>
            <w:r>
              <w:rPr>
                <w:rFonts w:ascii="宋体" w:hAnsi="宋体" w:cs="宋体" w:eastAsia="宋体" w:hint="default"/>
                <w:sz w:val="18"/>
                <w:szCs w:val="18"/>
              </w:rPr>
              <w:t>河南省财政 厅、河南省 教育厅</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3,000,000.00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上海市战略 性新兴产业 项目补助</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8"/>
              <w:jc w:val="both"/>
              <w:rPr>
                <w:rFonts w:ascii="宋体" w:hAnsi="宋体" w:cs="宋体" w:eastAsia="宋体" w:hint="default"/>
                <w:sz w:val="18"/>
                <w:szCs w:val="18"/>
              </w:rPr>
            </w:pPr>
            <w:r>
              <w:rPr>
                <w:rFonts w:ascii="宋体" w:hAnsi="宋体" w:cs="宋体" w:eastAsia="宋体" w:hint="default"/>
                <w:sz w:val="18"/>
                <w:szCs w:val="18"/>
              </w:rPr>
              <w:t>上海市经济 和信息化委 员会</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2,580,000.00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860,000.00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01" w:type="dxa"/>
        <w:tblLayout w:type="fixed"/>
        <w:tblCellMar>
          <w:top w:w="0" w:type="dxa"/>
          <w:left w:w="0" w:type="dxa"/>
          <w:bottom w:w="0" w:type="dxa"/>
          <w:right w:w="0" w:type="dxa"/>
        </w:tblCellMar>
        <w:tblLook w:val="01E0"/>
      </w:tblPr>
      <w:tblGrid>
        <w:gridCol w:w="1036"/>
        <w:gridCol w:w="1033"/>
        <w:gridCol w:w="793"/>
        <w:gridCol w:w="1134"/>
        <w:gridCol w:w="992"/>
        <w:gridCol w:w="1218"/>
        <w:gridCol w:w="1227"/>
        <w:gridCol w:w="1226"/>
        <w:gridCol w:w="1034"/>
      </w:tblGrid>
      <w:tr>
        <w:trPr>
          <w:trHeight w:val="1258" w:hRule="exact"/>
        </w:trPr>
        <w:tc>
          <w:tcPr>
            <w:tcW w:w="1036"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补助（按国家 级政策规定 依法取得）</w:t>
            </w:r>
          </w:p>
        </w:tc>
        <w:tc>
          <w:tcPr>
            <w:tcW w:w="99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年国家 级企业技术 中心奖</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98"/>
              <w:jc w:val="left"/>
              <w:rPr>
                <w:rFonts w:ascii="宋体" w:hAnsi="宋体" w:cs="宋体" w:eastAsia="宋体" w:hint="default"/>
                <w:sz w:val="18"/>
                <w:szCs w:val="18"/>
              </w:rPr>
            </w:pPr>
            <w:r>
              <w:rPr>
                <w:rFonts w:ascii="宋体" w:hAnsi="宋体" w:cs="宋体" w:eastAsia="宋体" w:hint="default"/>
                <w:sz w:val="18"/>
                <w:szCs w:val="18"/>
              </w:rPr>
              <w:t>河南省财政 厅</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2" w:right="21"/>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512"/>
              <w:jc w:val="right"/>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2,000,000.00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天津水专项</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8"/>
              <w:jc w:val="left"/>
              <w:rPr>
                <w:rFonts w:ascii="宋体" w:hAnsi="宋体" w:cs="宋体" w:eastAsia="宋体" w:hint="default"/>
                <w:sz w:val="18"/>
                <w:szCs w:val="18"/>
              </w:rPr>
            </w:pPr>
            <w:r>
              <w:rPr>
                <w:rFonts w:ascii="宋体" w:hAnsi="宋体" w:cs="宋体" w:eastAsia="宋体" w:hint="default"/>
                <w:sz w:val="18"/>
                <w:szCs w:val="18"/>
              </w:rPr>
              <w:t>国家财政 部、国家科 技部、国家 发展改革委</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12"/>
              <w:jc w:val="right"/>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1,780,770.00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01"/>
              <w:jc w:val="left"/>
              <w:rPr>
                <w:rFonts w:ascii="宋体" w:hAnsi="宋体" w:cs="宋体" w:eastAsia="宋体" w:hint="default"/>
                <w:sz w:val="18"/>
                <w:szCs w:val="18"/>
              </w:rPr>
            </w:pPr>
            <w:r>
              <w:rPr>
                <w:rFonts w:ascii="宋体" w:hAnsi="宋体" w:cs="宋体" w:eastAsia="宋体" w:hint="default"/>
                <w:sz w:val="18"/>
                <w:szCs w:val="18"/>
              </w:rPr>
              <w:t>传感器智能 制造</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98"/>
              <w:jc w:val="left"/>
              <w:rPr>
                <w:rFonts w:ascii="宋体" w:hAnsi="宋体" w:cs="宋体" w:eastAsia="宋体" w:hint="default"/>
                <w:sz w:val="18"/>
                <w:szCs w:val="18"/>
              </w:rPr>
            </w:pPr>
            <w:r>
              <w:rPr>
                <w:rFonts w:ascii="宋体" w:hAnsi="宋体" w:cs="宋体" w:eastAsia="宋体" w:hint="default"/>
                <w:sz w:val="18"/>
                <w:szCs w:val="18"/>
              </w:rPr>
              <w:t>工业和信息 化部办公厅</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12"/>
              <w:jc w:val="right"/>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1,508,000.00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5"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年国家 粮食公益性 行业科研专 项</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国家粮食局</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1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 补助（按国家 级政策规定 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12"/>
              <w:jc w:val="right"/>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2"/>
              <w:jc w:val="right"/>
              <w:rPr>
                <w:rFonts w:ascii="宋体" w:hAnsi="宋体" w:cs="宋体" w:eastAsia="宋体" w:hint="default"/>
                <w:sz w:val="18"/>
                <w:szCs w:val="18"/>
              </w:rPr>
            </w:pPr>
            <w:r>
              <w:rPr>
                <w:rFonts w:ascii="宋体"/>
                <w:sz w:val="18"/>
              </w:rPr>
              <w:t>1,410,000.00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3"/>
              <w:jc w:val="right"/>
              <w:rPr>
                <w:rFonts w:ascii="宋体" w:hAnsi="宋体" w:cs="宋体" w:eastAsia="宋体" w:hint="default"/>
                <w:sz w:val="18"/>
                <w:szCs w:val="18"/>
              </w:rPr>
            </w:pPr>
            <w:r>
              <w:rPr>
                <w:rFonts w:ascii="宋体"/>
                <w:sz w:val="18"/>
              </w:rPr>
              <w:t>200,000.00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88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基于微流控 </w:t>
            </w:r>
            <w:r>
              <w:rPr>
                <w:rFonts w:ascii="宋体" w:hAnsi="宋体" w:cs="宋体" w:eastAsia="宋体" w:hint="default"/>
                <w:sz w:val="18"/>
                <w:szCs w:val="18"/>
              </w:rPr>
              <w:t>PCR</w:t>
            </w:r>
            <w:r>
              <w:rPr>
                <w:rFonts w:ascii="宋体" w:hAnsi="宋体" w:cs="宋体" w:eastAsia="宋体" w:hint="default"/>
                <w:spacing w:val="-46"/>
                <w:sz w:val="18"/>
                <w:szCs w:val="18"/>
              </w:rPr>
              <w:t> </w:t>
            </w:r>
            <w:r>
              <w:rPr>
                <w:rFonts w:ascii="宋体" w:hAnsi="宋体" w:cs="宋体" w:eastAsia="宋体" w:hint="default"/>
                <w:sz w:val="18"/>
                <w:szCs w:val="18"/>
              </w:rPr>
              <w:t>芯片技 术的农业疫 病快速检测 技术研究与 示范</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农业部</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21"/>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12"/>
              <w:jc w:val="right"/>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1,035,000.00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软件企业增 值税退税</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国家财政 部、国家税 务总局</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1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 补助（按国家 级政策规定 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512"/>
              <w:jc w:val="right"/>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2"/>
              <w:jc w:val="right"/>
              <w:rPr>
                <w:rFonts w:ascii="宋体" w:hAnsi="宋体" w:cs="宋体" w:eastAsia="宋体" w:hint="default"/>
                <w:sz w:val="18"/>
                <w:szCs w:val="18"/>
              </w:rPr>
            </w:pPr>
            <w:r>
              <w:rPr>
                <w:rFonts w:ascii="宋体"/>
                <w:sz w:val="18"/>
              </w:rPr>
              <w:t>2,474,872.25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3"/>
              <w:jc w:val="right"/>
              <w:rPr>
                <w:rFonts w:ascii="宋体" w:hAnsi="宋体" w:cs="宋体" w:eastAsia="宋体" w:hint="default"/>
                <w:sz w:val="18"/>
                <w:szCs w:val="18"/>
              </w:rPr>
            </w:pPr>
            <w:r>
              <w:rPr>
                <w:rFonts w:ascii="宋体"/>
                <w:sz w:val="18"/>
              </w:rPr>
              <w:t>10,489,463.19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5"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资源综合利 用产品增值 税优惠</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9" w:lineRule="auto"/>
              <w:ind w:left="22" w:right="98"/>
              <w:jc w:val="left"/>
              <w:rPr>
                <w:rFonts w:ascii="宋体" w:hAnsi="宋体" w:cs="宋体" w:eastAsia="宋体" w:hint="default"/>
                <w:sz w:val="18"/>
                <w:szCs w:val="18"/>
              </w:rPr>
            </w:pPr>
            <w:r>
              <w:rPr>
                <w:rFonts w:ascii="宋体" w:hAnsi="宋体" w:cs="宋体" w:eastAsia="宋体" w:hint="default"/>
                <w:sz w:val="18"/>
                <w:szCs w:val="18"/>
              </w:rPr>
              <w:t>国家财政 部、国家税 务总局</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1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 补助（按国家 级政策规定 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12"/>
              <w:jc w:val="right"/>
              <w:rPr>
                <w:rFonts w:ascii="宋体" w:hAnsi="宋体" w:cs="宋体" w:eastAsia="宋体" w:hint="default"/>
                <w:sz w:val="18"/>
                <w:szCs w:val="18"/>
              </w:rPr>
            </w:pPr>
            <w:r>
              <w:rPr>
                <w:rFonts w:ascii="宋体" w:hAnsi="宋体" w:cs="宋体" w:eastAsia="宋体" w:hint="default"/>
                <w:sz w:val="18"/>
                <w:szCs w:val="18"/>
              </w:rPr>
              <w:t>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2"/>
              <w:jc w:val="right"/>
              <w:rPr>
                <w:rFonts w:ascii="宋体" w:hAnsi="宋体" w:cs="宋体" w:eastAsia="宋体" w:hint="default"/>
                <w:sz w:val="18"/>
                <w:szCs w:val="18"/>
              </w:rPr>
            </w:pPr>
            <w:r>
              <w:rPr>
                <w:rFonts w:ascii="宋体"/>
                <w:sz w:val="18"/>
              </w:rPr>
              <w:t>1,114,645.26</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6,945,128.60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21,217,695.93</w:t>
            </w:r>
          </w:p>
        </w:tc>
        <w:tc>
          <w:tcPr>
            <w:tcW w:w="10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01" w:type="dxa"/>
        <w:tblLayout w:type="fixed"/>
        <w:tblCellMar>
          <w:top w:w="0" w:type="dxa"/>
          <w:left w:w="0" w:type="dxa"/>
          <w:bottom w:w="0" w:type="dxa"/>
          <w:right w:w="0" w:type="dxa"/>
        </w:tblCellMar>
        <w:tblLook w:val="01E0"/>
      </w:tblPr>
      <w:tblGrid>
        <w:gridCol w:w="1036"/>
        <w:gridCol w:w="1033"/>
        <w:gridCol w:w="793"/>
        <w:gridCol w:w="1134"/>
        <w:gridCol w:w="992"/>
        <w:gridCol w:w="1218"/>
        <w:gridCol w:w="1227"/>
        <w:gridCol w:w="1238"/>
        <w:gridCol w:w="1023"/>
      </w:tblGrid>
      <w:tr>
        <w:trPr>
          <w:trHeight w:val="322" w:hRule="exact"/>
        </w:trPr>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43,886,593.82</w:t>
            </w:r>
          </w:p>
        </w:tc>
        <w:tc>
          <w:tcPr>
            <w:tcW w:w="123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33,767,159.12</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
              <w:jc w:val="center"/>
              <w:rPr>
                <w:rFonts w:ascii="宋体" w:hAnsi="宋体" w:cs="宋体" w:eastAsia="宋体" w:hint="default"/>
                <w:sz w:val="18"/>
                <w:szCs w:val="18"/>
              </w:rPr>
            </w:pPr>
            <w:r>
              <w:rPr>
                <w:rFonts w:ascii="宋体"/>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7"/>
        <w:jc w:val="left"/>
        <w:rPr>
          <w:b w:val="0"/>
          <w:bCs w:val="0"/>
        </w:rPr>
      </w:pPr>
      <w:bookmarkStart w:name="46、营业外支出" w:id="293"/>
      <w:bookmarkEnd w:id="293"/>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1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76,571.08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157,404.03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76,571.08</w:t>
            </w:r>
          </w:p>
        </w:tc>
      </w:tr>
      <w:tr>
        <w:trPr>
          <w:trHeight w:val="32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76,571.08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157,404.03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76,571.08</w:t>
            </w:r>
          </w:p>
        </w:tc>
      </w:tr>
      <w:tr>
        <w:trPr>
          <w:trHeight w:val="32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304,000.00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74,126.17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17,383.12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74,126.17</w:t>
            </w:r>
          </w:p>
        </w:tc>
      </w:tr>
      <w:tr>
        <w:trPr>
          <w:trHeight w:val="32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150,697.25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478,787.15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150,697.25</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7、所得税费用" w:id="294"/>
      <w:bookmarkEnd w:id="294"/>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所得税费用表"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34,804,849.67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10,405,080.68</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-14,479,860.30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-2,323,271.24</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20,324,989.37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8,081,809.44</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会计利润与所得税费用调整过程" w:id="296"/>
      <w:bookmarkEnd w:id="29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4818"/>
        <w:gridCol w:w="4865"/>
      </w:tblGrid>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119,487,792.30</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29,871,948.08</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-10,006,528.76</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360,806.48</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-453,366.85</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-1,464,778.97</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-129,624.32</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1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4,019,757.00</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-1,873,223.29</w:t>
            </w:r>
          </w:p>
        </w:tc>
      </w:tr>
      <w:tr>
        <w:trPr>
          <w:trHeight w:val="323"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20,324,989.37</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48、现金流量表项目" w:id="297"/>
      <w:bookmarkEnd w:id="297"/>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收到的其他与经营活动有关的现金"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28,247,556.89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20,763,257.51</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3,548,705.39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2,624,841.63</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25,752,690.66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13,897,671.54</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7,224,080.30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1,601,476.40</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64,773,033.24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38,887,247.08</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支付的其他与经营活动有关的现金" w:id="299"/>
      <w:bookmarkEnd w:id="29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36,497,663.45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27,644,853.22</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27,293,106.37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31,800,226.03</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9,743,817.47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6,553,104.32</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273,483.19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144,419.73</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4,560,123.45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1,375,076.15</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78,368,193.93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67,517,679.45</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收到的其他与投资活动有关的现金" w:id="300"/>
      <w:bookmarkEnd w:id="30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47,923,412.21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购买子公司收到的现金净额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42,747,669.13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征地费退回</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94,671,081.34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收到的其他与筹资活动有关的现金" w:id="301"/>
      <w:bookmarkEnd w:id="301"/>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4"/>
        <w:gridCol w:w="3231"/>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收到其他还款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9,800,000.00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9,800,000.00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5）支付的其他与筹资活动有关的现金" w:id="302"/>
      <w:bookmarkEnd w:id="302"/>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股利支付手续费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21,032.12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8,408.44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重组发行服务费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3,231,917.37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5,579,572.17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0" w:right="0"/>
              <w:jc w:val="left"/>
              <w:rPr>
                <w:rFonts w:ascii="宋体" w:hAnsi="宋体" w:cs="宋体" w:eastAsia="宋体" w:hint="default"/>
                <w:sz w:val="18"/>
                <w:szCs w:val="18"/>
              </w:rPr>
            </w:pPr>
            <w:r>
              <w:rPr>
                <w:rFonts w:ascii="宋体"/>
                <w:sz w:val="18"/>
              </w:rPr>
              <w:t>46,400,604.29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76" w:right="0"/>
              <w:jc w:val="left"/>
              <w:rPr>
                <w:rFonts w:ascii="宋体" w:hAnsi="宋体" w:cs="宋体" w:eastAsia="宋体" w:hint="default"/>
                <w:sz w:val="18"/>
                <w:szCs w:val="18"/>
              </w:rPr>
            </w:pPr>
            <w:r>
              <w:rPr>
                <w:rFonts w:ascii="宋体"/>
                <w:sz w:val="18"/>
              </w:rPr>
              <w:t>3,240,325.81</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9、现金流量表补充资料" w:id="303"/>
      <w:bookmarkEnd w:id="303"/>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9"/>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现金流量表补充资料"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99,162,802.93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58,373,507.99</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11,548,891.34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7,032,094.90</w:t>
            </w:r>
          </w:p>
        </w:tc>
      </w:tr>
      <w:tr>
        <w:trPr>
          <w:trHeight w:val="63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32,802,839.44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18,538,426.20</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24,185,794.96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6,459,265.33</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2,626,787.38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328,834.84</w:t>
            </w:r>
          </w:p>
        </w:tc>
      </w:tr>
      <w:tr>
        <w:trPr>
          <w:trHeight w:val="63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76,571.08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157,404.03</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29,075,561.67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8,196,817.02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-4,670,801.68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472,752.59</w:t>
            </w:r>
          </w:p>
        </w:tc>
      </w:tr>
      <w:tr>
        <w:trPr>
          <w:trHeight w:val="63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-15,016,487.31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-762,258.10</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600,844.80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-1,559,941.39</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8,269,914.52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-3,537,103.31</w:t>
            </w:r>
          </w:p>
        </w:tc>
      </w:tr>
      <w:tr>
        <w:trPr>
          <w:trHeight w:val="63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-4,258,835.98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-34,306,112.09</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-33,537,049.80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-8,463,645.84</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-1,624,343.52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149,242,489.83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50,930,042.17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503,060,981.83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227,847,687.92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227,847,687.92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260,212,710.79</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275,213,293.91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-32,365,022.87</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本期支付的取得子公司的现金净额" w:id="305"/>
      <w:bookmarkEnd w:id="30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32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20,981,961.00</w:t>
            </w:r>
          </w:p>
        </w:tc>
      </w:tr>
      <w:tr>
        <w:trPr>
          <w:trHeight w:val="32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20,981,961.00</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7,398,827.35</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95" w:right="0"/>
              <w:jc w:val="left"/>
              <w:rPr>
                <w:rFonts w:ascii="宋体" w:hAnsi="宋体" w:cs="宋体" w:eastAsia="宋体" w:hint="default"/>
                <w:sz w:val="18"/>
                <w:szCs w:val="18"/>
              </w:rPr>
            </w:pPr>
            <w:r>
              <w:rPr>
                <w:rFonts w:ascii="宋体"/>
                <w:sz w:val="18"/>
              </w:rPr>
              <w:t>--</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7,398,827.35</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95" w:right="0"/>
              <w:jc w:val="left"/>
              <w:rPr>
                <w:rFonts w:ascii="宋体" w:hAnsi="宋体" w:cs="宋体" w:eastAsia="宋体" w:hint="default"/>
                <w:sz w:val="18"/>
                <w:szCs w:val="18"/>
              </w:rPr>
            </w:pPr>
            <w:r>
              <w:rPr>
                <w:rFonts w:ascii="宋体"/>
                <w:sz w:val="18"/>
              </w:rPr>
              <w:t>--</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13,583,133.65</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现金和现金等价物的构成" w:id="306"/>
      <w:bookmarkEnd w:id="30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503,060,981.83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227,847,687.92</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393,176.32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865,925.04</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502,559,805.51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223,386,262.88</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3,595,500.00</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503,060,981.83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227,847,687.92</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50、所有权或使用权受到限制的资产" w:id="307"/>
      <w:bookmarkEnd w:id="307"/>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12,425,834.82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10,000,147.87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177,570,610.56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199,996,593.25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51、外币货币性项目" w:id="308"/>
      <w:bookmarkEnd w:id="308"/>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外币货币性项目"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4,840,849.44</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688,702.84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6.49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4,472,160.77</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51,309.91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7.10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364,054.07</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1,285.21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0.84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1,076.72</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9.62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3,557.88</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2,295,917.61</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330,992.28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6.49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2,149,331.49</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20,659.90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7.10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146,586.12</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567,698.30</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86,247.67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6.49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560,057.88</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7.10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7,640.42</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1,051,632.88</w:t>
            </w: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117,879.98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6.49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765,465.44</w:t>
            </w:r>
          </w:p>
        </w:tc>
      </w:tr>
      <w:tr>
        <w:trPr>
          <w:trHeight w:val="32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40,332.54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7.10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286,167.44</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59" w:lineRule="auto"/>
        <w:ind w:left="1133" w:right="1117"/>
        <w:jc w:val="left"/>
        <w:rPr>
          <w:b w:val="0"/>
          <w:bCs w:val="0"/>
        </w:rPr>
      </w:pPr>
      <w:bookmarkStart w:name="（2）境外经营实体说明，包括对于重要的境外经营实体，应披露其境外主要经营地、记账" w:id="310"/>
      <w:bookmarkEnd w:id="31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八、合并范围的变更" w:id="311"/>
      <w:bookmarkEnd w:id="31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非同一控制下企业合并" w:id="312"/>
      <w:bookmarkEnd w:id="31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本期发生的非同一控制下企业合并"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031"/>
        <w:gridCol w:w="1033"/>
        <w:gridCol w:w="1225"/>
        <w:gridCol w:w="1034"/>
        <w:gridCol w:w="1033"/>
        <w:gridCol w:w="1034"/>
        <w:gridCol w:w="1032"/>
        <w:gridCol w:w="1135"/>
        <w:gridCol w:w="1136"/>
      </w:tblGrid>
      <w:tr>
        <w:trPr>
          <w:trHeight w:val="946" w:hRule="exact"/>
        </w:trPr>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20" w:right="59"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21" w:right="60"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6"/>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22" w:right="59"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21" w:right="60"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20"/>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4" w:right="20"/>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634" w:hRule="exact"/>
        </w:trPr>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20,981,961.00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0" w:right="0"/>
              <w:jc w:val="left"/>
              <w:rPr>
                <w:rFonts w:ascii="宋体" w:hAnsi="宋体" w:cs="宋体" w:eastAsia="宋体" w:hint="default"/>
                <w:sz w:val="18"/>
                <w:szCs w:val="18"/>
              </w:rPr>
            </w:pPr>
            <w:r>
              <w:rPr>
                <w:rFonts w:ascii="宋体"/>
                <w:sz w:val="18"/>
              </w:rPr>
              <w:t>51.00%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8"/>
              <w:jc w:val="left"/>
              <w:rPr>
                <w:rFonts w:ascii="宋体" w:hAnsi="宋体" w:cs="宋体" w:eastAsia="宋体" w:hint="default"/>
                <w:sz w:val="18"/>
                <w:szCs w:val="18"/>
              </w:rPr>
            </w:pPr>
            <w:r>
              <w:rPr>
                <w:rFonts w:ascii="宋体" w:hAnsi="宋体" w:cs="宋体" w:eastAsia="宋体" w:hint="default"/>
                <w:sz w:val="18"/>
                <w:szCs w:val="18"/>
              </w:rPr>
              <w:t>非同一控制 下合并</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10</w:t>
            </w:r>
            <w:r>
              <w:rPr>
                <w:rFonts w:ascii="宋体" w:hAnsi="宋体" w:cs="宋体" w:eastAsia="宋体" w:hint="default"/>
                <w:spacing w:val="-6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9"/>
              <w:jc w:val="left"/>
              <w:rPr>
                <w:rFonts w:ascii="宋体" w:hAnsi="宋体" w:cs="宋体" w:eastAsia="宋体" w:hint="default"/>
                <w:sz w:val="18"/>
                <w:szCs w:val="18"/>
              </w:rPr>
            </w:pPr>
            <w:r>
              <w:rPr>
                <w:rFonts w:ascii="宋体" w:hAnsi="宋体" w:cs="宋体" w:eastAsia="宋体" w:hint="default"/>
                <w:sz w:val="18"/>
                <w:szCs w:val="18"/>
              </w:rPr>
              <w:t>工商变更登 记日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sz w:val="18"/>
              </w:rPr>
              <w:t>6,199,116.10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sz w:val="18"/>
              </w:rPr>
              <w:t>3,035,674.65</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2）合并成本及商誉" w:id="314"/>
      <w:bookmarkEnd w:id="31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4848"/>
        <w:gridCol w:w="4847"/>
      </w:tblGrid>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广东龙泉</w:t>
            </w: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20,981,961.00</w:t>
            </w: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20,981,961.00</w:t>
            </w:r>
          </w:p>
        </w:tc>
      </w:tr>
      <w:tr>
        <w:trPr>
          <w:trHeight w:val="32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4,435,224.13</w:t>
            </w:r>
          </w:p>
        </w:tc>
      </w:tr>
      <w:tr>
        <w:trPr>
          <w:trHeight w:val="32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合并成本小于取得的可辨认净资产公允价值份额的金额</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16,546,736.87</w:t>
            </w:r>
          </w:p>
        </w:tc>
      </w:tr>
    </w:tbl>
    <w:p>
      <w:pPr>
        <w:spacing w:line="240" w:lineRule="auto" w:before="3"/>
        <w:rPr>
          <w:rFonts w:ascii="宋体" w:hAnsi="宋体" w:cs="宋体" w:eastAsia="宋体" w:hint="default"/>
          <w:sz w:val="5"/>
          <w:szCs w:val="5"/>
        </w:rPr>
      </w:pPr>
    </w:p>
    <w:p>
      <w:pPr>
        <w:pStyle w:val="BodyText"/>
        <w:spacing w:line="427" w:lineRule="auto" w:before="35"/>
        <w:ind w:right="1130"/>
        <w:jc w:val="left"/>
      </w:pPr>
      <w:r>
        <w:rPr>
          <w:spacing w:val="-1"/>
        </w:rPr>
        <w:t>合并成本公允价值的确定方法、或有对价及其变动的说明：合并成本公允价值的确定方法为公平市场交易</w:t>
      </w:r>
      <w:r>
        <w:rPr>
          <w:spacing w:val="-82"/>
        </w:rPr>
        <w:t> </w:t>
      </w:r>
      <w:r>
        <w:rPr>
          <w:spacing w:val="-82"/>
        </w:rPr>
      </w:r>
      <w:r>
        <w:rPr/>
        <w:t>价格评估法。 大额商誉形成的主要原因：被合并企业的整体企业价值大于可辨认净资产的公允价值份额。</w:t>
      </w:r>
    </w:p>
    <w:p>
      <w:pPr>
        <w:spacing w:line="240" w:lineRule="auto" w:before="3"/>
        <w:rPr>
          <w:rFonts w:ascii="宋体" w:hAnsi="宋体" w:cs="宋体" w:eastAsia="宋体" w:hint="default"/>
          <w:sz w:val="19"/>
          <w:szCs w:val="19"/>
        </w:rPr>
      </w:pPr>
    </w:p>
    <w:p>
      <w:pPr>
        <w:pStyle w:val="Heading3"/>
        <w:spacing w:line="240" w:lineRule="auto"/>
        <w:ind w:left="1133" w:right="1117"/>
        <w:jc w:val="left"/>
        <w:rPr>
          <w:b w:val="0"/>
          <w:bCs w:val="0"/>
        </w:rPr>
      </w:pPr>
      <w:bookmarkStart w:name="（3）被购买方于购买日可辨认资产、负债" w:id="315"/>
      <w:bookmarkEnd w:id="31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209"/>
        <w:gridCol w:w="3243"/>
        <w:gridCol w:w="3231"/>
      </w:tblGrid>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广东龙泉</w:t>
            </w:r>
          </w:p>
        </w:tc>
      </w:tr>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9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3"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7,398,827.35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7,398,827.35</w:t>
            </w:r>
          </w:p>
        </w:tc>
      </w:tr>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898,180.45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898,180.45</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232"/>
        <w:gridCol w:w="3232"/>
        <w:gridCol w:w="3231"/>
      </w:tblGrid>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644,302.24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644,302.24</w:t>
            </w:r>
          </w:p>
        </w:tc>
      </w:tr>
      <w:tr>
        <w:trPr>
          <w:trHeight w:val="323"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442,580.38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442,580.38</w:t>
            </w:r>
          </w:p>
        </w:tc>
      </w:tr>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3,022,485.62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647,282.09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647,282.09</w:t>
            </w:r>
          </w:p>
        </w:tc>
      </w:tr>
      <w:tr>
        <w:trPr>
          <w:trHeight w:val="323"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300,000.00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300,000.00</w:t>
            </w:r>
          </w:p>
        </w:tc>
      </w:tr>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33,206.80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33,206.80</w:t>
            </w:r>
          </w:p>
        </w:tc>
      </w:tr>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755,621.41</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3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2,776,649.80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2,776,649.80</w:t>
            </w:r>
          </w:p>
        </w:tc>
      </w:tr>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491,662.21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491,662.21</w:t>
            </w:r>
          </w:p>
        </w:tc>
      </w:tr>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8,696,517.91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6,429,653.70</w:t>
            </w:r>
          </w:p>
        </w:tc>
      </w:tr>
      <w:tr>
        <w:trPr>
          <w:trHeight w:val="323"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4,261,293.78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3,150,530.31</w:t>
            </w:r>
          </w:p>
        </w:tc>
      </w:tr>
      <w:tr>
        <w:trPr>
          <w:trHeight w:val="322"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4,435,224.13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3,279,123.39</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其他原因的合并范围变动" w:id="316"/>
      <w:bookmarkEnd w:id="316"/>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12"/>
          <w:szCs w:val="12"/>
        </w:rPr>
      </w:pPr>
    </w:p>
    <w:p>
      <w:pPr>
        <w:pStyle w:val="BodyText"/>
        <w:spacing w:line="240" w:lineRule="auto" w:before="0"/>
        <w:ind w:left="1553" w:right="1117"/>
        <w:jc w:val="left"/>
      </w:pPr>
      <w:r>
        <w:rPr/>
        <w:t>报告期内，公司纳入合并范围的新设立子公司情况如下：</w:t>
      </w:r>
    </w:p>
    <w:p>
      <w:pPr>
        <w:spacing w:line="240" w:lineRule="auto" w:before="12"/>
        <w:rPr>
          <w:rFonts w:ascii="宋体" w:hAnsi="宋体" w:cs="宋体" w:eastAsia="宋体" w:hint="default"/>
          <w:sz w:val="9"/>
          <w:szCs w:val="9"/>
        </w:rPr>
      </w:pPr>
    </w:p>
    <w:tbl>
      <w:tblPr>
        <w:tblW w:w="0" w:type="auto"/>
        <w:jc w:val="left"/>
        <w:tblInd w:w="1117" w:type="dxa"/>
        <w:tblLayout w:type="fixed"/>
        <w:tblCellMar>
          <w:top w:w="0" w:type="dxa"/>
          <w:left w:w="0" w:type="dxa"/>
          <w:bottom w:w="0" w:type="dxa"/>
          <w:right w:w="0" w:type="dxa"/>
        </w:tblCellMar>
        <w:tblLook w:val="01E0"/>
      </w:tblPr>
      <w:tblGrid>
        <w:gridCol w:w="2212"/>
        <w:gridCol w:w="2620"/>
        <w:gridCol w:w="2642"/>
        <w:gridCol w:w="2185"/>
      </w:tblGrid>
      <w:tr>
        <w:trPr>
          <w:trHeight w:val="347"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合并单位名称</w:t>
            </w:r>
            <w:r>
              <w:rPr>
                <w:rFonts w:ascii="宋体" w:hAnsi="宋体" w:cs="宋体" w:eastAsia="宋体" w:hint="default"/>
                <w:sz w:val="18"/>
                <w:szCs w:val="18"/>
              </w:rPr>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股权取得时点</w:t>
            </w:r>
            <w:r>
              <w:rPr>
                <w:rFonts w:ascii="宋体" w:hAnsi="宋体" w:cs="宋体" w:eastAsia="宋体" w:hint="default"/>
                <w:b/>
                <w:bCs/>
                <w:sz w:val="18"/>
                <w:szCs w:val="18"/>
              </w:rPr>
              <w:t>/</w:t>
            </w:r>
            <w:r>
              <w:rPr>
                <w:rFonts w:ascii="宋体" w:hAnsi="宋体" w:cs="宋体" w:eastAsia="宋体" w:hint="default"/>
                <w:b/>
                <w:bCs/>
                <w:sz w:val="18"/>
                <w:szCs w:val="18"/>
              </w:rPr>
              <w:t>购买日</w:t>
            </w:r>
            <w:r>
              <w:rPr>
                <w:rFonts w:ascii="宋体" w:hAnsi="宋体" w:cs="宋体" w:eastAsia="宋体" w:hint="default"/>
                <w:sz w:val="18"/>
                <w:szCs w:val="18"/>
              </w:rPr>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股权取得比例（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股权取得方式</w:t>
            </w:r>
            <w:r>
              <w:rPr>
                <w:rFonts w:ascii="宋体" w:hAnsi="宋体" w:cs="宋体" w:eastAsia="宋体" w:hint="default"/>
                <w:sz w:val="18"/>
                <w:szCs w:val="18"/>
              </w:rPr>
            </w:r>
          </w:p>
        </w:tc>
      </w:tr>
      <w:tr>
        <w:trPr>
          <w:trHeight w:val="347"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2015/01/28</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65.00%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北京威果</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2014/12/04</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70.00%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汉威智能仪表</w:t>
            </w:r>
          </w:p>
        </w:tc>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2015/04/20</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51.00%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sz w:val="18"/>
          <w:szCs w:val="18"/>
        </w:rPr>
      </w:pPr>
    </w:p>
    <w:p>
      <w:pPr>
        <w:pStyle w:val="Heading2"/>
        <w:spacing w:line="240" w:lineRule="auto" w:before="26"/>
        <w:ind w:left="1134" w:right="1117"/>
        <w:jc w:val="left"/>
        <w:rPr>
          <w:b w:val="0"/>
          <w:bCs w:val="0"/>
        </w:rPr>
      </w:pPr>
      <w:bookmarkStart w:name="九、在其他主体中的权益" w:id="317"/>
      <w:bookmarkEnd w:id="317"/>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在子公司中的权益" w:id="318"/>
      <w:bookmarkEnd w:id="31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企业集团的构成"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1304"/>
        <w:gridCol w:w="994"/>
        <w:gridCol w:w="848"/>
        <w:gridCol w:w="3119"/>
        <w:gridCol w:w="995"/>
        <w:gridCol w:w="848"/>
        <w:gridCol w:w="1586"/>
      </w:tblGrid>
      <w:tr>
        <w:trPr>
          <w:trHeight w:val="322" w:hRule="exact"/>
        </w:trPr>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130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3119" w:type="dxa"/>
            <w:vMerge/>
            <w:tcBorders>
              <w:left w:val="single" w:sz="4" w:space="0" w:color="000000"/>
              <w:bottom w:val="single" w:sz="4" w:space="0" w:color="000000"/>
              <w:right w:val="single" w:sz="4" w:space="0" w:color="000000"/>
            </w:tcBorders>
            <w:shd w:val="clear" w:color="auto" w:fill="D2D2D2"/>
          </w:tcPr>
          <w:p>
            <w:pP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8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气敏元件、传感器的开发、生产、销售</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监控、检测仪表的研发、生产、销售</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仪器仪表销售</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技术推广、自主经营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公共安全设备及器材的研发、销售</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仪器仪表研发、生产、销售、技术服务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电子地图、地理信息工程项目开发</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仪器仪表研发、生产、销售、技术服务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3"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鞍山</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鞍山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公共、环保领域</w:t>
            </w:r>
            <w:r>
              <w:rPr>
                <w:rFonts w:ascii="宋体" w:hAnsi="宋体" w:cs="宋体" w:eastAsia="宋体" w:hint="default"/>
                <w:spacing w:val="-46"/>
                <w:sz w:val="18"/>
                <w:szCs w:val="18"/>
              </w:rPr>
              <w:t> </w:t>
            </w:r>
            <w:r>
              <w:rPr>
                <w:rFonts w:ascii="宋体" w:hAnsi="宋体" w:cs="宋体" w:eastAsia="宋体" w:hint="default"/>
                <w:sz w:val="18"/>
                <w:szCs w:val="18"/>
              </w:rPr>
              <w:t>SCADA</w:t>
            </w:r>
            <w:r>
              <w:rPr>
                <w:rFonts w:ascii="宋体" w:hAnsi="宋体" w:cs="宋体" w:eastAsia="宋体" w:hint="default"/>
                <w:spacing w:val="-46"/>
                <w:sz w:val="18"/>
                <w:szCs w:val="18"/>
              </w:rPr>
              <w:t> </w:t>
            </w:r>
            <w:r>
              <w:rPr>
                <w:rFonts w:ascii="宋体" w:hAnsi="宋体" w:cs="宋体" w:eastAsia="宋体" w:hint="default"/>
                <w:sz w:val="18"/>
                <w:szCs w:val="18"/>
              </w:rPr>
              <w:t>系统开发、设计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51.00%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8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福州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城市基础设施建设、工程设计及施工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65.00%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技术推广服务及电子产品销售</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01" w:type="dxa"/>
        <w:tblLayout w:type="fixed"/>
        <w:tblCellMar>
          <w:top w:w="0" w:type="dxa"/>
          <w:left w:w="0" w:type="dxa"/>
          <w:bottom w:w="0" w:type="dxa"/>
          <w:right w:w="0" w:type="dxa"/>
        </w:tblCellMar>
        <w:tblLook w:val="01E0"/>
      </w:tblPr>
      <w:tblGrid>
        <w:gridCol w:w="1304"/>
        <w:gridCol w:w="994"/>
        <w:gridCol w:w="848"/>
        <w:gridCol w:w="3119"/>
        <w:gridCol w:w="995"/>
        <w:gridCol w:w="848"/>
        <w:gridCol w:w="1586"/>
      </w:tblGrid>
      <w:tr>
        <w:trPr>
          <w:trHeight w:val="32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智能水表及智能软件系统的研发、销售</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软件、系统开发及管线测漏</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line="240" w:lineRule="auto" w:before="6"/>
        <w:rPr>
          <w:rFonts w:ascii="宋体" w:hAnsi="宋体" w:cs="宋体" w:eastAsia="宋体" w:hint="default"/>
          <w:b/>
          <w:bCs/>
          <w:sz w:val="6"/>
          <w:szCs w:val="6"/>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w:t>
      </w:r>
    </w:p>
    <w:p>
      <w:pPr>
        <w:spacing w:line="240" w:lineRule="auto" w:before="11"/>
        <w:rPr>
          <w:rFonts w:ascii="宋体" w:hAnsi="宋体" w:cs="宋体" w:eastAsia="宋体" w:hint="default"/>
          <w:sz w:val="18"/>
          <w:szCs w:val="18"/>
        </w:rPr>
      </w:pPr>
    </w:p>
    <w:p>
      <w:pPr>
        <w:pStyle w:val="BodyText"/>
        <w:spacing w:line="408" w:lineRule="auto" w:before="0"/>
        <w:ind w:right="1128" w:firstLine="420"/>
        <w:jc w:val="both"/>
      </w:pPr>
      <w:r>
        <w:rPr>
          <w:rFonts w:ascii="宋体" w:hAnsi="宋体" w:cs="宋体" w:eastAsia="宋体" w:hint="default"/>
        </w:rPr>
        <w:t>2011</w:t>
      </w:r>
      <w:r>
        <w:rPr/>
        <w:t>年，公司发起设立上海中威，注册资本</w:t>
      </w:r>
      <w:r>
        <w:rPr>
          <w:rFonts w:ascii="宋体" w:hAnsi="宋体" w:cs="宋体" w:eastAsia="宋体" w:hint="default"/>
        </w:rPr>
        <w:t>2,500</w:t>
      </w:r>
      <w:r>
        <w:rPr/>
        <w:t>万元，公司认缴出资</w:t>
      </w:r>
      <w:r>
        <w:rPr>
          <w:rFonts w:ascii="宋体" w:hAnsi="宋体" w:cs="宋体" w:eastAsia="宋体" w:hint="default"/>
        </w:rPr>
        <w:t>1,075</w:t>
      </w:r>
      <w:r>
        <w:rPr/>
        <w:t>万元，持股比例</w:t>
      </w:r>
      <w:r>
        <w:rPr>
          <w:rFonts w:ascii="宋体" w:hAnsi="宋体" w:cs="宋体" w:eastAsia="宋体" w:hint="default"/>
        </w:rPr>
        <w:t>43%</w:t>
      </w:r>
      <w:r>
        <w:rPr/>
        <w:t>，为</w:t>
      </w:r>
      <w:r>
        <w:rPr>
          <w:spacing w:val="2"/>
        </w:rPr>
        <w:t> </w:t>
      </w:r>
      <w:r>
        <w:rPr>
          <w:spacing w:val="-1"/>
        </w:rPr>
        <w:t>上海中威第一大股东。根据上海中威《公司章程》规定：董事会由五名董事组成，其中三名董事由公司提</w:t>
      </w:r>
      <w:r>
        <w:rPr>
          <w:spacing w:val="-83"/>
        </w:rPr>
        <w:t> </w:t>
      </w:r>
      <w:r>
        <w:rPr>
          <w:spacing w:val="-83"/>
        </w:rPr>
      </w:r>
      <w:r>
        <w:rPr>
          <w:spacing w:val="-1"/>
        </w:rPr>
        <w:t>名人选担任，总经理及法人由公司提名人选担任。综上，公司已对上海中威形成实际控制，自</w:t>
      </w:r>
      <w:r>
        <w:rPr>
          <w:rFonts w:ascii="宋体" w:hAnsi="宋体" w:cs="宋体" w:eastAsia="宋体" w:hint="default"/>
          <w:spacing w:val="-1"/>
        </w:rPr>
        <w:t>2011</w:t>
      </w:r>
      <w:r>
        <w:rPr>
          <w:spacing w:val="-1"/>
        </w:rPr>
        <w:t>年起纳</w:t>
      </w:r>
      <w:r>
        <w:rPr>
          <w:spacing w:val="-83"/>
        </w:rPr>
        <w:t> </w:t>
      </w:r>
      <w:r>
        <w:rPr>
          <w:spacing w:val="-83"/>
        </w:rPr>
      </w:r>
      <w:r>
        <w:rPr/>
        <w:t>入合并范围。</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2）重要的非全资子公司" w:id="320"/>
      <w:bookmarkEnd w:id="32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942"/>
        <w:gridCol w:w="1940"/>
        <w:gridCol w:w="1939"/>
        <w:gridCol w:w="1937"/>
        <w:gridCol w:w="1937"/>
      </w:tblGrid>
      <w:tr>
        <w:trPr>
          <w:trHeight w:val="76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83" w:right="65"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03" w:right="63"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2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7,404,845.62</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63,776,697.63</w:t>
            </w:r>
          </w:p>
        </w:tc>
      </w:tr>
      <w:tr>
        <w:trPr>
          <w:trHeight w:val="323"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13,575,111.56</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172,640,423.91</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重要非全资子公司的主要财务信息" w:id="321"/>
      <w:bookmarkEnd w:id="32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2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63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嘉园环 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sz w:val="18"/>
              </w:rPr>
              <w:t>244,006</w:t>
            </w:r>
          </w:p>
          <w:p>
            <w:pPr>
              <w:pStyle w:val="TableParagraph"/>
              <w:spacing w:line="240" w:lineRule="auto" w:before="76"/>
              <w:ind w:left="74" w:right="0"/>
              <w:jc w:val="left"/>
              <w:rPr>
                <w:rFonts w:ascii="宋体" w:hAnsi="宋体" w:cs="宋体" w:eastAsia="宋体" w:hint="default"/>
                <w:sz w:val="18"/>
                <w:szCs w:val="18"/>
              </w:rPr>
            </w:pPr>
            <w:r>
              <w:rPr>
                <w:rFonts w:ascii="宋体"/>
                <w:sz w:val="18"/>
              </w:rPr>
              <w:t>,952.02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326,888</w:t>
            </w:r>
          </w:p>
          <w:p>
            <w:pPr>
              <w:pStyle w:val="TableParagraph"/>
              <w:spacing w:line="240" w:lineRule="auto" w:before="76"/>
              <w:ind w:left="73" w:right="0"/>
              <w:jc w:val="left"/>
              <w:rPr>
                <w:rFonts w:ascii="宋体" w:hAnsi="宋体" w:cs="宋体" w:eastAsia="宋体" w:hint="default"/>
                <w:sz w:val="18"/>
                <w:szCs w:val="18"/>
              </w:rPr>
            </w:pPr>
            <w:r>
              <w:rPr>
                <w:rFonts w:ascii="宋体"/>
                <w:sz w:val="18"/>
              </w:rPr>
              <w:t>,446.49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570,895</w:t>
            </w:r>
          </w:p>
          <w:p>
            <w:pPr>
              <w:pStyle w:val="TableParagraph"/>
              <w:spacing w:line="240" w:lineRule="auto" w:before="76"/>
              <w:ind w:left="73" w:right="0"/>
              <w:jc w:val="left"/>
              <w:rPr>
                <w:rFonts w:ascii="宋体" w:hAnsi="宋体" w:cs="宋体" w:eastAsia="宋体" w:hint="default"/>
                <w:sz w:val="18"/>
                <w:szCs w:val="18"/>
              </w:rPr>
            </w:pPr>
            <w:r>
              <w:rPr>
                <w:rFonts w:ascii="宋体"/>
                <w:sz w:val="18"/>
              </w:rPr>
              <w:t>,398.51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sz w:val="18"/>
              </w:rPr>
              <w:t>176,579</w:t>
            </w:r>
          </w:p>
          <w:p>
            <w:pPr>
              <w:pStyle w:val="TableParagraph"/>
              <w:spacing w:line="240" w:lineRule="auto" w:before="76"/>
              <w:ind w:left="74" w:right="0"/>
              <w:jc w:val="left"/>
              <w:rPr>
                <w:rFonts w:ascii="宋体" w:hAnsi="宋体" w:cs="宋体" w:eastAsia="宋体" w:hint="default"/>
                <w:sz w:val="18"/>
                <w:szCs w:val="18"/>
              </w:rPr>
            </w:pPr>
            <w:r>
              <w:rPr>
                <w:rFonts w:ascii="宋体"/>
                <w:sz w:val="18"/>
              </w:rPr>
              <w:t>,774.10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122,488</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,052.29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 w:right="0"/>
              <w:jc w:val="left"/>
              <w:rPr>
                <w:rFonts w:ascii="宋体" w:hAnsi="宋体" w:cs="宋体" w:eastAsia="宋体" w:hint="default"/>
                <w:sz w:val="18"/>
                <w:szCs w:val="18"/>
              </w:rPr>
            </w:pPr>
            <w:r>
              <w:rPr>
                <w:rFonts w:ascii="宋体"/>
                <w:sz w:val="18"/>
              </w:rPr>
              <w:t>299,067</w:t>
            </w:r>
          </w:p>
          <w:p>
            <w:pPr>
              <w:pStyle w:val="TableParagraph"/>
              <w:spacing w:line="240" w:lineRule="auto" w:before="76"/>
              <w:ind w:left="71" w:right="0"/>
              <w:jc w:val="left"/>
              <w:rPr>
                <w:rFonts w:ascii="宋体" w:hAnsi="宋体" w:cs="宋体" w:eastAsia="宋体" w:hint="default"/>
                <w:sz w:val="18"/>
                <w:szCs w:val="18"/>
              </w:rPr>
            </w:pPr>
            <w:r>
              <w:rPr>
                <w:rFonts w:ascii="宋体"/>
                <w:sz w:val="18"/>
              </w:rPr>
              <w:t>,826.39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218,560</w:t>
            </w:r>
          </w:p>
          <w:p>
            <w:pPr>
              <w:pStyle w:val="TableParagraph"/>
              <w:spacing w:line="240" w:lineRule="auto" w:before="76"/>
              <w:ind w:left="72" w:right="0"/>
              <w:jc w:val="left"/>
              <w:rPr>
                <w:rFonts w:ascii="宋体" w:hAnsi="宋体" w:cs="宋体" w:eastAsia="宋体" w:hint="default"/>
                <w:sz w:val="18"/>
                <w:szCs w:val="18"/>
              </w:rPr>
            </w:pPr>
            <w:r>
              <w:rPr>
                <w:rFonts w:ascii="宋体"/>
                <w:sz w:val="18"/>
              </w:rPr>
              <w:t>,663.31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 w:right="0"/>
              <w:jc w:val="left"/>
              <w:rPr>
                <w:rFonts w:ascii="宋体" w:hAnsi="宋体" w:cs="宋体" w:eastAsia="宋体" w:hint="default"/>
                <w:sz w:val="18"/>
                <w:szCs w:val="18"/>
              </w:rPr>
            </w:pPr>
            <w:r>
              <w:rPr>
                <w:rFonts w:ascii="宋体"/>
                <w:sz w:val="18"/>
              </w:rPr>
              <w:t>270,231</w:t>
            </w:r>
          </w:p>
          <w:p>
            <w:pPr>
              <w:pStyle w:val="TableParagraph"/>
              <w:spacing w:line="240" w:lineRule="auto" w:before="76"/>
              <w:ind w:left="71" w:right="0"/>
              <w:jc w:val="left"/>
              <w:rPr>
                <w:rFonts w:ascii="宋体" w:hAnsi="宋体" w:cs="宋体" w:eastAsia="宋体" w:hint="default"/>
                <w:sz w:val="18"/>
                <w:szCs w:val="18"/>
              </w:rPr>
            </w:pPr>
            <w:r>
              <w:rPr>
                <w:rFonts w:ascii="宋体"/>
                <w:sz w:val="18"/>
              </w:rPr>
              <w:t>,482.80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488,792</w:t>
            </w:r>
          </w:p>
          <w:p>
            <w:pPr>
              <w:pStyle w:val="TableParagraph"/>
              <w:spacing w:line="240" w:lineRule="auto" w:before="76"/>
              <w:ind w:left="72" w:right="0"/>
              <w:jc w:val="left"/>
              <w:rPr>
                <w:rFonts w:ascii="宋体" w:hAnsi="宋体" w:cs="宋体" w:eastAsia="宋体" w:hint="default"/>
                <w:sz w:val="18"/>
                <w:szCs w:val="18"/>
              </w:rPr>
            </w:pPr>
            <w:r>
              <w:rPr>
                <w:rFonts w:ascii="宋体"/>
                <w:sz w:val="18"/>
              </w:rPr>
              <w:t>,146.11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sz w:val="18"/>
              </w:rPr>
              <w:t>163,281</w:t>
            </w:r>
          </w:p>
          <w:p>
            <w:pPr>
              <w:pStyle w:val="TableParagraph"/>
              <w:spacing w:line="240" w:lineRule="auto" w:before="76"/>
              <w:ind w:left="74" w:right="0"/>
              <w:jc w:val="left"/>
              <w:rPr>
                <w:rFonts w:ascii="宋体" w:hAnsi="宋体" w:cs="宋体" w:eastAsia="宋体" w:hint="default"/>
                <w:sz w:val="18"/>
                <w:szCs w:val="18"/>
              </w:rPr>
            </w:pPr>
            <w:r>
              <w:rPr>
                <w:rFonts w:ascii="宋体"/>
                <w:sz w:val="18"/>
              </w:rPr>
              <w:t>,322.99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sz w:val="18"/>
              </w:rPr>
              <w:t>97,942,</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224.68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261,223</w:t>
            </w:r>
          </w:p>
          <w:p>
            <w:pPr>
              <w:pStyle w:val="TableParagraph"/>
              <w:spacing w:line="240" w:lineRule="auto" w:before="76"/>
              <w:ind w:left="73" w:right="0"/>
              <w:jc w:val="left"/>
              <w:rPr>
                <w:rFonts w:ascii="宋体" w:hAnsi="宋体" w:cs="宋体" w:eastAsia="宋体" w:hint="default"/>
                <w:sz w:val="18"/>
                <w:szCs w:val="18"/>
              </w:rPr>
            </w:pPr>
            <w:r>
              <w:rPr>
                <w:rFonts w:ascii="宋体"/>
                <w:sz w:val="18"/>
              </w:rPr>
              <w:t>,547.67</w:t>
            </w:r>
          </w:p>
        </w:tc>
      </w:tr>
      <w:tr>
        <w:trPr>
          <w:trHeight w:val="94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汉威公 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宋体" w:hAnsi="宋体" w:cs="宋体" w:eastAsia="宋体" w:hint="default"/>
                <w:sz w:val="18"/>
                <w:szCs w:val="18"/>
              </w:rPr>
            </w:pPr>
            <w:r>
              <w:rPr>
                <w:rFonts w:ascii="宋体"/>
                <w:sz w:val="18"/>
              </w:rPr>
              <w:t>875,783</w:t>
            </w:r>
          </w:p>
          <w:p>
            <w:pPr>
              <w:pStyle w:val="TableParagraph"/>
              <w:spacing w:line="240" w:lineRule="auto" w:before="76"/>
              <w:ind w:left="74" w:right="0"/>
              <w:jc w:val="left"/>
              <w:rPr>
                <w:rFonts w:ascii="宋体" w:hAnsi="宋体" w:cs="宋体" w:eastAsia="宋体" w:hint="default"/>
                <w:sz w:val="18"/>
                <w:szCs w:val="18"/>
              </w:rPr>
            </w:pPr>
            <w:r>
              <w:rPr>
                <w:rFonts w:ascii="宋体"/>
                <w:sz w:val="18"/>
              </w:rPr>
              <w:t>,529.03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宋体" w:hAnsi="宋体" w:cs="宋体" w:eastAsia="宋体" w:hint="default"/>
                <w:sz w:val="18"/>
                <w:szCs w:val="18"/>
              </w:rPr>
            </w:pPr>
            <w:r>
              <w:rPr>
                <w:rFonts w:ascii="宋体"/>
                <w:sz w:val="18"/>
              </w:rPr>
              <w:t>212,593</w:t>
            </w:r>
          </w:p>
          <w:p>
            <w:pPr>
              <w:pStyle w:val="TableParagraph"/>
              <w:spacing w:line="240" w:lineRule="auto" w:before="76"/>
              <w:ind w:left="73" w:right="0"/>
              <w:jc w:val="left"/>
              <w:rPr>
                <w:rFonts w:ascii="宋体" w:hAnsi="宋体" w:cs="宋体" w:eastAsia="宋体" w:hint="default"/>
                <w:sz w:val="18"/>
                <w:szCs w:val="18"/>
              </w:rPr>
            </w:pPr>
            <w:r>
              <w:rPr>
                <w:rFonts w:ascii="宋体"/>
                <w:sz w:val="18"/>
              </w:rPr>
              <w:t>,931.10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1,088,3</w:t>
            </w:r>
          </w:p>
          <w:p>
            <w:pPr>
              <w:pStyle w:val="TableParagraph"/>
              <w:spacing w:line="240" w:lineRule="auto" w:before="76"/>
              <w:ind w:right="20"/>
              <w:jc w:val="right"/>
              <w:rPr>
                <w:rFonts w:ascii="宋体" w:hAnsi="宋体" w:cs="宋体" w:eastAsia="宋体" w:hint="default"/>
                <w:sz w:val="18"/>
                <w:szCs w:val="18"/>
              </w:rPr>
            </w:pPr>
            <w:r>
              <w:rPr>
                <w:rFonts w:ascii="宋体"/>
                <w:sz w:val="18"/>
              </w:rPr>
              <w:t>77,460.</w:t>
            </w:r>
          </w:p>
          <w:p>
            <w:pPr>
              <w:pStyle w:val="TableParagraph"/>
              <w:spacing w:line="240" w:lineRule="auto" w:before="76"/>
              <w:ind w:right="20"/>
              <w:jc w:val="right"/>
              <w:rPr>
                <w:rFonts w:ascii="宋体" w:hAnsi="宋体" w:cs="宋体" w:eastAsia="宋体" w:hint="default"/>
                <w:sz w:val="18"/>
                <w:szCs w:val="18"/>
              </w:rPr>
            </w:pPr>
            <w:r>
              <w:rPr>
                <w:rFonts w:ascii="宋体"/>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宋体" w:hAnsi="宋体" w:cs="宋体" w:eastAsia="宋体" w:hint="default"/>
                <w:sz w:val="18"/>
                <w:szCs w:val="18"/>
              </w:rPr>
            </w:pPr>
            <w:r>
              <w:rPr>
                <w:rFonts w:ascii="宋体"/>
                <w:sz w:val="18"/>
              </w:rPr>
              <w:t>368,291</w:t>
            </w:r>
          </w:p>
          <w:p>
            <w:pPr>
              <w:pStyle w:val="TableParagraph"/>
              <w:spacing w:line="240" w:lineRule="auto" w:before="76"/>
              <w:ind w:left="74" w:right="0"/>
              <w:jc w:val="left"/>
              <w:rPr>
                <w:rFonts w:ascii="宋体" w:hAnsi="宋体" w:cs="宋体" w:eastAsia="宋体" w:hint="default"/>
                <w:sz w:val="18"/>
                <w:szCs w:val="18"/>
              </w:rPr>
            </w:pPr>
            <w:r>
              <w:rPr>
                <w:rFonts w:ascii="宋体"/>
                <w:sz w:val="18"/>
              </w:rPr>
              <w:t>,035.98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sz w:val="18"/>
              </w:rPr>
              <w:t>457,235</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,078.76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sz w:val="18"/>
              </w:rPr>
              <w:t>825,526</w:t>
            </w:r>
          </w:p>
          <w:p>
            <w:pPr>
              <w:pStyle w:val="TableParagraph"/>
              <w:spacing w:line="240" w:lineRule="auto" w:before="76"/>
              <w:ind w:left="71" w:right="0"/>
              <w:jc w:val="left"/>
              <w:rPr>
                <w:rFonts w:ascii="宋体" w:hAnsi="宋体" w:cs="宋体" w:eastAsia="宋体" w:hint="default"/>
                <w:sz w:val="18"/>
                <w:szCs w:val="18"/>
              </w:rPr>
            </w:pPr>
            <w:r>
              <w:rPr>
                <w:rFonts w:ascii="宋体"/>
                <w:sz w:val="18"/>
              </w:rPr>
              <w:t>,114.74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2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63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231,976,039</w:t>
            </w:r>
          </w:p>
          <w:p>
            <w:pPr>
              <w:pStyle w:val="TableParagraph"/>
              <w:spacing w:line="240" w:lineRule="auto" w:before="76"/>
              <w:ind w:right="20"/>
              <w:jc w:val="right"/>
              <w:rPr>
                <w:rFonts w:ascii="宋体" w:hAnsi="宋体" w:cs="宋体" w:eastAsia="宋体" w:hint="default"/>
                <w:sz w:val="18"/>
                <w:szCs w:val="18"/>
              </w:rPr>
            </w:pPr>
            <w:r>
              <w:rPr>
                <w:rFonts w:ascii="宋体"/>
                <w:sz w:val="18"/>
              </w:rPr>
              <w:t>.17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44,258,973.</w:t>
            </w:r>
          </w:p>
          <w:p>
            <w:pPr>
              <w:pStyle w:val="TableParagraph"/>
              <w:spacing w:line="240" w:lineRule="auto" w:before="76"/>
              <w:ind w:right="20"/>
              <w:jc w:val="right"/>
              <w:rPr>
                <w:rFonts w:ascii="宋体" w:hAnsi="宋体" w:cs="宋体" w:eastAsia="宋体" w:hint="default"/>
                <w:sz w:val="18"/>
                <w:szCs w:val="18"/>
              </w:rPr>
            </w:pPr>
            <w:r>
              <w:rPr>
                <w:rFonts w:ascii="宋体"/>
                <w:sz w:val="18"/>
              </w:rPr>
              <w:t>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44,258,973.</w:t>
            </w:r>
          </w:p>
          <w:p>
            <w:pPr>
              <w:pStyle w:val="TableParagraph"/>
              <w:spacing w:line="240" w:lineRule="auto" w:before="76"/>
              <w:ind w:right="20"/>
              <w:jc w:val="right"/>
              <w:rPr>
                <w:rFonts w:ascii="宋体" w:hAnsi="宋体" w:cs="宋体" w:eastAsia="宋体" w:hint="default"/>
                <w:sz w:val="18"/>
                <w:szCs w:val="18"/>
              </w:rPr>
            </w:pPr>
            <w:r>
              <w:rPr>
                <w:rFonts w:ascii="宋体"/>
                <w:sz w:val="18"/>
              </w:rPr>
              <w:t>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25,500,526.</w:t>
            </w:r>
          </w:p>
          <w:p>
            <w:pPr>
              <w:pStyle w:val="TableParagraph"/>
              <w:spacing w:line="240" w:lineRule="auto" w:before="76"/>
              <w:ind w:right="20"/>
              <w:jc w:val="right"/>
              <w:rPr>
                <w:rFonts w:ascii="宋体" w:hAnsi="宋体" w:cs="宋体" w:eastAsia="宋体" w:hint="default"/>
                <w:sz w:val="18"/>
                <w:szCs w:val="18"/>
              </w:rPr>
            </w:pPr>
            <w:r>
              <w:rPr>
                <w:rFonts w:ascii="宋体"/>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193,614,051</w:t>
            </w:r>
          </w:p>
          <w:p>
            <w:pPr>
              <w:pStyle w:val="TableParagraph"/>
              <w:spacing w:line="240" w:lineRule="auto" w:before="76"/>
              <w:ind w:right="20"/>
              <w:jc w:val="right"/>
              <w:rPr>
                <w:rFonts w:ascii="宋体" w:hAnsi="宋体" w:cs="宋体" w:eastAsia="宋体" w:hint="default"/>
                <w:sz w:val="18"/>
                <w:szCs w:val="18"/>
              </w:rPr>
            </w:pPr>
            <w:r>
              <w:rPr>
                <w:rFonts w:ascii="宋体"/>
                <w:sz w:val="18"/>
              </w:rPr>
              <w:t>.94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37,596,256.</w:t>
            </w:r>
          </w:p>
          <w:p>
            <w:pPr>
              <w:pStyle w:val="TableParagraph"/>
              <w:spacing w:line="240" w:lineRule="auto" w:before="76"/>
              <w:ind w:right="23"/>
              <w:jc w:val="right"/>
              <w:rPr>
                <w:rFonts w:ascii="宋体" w:hAnsi="宋体" w:cs="宋体" w:eastAsia="宋体" w:hint="default"/>
                <w:sz w:val="18"/>
                <w:szCs w:val="18"/>
              </w:rPr>
            </w:pPr>
            <w:r>
              <w:rPr>
                <w:rFonts w:ascii="宋体"/>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37,596,256.</w:t>
            </w:r>
          </w:p>
          <w:p>
            <w:pPr>
              <w:pStyle w:val="TableParagraph"/>
              <w:spacing w:line="240" w:lineRule="auto" w:before="76"/>
              <w:ind w:right="23"/>
              <w:jc w:val="right"/>
              <w:rPr>
                <w:rFonts w:ascii="宋体" w:hAnsi="宋体" w:cs="宋体" w:eastAsia="宋体" w:hint="default"/>
                <w:sz w:val="18"/>
                <w:szCs w:val="18"/>
              </w:rPr>
            </w:pPr>
            <w:r>
              <w:rPr>
                <w:rFonts w:ascii="宋体"/>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29,573,737.</w:t>
            </w:r>
          </w:p>
          <w:p>
            <w:pPr>
              <w:pStyle w:val="TableParagraph"/>
              <w:spacing w:line="240" w:lineRule="auto" w:before="76"/>
              <w:ind w:right="20"/>
              <w:jc w:val="right"/>
              <w:rPr>
                <w:rFonts w:ascii="宋体" w:hAnsi="宋体" w:cs="宋体" w:eastAsia="宋体" w:hint="default"/>
                <w:sz w:val="18"/>
                <w:szCs w:val="18"/>
              </w:rPr>
            </w:pPr>
            <w:r>
              <w:rPr>
                <w:rFonts w:ascii="宋体"/>
                <w:sz w:val="18"/>
              </w:rPr>
              <w:t>53</w:t>
            </w:r>
          </w:p>
        </w:tc>
      </w:tr>
      <w:tr>
        <w:trPr>
          <w:trHeight w:val="63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161,813,852</w:t>
            </w:r>
          </w:p>
          <w:p>
            <w:pPr>
              <w:pStyle w:val="TableParagraph"/>
              <w:spacing w:line="240" w:lineRule="auto" w:before="76"/>
              <w:ind w:right="20"/>
              <w:jc w:val="right"/>
              <w:rPr>
                <w:rFonts w:ascii="宋体" w:hAnsi="宋体" w:cs="宋体" w:eastAsia="宋体" w:hint="default"/>
                <w:sz w:val="18"/>
                <w:szCs w:val="18"/>
              </w:rPr>
            </w:pPr>
            <w:r>
              <w:rPr>
                <w:rFonts w:ascii="宋体"/>
                <w:sz w:val="18"/>
              </w:rPr>
              <w:t>.91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38,786,033.</w:t>
            </w:r>
          </w:p>
          <w:p>
            <w:pPr>
              <w:pStyle w:val="TableParagraph"/>
              <w:spacing w:line="240" w:lineRule="auto" w:before="76"/>
              <w:ind w:right="20"/>
              <w:jc w:val="right"/>
              <w:rPr>
                <w:rFonts w:ascii="宋体" w:hAnsi="宋体" w:cs="宋体" w:eastAsia="宋体" w:hint="default"/>
                <w:sz w:val="18"/>
                <w:szCs w:val="18"/>
              </w:rPr>
            </w:pPr>
            <w:r>
              <w:rPr>
                <w:rFonts w:ascii="宋体"/>
                <w:sz w:val="18"/>
              </w:rPr>
              <w:t>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38,786,033.</w:t>
            </w:r>
          </w:p>
          <w:p>
            <w:pPr>
              <w:pStyle w:val="TableParagraph"/>
              <w:spacing w:line="240" w:lineRule="auto" w:before="76"/>
              <w:ind w:right="20"/>
              <w:jc w:val="right"/>
              <w:rPr>
                <w:rFonts w:ascii="宋体" w:hAnsi="宋体" w:cs="宋体" w:eastAsia="宋体" w:hint="default"/>
                <w:sz w:val="18"/>
                <w:szCs w:val="18"/>
              </w:rPr>
            </w:pPr>
            <w:r>
              <w:rPr>
                <w:rFonts w:ascii="宋体"/>
                <w:sz w:val="18"/>
              </w:rPr>
              <w:t>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63,425,112.</w:t>
            </w:r>
          </w:p>
          <w:p>
            <w:pPr>
              <w:pStyle w:val="TableParagraph"/>
              <w:spacing w:line="240" w:lineRule="auto" w:before="76"/>
              <w:ind w:right="20"/>
              <w:jc w:val="right"/>
              <w:rPr>
                <w:rFonts w:ascii="宋体" w:hAnsi="宋体" w:cs="宋体" w:eastAsia="宋体" w:hint="default"/>
                <w:sz w:val="18"/>
                <w:szCs w:val="18"/>
              </w:rPr>
            </w:pPr>
            <w:r>
              <w:rPr>
                <w:rFonts w:ascii="宋体"/>
                <w:sz w:val="18"/>
              </w:rPr>
              <w:t>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2、在子公司的所有者权益份额发生变化且仍控制子公司的交易" w:id="322"/>
      <w:bookmarkEnd w:id="32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690" w:lineRule="exact" w:before="15"/>
        <w:ind w:left="1554" w:right="1197" w:hanging="420"/>
        <w:jc w:val="left"/>
        <w:rPr>
          <w:rFonts w:ascii="宋体" w:hAnsi="宋体" w:cs="宋体" w:eastAsia="宋体" w:hint="default"/>
          <w:sz w:val="21"/>
          <w:szCs w:val="21"/>
        </w:rPr>
      </w:pPr>
      <w:bookmarkStart w:name="（1）在子公司所有者权益份额发生变化的情况说明"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日，根据上海英森股东会决议，由本公司受让上海英森原少数股东持有的</w:t>
      </w:r>
      <w:r>
        <w:rPr>
          <w:rFonts w:ascii="宋体" w:hAnsi="宋体" w:cs="宋体" w:eastAsia="宋体" w:hint="default"/>
          <w:sz w:val="21"/>
          <w:szCs w:val="21"/>
        </w:rPr>
        <w:t>33.89%</w:t>
      </w:r>
      <w:r>
        <w:rPr>
          <w:rFonts w:ascii="宋体" w:hAnsi="宋体" w:cs="宋体" w:eastAsia="宋体" w:hint="default"/>
          <w:sz w:val="21"/>
          <w:szCs w:val="21"/>
        </w:rPr>
        <w:t>股权。</w:t>
      </w:r>
    </w:p>
    <w:p>
      <w:pPr>
        <w:pStyle w:val="BodyText"/>
        <w:spacing w:line="240" w:lineRule="auto" w:before="84"/>
        <w:ind w:left="1134" w:right="1117"/>
        <w:jc w:val="left"/>
      </w:pPr>
      <w:r>
        <w:rPr/>
        <w:t>股权转让完成后，本公司持有上海英森的股权比例由</w:t>
      </w:r>
      <w:r>
        <w:rPr>
          <w:rFonts w:ascii="宋体" w:hAnsi="宋体" w:cs="宋体" w:eastAsia="宋体" w:hint="default"/>
        </w:rPr>
        <w:t>51.11%</w:t>
      </w:r>
      <w:r>
        <w:rPr/>
        <w:t>变为</w:t>
      </w:r>
      <w:r>
        <w:rPr>
          <w:rFonts w:ascii="宋体" w:hAnsi="宋体" w:cs="宋体" w:eastAsia="宋体" w:hint="default"/>
        </w:rPr>
        <w:t>85.00%</w:t>
      </w:r>
      <w:r>
        <w:rPr/>
        <w:t>。</w:t>
      </w:r>
    </w:p>
    <w:p>
      <w:pPr>
        <w:spacing w:line="240" w:lineRule="auto" w:before="0"/>
        <w:rPr>
          <w:rFonts w:ascii="宋体" w:hAnsi="宋体" w:cs="宋体" w:eastAsia="宋体" w:hint="default"/>
          <w:sz w:val="20"/>
          <w:szCs w:val="20"/>
        </w:rPr>
      </w:pPr>
    </w:p>
    <w:p>
      <w:pPr>
        <w:pStyle w:val="Heading3"/>
        <w:spacing w:line="240" w:lineRule="auto" w:before="154"/>
        <w:ind w:left="1133" w:right="1117"/>
        <w:jc w:val="left"/>
        <w:rPr>
          <w:b w:val="0"/>
          <w:bCs w:val="0"/>
        </w:rPr>
      </w:pPr>
      <w:bookmarkStart w:name="（2）交易对于少数股东权益及归属于母公司所有者权益的影响" w:id="324"/>
      <w:bookmarkEnd w:id="32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上海英森</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4,055,900.00</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4,055,900.00</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4,055,900.00</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宋体" w:hAnsi="宋体" w:cs="宋体" w:eastAsia="宋体"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846,366.05</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3,209,533.95</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3,209,533.95</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在合营安排或联营企业中的权益" w:id="325"/>
      <w:bookmarkEnd w:id="32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不重要的合营企业和联营企业的汇总财务信息"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89,747,164.62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2,038,907.79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2,038,907.79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3,408,677.24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1,677,247.41</w:t>
            </w: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-499,935.38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-472,752.59</w:t>
            </w: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-499,935.38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-472,752.59</w:t>
            </w:r>
          </w:p>
        </w:tc>
      </w:tr>
    </w:tbl>
    <w:p>
      <w:pPr>
        <w:spacing w:line="240" w:lineRule="auto" w:before="2"/>
        <w:rPr>
          <w:rFonts w:ascii="宋体" w:hAnsi="宋体" w:cs="宋体" w:eastAsia="宋体" w:hint="default"/>
          <w:sz w:val="18"/>
          <w:szCs w:val="18"/>
        </w:rPr>
      </w:pPr>
    </w:p>
    <w:p>
      <w:pPr>
        <w:spacing w:line="506" w:lineRule="auto" w:before="26"/>
        <w:ind w:left="1133" w:right="8344" w:firstLine="0"/>
        <w:jc w:val="left"/>
        <w:rPr>
          <w:rFonts w:ascii="宋体" w:hAnsi="宋体" w:cs="宋体" w:eastAsia="宋体" w:hint="default"/>
          <w:sz w:val="18"/>
          <w:szCs w:val="18"/>
        </w:rPr>
      </w:pPr>
      <w:bookmarkStart w:name="十、关联方及关联交易" w:id="327"/>
      <w:bookmarkEnd w:id="327"/>
      <w:r>
        <w:rPr/>
      </w:r>
      <w:r>
        <w:rPr>
          <w:rFonts w:ascii="宋体" w:hAnsi="宋体" w:cs="宋体" w:eastAsia="宋体" w:hint="default"/>
          <w:b/>
          <w:bCs/>
          <w:sz w:val="24"/>
          <w:szCs w:val="24"/>
        </w:rPr>
        <w:t>十、关联方及关联交易</w:t>
      </w:r>
      <w:r>
        <w:rPr>
          <w:rFonts w:ascii="宋体" w:hAnsi="宋体" w:cs="宋体" w:eastAsia="宋体" w:hint="default"/>
          <w:b/>
          <w:bCs/>
          <w:w w:val="99"/>
          <w:sz w:val="24"/>
          <w:szCs w:val="24"/>
        </w:rPr>
        <w:t> </w:t>
      </w:r>
      <w:bookmarkStart w:name="1、本企业的母公司情况" w:id="328"/>
      <w:bookmarkEnd w:id="3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本企业的母公司情况的说明：</w:t>
      </w:r>
    </w:p>
    <w:p>
      <w:pPr>
        <w:pStyle w:val="BodyText"/>
        <w:spacing w:line="242" w:lineRule="exact" w:before="0"/>
        <w:ind w:left="1554" w:right="1117"/>
        <w:jc w:val="left"/>
      </w:pPr>
      <w:r>
        <w:rPr/>
        <w:t>本企业最终控制方是任红军、钟超。</w:t>
      </w:r>
    </w:p>
    <w:p>
      <w:pPr>
        <w:spacing w:line="240" w:lineRule="auto" w:before="11"/>
        <w:rPr>
          <w:rFonts w:ascii="宋体" w:hAnsi="宋体" w:cs="宋体" w:eastAsia="宋体" w:hint="default"/>
          <w:sz w:val="13"/>
          <w:szCs w:val="13"/>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117" w:firstLine="420"/>
        <w:jc w:val="left"/>
      </w:pPr>
      <w:r>
        <w:rPr>
          <w:spacing w:val="-1"/>
        </w:rPr>
        <w:t>任红军为公司第一大股东，对本公司的持股比例为</w:t>
      </w:r>
      <w:r>
        <w:rPr>
          <w:rFonts w:ascii="宋体" w:hAnsi="宋体" w:cs="宋体" w:eastAsia="宋体" w:hint="default"/>
          <w:spacing w:val="-1"/>
        </w:rPr>
        <w:t>21.74%</w:t>
      </w:r>
      <w:r>
        <w:rPr>
          <w:spacing w:val="-1"/>
        </w:rPr>
        <w:t>，钟超为公司第二大股东，对本公司的持股</w:t>
      </w:r>
      <w:r>
        <w:rPr/>
        <w:t> 比例为</w:t>
      </w:r>
      <w:r>
        <w:rPr>
          <w:rFonts w:ascii="宋体" w:hAnsi="宋体" w:cs="宋体" w:eastAsia="宋体" w:hint="default"/>
        </w:rPr>
        <w:t>6.54%</w:t>
      </w:r>
      <w:r>
        <w:rPr/>
        <w:t>，任红军与钟超系夫妻关系。</w:t>
      </w:r>
    </w:p>
    <w:p>
      <w:pPr>
        <w:spacing w:line="240" w:lineRule="auto" w:before="8"/>
        <w:rPr>
          <w:rFonts w:ascii="宋体" w:hAnsi="宋体" w:cs="宋体" w:eastAsia="宋体" w:hint="default"/>
          <w:sz w:val="20"/>
          <w:szCs w:val="20"/>
        </w:rPr>
      </w:pPr>
    </w:p>
    <w:p>
      <w:pPr>
        <w:pStyle w:val="Heading3"/>
        <w:spacing w:line="240" w:lineRule="auto"/>
        <w:ind w:left="1133" w:right="1117"/>
        <w:jc w:val="left"/>
        <w:rPr>
          <w:b w:val="0"/>
          <w:bCs w:val="0"/>
        </w:rPr>
      </w:pPr>
      <w:bookmarkStart w:name="2、本企业的子公司情况" w:id="329"/>
      <w:bookmarkEnd w:id="32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1553" w:right="1117"/>
        <w:jc w:val="left"/>
      </w:pPr>
      <w:r>
        <w:rPr/>
        <w:t>本企业子公司的情况详见附注九、在其他主体中的权益</w:t>
      </w:r>
      <w:r>
        <w:rPr>
          <w:spacing w:val="-54"/>
        </w:rPr>
        <w:t> </w:t>
      </w:r>
      <w:r>
        <w:rPr>
          <w:rFonts w:ascii="宋体" w:hAnsi="宋体" w:cs="宋体" w:eastAsia="宋体" w:hint="default"/>
        </w:rPr>
        <w:t>1</w:t>
      </w:r>
      <w:r>
        <w:rPr/>
        <w:t>、在子公司中的权益。</w:t>
      </w:r>
    </w:p>
    <w:p>
      <w:pPr>
        <w:spacing w:line="240" w:lineRule="auto" w:before="9"/>
        <w:rPr>
          <w:rFonts w:ascii="宋体" w:hAnsi="宋体" w:cs="宋体" w:eastAsia="宋体" w:hint="default"/>
          <w:sz w:val="25"/>
          <w:szCs w:val="25"/>
        </w:rPr>
      </w:pPr>
    </w:p>
    <w:p>
      <w:pPr>
        <w:pStyle w:val="Heading3"/>
        <w:spacing w:line="240" w:lineRule="auto"/>
        <w:ind w:left="1133" w:right="1117"/>
        <w:jc w:val="left"/>
        <w:rPr>
          <w:b w:val="0"/>
          <w:bCs w:val="0"/>
        </w:rPr>
      </w:pPr>
      <w:bookmarkStart w:name="3、本企业合营和联营企业情况" w:id="330"/>
      <w:bookmarkEnd w:id="33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1553" w:right="712"/>
        <w:jc w:val="left"/>
      </w:pPr>
      <w:r>
        <w:rPr/>
        <w:t>本企业重要的合营或联营企业详见附注九</w:t>
      </w:r>
      <w:r>
        <w:rPr>
          <w:spacing w:val="-91"/>
        </w:rPr>
        <w:t>、</w:t>
      </w:r>
      <w:r>
        <w:rPr/>
        <w:t>在其他主体中的权益</w:t>
      </w:r>
      <w:r>
        <w:rPr>
          <w:spacing w:val="-52"/>
        </w:rPr>
        <w:t> </w:t>
      </w:r>
      <w:r>
        <w:rPr>
          <w:rFonts w:ascii="Times New Roman" w:hAnsi="Times New Roman" w:cs="Times New Roman" w:eastAsia="Times New Roman" w:hint="default"/>
        </w:rPr>
        <w:t>3</w:t>
      </w:r>
      <w:r>
        <w:rPr>
          <w:spacing w:val="-91"/>
        </w:rPr>
        <w:t>、</w:t>
      </w:r>
      <w:r>
        <w:rPr/>
        <w:t>在</w:t>
      </w:r>
      <w:r>
        <w:rPr>
          <w:spacing w:val="-2"/>
        </w:rPr>
        <w:t>合</w:t>
      </w:r>
      <w:r>
        <w:rPr/>
        <w:t>营安排或联营企业中的权益。</w:t>
      </w:r>
    </w:p>
    <w:p>
      <w:pPr>
        <w:spacing w:line="240" w:lineRule="auto" w:before="7"/>
        <w:rPr>
          <w:rFonts w:ascii="宋体" w:hAnsi="宋体" w:cs="宋体" w:eastAsia="宋体" w:hint="default"/>
          <w:sz w:val="18"/>
          <w:szCs w:val="18"/>
        </w:rPr>
      </w:pPr>
    </w:p>
    <w:p>
      <w:pPr>
        <w:spacing w:before="0"/>
        <w:ind w:left="1133" w:right="1117"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4845"/>
        <w:gridCol w:w="4850"/>
      </w:tblGrid>
      <w:tr>
        <w:trPr>
          <w:trHeight w:val="322"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0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3"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苏州能斯达电子科技有限公司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其他关联方情况" w:id="331"/>
      <w:bookmarkEnd w:id="33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4845"/>
        <w:gridCol w:w="4850"/>
      </w:tblGrid>
      <w:tr>
        <w:trPr>
          <w:trHeight w:val="322"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2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323"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2"/>
        <w:rPr>
          <w:rFonts w:ascii="宋体" w:hAnsi="宋体" w:cs="宋体" w:eastAsia="宋体" w:hint="default"/>
          <w:b/>
          <w:bCs/>
          <w:sz w:val="19"/>
          <w:szCs w:val="19"/>
        </w:rPr>
      </w:pPr>
    </w:p>
    <w:p>
      <w:pPr>
        <w:spacing w:before="35"/>
        <w:ind w:left="1134" w:right="1117" w:firstLine="0"/>
        <w:jc w:val="left"/>
        <w:rPr>
          <w:rFonts w:ascii="宋体" w:hAnsi="宋体" w:cs="宋体" w:eastAsia="宋体" w:hint="default"/>
          <w:sz w:val="21"/>
          <w:szCs w:val="21"/>
        </w:rPr>
      </w:pPr>
      <w:bookmarkStart w:name="5、关联交易情况" w:id="332"/>
      <w:bookmarkEnd w:id="33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购销商品、提供和接受劳务的关联交易"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郑州高新梧桐水务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sz w:val="18"/>
              </w:rPr>
              <w:t>21,188,530.50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63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5"/>
              <w:jc w:val="left"/>
              <w:rPr>
                <w:rFonts w:ascii="宋体" w:hAnsi="宋体" w:cs="宋体" w:eastAsia="宋体" w:hint="default"/>
                <w:sz w:val="18"/>
                <w:szCs w:val="18"/>
              </w:rPr>
            </w:pPr>
            <w:r>
              <w:rPr>
                <w:rFonts w:ascii="宋体" w:hAnsi="宋体" w:cs="宋体" w:eastAsia="宋体" w:hint="default"/>
                <w:sz w:val="18"/>
                <w:szCs w:val="18"/>
              </w:rPr>
              <w:t>苏州能斯达电子科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sz w:val="18"/>
              </w:rPr>
              <w:t>1,500,000.00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关联担保情况" w:id="334"/>
      <w:bookmarkEnd w:id="334"/>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任红军、钟超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陈泽枝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62"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8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7" w:right="0"/>
              <w:jc w:val="left"/>
              <w:rPr>
                <w:rFonts w:ascii="宋体" w:hAnsi="宋体" w:cs="宋体" w:eastAsia="宋体" w:hint="default"/>
                <w:sz w:val="18"/>
                <w:szCs w:val="18"/>
              </w:rPr>
            </w:pPr>
            <w:r>
              <w:rPr>
                <w:rFonts w:ascii="宋体"/>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9"/>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宋体"/>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宋体"/>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8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11" w:right="0"/>
              <w:jc w:val="lef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9"/>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1117"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3"/>
        <w:spacing w:line="240" w:lineRule="auto"/>
        <w:ind w:right="1117"/>
        <w:jc w:val="left"/>
        <w:rPr>
          <w:b w:val="0"/>
          <w:bCs w:val="0"/>
        </w:rPr>
      </w:pPr>
      <w:bookmarkStart w:name="（3）关键管理人员报酬" w:id="335"/>
      <w:bookmarkEnd w:id="335"/>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230"/>
        <w:gridCol w:w="3233"/>
        <w:gridCol w:w="3232"/>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20" w:right="0"/>
              <w:jc w:val="left"/>
              <w:rPr>
                <w:rFonts w:ascii="宋体" w:hAnsi="宋体" w:cs="宋体" w:eastAsia="宋体" w:hint="default"/>
                <w:sz w:val="18"/>
                <w:szCs w:val="18"/>
              </w:rPr>
            </w:pPr>
            <w:r>
              <w:rPr>
                <w:rFonts w:ascii="宋体"/>
                <w:sz w:val="18"/>
              </w:rPr>
              <w:t>2,786,500.00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19" w:right="0"/>
              <w:jc w:val="left"/>
              <w:rPr>
                <w:rFonts w:ascii="宋体" w:hAnsi="宋体" w:cs="宋体" w:eastAsia="宋体" w:hint="default"/>
                <w:sz w:val="18"/>
                <w:szCs w:val="18"/>
              </w:rPr>
            </w:pPr>
            <w:r>
              <w:rPr>
                <w:rFonts w:ascii="宋体"/>
                <w:sz w:val="18"/>
              </w:rPr>
              <w:t>2,721,900.00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6、关联方应收应付款项" w:id="336"/>
      <w:bookmarkEnd w:id="33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应收项目"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617"/>
        <w:gridCol w:w="2240"/>
        <w:gridCol w:w="1702"/>
        <w:gridCol w:w="1277"/>
        <w:gridCol w:w="1559"/>
        <w:gridCol w:w="1301"/>
      </w:tblGrid>
      <w:tr>
        <w:trPr>
          <w:trHeight w:val="322"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224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9" w:right="0"/>
              <w:jc w:val="left"/>
              <w:rPr>
                <w:rFonts w:ascii="宋体" w:hAnsi="宋体" w:cs="宋体" w:eastAsia="宋体" w:hint="default"/>
                <w:sz w:val="18"/>
                <w:szCs w:val="18"/>
              </w:rPr>
            </w:pPr>
            <w:r>
              <w:rPr>
                <w:rFonts w:ascii="宋体"/>
                <w:sz w:val="18"/>
              </w:rPr>
              <w:t>4,675,594.95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1117"/>
        <w:jc w:val="left"/>
        <w:rPr>
          <w:b w:val="0"/>
          <w:bCs w:val="0"/>
        </w:rPr>
      </w:pPr>
      <w:bookmarkStart w:name="7、关联方承诺" w:id="338"/>
      <w:bookmarkEnd w:id="33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4" w:right="1117"/>
        <w:jc w:val="left"/>
      </w:pPr>
      <w:r>
        <w:rPr/>
        <w:t>本企业关联方承诺详见第五节、重要事项二、承诺事项履行情况。</w:t>
      </w:r>
    </w:p>
    <w:p>
      <w:pPr>
        <w:spacing w:line="240" w:lineRule="auto" w:before="0"/>
        <w:rPr>
          <w:rFonts w:ascii="宋体" w:hAnsi="宋体" w:cs="宋体" w:eastAsia="宋体" w:hint="default"/>
          <w:sz w:val="20"/>
          <w:szCs w:val="20"/>
        </w:rPr>
      </w:pPr>
    </w:p>
    <w:p>
      <w:pPr>
        <w:pStyle w:val="Heading2"/>
        <w:spacing w:line="240" w:lineRule="auto" w:before="131"/>
        <w:ind w:right="1117"/>
        <w:jc w:val="left"/>
        <w:rPr>
          <w:b w:val="0"/>
          <w:bCs w:val="0"/>
        </w:rPr>
      </w:pPr>
      <w:bookmarkStart w:name="十一、承诺及或有事项" w:id="339"/>
      <w:bookmarkEnd w:id="339"/>
      <w:r>
        <w:rPr>
          <w:b w:val="0"/>
          <w:bCs w:val="0"/>
        </w:rPr>
      </w:r>
      <w:r>
        <w:rPr/>
        <w:t>十一、承诺及或有事项</w:t>
      </w:r>
      <w:r>
        <w:rPr>
          <w:b w:val="0"/>
          <w:bCs w:val="0"/>
        </w:rPr>
      </w:r>
    </w:p>
    <w:p>
      <w:pPr>
        <w:spacing w:line="240" w:lineRule="auto" w:before="8"/>
        <w:rPr>
          <w:rFonts w:ascii="宋体" w:hAnsi="宋体" w:cs="宋体" w:eastAsia="宋体" w:hint="default"/>
          <w:b/>
          <w:bCs/>
          <w:sz w:val="24"/>
          <w:szCs w:val="24"/>
        </w:rPr>
      </w:pPr>
    </w:p>
    <w:p>
      <w:pPr>
        <w:spacing w:line="568" w:lineRule="auto" w:before="0"/>
        <w:ind w:left="1554" w:right="4767" w:hanging="420"/>
        <w:jc w:val="left"/>
        <w:rPr>
          <w:rFonts w:ascii="宋体" w:hAnsi="宋体" w:cs="宋体" w:eastAsia="宋体" w:hint="default"/>
          <w:sz w:val="21"/>
          <w:szCs w:val="21"/>
        </w:rPr>
      </w:pPr>
      <w:bookmarkStart w:name="1、重要承诺事项" w:id="340"/>
      <w:bookmarkEnd w:id="3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r>
        <w:rPr>
          <w:rFonts w:ascii="宋体" w:hAnsi="宋体" w:cs="宋体" w:eastAsia="宋体" w:hint="default"/>
          <w:sz w:val="21"/>
          <w:szCs w:val="21"/>
        </w:rPr>
        <w:t>:</w:t>
      </w:r>
      <w:r>
        <w:rPr>
          <w:rFonts w:ascii="宋体" w:hAnsi="宋体" w:cs="宋体" w:eastAsia="宋体" w:hint="default"/>
          <w:sz w:val="21"/>
          <w:szCs w:val="21"/>
        </w:rPr>
        <w:t>报告期公司无重要承诺事项。</w:t>
      </w:r>
    </w:p>
    <w:p>
      <w:pPr>
        <w:pStyle w:val="Heading3"/>
        <w:spacing w:line="240" w:lineRule="auto" w:before="128"/>
        <w:ind w:right="1117"/>
        <w:jc w:val="left"/>
        <w:rPr>
          <w:b w:val="0"/>
          <w:bCs w:val="0"/>
        </w:rPr>
      </w:pPr>
      <w:bookmarkStart w:name="2、或有事项" w:id="341"/>
      <w:bookmarkEnd w:id="341"/>
      <w:r>
        <w:rPr>
          <w:b w:val="0"/>
          <w:bCs w:val="0"/>
        </w:rPr>
      </w:r>
      <w:r>
        <w:rPr>
          <w:rFonts w:ascii="Times New Roman" w:hAnsi="Times New Roman" w:cs="Times New Roman" w:eastAsia="Times New Roman" w:hint="default"/>
        </w:rPr>
        <w:t>2</w:t>
      </w:r>
      <w:r>
        <w:rPr/>
        <w:t>、或有事项</w:t>
      </w:r>
      <w:r>
        <w:rPr>
          <w:b w:val="0"/>
          <w:bCs w:val="0"/>
        </w:rPr>
      </w:r>
    </w:p>
    <w:p>
      <w:pPr>
        <w:spacing w:line="690" w:lineRule="exact" w:before="15"/>
        <w:ind w:left="1554" w:right="6643" w:hanging="420"/>
        <w:jc w:val="left"/>
        <w:rPr>
          <w:rFonts w:ascii="宋体" w:hAnsi="宋体" w:cs="宋体" w:eastAsia="宋体" w:hint="default"/>
          <w:sz w:val="21"/>
          <w:szCs w:val="21"/>
        </w:rPr>
      </w:pPr>
      <w:bookmarkStart w:name="（1）资产负债表日存在的重要或有事项"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、担保事项</w:t>
      </w:r>
    </w:p>
    <w:p>
      <w:pPr>
        <w:pStyle w:val="BodyText"/>
        <w:spacing w:line="240" w:lineRule="auto" w:before="84"/>
        <w:ind w:left="1554" w:right="712"/>
        <w:jc w:val="left"/>
      </w:pP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2"/>
        </w:rPr>
        <w:t> </w:t>
      </w:r>
      <w:r>
        <w:rPr>
          <w:rFonts w:ascii="宋体" w:hAnsi="宋体" w:cs="宋体" w:eastAsia="宋体" w:hint="default"/>
        </w:rPr>
        <w:t>23</w:t>
      </w:r>
      <w:r>
        <w:rPr>
          <w:rFonts w:ascii="宋体" w:hAnsi="宋体" w:cs="宋体" w:eastAsia="宋体" w:hint="default"/>
          <w:spacing w:val="-50"/>
        </w:rPr>
        <w:t> </w:t>
      </w:r>
      <w:r>
        <w:rPr>
          <w:spacing w:val="-3"/>
        </w:rPr>
        <w:t>日，公司孙公司高新供水为其合营公司郑州高新梧桐水务有限公司借款</w:t>
      </w:r>
      <w:r>
        <w:rPr>
          <w:spacing w:val="-50"/>
        </w:rPr>
        <w:t> </w:t>
      </w:r>
      <w:r>
        <w:rPr>
          <w:rFonts w:ascii="宋体" w:hAnsi="宋体" w:cs="宋体" w:eastAsia="宋体" w:hint="default"/>
        </w:rPr>
        <w:t>6,500.00</w:t>
      </w:r>
      <w:r>
        <w:rPr>
          <w:rFonts w:ascii="宋体" w:hAnsi="宋体" w:cs="宋体" w:eastAsia="宋体" w:hint="default"/>
          <w:spacing w:val="-51"/>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left="1134" w:right="1118"/>
        <w:jc w:val="left"/>
      </w:pPr>
      <w:r>
        <w:rPr/>
        <w:t>提供担保，属于或有事项，该项借款截止</w:t>
      </w:r>
      <w:r>
        <w:rPr>
          <w:spacing w:val="-39"/>
        </w:rPr>
        <w:t> </w:t>
      </w:r>
      <w:r>
        <w:rPr>
          <w:rFonts w:ascii="宋体" w:hAnsi="宋体" w:cs="宋体" w:eastAsia="宋体" w:hint="default"/>
        </w:rPr>
        <w:t>2015</w:t>
      </w:r>
      <w:r>
        <w:rPr>
          <w:rFonts w:ascii="宋体" w:hAnsi="宋体" w:cs="宋体" w:eastAsia="宋体" w:hint="default"/>
          <w:spacing w:val="-40"/>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40"/>
        </w:rPr>
        <w:t> </w:t>
      </w:r>
      <w:r>
        <w:rPr/>
        <w:t>日尚未到期。截止报告期末，郑州高新梧桐水 务有限公司经营及财务状况良好，公司无需确认或有负债。</w:t>
      </w:r>
    </w:p>
    <w:p>
      <w:pPr>
        <w:spacing w:after="0" w:line="408"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left="1134" w:right="1117"/>
        <w:jc w:val="left"/>
        <w:rPr>
          <w:b w:val="0"/>
          <w:bCs w:val="0"/>
        </w:rPr>
      </w:pPr>
      <w:bookmarkStart w:name="十二、资产负债表日后事项" w:id="343"/>
      <w:bookmarkEnd w:id="343"/>
      <w:r>
        <w:rPr>
          <w:b w:val="0"/>
          <w:bCs w:val="0"/>
        </w:rPr>
      </w:r>
      <w:r>
        <w:rPr/>
        <w:t>十二、资产负债表日后事项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bookmarkStart w:name="1、利润分配情况" w:id="344"/>
      <w:bookmarkEnd w:id="34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5049"/>
        <w:gridCol w:w="4646"/>
      </w:tblGrid>
      <w:tr>
        <w:trPr>
          <w:trHeight w:val="323" w:hRule="exact"/>
        </w:trPr>
        <w:tc>
          <w:tcPr>
            <w:tcW w:w="5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5,860,456.12</w:t>
            </w:r>
          </w:p>
        </w:tc>
      </w:tr>
      <w:tr>
        <w:trPr>
          <w:trHeight w:val="322" w:hRule="exact"/>
        </w:trPr>
        <w:tc>
          <w:tcPr>
            <w:tcW w:w="5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5,860,456.12</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其他资产负债表日后事项说明" w:id="345"/>
      <w:bookmarkEnd w:id="345"/>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554" w:right="1117"/>
        <w:jc w:val="left"/>
      </w:pPr>
      <w:r>
        <w:rPr>
          <w:rFonts w:ascii="宋体" w:hAnsi="宋体" w:cs="宋体" w:eastAsia="宋体" w:hint="default"/>
        </w:rPr>
        <w:t>1</w:t>
      </w:r>
      <w:r>
        <w:rPr/>
        <w:t>、购买子公司</w:t>
      </w:r>
    </w:p>
    <w:p>
      <w:pPr>
        <w:spacing w:line="240" w:lineRule="auto" w:before="10"/>
        <w:rPr>
          <w:rFonts w:ascii="宋体" w:hAnsi="宋体" w:cs="宋体" w:eastAsia="宋体" w:hint="default"/>
          <w:sz w:val="14"/>
          <w:szCs w:val="14"/>
        </w:rPr>
      </w:pPr>
    </w:p>
    <w:p>
      <w:pPr>
        <w:pStyle w:val="BodyText"/>
        <w:spacing w:line="408" w:lineRule="auto" w:before="0"/>
        <w:ind w:left="1554" w:right="1017"/>
        <w:jc w:val="left"/>
      </w:pPr>
      <w:r>
        <w:rPr/>
        <w:t>（</w:t>
      </w:r>
      <w:r>
        <w:rPr>
          <w:rFonts w:ascii="宋体" w:hAnsi="宋体" w:cs="宋体" w:eastAsia="宋体" w:hint="default"/>
        </w:rPr>
        <w:t>1</w:t>
      </w:r>
      <w:r>
        <w:rPr/>
        <w:t>）投资河南雪城软件有限公司 </w:t>
      </w:r>
      <w:r>
        <w:rPr>
          <w:spacing w:val="-3"/>
        </w:rPr>
        <w:t>公司第三届董事会第十八次会议审议通过了《关于使用自有资金投资河南雪城软件有限公司的议案》，</w:t>
      </w:r>
    </w:p>
    <w:p>
      <w:pPr>
        <w:pStyle w:val="BodyText"/>
        <w:spacing w:line="240" w:lineRule="auto"/>
        <w:ind w:left="1134" w:right="1117"/>
        <w:jc w:val="left"/>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8</w:t>
      </w:r>
      <w:r>
        <w:rPr/>
        <w:t>日，河南雪城软件有限公司收到了工商登记机关核发的《营业执照》。</w:t>
      </w:r>
    </w:p>
    <w:p>
      <w:pPr>
        <w:spacing w:line="240" w:lineRule="auto" w:before="10"/>
        <w:rPr>
          <w:rFonts w:ascii="宋体" w:hAnsi="宋体" w:cs="宋体" w:eastAsia="宋体" w:hint="default"/>
          <w:sz w:val="14"/>
          <w:szCs w:val="14"/>
        </w:rPr>
      </w:pPr>
    </w:p>
    <w:p>
      <w:pPr>
        <w:pStyle w:val="BodyText"/>
        <w:spacing w:line="408" w:lineRule="auto" w:before="0"/>
        <w:ind w:left="1553" w:right="1117"/>
        <w:jc w:val="left"/>
      </w:pPr>
      <w:r>
        <w:rPr/>
        <w:t>（</w:t>
      </w:r>
      <w:r>
        <w:rPr>
          <w:rFonts w:ascii="宋体" w:hAnsi="宋体" w:cs="宋体" w:eastAsia="宋体" w:hint="default"/>
        </w:rPr>
        <w:t>2</w:t>
      </w:r>
      <w:r>
        <w:rPr/>
        <w:t>）投资郑州德析检测技术有限公司 </w:t>
      </w:r>
      <w:r>
        <w:rPr>
          <w:spacing w:val="-1"/>
        </w:rPr>
        <w:t>公司第三届董事会第十九次会议审议通过了《贺肖冰、董三希与河南汉威电子股份有限公司关于郑州</w:t>
      </w:r>
    </w:p>
    <w:p>
      <w:pPr>
        <w:pStyle w:val="BodyText"/>
        <w:spacing w:line="408" w:lineRule="auto"/>
        <w:ind w:left="1554" w:right="1117" w:hanging="420"/>
        <w:jc w:val="left"/>
      </w:pPr>
      <w:r>
        <w:rPr/>
        <w:t>德析检测技术有限公司增资协议书》，公司拟以增资方式收购郑州德析检测技术有限公司</w:t>
      </w:r>
      <w:r>
        <w:rPr>
          <w:rFonts w:ascii="宋体" w:hAnsi="宋体" w:cs="宋体" w:eastAsia="宋体" w:hint="default"/>
        </w:rPr>
        <w:t>51%</w:t>
      </w:r>
      <w:r>
        <w:rPr/>
        <w:t>的股权。 </w:t>
      </w:r>
      <w:r>
        <w:rPr>
          <w:rFonts w:ascii="宋体" w:hAnsi="宋体" w:cs="宋体" w:eastAsia="宋体" w:hint="default"/>
        </w:rPr>
        <w:t>2</w:t>
      </w:r>
      <w:r>
        <w:rPr/>
        <w:t>、设立上海威研融创实业有限公司 公司第三届董事会第十八次会议审议通过了《关于拟设立全资子公司的议案》，</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12</w:t>
      </w:r>
      <w:r>
        <w:rPr/>
        <w:t>日，新</w:t>
      </w:r>
    </w:p>
    <w:p>
      <w:pPr>
        <w:pStyle w:val="BodyText"/>
        <w:spacing w:line="408" w:lineRule="auto"/>
        <w:ind w:left="1554" w:right="3402" w:hanging="420"/>
        <w:jc w:val="left"/>
      </w:pPr>
      <w:r>
        <w:rPr/>
        <w:t>设子公司上海威研融创实业有限公司收到了工商登记机关核发的《营业执照》。 </w:t>
      </w:r>
      <w:r>
        <w:rPr>
          <w:rFonts w:ascii="宋体" w:hAnsi="宋体" w:cs="宋体" w:eastAsia="宋体" w:hint="default"/>
        </w:rPr>
        <w:t>3</w:t>
      </w:r>
      <w:r>
        <w:rPr/>
        <w:t>、收购少数股东股权</w:t>
      </w:r>
    </w:p>
    <w:p>
      <w:pPr>
        <w:pStyle w:val="BodyText"/>
        <w:spacing w:line="408" w:lineRule="auto"/>
        <w:ind w:right="712" w:firstLine="420"/>
        <w:jc w:val="left"/>
      </w:pPr>
      <w:r>
        <w:rPr/>
        <w:t>根据子公司上海中威</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25</w:t>
      </w:r>
      <w:r>
        <w:rPr/>
        <w:t>日股东会决议，同意由本公司受让上海中威原少数股东持有的</w:t>
      </w:r>
      <w:r>
        <w:rPr>
          <w:rFonts w:ascii="宋体" w:hAnsi="宋体" w:cs="宋体" w:eastAsia="宋体" w:hint="default"/>
        </w:rPr>
        <w:t>15.00% </w:t>
      </w:r>
      <w:r>
        <w:rPr>
          <w:spacing w:val="-3"/>
        </w:rPr>
        <w:t>股权。股权转让工商变更于</w:t>
      </w:r>
      <w:r>
        <w:rPr>
          <w:rFonts w:ascii="宋体" w:hAnsi="宋体" w:cs="宋体" w:eastAsia="宋体" w:hint="default"/>
          <w:spacing w:val="-3"/>
        </w:rPr>
        <w:t>2016</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14</w:t>
      </w:r>
      <w:r>
        <w:rPr>
          <w:spacing w:val="-3"/>
        </w:rPr>
        <w:t>日办理完成，本公司持有上海中威的股权比例由</w:t>
      </w:r>
      <w:r>
        <w:rPr>
          <w:rFonts w:ascii="宋体" w:hAnsi="宋体" w:cs="宋体" w:eastAsia="宋体" w:hint="default"/>
          <w:spacing w:val="-3"/>
        </w:rPr>
        <w:t>43.00%</w:t>
      </w:r>
      <w:r>
        <w:rPr>
          <w:spacing w:val="-3"/>
        </w:rPr>
        <w:t>变为</w:t>
      </w:r>
      <w:r>
        <w:rPr>
          <w:rFonts w:ascii="宋体" w:hAnsi="宋体" w:cs="宋体" w:eastAsia="宋体" w:hint="default"/>
          <w:spacing w:val="-3"/>
        </w:rPr>
        <w:t>58.00%</w:t>
      </w:r>
      <w:r>
        <w:rPr>
          <w:spacing w:val="-3"/>
        </w:rPr>
        <w:t>。</w:t>
      </w:r>
    </w:p>
    <w:p>
      <w:pPr>
        <w:spacing w:line="240" w:lineRule="auto" w:before="11"/>
        <w:rPr>
          <w:rFonts w:ascii="宋体" w:hAnsi="宋体" w:cs="宋体" w:eastAsia="宋体" w:hint="default"/>
          <w:sz w:val="18"/>
          <w:szCs w:val="18"/>
        </w:rPr>
      </w:pPr>
    </w:p>
    <w:p>
      <w:pPr>
        <w:pStyle w:val="Heading2"/>
        <w:spacing w:line="240" w:lineRule="auto"/>
        <w:ind w:right="1117"/>
        <w:jc w:val="left"/>
        <w:rPr>
          <w:b w:val="0"/>
          <w:bCs w:val="0"/>
        </w:rPr>
      </w:pPr>
      <w:bookmarkStart w:name="十三、其他重要事项" w:id="346"/>
      <w:bookmarkEnd w:id="346"/>
      <w:r>
        <w:rPr>
          <w:b w:val="0"/>
          <w:bCs w:val="0"/>
        </w:rPr>
      </w:r>
      <w:r>
        <w:rPr/>
        <w:t>十三、其他重要事项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分部信息" w:id="347"/>
      <w:bookmarkEnd w:id="347"/>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报告分部的确定依据与会计政策"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408" w:lineRule="auto" w:before="0"/>
        <w:ind w:left="1553" w:right="1117"/>
        <w:jc w:val="left"/>
      </w:pPr>
      <w:r>
        <w:rPr/>
        <w:t>本公司以内部组织结构、管理要求、内部报告制度为依据确定业务分部。 </w:t>
      </w:r>
      <w:r>
        <w:rPr>
          <w:spacing w:val="-1"/>
        </w:rPr>
        <w:t>本公司的业务分部是指同时满足下列条件的组成部分：该组成部分能够在日常活动中产生收入、发生</w:t>
      </w:r>
    </w:p>
    <w:p>
      <w:pPr>
        <w:pStyle w:val="BodyText"/>
        <w:spacing w:line="408" w:lineRule="auto"/>
        <w:ind w:right="1117"/>
        <w:jc w:val="left"/>
      </w:pPr>
      <w:r>
        <w:rPr>
          <w:spacing w:val="-1"/>
        </w:rPr>
        <w:t>费用；管理层能够定期评价该组成部分的经营成果，以决定向其配置资源、评价其业绩；能够取得该组成</w:t>
      </w:r>
      <w:r>
        <w:rPr>
          <w:spacing w:val="-86"/>
        </w:rPr>
        <w:t> </w:t>
      </w:r>
      <w:r>
        <w:rPr>
          <w:spacing w:val="-86"/>
        </w:rPr>
      </w:r>
      <w:r>
        <w:rPr/>
        <w:t>部分的财务状况、经营成果和现金流量等有关会计信息。</w:t>
      </w:r>
    </w:p>
    <w:p>
      <w:pPr>
        <w:spacing w:after="0" w:line="408"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1117"/>
        <w:jc w:val="left"/>
        <w:rPr>
          <w:b w:val="0"/>
          <w:bCs w:val="0"/>
        </w:rPr>
      </w:pPr>
      <w:bookmarkStart w:name="（2）报告分部的财务信息" w:id="349"/>
      <w:bookmarkEnd w:id="34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616"/>
        <w:gridCol w:w="1616"/>
        <w:gridCol w:w="1617"/>
        <w:gridCol w:w="1615"/>
        <w:gridCol w:w="1616"/>
        <w:gridCol w:w="1615"/>
      </w:tblGrid>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3"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2" w:right="0"/>
              <w:jc w:val="left"/>
              <w:rPr>
                <w:rFonts w:ascii="宋体" w:hAnsi="宋体" w:cs="宋体" w:eastAsia="宋体" w:hint="default"/>
                <w:sz w:val="18"/>
                <w:szCs w:val="18"/>
              </w:rPr>
            </w:pPr>
            <w:r>
              <w:rPr>
                <w:rFonts w:ascii="宋体" w:hAnsi="宋体" w:cs="宋体" w:eastAsia="宋体" w:hint="default"/>
                <w:sz w:val="18"/>
                <w:szCs w:val="18"/>
              </w:rPr>
              <w:t>公用事业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环保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332,544,409.94</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161,866,345.23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230,754,952.92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-5,211,794.85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719,953,913.24</w:t>
            </w:r>
          </w:p>
        </w:tc>
      </w:tr>
      <w:tr>
        <w:trPr>
          <w:trHeight w:val="32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161,247,413.93</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109,975,718.00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148,404,891.54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-2,622,318.24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417,005,705.23</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7"/>
                <w:sz w:val="18"/>
                <w:szCs w:val="18"/>
              </w:rPr>
              <w:t>三、对联营和合营企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业的投资收益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-499,935.38</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1,813,467.39</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1,313,532.01</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7,178,978.22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1,492,021.45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2,877,891.67</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11,548,891.34</w:t>
            </w:r>
          </w:p>
        </w:tc>
      </w:tr>
      <w:tr>
        <w:trPr>
          <w:trHeight w:val="32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7"/>
                <w:sz w:val="18"/>
                <w:szCs w:val="18"/>
              </w:rPr>
              <w:t>五、折旧费和摊销费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30,626,095.27</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4,306,455.15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24,682,871.37</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59,615,421.79</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33,729,522.12</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46,740,139.19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41,607,607.60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-2,589,476.61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119,487,792.30</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7,076,465.86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9,051,036.10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4,585,908.90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-388,421.49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20,324,989.37</w:t>
            </w:r>
          </w:p>
        </w:tc>
      </w:tr>
      <w:tr>
        <w:trPr>
          <w:trHeight w:val="32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26,653,056.26</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37,689,103.09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37,021,698.70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-2,201,055.12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99,162,802.93</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1,920,912,647.33</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1,093,220,140.73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629,836,935.89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-833,161,392.84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2,810,808,331.11</w:t>
            </w:r>
          </w:p>
        </w:tc>
      </w:tr>
      <w:tr>
        <w:trPr>
          <w:trHeight w:val="32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718,928,497.91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826,465,725.29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310,159,316.82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-546,101,025.65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1,309,452,514.37</w:t>
            </w:r>
          </w:p>
        </w:tc>
      </w:tr>
    </w:tbl>
    <w:p>
      <w:pPr>
        <w:spacing w:line="240" w:lineRule="auto" w:before="2"/>
        <w:rPr>
          <w:rFonts w:ascii="宋体" w:hAnsi="宋体" w:cs="宋体" w:eastAsia="宋体" w:hint="default"/>
          <w:sz w:val="19"/>
          <w:szCs w:val="19"/>
        </w:rPr>
      </w:pPr>
    </w:p>
    <w:p>
      <w:pPr>
        <w:pStyle w:val="Heading3"/>
        <w:spacing w:line="506" w:lineRule="auto" w:before="35"/>
        <w:ind w:right="6431"/>
        <w:jc w:val="left"/>
        <w:rPr>
          <w:rFonts w:ascii="宋体" w:hAnsi="宋体" w:cs="宋体" w:eastAsia="宋体" w:hint="default"/>
          <w:b w:val="0"/>
          <w:bCs w:val="0"/>
        </w:rPr>
      </w:pPr>
      <w:bookmarkStart w:name="2、其他对投资者决策有影响的重要交易和事项" w:id="350"/>
      <w:bookmarkEnd w:id="350"/>
      <w:r>
        <w:rPr>
          <w:b w:val="0"/>
          <w:bCs w:val="0"/>
        </w:rPr>
      </w:r>
      <w:r>
        <w:rPr>
          <w:rFonts w:ascii="Times New Roman" w:hAnsi="Times New Roman" w:cs="Times New Roman" w:eastAsia="Times New Roman" w:hint="default"/>
        </w:rPr>
        <w:t>2</w:t>
      </w:r>
      <w:r>
        <w:rPr/>
        <w:t>、其他对投资者决策有影响的重要交易和事项</w:t>
      </w:r>
      <w:r>
        <w:rPr>
          <w:w w:val="99"/>
        </w:rPr>
        <w:t> </w:t>
      </w:r>
      <w:r>
        <w:rPr>
          <w:rFonts w:ascii="宋体" w:hAnsi="宋体" w:cs="宋体" w:eastAsia="宋体" w:hint="default"/>
          <w:b w:val="0"/>
          <w:bCs w:val="0"/>
        </w:rPr>
        <w:t>无。</w:t>
      </w:r>
    </w:p>
    <w:p>
      <w:pPr>
        <w:spacing w:before="82"/>
        <w:ind w:left="1134" w:right="1117" w:firstLine="0"/>
        <w:jc w:val="left"/>
        <w:rPr>
          <w:rFonts w:ascii="宋体" w:hAnsi="宋体" w:cs="宋体" w:eastAsia="宋体" w:hint="default"/>
          <w:sz w:val="24"/>
          <w:szCs w:val="24"/>
        </w:rPr>
      </w:pPr>
      <w:bookmarkStart w:name="十四、母公司财务报表主要项目注释" w:id="351"/>
      <w:bookmarkEnd w:id="351"/>
      <w:r>
        <w:rPr/>
      </w:r>
      <w:r>
        <w:rPr>
          <w:rFonts w:ascii="宋体" w:hAnsi="宋体" w:cs="宋体" w:eastAsia="宋体" w:hint="default"/>
          <w:b/>
          <w:bCs/>
          <w:sz w:val="24"/>
          <w:szCs w:val="24"/>
        </w:rPr>
        <w:t>十四、母公司财务报表主要项目注释</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应收账款" w:id="352"/>
      <w:bookmarkEnd w:id="35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117" w:firstLine="0"/>
        <w:jc w:val="left"/>
        <w:rPr>
          <w:rFonts w:ascii="宋体" w:hAnsi="宋体" w:cs="宋体" w:eastAsia="宋体" w:hint="default"/>
          <w:sz w:val="21"/>
          <w:szCs w:val="21"/>
        </w:rPr>
      </w:pPr>
      <w:bookmarkStart w:name="（1）应收账款分类披露"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1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23" w:space="0" w:color="D2D2D2"/>
              <w:right w:val="single" w:sz="23" w:space="0" w:color="D2D2D2"/>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23" w:space="0" w:color="D2D2D2"/>
              <w:bottom w:val="nil" w:sz="6" w:space="0" w:color="auto"/>
              <w:right w:val="single" w:sz="23" w:space="0" w:color="D2D2D2"/>
            </w:tcBorders>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94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8"/>
                <w:szCs w:val="18"/>
              </w:rPr>
            </w:pPr>
            <w:r>
              <w:rPr>
                <w:rFonts w:ascii="宋体"/>
                <w:sz w:val="18"/>
              </w:rPr>
              <w:t>108,181</w:t>
            </w:r>
          </w:p>
          <w:p>
            <w:pPr>
              <w:pStyle w:val="TableParagraph"/>
              <w:spacing w:line="240" w:lineRule="auto" w:before="76"/>
              <w:ind w:left="99" w:right="0"/>
              <w:jc w:val="left"/>
              <w:rPr>
                <w:rFonts w:ascii="宋体" w:hAnsi="宋体" w:cs="宋体" w:eastAsia="宋体" w:hint="default"/>
                <w:sz w:val="18"/>
                <w:szCs w:val="18"/>
              </w:rPr>
            </w:pPr>
            <w:r>
              <w:rPr>
                <w:rFonts w:ascii="宋体"/>
                <w:sz w:val="18"/>
              </w:rPr>
              <w:t>,675.73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94.82%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14,385,</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174.08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13.30%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sz w:val="18"/>
              </w:rPr>
              <w:t>93,796,5</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01.65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100,30</w:t>
            </w:r>
          </w:p>
          <w:p>
            <w:pPr>
              <w:pStyle w:val="TableParagraph"/>
              <w:spacing w:line="240" w:lineRule="auto" w:before="76"/>
              <w:ind w:right="23"/>
              <w:jc w:val="right"/>
              <w:rPr>
                <w:rFonts w:ascii="宋体" w:hAnsi="宋体" w:cs="宋体" w:eastAsia="宋体" w:hint="default"/>
                <w:sz w:val="18"/>
                <w:szCs w:val="18"/>
              </w:rPr>
            </w:pPr>
            <w:r>
              <w:rPr>
                <w:rFonts w:ascii="宋体"/>
                <w:sz w:val="18"/>
              </w:rPr>
              <w:t>8,720.</w:t>
            </w:r>
          </w:p>
          <w:p>
            <w:pPr>
              <w:pStyle w:val="TableParagraph"/>
              <w:spacing w:line="240" w:lineRule="auto" w:before="76"/>
              <w:ind w:right="23"/>
              <w:jc w:val="right"/>
              <w:rPr>
                <w:rFonts w:ascii="宋体" w:hAnsi="宋体" w:cs="宋体" w:eastAsia="宋体" w:hint="default"/>
                <w:sz w:val="18"/>
                <w:szCs w:val="18"/>
              </w:rPr>
            </w:pPr>
            <w:r>
              <w:rPr>
                <w:rFonts w:ascii="宋体"/>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95.63%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sz w:val="18"/>
              </w:rPr>
              <w:t>11,901,3</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40.93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11.86%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sz w:val="18"/>
              </w:rPr>
              <w:t>88,407,37</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9.51</w:t>
            </w:r>
          </w:p>
        </w:tc>
      </w:tr>
      <w:tr>
        <w:trPr>
          <w:trHeight w:val="94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center"/>
              <w:rPr>
                <w:rFonts w:ascii="宋体" w:hAnsi="宋体" w:cs="宋体" w:eastAsia="宋体" w:hint="default"/>
                <w:sz w:val="18"/>
                <w:szCs w:val="18"/>
              </w:rPr>
            </w:pPr>
            <w:r>
              <w:rPr>
                <w:rFonts w:ascii="宋体"/>
                <w:sz w:val="18"/>
              </w:rPr>
              <w:t>5,905,7</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30.55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5.18%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sz w:val="18"/>
              </w:rPr>
              <w:t>5,905,73</w:t>
            </w:r>
          </w:p>
          <w:p>
            <w:pPr>
              <w:pStyle w:val="TableParagraph"/>
              <w:spacing w:line="240" w:lineRule="auto" w:before="76"/>
              <w:ind w:left="397" w:right="0"/>
              <w:jc w:val="left"/>
              <w:rPr>
                <w:rFonts w:ascii="宋体" w:hAnsi="宋体" w:cs="宋体" w:eastAsia="宋体" w:hint="default"/>
                <w:sz w:val="18"/>
                <w:szCs w:val="18"/>
              </w:rPr>
            </w:pPr>
            <w:r>
              <w:rPr>
                <w:rFonts w:ascii="宋体"/>
                <w:sz w:val="18"/>
              </w:rPr>
              <w:t>0.55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0" w:right="0"/>
              <w:jc w:val="left"/>
              <w:rPr>
                <w:rFonts w:ascii="宋体" w:hAnsi="宋体" w:cs="宋体" w:eastAsia="宋体" w:hint="default"/>
                <w:sz w:val="18"/>
                <w:szCs w:val="18"/>
              </w:rPr>
            </w:pPr>
            <w:r>
              <w:rPr>
                <w:rFonts w:ascii="宋体"/>
                <w:sz w:val="18"/>
              </w:rPr>
              <w:t>4,587,</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276.10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4.37%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4,587,276</w:t>
            </w:r>
          </w:p>
          <w:p>
            <w:pPr>
              <w:pStyle w:val="TableParagraph"/>
              <w:spacing w:line="240" w:lineRule="auto" w:before="76"/>
              <w:ind w:right="23"/>
              <w:jc w:val="right"/>
              <w:rPr>
                <w:rFonts w:ascii="宋体" w:hAnsi="宋体" w:cs="宋体" w:eastAsia="宋体" w:hint="default"/>
                <w:sz w:val="18"/>
                <w:szCs w:val="18"/>
              </w:rPr>
            </w:pPr>
            <w:r>
              <w:rPr>
                <w:rFonts w:ascii="宋体"/>
                <w:sz w:val="18"/>
              </w:rPr>
              <w:t>.10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114,087</w:t>
            </w:r>
          </w:p>
          <w:p>
            <w:pPr>
              <w:pStyle w:val="TableParagraph"/>
              <w:spacing w:line="240" w:lineRule="auto" w:before="77"/>
              <w:ind w:left="105" w:right="0"/>
              <w:jc w:val="left"/>
              <w:rPr>
                <w:rFonts w:ascii="宋体" w:hAnsi="宋体" w:cs="宋体" w:eastAsia="宋体" w:hint="default"/>
                <w:sz w:val="18"/>
                <w:szCs w:val="18"/>
              </w:rPr>
            </w:pPr>
            <w:r>
              <w:rPr>
                <w:rFonts w:ascii="宋体"/>
                <w:sz w:val="18"/>
              </w:rPr>
              <w:t>,406.28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14,385,</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174.08</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sz w:val="18"/>
              </w:rPr>
              <w:t>99,702,2</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32.20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104,89</w:t>
            </w:r>
          </w:p>
          <w:p>
            <w:pPr>
              <w:pStyle w:val="TableParagraph"/>
              <w:spacing w:line="240" w:lineRule="auto" w:before="77"/>
              <w:ind w:right="23"/>
              <w:jc w:val="right"/>
              <w:rPr>
                <w:rFonts w:ascii="宋体" w:hAnsi="宋体" w:cs="宋体" w:eastAsia="宋体" w:hint="default"/>
                <w:sz w:val="18"/>
                <w:szCs w:val="18"/>
              </w:rPr>
            </w:pPr>
            <w:r>
              <w:rPr>
                <w:rFonts w:ascii="宋体"/>
                <w:sz w:val="18"/>
              </w:rPr>
              <w:t>5,996.</w:t>
            </w:r>
          </w:p>
          <w:p>
            <w:pPr>
              <w:pStyle w:val="TableParagraph"/>
              <w:spacing w:line="240" w:lineRule="auto" w:before="76"/>
              <w:ind w:right="23"/>
              <w:jc w:val="right"/>
              <w:rPr>
                <w:rFonts w:ascii="宋体" w:hAnsi="宋体" w:cs="宋体" w:eastAsia="宋体" w:hint="default"/>
                <w:sz w:val="18"/>
                <w:szCs w:val="18"/>
              </w:rPr>
            </w:pPr>
            <w:r>
              <w:rPr>
                <w:rFonts w:ascii="宋体"/>
                <w:sz w:val="18"/>
              </w:rPr>
              <w:t>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sz w:val="18"/>
              </w:rPr>
              <w:t>11,901,3</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40.93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sz w:val="18"/>
              </w:rPr>
              <w:t>92,994,65</w:t>
            </w:r>
          </w:p>
          <w:p>
            <w:pPr>
              <w:pStyle w:val="TableParagraph"/>
              <w:spacing w:line="240" w:lineRule="auto" w:before="77"/>
              <w:ind w:left="538" w:right="0"/>
              <w:jc w:val="left"/>
              <w:rPr>
                <w:rFonts w:ascii="宋体" w:hAnsi="宋体" w:cs="宋体" w:eastAsia="宋体" w:hint="default"/>
                <w:sz w:val="18"/>
                <w:szCs w:val="18"/>
              </w:rPr>
            </w:pPr>
            <w:r>
              <w:rPr>
                <w:rFonts w:ascii="宋体"/>
                <w:sz w:val="18"/>
              </w:rPr>
              <w:t>5.61</w:t>
            </w:r>
          </w:p>
        </w:tc>
      </w:tr>
      <w:tr>
        <w:trPr>
          <w:trHeight w:val="31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10"/>
        <w:rPr>
          <w:rFonts w:ascii="宋体" w:hAnsi="宋体" w:cs="宋体" w:eastAsia="宋体" w:hint="default"/>
          <w:sz w:val="20"/>
          <w:szCs w:val="20"/>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line="240" w:lineRule="auto" w:before="10"/>
        <w:rPr>
          <w:rFonts w:ascii="宋体" w:hAnsi="宋体" w:cs="宋体" w:eastAsia="宋体" w:hint="default"/>
          <w:sz w:val="20"/>
          <w:szCs w:val="20"/>
        </w:rPr>
      </w:pPr>
    </w:p>
    <w:p>
      <w:pPr>
        <w:spacing w:before="0"/>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2507"/>
        <w:gridCol w:w="2331"/>
        <w:gridCol w:w="2423"/>
        <w:gridCol w:w="2422"/>
      </w:tblGrid>
      <w:tr>
        <w:trPr>
          <w:trHeight w:val="166" w:hRule="exact"/>
        </w:trPr>
        <w:tc>
          <w:tcPr>
            <w:tcW w:w="2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5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2507" w:type="dxa"/>
            <w:vMerge/>
            <w:tcBorders>
              <w:left w:val="single" w:sz="4" w:space="0" w:color="000000"/>
              <w:bottom w:val="nil" w:sz="6" w:space="0" w:color="auto"/>
              <w:right w:val="single" w:sz="4" w:space="0" w:color="000000"/>
            </w:tcBorders>
            <w:shd w:val="clear" w:color="auto" w:fill="D2D2D2"/>
          </w:tcPr>
          <w:p>
            <w:pPr/>
          </w:p>
        </w:tc>
        <w:tc>
          <w:tcPr>
            <w:tcW w:w="2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31" w:type="dxa"/>
            <w:vMerge/>
            <w:tcBorders>
              <w:left w:val="single" w:sz="4" w:space="0" w:color="000000"/>
              <w:bottom w:val="single" w:sz="4" w:space="0" w:color="000000"/>
              <w:right w:val="single" w:sz="4" w:space="0" w:color="000000"/>
            </w:tcBorders>
            <w:shd w:val="clear" w:color="auto" w:fill="D2D2D2"/>
          </w:tcPr>
          <w:p>
            <w:pPr/>
          </w:p>
        </w:tc>
        <w:tc>
          <w:tcPr>
            <w:tcW w:w="2423" w:type="dxa"/>
            <w:vMerge/>
            <w:tcBorders>
              <w:left w:val="single" w:sz="4" w:space="0" w:color="000000"/>
              <w:bottom w:val="single" w:sz="4" w:space="0" w:color="000000"/>
              <w:right w:val="single" w:sz="4" w:space="0" w:color="000000"/>
            </w:tcBorders>
            <w:shd w:val="clear" w:color="auto" w:fill="D2D2D2"/>
          </w:tcPr>
          <w:p>
            <w:pPr/>
          </w:p>
        </w:tc>
        <w:tc>
          <w:tcPr>
            <w:tcW w:w="2422"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96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67,290,238.55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3,364,511.93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w:t>
            </w: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18,755,709.49</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1,875,570.95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7,330,131.89</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1,466,026.38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14,805,595.80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7,679,064.82</w:t>
            </w: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8,006,824.89</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2,402,047.47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3,043,507.11</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1,521,753.55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3,755,263.80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3,755,263.80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108,181,675.73</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14,385,174.08</w:t>
            </w:r>
          </w:p>
        </w:tc>
        <w:tc>
          <w:tcPr>
            <w:tcW w:w="24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line="518" w:lineRule="auto" w:before="44"/>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489" w:lineRule="auto" w:before="63"/>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18"/>
          <w:szCs w:val="18"/>
        </w:rPr>
      </w:pPr>
    </w:p>
    <w:p>
      <w:pPr>
        <w:pStyle w:val="Heading3"/>
        <w:spacing w:line="240" w:lineRule="auto"/>
        <w:ind w:left="1133" w:right="1117"/>
        <w:jc w:val="left"/>
        <w:rPr>
          <w:b w:val="0"/>
          <w:bCs w:val="0"/>
        </w:rPr>
      </w:pPr>
      <w:bookmarkStart w:name="（2）本期计提、收回或转回的坏账准备情况" w:id="354"/>
      <w:bookmarkEnd w:id="3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2,483,833.15</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1117"/>
        <w:jc w:val="left"/>
        <w:rPr>
          <w:b w:val="0"/>
          <w:bCs w:val="0"/>
        </w:rPr>
      </w:pPr>
      <w:bookmarkStart w:name="（3）按欠款方归集的期末余额前五名的应收账款情况" w:id="355"/>
      <w:bookmarkEnd w:id="35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7" w:type="dxa"/>
        <w:tblLayout w:type="fixed"/>
        <w:tblCellMar>
          <w:top w:w="0" w:type="dxa"/>
          <w:left w:w="0" w:type="dxa"/>
          <w:bottom w:w="0" w:type="dxa"/>
          <w:right w:w="0" w:type="dxa"/>
        </w:tblCellMar>
        <w:tblLook w:val="01E0"/>
      </w:tblPr>
      <w:tblGrid>
        <w:gridCol w:w="3731"/>
        <w:gridCol w:w="2355"/>
        <w:gridCol w:w="1728"/>
        <w:gridCol w:w="1844"/>
      </w:tblGrid>
      <w:tr>
        <w:trPr>
          <w:trHeight w:val="660" w:hRule="exact"/>
        </w:trPr>
        <w:tc>
          <w:tcPr>
            <w:tcW w:w="3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32" w:right="45" w:hanging="586"/>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宋体" w:hAnsi="宋体" w:cs="宋体" w:eastAsia="宋体" w:hint="default"/>
                <w:sz w:val="18"/>
                <w:szCs w:val="18"/>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7" w:hRule="exact"/>
        </w:trPr>
        <w:tc>
          <w:tcPr>
            <w:tcW w:w="3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4,346,401.50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3.81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217,320.08</w:t>
            </w:r>
          </w:p>
        </w:tc>
      </w:tr>
      <w:tr>
        <w:trPr>
          <w:trHeight w:val="347" w:hRule="exact"/>
        </w:trPr>
        <w:tc>
          <w:tcPr>
            <w:tcW w:w="3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陕西格润科贸有限责任公司</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2,814,954.84</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2.47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140,747.74</w:t>
            </w:r>
          </w:p>
        </w:tc>
      </w:tr>
      <w:tr>
        <w:trPr>
          <w:trHeight w:val="347" w:hRule="exact"/>
        </w:trPr>
        <w:tc>
          <w:tcPr>
            <w:tcW w:w="3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2,574,570.85</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2.26</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新疆浩源天然气股份有限公司</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2,524,620.00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126,231.00</w:t>
            </w:r>
          </w:p>
        </w:tc>
      </w:tr>
      <w:tr>
        <w:trPr>
          <w:trHeight w:val="347" w:hRule="exact"/>
        </w:trPr>
        <w:tc>
          <w:tcPr>
            <w:tcW w:w="3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宁波中金石化有限公司</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2,513,876.80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125,693.84</w:t>
            </w:r>
          </w:p>
        </w:tc>
      </w:tr>
      <w:tr>
        <w:trPr>
          <w:trHeight w:val="348" w:hRule="exact"/>
        </w:trPr>
        <w:tc>
          <w:tcPr>
            <w:tcW w:w="3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14,774,423.99</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12.95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609,992.66</w:t>
            </w:r>
          </w:p>
        </w:tc>
      </w:tr>
    </w:tbl>
    <w:p>
      <w:pPr>
        <w:spacing w:line="240" w:lineRule="auto" w:before="2"/>
        <w:rPr>
          <w:rFonts w:ascii="宋体" w:hAnsi="宋体" w:cs="宋体" w:eastAsia="宋体" w:hint="default"/>
          <w:b/>
          <w:bCs/>
          <w:sz w:val="19"/>
          <w:szCs w:val="19"/>
        </w:rPr>
      </w:pPr>
    </w:p>
    <w:p>
      <w:pPr>
        <w:spacing w:before="35"/>
        <w:ind w:left="1134" w:right="1117" w:firstLine="0"/>
        <w:jc w:val="left"/>
        <w:rPr>
          <w:rFonts w:ascii="宋体" w:hAnsi="宋体" w:cs="宋体" w:eastAsia="宋体" w:hint="default"/>
          <w:sz w:val="21"/>
          <w:szCs w:val="21"/>
        </w:rPr>
      </w:pPr>
      <w:bookmarkStart w:name="2、其他应收款" w:id="356"/>
      <w:bookmarkEnd w:id="3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117" w:firstLine="0"/>
        <w:jc w:val="left"/>
        <w:rPr>
          <w:rFonts w:ascii="宋体" w:hAnsi="宋体" w:cs="宋体" w:eastAsia="宋体" w:hint="default"/>
          <w:sz w:val="21"/>
          <w:szCs w:val="21"/>
        </w:rPr>
      </w:pPr>
      <w:bookmarkStart w:name="（1）其他应收款分类披露"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13" w:type="dxa"/>
        <w:tblLayout w:type="fixed"/>
        <w:tblCellMar>
          <w:top w:w="0" w:type="dxa"/>
          <w:left w:w="0" w:type="dxa"/>
          <w:bottom w:w="0" w:type="dxa"/>
          <w:right w:w="0" w:type="dxa"/>
        </w:tblCellMar>
        <w:tblLook w:val="01E0"/>
      </w:tblPr>
      <w:tblGrid>
        <w:gridCol w:w="651"/>
        <w:gridCol w:w="1148"/>
        <w:gridCol w:w="686"/>
        <w:gridCol w:w="955"/>
        <w:gridCol w:w="597"/>
        <w:gridCol w:w="1136"/>
        <w:gridCol w:w="1135"/>
        <w:gridCol w:w="687"/>
        <w:gridCol w:w="957"/>
        <w:gridCol w:w="595"/>
        <w:gridCol w:w="1136"/>
      </w:tblGrid>
      <w:tr>
        <w:trPr>
          <w:trHeight w:val="322" w:hRule="exact"/>
        </w:trPr>
        <w:tc>
          <w:tcPr>
            <w:tcW w:w="651" w:type="dxa"/>
            <w:vMerge w:val="restart"/>
            <w:tcBorders>
              <w:top w:val="single" w:sz="4" w:space="0" w:color="000000"/>
              <w:left w:val="single" w:sz="4" w:space="0" w:color="000000"/>
              <w:right w:val="single" w:sz="4" w:space="0" w:color="000000"/>
            </w:tcBorders>
            <w:shd w:val="clear" w:color="auto" w:fill="D2D2D2"/>
          </w:tcPr>
          <w:p>
            <w:pPr/>
          </w:p>
        </w:tc>
        <w:tc>
          <w:tcPr>
            <w:tcW w:w="45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651" w:type="dxa"/>
            <w:vMerge/>
            <w:tcBorders>
              <w:left w:val="single" w:sz="4" w:space="0" w:color="000000"/>
              <w:bottom w:val="nil" w:sz="6" w:space="0" w:color="auto"/>
              <w:right w:val="single" w:sz="4" w:space="0" w:color="000000"/>
            </w:tcBorders>
            <w:shd w:val="clear" w:color="auto" w:fill="D2D2D2"/>
          </w:tcPr>
          <w:p>
            <w:pPr/>
          </w:p>
        </w:tc>
        <w:tc>
          <w:tcPr>
            <w:tcW w:w="18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8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34" w:type="dxa"/>
            <w:gridSpan w:val="2"/>
            <w:vMerge/>
            <w:tcBorders>
              <w:left w:val="single" w:sz="4" w:space="0" w:color="000000"/>
              <w:bottom w:val="single" w:sz="4" w:space="0" w:color="000000"/>
              <w:right w:val="single" w:sz="4" w:space="0" w:color="000000"/>
            </w:tcBorders>
            <w:shd w:val="clear" w:color="auto" w:fill="D2D2D2"/>
          </w:tcPr>
          <w:p>
            <w:pPr/>
          </w:p>
        </w:tc>
        <w:tc>
          <w:tcPr>
            <w:tcW w:w="1552" w:type="dxa"/>
            <w:gridSpan w:val="2"/>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822" w:type="dxa"/>
            <w:gridSpan w:val="2"/>
            <w:vMerge/>
            <w:tcBorders>
              <w:left w:val="single" w:sz="4" w:space="0" w:color="000000"/>
              <w:bottom w:val="single" w:sz="4" w:space="0" w:color="000000"/>
              <w:right w:val="single" w:sz="4" w:space="0" w:color="000000"/>
            </w:tcBorders>
            <w:shd w:val="clear" w:color="auto" w:fill="D2D2D2"/>
          </w:tcPr>
          <w:p>
            <w:pPr/>
          </w:p>
        </w:tc>
        <w:tc>
          <w:tcPr>
            <w:tcW w:w="1552" w:type="dxa"/>
            <w:gridSpan w:val="2"/>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51" w:type="dxa"/>
            <w:vMerge/>
            <w:tcBorders>
              <w:left w:val="single" w:sz="4" w:space="0" w:color="000000"/>
              <w:bottom w:val="nil" w:sz="6" w:space="0" w:color="auto"/>
              <w:right w:val="single" w:sz="4" w:space="0" w:color="000000"/>
            </w:tcBorders>
            <w:shd w:val="clear" w:color="auto" w:fill="D2D2D2"/>
          </w:tcPr>
          <w:p>
            <w:pP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5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204" w:right="2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202" w:right="2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1" w:hRule="exact"/>
        </w:trPr>
        <w:tc>
          <w:tcPr>
            <w:tcW w:w="651" w:type="dxa"/>
            <w:vMerge w:val="restart"/>
            <w:tcBorders>
              <w:top w:val="nil" w:sz="6" w:space="0" w:color="auto"/>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7"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5"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51"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597"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bottom w:val="nil" w:sz="6" w:space="0" w:color="auto"/>
              <w:right w:val="single" w:sz="4" w:space="0" w:color="000000"/>
            </w:tcBorders>
            <w:shd w:val="clear" w:color="auto" w:fill="D2D2D2"/>
          </w:tcPr>
          <w:p>
            <w:pPr/>
          </w:p>
        </w:tc>
        <w:tc>
          <w:tcPr>
            <w:tcW w:w="595"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651"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597"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r>
      <w:tr>
        <w:trPr>
          <w:trHeight w:val="2194" w:hRule="exact"/>
        </w:trPr>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87"/>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1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5,357,058.93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565,890.71</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4,791,168.22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2,964,251.43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355,869.67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12.01%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2,608,381.76</w:t>
            </w:r>
          </w:p>
        </w:tc>
      </w:tr>
      <w:tr>
        <w:trPr>
          <w:trHeight w:val="323" w:hRule="exact"/>
        </w:trPr>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5,357,058.93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565,890.71</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4,791,168.22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2,964,251.43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100.00%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355,869.67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12.01%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2,608,381.76</w:t>
            </w:r>
          </w:p>
        </w:tc>
      </w:tr>
    </w:tbl>
    <w:p>
      <w:pPr>
        <w:spacing w:line="240" w:lineRule="auto" w:before="6"/>
        <w:rPr>
          <w:rFonts w:ascii="宋体" w:hAnsi="宋体" w:cs="宋体" w:eastAsia="宋体" w:hint="default"/>
          <w:sz w:val="6"/>
          <w:szCs w:val="6"/>
        </w:rPr>
      </w:pPr>
    </w:p>
    <w:p>
      <w:pPr>
        <w:spacing w:before="44"/>
        <w:ind w:left="1134" w:right="1117"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40" w:lineRule="auto" w:before="12"/>
        <w:rPr>
          <w:rFonts w:ascii="宋体" w:hAnsi="宋体" w:cs="宋体" w:eastAsia="宋体" w:hint="default"/>
          <w:sz w:val="20"/>
          <w:szCs w:val="20"/>
        </w:rPr>
      </w:pPr>
    </w:p>
    <w:p>
      <w:pPr>
        <w:spacing w:line="489" w:lineRule="auto" w:before="0"/>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85"/>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507"/>
        <w:gridCol w:w="2331"/>
        <w:gridCol w:w="2423"/>
        <w:gridCol w:w="2422"/>
      </w:tblGrid>
      <w:tr>
        <w:trPr>
          <w:trHeight w:val="166" w:hRule="exact"/>
        </w:trPr>
        <w:tc>
          <w:tcPr>
            <w:tcW w:w="2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5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2507" w:type="dxa"/>
            <w:vMerge/>
            <w:tcBorders>
              <w:left w:val="single" w:sz="4" w:space="0" w:color="000000"/>
              <w:bottom w:val="nil" w:sz="6" w:space="0" w:color="auto"/>
              <w:right w:val="single" w:sz="4" w:space="0" w:color="000000"/>
            </w:tcBorders>
            <w:shd w:val="clear" w:color="auto" w:fill="D2D2D2"/>
          </w:tcPr>
          <w:p>
            <w:pPr/>
          </w:p>
        </w:tc>
        <w:tc>
          <w:tcPr>
            <w:tcW w:w="2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7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31" w:type="dxa"/>
            <w:vMerge/>
            <w:tcBorders>
              <w:left w:val="single" w:sz="4" w:space="0" w:color="000000"/>
              <w:bottom w:val="single" w:sz="4" w:space="0" w:color="000000"/>
              <w:right w:val="single" w:sz="4" w:space="0" w:color="000000"/>
            </w:tcBorders>
            <w:shd w:val="clear" w:color="auto" w:fill="D2D2D2"/>
          </w:tcPr>
          <w:p>
            <w:pPr/>
          </w:p>
        </w:tc>
        <w:tc>
          <w:tcPr>
            <w:tcW w:w="2423" w:type="dxa"/>
            <w:vMerge/>
            <w:tcBorders>
              <w:left w:val="single" w:sz="4" w:space="0" w:color="000000"/>
              <w:bottom w:val="single" w:sz="4" w:space="0" w:color="000000"/>
              <w:right w:val="single" w:sz="4" w:space="0" w:color="000000"/>
            </w:tcBorders>
            <w:shd w:val="clear" w:color="auto" w:fill="D2D2D2"/>
          </w:tcPr>
          <w:p>
            <w:pPr/>
          </w:p>
        </w:tc>
        <w:tc>
          <w:tcPr>
            <w:tcW w:w="2422"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96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3,675,259.70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183,762.99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w:t>
            </w: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867,995.23</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86,799.52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439,110.00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87,822.00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374,694.00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207,506.20</w:t>
            </w: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189,654.00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56,896.20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68,860.00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34,430.00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116,180.00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116,180.00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r>
      <w:tr>
        <w:trPr>
          <w:trHeight w:val="32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5,357,058.93</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565,890.71</w:t>
            </w:r>
          </w:p>
        </w:tc>
        <w:tc>
          <w:tcPr>
            <w:tcW w:w="24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line="518" w:lineRule="auto" w:before="44"/>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489" w:lineRule="auto" w:before="63"/>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86"/>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3" w:right="1117"/>
        <w:jc w:val="left"/>
        <w:rPr>
          <w:b w:val="0"/>
          <w:bCs w:val="0"/>
        </w:rPr>
      </w:pPr>
      <w:bookmarkStart w:name="（2）本期计提、收回或转回的坏账准备情况" w:id="358"/>
      <w:bookmarkEnd w:id="35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2"/>
          <w:szCs w:val="32"/>
        </w:rPr>
      </w:pPr>
    </w:p>
    <w:p>
      <w:pPr>
        <w:spacing w:before="0"/>
        <w:ind w:left="1134"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210,021.04</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1117"/>
        <w:jc w:val="left"/>
        <w:rPr>
          <w:b w:val="0"/>
          <w:bCs w:val="0"/>
        </w:rPr>
      </w:pPr>
      <w:bookmarkStart w:name="（3）其他应收款按款项性质分类情况" w:id="359"/>
      <w:bookmarkEnd w:id="35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412"/>
        <w:gridCol w:w="3142"/>
        <w:gridCol w:w="3141"/>
      </w:tblGrid>
      <w:tr>
        <w:trPr>
          <w:trHeight w:val="322" w:hRule="exact"/>
        </w:trPr>
        <w:tc>
          <w:tcPr>
            <w:tcW w:w="3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3,600,922.05</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1,528,634.90</w:t>
            </w:r>
          </w:p>
        </w:tc>
      </w:tr>
      <w:tr>
        <w:trPr>
          <w:trHeight w:val="32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937,752.06</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560,010.00</w:t>
            </w:r>
          </w:p>
        </w:tc>
      </w:tr>
      <w:tr>
        <w:trPr>
          <w:trHeight w:val="323"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818,384.82</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875,606.53</w:t>
            </w:r>
          </w:p>
        </w:tc>
      </w:tr>
      <w:tr>
        <w:trPr>
          <w:trHeight w:val="322" w:hRule="exact"/>
        </w:trPr>
        <w:tc>
          <w:tcPr>
            <w:tcW w:w="3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5,357,058.93</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2,964,251.43</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按欠款方归集的期末余额前五名的其他应收款情况" w:id="360"/>
      <w:bookmarkEnd w:id="36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872"/>
        <w:gridCol w:w="1408"/>
        <w:gridCol w:w="1572"/>
        <w:gridCol w:w="1572"/>
        <w:gridCol w:w="1636"/>
        <w:gridCol w:w="1634"/>
      </w:tblGrid>
      <w:tr>
        <w:trPr>
          <w:trHeight w:val="634"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92" w:right="9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广西云龙招标有限公司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7.47%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w:t>
            </w:r>
          </w:p>
        </w:tc>
      </w:tr>
      <w:tr>
        <w:trPr>
          <w:trHeight w:val="323"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智慧城市事业群</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5.60%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15,000.00</w:t>
            </w:r>
          </w:p>
        </w:tc>
      </w:tr>
      <w:tr>
        <w:trPr>
          <w:trHeight w:val="63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中国石化国际事业有限 公司南京招标中心</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170,000.00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3.17%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8,500.00</w:t>
            </w:r>
          </w:p>
        </w:tc>
      </w:tr>
      <w:tr>
        <w:trPr>
          <w:trHeight w:val="32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安全生产事业群</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5,000.00</w:t>
            </w:r>
          </w:p>
        </w:tc>
      </w:tr>
      <w:tr>
        <w:trPr>
          <w:trHeight w:val="63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39"/>
              <w:jc w:val="left"/>
              <w:rPr>
                <w:rFonts w:ascii="宋体" w:hAnsi="宋体" w:cs="宋体" w:eastAsia="宋体" w:hint="default"/>
                <w:sz w:val="18"/>
                <w:szCs w:val="18"/>
              </w:rPr>
            </w:pPr>
            <w:r>
              <w:rPr>
                <w:rFonts w:ascii="宋体" w:hAnsi="宋体" w:cs="宋体" w:eastAsia="宋体" w:hint="default"/>
                <w:sz w:val="18"/>
                <w:szCs w:val="18"/>
              </w:rPr>
              <w:t>中海石油炼化有限责任 公司惠州炼化分公司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1.49%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4,000.00</w:t>
            </w:r>
          </w:p>
        </w:tc>
      </w:tr>
      <w:tr>
        <w:trPr>
          <w:trHeight w:val="322"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1,050,000.00</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6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19.60%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52,500.00</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3、长期股权投资" w:id="361"/>
      <w:bookmarkEnd w:id="36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364"/>
        <w:gridCol w:w="1398"/>
        <w:gridCol w:w="1385"/>
        <w:gridCol w:w="1384"/>
        <w:gridCol w:w="1384"/>
        <w:gridCol w:w="1385"/>
        <w:gridCol w:w="1384"/>
      </w:tblGrid>
      <w:tr>
        <w:trPr>
          <w:trHeight w:val="166"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6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67" w:type="dxa"/>
            <w:gridSpan w:val="3"/>
            <w:vMerge/>
            <w:tcBorders>
              <w:left w:val="single" w:sz="4" w:space="0" w:color="000000"/>
              <w:bottom w:val="single" w:sz="4" w:space="0" w:color="000000"/>
              <w:right w:val="single" w:sz="4" w:space="0" w:color="000000"/>
            </w:tcBorders>
            <w:shd w:val="clear" w:color="auto" w:fill="D2D2D2"/>
          </w:tcPr>
          <w:p>
            <w:pPr/>
          </w:p>
        </w:tc>
        <w:tc>
          <w:tcPr>
            <w:tcW w:w="4152"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788,360,676.11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788,360,676.11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690,797,815.11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690,797,815.11</w:t>
            </w:r>
          </w:p>
        </w:tc>
      </w:tr>
      <w:tr>
        <w:trPr>
          <w:trHeight w:val="63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8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3,327,312.03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3,327,312.03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1,677,247.41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1,677,247.41</w:t>
            </w:r>
          </w:p>
        </w:tc>
      </w:tr>
      <w:tr>
        <w:trPr>
          <w:trHeight w:val="32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791,687,988.14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791,687,988.14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692,475,062.52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692,475,062.52</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1）对子公司投资" w:id="362"/>
      <w:bookmarkEnd w:id="36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466"/>
        <w:gridCol w:w="1354"/>
        <w:gridCol w:w="1353"/>
        <w:gridCol w:w="1354"/>
        <w:gridCol w:w="1352"/>
        <w:gridCol w:w="1409"/>
        <w:gridCol w:w="1408"/>
      </w:tblGrid>
      <w:tr>
        <w:trPr>
          <w:trHeight w:val="634"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609" w:right="6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608" w:right="6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智威宇讯</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49,000,000.00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49,000,000.00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汉威智慧安全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41,686,910.38</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41,686,910.38</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哈尔滨盈江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3,020,000.00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3,020,000.00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上海中威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10,750,000.00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10,750,000.00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沈阳汉威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1,020,000.00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1466"/>
        <w:gridCol w:w="1354"/>
        <w:gridCol w:w="1353"/>
        <w:gridCol w:w="1354"/>
        <w:gridCol w:w="1352"/>
        <w:gridCol w:w="1409"/>
        <w:gridCol w:w="1408"/>
      </w:tblGrid>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炜盛科技</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8,238,715.82</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7" w:right="0"/>
              <w:jc w:val="center"/>
              <w:rPr>
                <w:rFonts w:ascii="宋体" w:hAnsi="宋体" w:cs="宋体" w:eastAsia="宋体" w:hint="default"/>
                <w:sz w:val="18"/>
                <w:szCs w:val="18"/>
              </w:rPr>
            </w:pPr>
            <w:r>
              <w:rPr>
                <w:rFonts w:ascii="宋体"/>
                <w:sz w:val="18"/>
              </w:rPr>
              <w:t>8,238,715.82</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100,367,990.51</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 w:right="0"/>
              <w:jc w:val="center"/>
              <w:rPr>
                <w:rFonts w:ascii="宋体" w:hAnsi="宋体" w:cs="宋体" w:eastAsia="宋体" w:hint="default"/>
                <w:sz w:val="18"/>
                <w:szCs w:val="18"/>
              </w:rPr>
            </w:pPr>
            <w:r>
              <w:rPr>
                <w:rFonts w:ascii="宋体"/>
                <w:sz w:val="18"/>
              </w:rPr>
              <w:t>100,367,990.51</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上海英森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10,235,000.00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7,030,900.00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center"/>
              <w:rPr>
                <w:rFonts w:ascii="宋体" w:hAnsi="宋体" w:cs="宋体" w:eastAsia="宋体" w:hint="default"/>
                <w:sz w:val="18"/>
                <w:szCs w:val="18"/>
              </w:rPr>
            </w:pPr>
            <w:r>
              <w:rPr>
                <w:rFonts w:ascii="宋体"/>
                <w:sz w:val="18"/>
              </w:rPr>
              <w:t>17,265,900.00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26,479,200.00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center"/>
              <w:rPr>
                <w:rFonts w:ascii="宋体" w:hAnsi="宋体" w:cs="宋体" w:eastAsia="宋体" w:hint="default"/>
                <w:sz w:val="18"/>
                <w:szCs w:val="18"/>
              </w:rPr>
            </w:pPr>
            <w:r>
              <w:rPr>
                <w:rFonts w:ascii="宋体"/>
                <w:sz w:val="18"/>
              </w:rPr>
              <w:t>26,479,200.00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439,999,998.40</w:t>
            </w:r>
          </w:p>
        </w:tc>
        <w:tc>
          <w:tcPr>
            <w:tcW w:w="135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 w:right="0"/>
              <w:jc w:val="center"/>
              <w:rPr>
                <w:rFonts w:ascii="宋体" w:hAnsi="宋体" w:cs="宋体" w:eastAsia="宋体" w:hint="default"/>
                <w:sz w:val="18"/>
                <w:szCs w:val="18"/>
              </w:rPr>
            </w:pPr>
            <w:r>
              <w:rPr>
                <w:rFonts w:ascii="宋体"/>
                <w:sz w:val="18"/>
              </w:rPr>
              <w:t>439,999,998.40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北京威果</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7" w:right="0"/>
              <w:jc w:val="center"/>
              <w:rPr>
                <w:rFonts w:ascii="宋体" w:hAnsi="宋体" w:cs="宋体" w:eastAsia="宋体" w:hint="default"/>
                <w:sz w:val="18"/>
                <w:szCs w:val="18"/>
              </w:rPr>
            </w:pPr>
            <w:r>
              <w:rPr>
                <w:rFonts w:ascii="宋体"/>
                <w:sz w:val="18"/>
              </w:rPr>
              <w:t>2,000,000.00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汉威智能仪表</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2,550,000.00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7" w:right="0"/>
              <w:jc w:val="center"/>
              <w:rPr>
                <w:rFonts w:ascii="宋体" w:hAnsi="宋体" w:cs="宋体" w:eastAsia="宋体" w:hint="default"/>
                <w:sz w:val="18"/>
                <w:szCs w:val="18"/>
              </w:rPr>
            </w:pPr>
            <w:r>
              <w:rPr>
                <w:rFonts w:ascii="宋体"/>
                <w:sz w:val="18"/>
              </w:rPr>
              <w:t>2,550,000.00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65,000,000.00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7" w:right="0"/>
              <w:jc w:val="center"/>
              <w:rPr>
                <w:rFonts w:ascii="宋体" w:hAnsi="宋体" w:cs="宋体" w:eastAsia="宋体" w:hint="default"/>
                <w:sz w:val="18"/>
                <w:szCs w:val="18"/>
              </w:rPr>
            </w:pPr>
            <w:r>
              <w:rPr>
                <w:rFonts w:ascii="宋体"/>
                <w:sz w:val="18"/>
              </w:rPr>
              <w:t>65,000,000.00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广东龙泉</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20,981,961.00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center"/>
              <w:rPr>
                <w:rFonts w:ascii="宋体" w:hAnsi="宋体" w:cs="宋体" w:eastAsia="宋体" w:hint="default"/>
                <w:sz w:val="18"/>
                <w:szCs w:val="18"/>
              </w:rPr>
            </w:pPr>
            <w:r>
              <w:rPr>
                <w:rFonts w:ascii="宋体"/>
                <w:sz w:val="18"/>
              </w:rPr>
              <w:t>20,981,961.00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690,797,815.11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97,562,861.00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 w:right="0"/>
              <w:jc w:val="center"/>
              <w:rPr>
                <w:rFonts w:ascii="宋体" w:hAnsi="宋体" w:cs="宋体" w:eastAsia="宋体" w:hint="default"/>
                <w:sz w:val="18"/>
                <w:szCs w:val="18"/>
              </w:rPr>
            </w:pPr>
            <w:r>
              <w:rPr>
                <w:rFonts w:ascii="宋体"/>
                <w:sz w:val="18"/>
              </w:rPr>
              <w:t>788,360,676.11</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2）对联营、合营企业投资" w:id="363"/>
      <w:bookmarkEnd w:id="36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654"/>
        <w:gridCol w:w="1135"/>
        <w:gridCol w:w="1136"/>
        <w:gridCol w:w="655"/>
        <w:gridCol w:w="1047"/>
        <w:gridCol w:w="654"/>
        <w:gridCol w:w="655"/>
        <w:gridCol w:w="655"/>
        <w:gridCol w:w="656"/>
        <w:gridCol w:w="656"/>
        <w:gridCol w:w="1135"/>
        <w:gridCol w:w="655"/>
      </w:tblGrid>
      <w:tr>
        <w:trPr>
          <w:trHeight w:val="322" w:hRule="exact"/>
        </w:trPr>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316" w:lineRule="auto"/>
              <w:ind w:left="231" w:right="51"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1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51" w:right="5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258" w:hRule="exact"/>
        </w:trPr>
        <w:tc>
          <w:tcPr>
            <w:tcW w:w="65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7" w:right="69"/>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1" w:right="5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2" w:right="5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51" w:right="53"/>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1" w:right="5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vMerge/>
            <w:tcBorders>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57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81"/>
              <w:jc w:val="both"/>
              <w:rPr>
                <w:rFonts w:ascii="宋体" w:hAnsi="宋体" w:cs="宋体" w:eastAsia="宋体" w:hint="default"/>
                <w:sz w:val="18"/>
                <w:szCs w:val="18"/>
              </w:rPr>
            </w:pPr>
            <w:r>
              <w:rPr>
                <w:rFonts w:ascii="宋体" w:hAnsi="宋体" w:cs="宋体" w:eastAsia="宋体" w:hint="default"/>
                <w:sz w:val="18"/>
                <w:szCs w:val="18"/>
              </w:rPr>
              <w:t>苏州能 斯达电 子科技 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1,677,247.41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2,150,000.00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sz w:val="18"/>
              </w:rPr>
              <w:t>-499,935.38</w:t>
            </w:r>
          </w:p>
        </w:tc>
        <w:tc>
          <w:tcPr>
            <w:tcW w:w="6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sz w:val="18"/>
              </w:rPr>
              <w:t>3,327,312.03</w:t>
            </w:r>
          </w:p>
        </w:tc>
        <w:tc>
          <w:tcPr>
            <w:tcW w:w="6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1,677,247.41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2,150,000.00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-499,935.38</w:t>
            </w:r>
          </w:p>
        </w:tc>
        <w:tc>
          <w:tcPr>
            <w:tcW w:w="6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3,327,312.03</w:t>
            </w:r>
          </w:p>
        </w:tc>
        <w:tc>
          <w:tcPr>
            <w:tcW w:w="65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1,677,247.41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2,150,000.00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-499,935.38</w:t>
            </w:r>
          </w:p>
        </w:tc>
        <w:tc>
          <w:tcPr>
            <w:tcW w:w="6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3,327,312.03</w:t>
            </w:r>
          </w:p>
        </w:tc>
        <w:tc>
          <w:tcPr>
            <w:tcW w:w="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4、营业收入和营业成本" w:id="364"/>
      <w:bookmarkEnd w:id="36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167"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5"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195,775,067.51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109,950,905.70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208,429,915.00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111,526,488.43</w:t>
            </w:r>
          </w:p>
        </w:tc>
      </w:tr>
      <w:tr>
        <w:trPr>
          <w:trHeight w:val="32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32,127,231.48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15,982,262.29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12,589,559.26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5,708,318.49</w:t>
            </w:r>
          </w:p>
        </w:tc>
      </w:tr>
      <w:tr>
        <w:trPr>
          <w:trHeight w:val="3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227,902,298.99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125,933,167.99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221,019,474.26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117,234,806.92</w:t>
            </w:r>
          </w:p>
        </w:tc>
      </w:tr>
    </w:tbl>
    <w:p>
      <w:pPr>
        <w:spacing w:line="240" w:lineRule="auto" w:before="2"/>
        <w:rPr>
          <w:rFonts w:ascii="宋体" w:hAnsi="宋体" w:cs="宋体" w:eastAsia="宋体" w:hint="default"/>
          <w:sz w:val="19"/>
          <w:szCs w:val="19"/>
        </w:rPr>
      </w:pPr>
    </w:p>
    <w:p>
      <w:pPr>
        <w:pStyle w:val="Heading3"/>
        <w:spacing w:line="240" w:lineRule="auto" w:before="35"/>
        <w:ind w:right="1117"/>
        <w:jc w:val="left"/>
        <w:rPr>
          <w:b w:val="0"/>
          <w:bCs w:val="0"/>
        </w:rPr>
      </w:pPr>
      <w:bookmarkStart w:name="5、投资收益" w:id="365"/>
      <w:bookmarkEnd w:id="36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345"/>
        <w:gridCol w:w="3110"/>
        <w:gridCol w:w="3228"/>
      </w:tblGrid>
      <w:tr>
        <w:trPr>
          <w:trHeight w:val="323"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896" w:right="0"/>
              <w:jc w:val="left"/>
              <w:rPr>
                <w:rFonts w:ascii="宋体" w:hAnsi="宋体" w:cs="宋体" w:eastAsia="宋体" w:hint="default"/>
                <w:sz w:val="18"/>
                <w:szCs w:val="18"/>
              </w:rPr>
            </w:pPr>
            <w:r>
              <w:rPr>
                <w:rFonts w:ascii="宋体"/>
                <w:sz w:val="18"/>
              </w:rPr>
              <w:t>25,000,000.00</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4" w:right="0"/>
              <w:jc w:val="left"/>
              <w:rPr>
                <w:rFonts w:ascii="宋体" w:hAnsi="宋体" w:cs="宋体" w:eastAsia="宋体" w:hint="default"/>
                <w:sz w:val="18"/>
                <w:szCs w:val="18"/>
              </w:rPr>
            </w:pPr>
            <w:r>
              <w:rPr>
                <w:rFonts w:ascii="宋体"/>
                <w:sz w:val="18"/>
              </w:rPr>
              <w:t>28,000,000.00</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3368"/>
        <w:gridCol w:w="3099"/>
        <w:gridCol w:w="3228"/>
      </w:tblGrid>
      <w:tr>
        <w:trPr>
          <w:trHeight w:val="32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-499,935.38</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-472,752.59</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2,098,356.70</w:t>
            </w:r>
          </w:p>
        </w:tc>
        <w:tc>
          <w:tcPr>
            <w:tcW w:w="32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121,639.78</w:t>
            </w:r>
          </w:p>
        </w:tc>
        <w:tc>
          <w:tcPr>
            <w:tcW w:w="32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26,720,061.10</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27,527,247.41</w:t>
            </w:r>
          </w:p>
        </w:tc>
      </w:tr>
    </w:tbl>
    <w:p>
      <w:pPr>
        <w:spacing w:line="240" w:lineRule="auto" w:before="2"/>
        <w:rPr>
          <w:rFonts w:ascii="宋体" w:hAnsi="宋体" w:cs="宋体" w:eastAsia="宋体" w:hint="default"/>
          <w:sz w:val="18"/>
          <w:szCs w:val="18"/>
        </w:rPr>
      </w:pPr>
    </w:p>
    <w:p>
      <w:pPr>
        <w:pStyle w:val="Heading2"/>
        <w:spacing w:line="240" w:lineRule="auto" w:before="26"/>
        <w:ind w:left="1134" w:right="1117"/>
        <w:jc w:val="left"/>
        <w:rPr>
          <w:b w:val="0"/>
          <w:bCs w:val="0"/>
        </w:rPr>
      </w:pPr>
      <w:bookmarkStart w:name="十五、补充资料" w:id="366"/>
      <w:bookmarkEnd w:id="366"/>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117"/>
        <w:jc w:val="left"/>
        <w:rPr>
          <w:b w:val="0"/>
          <w:bCs w:val="0"/>
        </w:rPr>
      </w:pPr>
      <w:bookmarkStart w:name="1、当期非经常性损益明细表" w:id="367"/>
      <w:bookmarkEnd w:id="36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-76,571.08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40,297,076.31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3,357,269.67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129,649.43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5,008,738.47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5,221,487.64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10"/>
              <w:jc w:val="right"/>
              <w:rPr>
                <w:rFonts w:ascii="宋体" w:hAnsi="宋体" w:cs="宋体" w:eastAsia="宋体" w:hint="default"/>
                <w:sz w:val="18"/>
                <w:szCs w:val="18"/>
              </w:rPr>
            </w:pPr>
            <w:r>
              <w:rPr>
                <w:rFonts w:ascii="宋体"/>
                <w:sz w:val="18"/>
              </w:rPr>
              <w:t>33,477,198.22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before="89"/>
        <w:ind w:left="1134" w:right="712"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40" w:lineRule="auto" w:before="9"/>
        <w:rPr>
          <w:rFonts w:ascii="宋体" w:hAnsi="宋体" w:cs="宋体" w:eastAsia="宋体" w:hint="default"/>
          <w:sz w:val="16"/>
          <w:szCs w:val="16"/>
        </w:rPr>
      </w:pPr>
    </w:p>
    <w:p>
      <w:pPr>
        <w:spacing w:line="451" w:lineRule="auto" w:before="0"/>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115"/>
        <w:ind w:left="113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left="1133" w:right="1117"/>
        <w:jc w:val="left"/>
        <w:rPr>
          <w:b w:val="0"/>
          <w:bCs w:val="0"/>
        </w:rPr>
      </w:pPr>
      <w:bookmarkStart w:name="2、净资产收益率及每股收益" w:id="368"/>
      <w:bookmarkEnd w:id="36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13" w:type="dxa"/>
        <w:tblLayout w:type="fixed"/>
        <w:tblCellMar>
          <w:top w:w="0" w:type="dxa"/>
          <w:left w:w="0" w:type="dxa"/>
          <w:bottom w:w="0" w:type="dxa"/>
          <w:right w:w="0" w:type="dxa"/>
        </w:tblCellMar>
        <w:tblLook w:val="01E0"/>
      </w:tblPr>
      <w:tblGrid>
        <w:gridCol w:w="2685"/>
        <w:gridCol w:w="3122"/>
        <w:gridCol w:w="1940"/>
        <w:gridCol w:w="1937"/>
      </w:tblGrid>
      <w:tr>
        <w:trPr>
          <w:trHeight w:val="166" w:hRule="exact"/>
        </w:trPr>
        <w:tc>
          <w:tcPr>
            <w:tcW w:w="26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81"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1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5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7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85" w:type="dxa"/>
            <w:vMerge/>
            <w:tcBorders>
              <w:left w:val="single" w:sz="4" w:space="0" w:color="000000"/>
              <w:bottom w:val="nil" w:sz="6" w:space="0" w:color="auto"/>
              <w:right w:val="single" w:sz="4" w:space="0" w:color="000000"/>
            </w:tcBorders>
            <w:shd w:val="clear" w:color="auto" w:fill="D2D2D2"/>
          </w:tcPr>
          <w:p>
            <w:pPr/>
          </w:p>
        </w:tc>
        <w:tc>
          <w:tcPr>
            <w:tcW w:w="3122" w:type="dxa"/>
            <w:vMerge/>
            <w:tcBorders>
              <w:left w:val="single" w:sz="4" w:space="0" w:color="000000"/>
              <w:bottom w:val="nil" w:sz="6" w:space="0" w:color="auto"/>
              <w:right w:val="single" w:sz="4" w:space="0" w:color="000000"/>
            </w:tcBorders>
            <w:shd w:val="clear" w:color="auto" w:fill="D2D2D2"/>
          </w:tcPr>
          <w:p>
            <w:pP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167" w:hRule="exact"/>
        </w:trPr>
        <w:tc>
          <w:tcPr>
            <w:tcW w:w="2685" w:type="dxa"/>
            <w:tcBorders>
              <w:top w:val="nil" w:sz="6" w:space="0" w:color="auto"/>
              <w:left w:val="single" w:sz="4" w:space="0" w:color="000000"/>
              <w:bottom w:val="single" w:sz="4" w:space="0" w:color="000000"/>
              <w:right w:val="single" w:sz="4" w:space="0" w:color="000000"/>
            </w:tcBorders>
            <w:shd w:val="clear" w:color="auto" w:fill="D2D2D2"/>
          </w:tcPr>
          <w:p>
            <w:pPr/>
          </w:p>
        </w:tc>
        <w:tc>
          <w:tcPr>
            <w:tcW w:w="31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1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6.63%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0.27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0.27</w:t>
            </w:r>
          </w:p>
        </w:tc>
      </w:tr>
      <w:tr>
        <w:trPr>
          <w:trHeight w:val="634" w:hRule="exact"/>
        </w:trPr>
        <w:tc>
          <w:tcPr>
            <w:tcW w:w="2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4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1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3.81%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0.15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0.15</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1"/>
        <w:ind w:left="3763" w:right="3764" w:firstLine="0"/>
        <w:jc w:val="center"/>
        <w:rPr>
          <w:rFonts w:ascii="宋体" w:hAnsi="宋体" w:cs="宋体" w:eastAsia="宋体" w:hint="default"/>
          <w:sz w:val="32"/>
          <w:szCs w:val="32"/>
        </w:rPr>
      </w:pPr>
      <w:bookmarkStart w:name="第十一节 备查文件目录" w:id="369"/>
      <w:bookmarkEnd w:id="369"/>
      <w:r>
        <w:rPr/>
      </w:r>
      <w:r>
        <w:rPr>
          <w:rFonts w:ascii="宋体" w:hAnsi="宋体" w:cs="宋体" w:eastAsia="宋体" w:hint="default"/>
          <w:b/>
          <w:bCs/>
          <w:sz w:val="32"/>
          <w:szCs w:val="32"/>
        </w:rPr>
        <w:t>第十一节</w:t>
      </w:r>
      <w:r>
        <w:rPr>
          <w:rFonts w:ascii="宋体" w:hAnsi="宋体" w:cs="宋体" w:eastAsia="宋体" w:hint="default"/>
          <w:b/>
          <w:bCs/>
          <w:spacing w:val="-8"/>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7"/>
        <w:rPr>
          <w:rFonts w:ascii="宋体" w:hAnsi="宋体" w:cs="宋体" w:eastAsia="宋体" w:hint="default"/>
          <w:b/>
          <w:bCs/>
          <w:sz w:val="46"/>
          <w:szCs w:val="46"/>
        </w:rPr>
      </w:pPr>
    </w:p>
    <w:p>
      <w:pPr>
        <w:pStyle w:val="BodyText"/>
        <w:spacing w:line="408" w:lineRule="auto" w:before="0"/>
        <w:ind w:left="1554" w:right="2142"/>
        <w:jc w:val="left"/>
      </w:pPr>
      <w:r>
        <w:rPr/>
        <w:t>一、载有法定代表人、主管会计工作负责人、会计机构负责人签名并盖章的财务报表。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pStyle w:val="BodyText"/>
        <w:spacing w:line="240" w:lineRule="auto" w:before="87"/>
        <w:ind w:left="1554" w:right="1117"/>
        <w:jc w:val="left"/>
      </w:pPr>
      <w:r>
        <w:rPr/>
        <w:t>以上备查文件的备置地点：公司证券投资部办公室。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61"/>
        <w:ind w:left="8673" w:right="1113" w:hanging="420"/>
        <w:jc w:val="left"/>
      </w:pPr>
      <w:r>
        <w:rPr/>
        <w:t>河南汉威电子股份有限公司 法定代表人：任红军 二〇一六年三月三十日</w:t>
      </w:r>
    </w:p>
    <w:sectPr>
      <w:pgSz w:w="11910" w:h="16840"/>
      <w:pgMar w:header="877"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95872" type="#_x0000_t75" stroked="false">
          <v:imagedata r:id="rId1" o:title=""/>
        </v:shape>
      </w:pict>
    </w:r>
    <w:r>
      <w:rPr/>
      <w:pict>
        <v:shape style="position:absolute;margin-left:294.420013pt;margin-top:795.517944pt;width:6.5pt;height:11pt;mso-position-horizontal-relative:page;mso-position-vertical-relative:page;z-index:-995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95824" type="#_x0000_t75" stroked="false">
          <v:imagedata r:id="rId1" o:title=""/>
        </v:shape>
      </w:pict>
    </w:r>
    <w:r>
      <w:rPr/>
      <w:pict>
        <v:shape style="position:absolute;margin-left:291.200012pt;margin-top:781.957947pt;width:13pt;height:11pt;mso-position-horizontal-relative:page;mso-position-vertical-relative:page;z-index:-995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95728" type="#_x0000_t75" stroked="false">
          <v:imagedata r:id="rId1" o:title=""/>
        </v:shape>
      </w:pict>
    </w:r>
    <w:r>
      <w:rPr/>
      <w:pict>
        <v:shape style="position:absolute;margin-left:286.980011pt;margin-top:774.817932pt;width:21.55pt;height:11pt;mso-position-horizontal-relative:page;mso-position-vertical-relative:page;z-index:-995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83</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95632" type="#_x0000_t75" stroked="false">
          <v:imagedata r:id="rId1" o:title=""/>
        </v:shape>
      </w:pict>
    </w:r>
    <w:r>
      <w:rPr/>
      <w:pict>
        <v:shape style="position:absolute;margin-left:291.200012pt;margin-top:781.957947pt;width:13pt;height:11pt;mso-position-horizontal-relative:page;mso-position-vertical-relative:page;z-index:-995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95584" type="#_x0000_t75" stroked="false">
          <v:imagedata r:id="rId1" o:title=""/>
        </v:shape>
      </w:pict>
    </w:r>
    <w:r>
      <w:rPr/>
      <w:pict>
        <v:shape style="position:absolute;margin-left:289.920013pt;margin-top:781.957947pt;width:15.5pt;height:11pt;mso-position-horizontal-relative:page;mso-position-vertical-relative:page;z-index:-995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95536" type="#_x0000_t75" stroked="false">
          <v:imagedata r:id="rId1" o:title=""/>
        </v:shape>
      </w:pict>
    </w:r>
    <w:r>
      <w:rPr/>
      <w:pict>
        <v:shape style="position:absolute;margin-left:288.920013pt;margin-top:781.957947pt;width:17.5pt;height:11pt;mso-position-horizontal-relative:page;mso-position-vertical-relative:page;z-index:-995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95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99998pt;margin-top:55.619984pt;width:428.3pt;height:.1pt;mso-position-horizontal-relative:page;mso-position-vertical-relative:page;z-index:-995776" coordorigin="1672,1112" coordsize="8566,2">
          <v:shape style="position:absolute;left:1672;top:1112;width:8566;height:2" coordorigin="1672,1112" coordsize="8566,0" path="m1672,1112l10237,1112e" filled="false" stroked="true" strokeweight=".72pt" strokecolor="#000000">
            <v:path arrowok="t"/>
          </v:shape>
          <w10:wrap type="none"/>
        </v:group>
      </w:pict>
    </w:r>
    <w:r>
      <w:rPr/>
      <w:pict>
        <v:shape style="position:absolute;margin-left:315.899994pt;margin-top:42.865608pt;width:195.5pt;height:11.5pt;mso-position-horizontal-relative:page;mso-position-vertical-relative:page;z-index:-995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9568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95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46"/>
      <w:ind w:left="1133"/>
    </w:pPr>
    <w:rPr>
      <w:rFonts w:ascii="宋体" w:hAnsi="宋体" w:eastAsia="宋体"/>
      <w:sz w:val="21"/>
      <w:szCs w:val="21"/>
    </w:rPr>
  </w:style>
  <w:style w:styleId="Heading1" w:type="paragraph">
    <w:name w:val="Heading 1"/>
    <w:basedOn w:val="Normal"/>
    <w:uiPriority w:val="1"/>
    <w:qFormat/>
    <w:pPr>
      <w:spacing w:before="1"/>
      <w:ind w:left="376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nwei.cn/" TargetMode="External"/><Relationship Id="rId10" Type="http://schemas.openxmlformats.org/officeDocument/2006/relationships/hyperlink" Target="mailto:hwdz@hwsensor.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irm.p5w.net/" TargetMode="External"/><Relationship Id="rId20" Type="http://schemas.openxmlformats.org/officeDocument/2006/relationships/hyperlink" Target="http://ircs.p5w.net/ircs/ssgs/index.do" TargetMode="Externa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hyperlink" Target="http://baike.baidu.com/view/3202081.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河南汉威电子股份有限公司</dc:creator>
  <dc:title>河南汉威电子股份有限公司2015年年度报告全文</dc:title>
  <dcterms:created xsi:type="dcterms:W3CDTF">2020-05-04T15:28:47Z</dcterms:created>
  <dcterms:modified xsi:type="dcterms:W3CDTF">2020-05-04T15:28:47Z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2016-06-17T00:00:00Z</vt:filetime>
  </property>
  <property fmtid="{D5CDD505-2E9C-101B-9397-08002B2CF9AE}" pid="3" name="Creator">
    <vt:lpwstr>Microsoft® Office Word 2007</vt:lpwstr>
  </property>
  <property fmtid="{D5CDD505-2E9C-101B-9397-08002B2CF9AE}" pid="4" name="LastSaved">
    <vt:filetime>2020-05-04T00:00:00Z</vt:filetime>
  </property>
</Properties>
</file>