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2220" w:lineRule="exact"/>
        <w:ind w:left="484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3"/>
          <w:sz w:val="20"/>
          <w:szCs w:val="20"/>
        </w:rPr>
        <w:drawing>
          <wp:inline distT="0" distB="0" distL="0" distR="0">
            <wp:extent cx="1409700" cy="140970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409700" cy="1409700"/>
                    </a:xfrm>
                    <a:prstGeom prst="rect">
                      <a:avLst/>
                    </a:prstGeom>
                  </pic:spPr>
                </pic:pic>
              </a:graphicData>
            </a:graphic>
          </wp:inline>
        </w:drawing>
      </w:r>
      <w:r>
        <w:rPr>
          <w:rFonts w:ascii="Times New Roman" w:hAnsi="Times New Roman" w:cs="Times New Roman" w:eastAsia="Times New Roman" w:hint="default"/>
          <w:position w:val="-43"/>
          <w:sz w:val="20"/>
          <w:szCs w:val="20"/>
        </w:rPr>
      </w:r>
    </w:p>
    <w:p>
      <w:pPr>
        <w:spacing w:line="240" w:lineRule="auto" w:before="3"/>
        <w:rPr>
          <w:rFonts w:ascii="Times New Roman" w:hAnsi="Times New Roman" w:cs="Times New Roman" w:eastAsia="Times New Roman" w:hint="default"/>
          <w:sz w:val="13"/>
          <w:szCs w:val="13"/>
        </w:rPr>
      </w:pPr>
    </w:p>
    <w:p>
      <w:pPr>
        <w:spacing w:line="460" w:lineRule="exact" w:before="0"/>
        <w:ind w:left="3764" w:right="3764" w:firstLine="0"/>
        <w:jc w:val="center"/>
        <w:rPr>
          <w:rFonts w:ascii="宋体" w:hAnsi="宋体" w:cs="宋体" w:eastAsia="宋体" w:hint="default"/>
          <w:sz w:val="36"/>
          <w:szCs w:val="36"/>
        </w:rPr>
      </w:pPr>
      <w:r>
        <w:rPr>
          <w:rFonts w:ascii="宋体" w:hAnsi="宋体" w:cs="宋体" w:eastAsia="宋体" w:hint="default"/>
          <w:b/>
          <w:bCs/>
          <w:sz w:val="36"/>
          <w:szCs w:val="36"/>
        </w:rPr>
        <w:t>汉威科技集团股份有限公司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3763" w:right="3764"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5"/>
        <w:rPr>
          <w:rFonts w:ascii="宋体" w:hAnsi="宋体" w:cs="宋体" w:eastAsia="宋体" w:hint="default"/>
          <w:b/>
          <w:bCs/>
          <w:sz w:val="48"/>
          <w:szCs w:val="48"/>
        </w:rPr>
      </w:pPr>
    </w:p>
    <w:p>
      <w:pPr>
        <w:spacing w:before="0"/>
        <w:ind w:left="3764" w:right="376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0" w:right="0"/>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3785"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7"/>
        <w:rPr>
          <w:rFonts w:ascii="宋体" w:hAnsi="宋体" w:cs="宋体" w:eastAsia="宋体" w:hint="default"/>
          <w:b/>
          <w:bCs/>
          <w:sz w:val="46"/>
          <w:szCs w:val="46"/>
        </w:rPr>
      </w:pPr>
    </w:p>
    <w:p>
      <w:pPr>
        <w:pStyle w:val="BodyText"/>
        <w:spacing w:line="408" w:lineRule="auto" w:before="0"/>
        <w:ind w:right="1131" w:firstLine="420"/>
        <w:jc w:val="both"/>
      </w:pPr>
      <w:r>
        <w:rPr>
          <w:spacing w:val="-1"/>
        </w:rPr>
        <w:t>公司董事会、监事会及董事、监事、高级管理人员保证年度报告内容的真实、准确、完整，不存在虚</w:t>
      </w:r>
      <w:r>
        <w:rPr/>
        <w:t> 假记载、误导性陈述或重大遗漏，并承担个别和连带的法律责任。</w:t>
      </w:r>
    </w:p>
    <w:p>
      <w:pPr>
        <w:pStyle w:val="BodyText"/>
        <w:spacing w:line="408" w:lineRule="auto"/>
        <w:ind w:right="1131" w:firstLine="420"/>
        <w:jc w:val="both"/>
      </w:pPr>
      <w:r>
        <w:rPr>
          <w:spacing w:val="-1"/>
        </w:rPr>
        <w:t>公司负责人任红军、主管会计工作负责人刘瑞玲及会计机构负责人</w:t>
      </w:r>
      <w:r>
        <w:rPr>
          <w:rFonts w:ascii="宋体" w:hAnsi="宋体" w:cs="宋体" w:eastAsia="宋体" w:hint="default"/>
          <w:spacing w:val="-1"/>
        </w:rPr>
        <w:t>(</w:t>
      </w:r>
      <w:r>
        <w:rPr>
          <w:spacing w:val="-1"/>
        </w:rPr>
        <w:t>会计主管人员</w:t>
      </w:r>
      <w:r>
        <w:rPr>
          <w:rFonts w:ascii="宋体" w:hAnsi="宋体" w:cs="宋体" w:eastAsia="宋体" w:hint="default"/>
          <w:spacing w:val="-1"/>
        </w:rPr>
        <w:t>)</w:t>
      </w:r>
      <w:r>
        <w:rPr>
          <w:spacing w:val="-1"/>
        </w:rPr>
        <w:t>肖桂华声明：保证</w:t>
      </w:r>
      <w:r>
        <w:rPr/>
        <w:t> 年度报告中财务报告的真实、准确、完整。</w:t>
      </w:r>
    </w:p>
    <w:p>
      <w:pPr>
        <w:pStyle w:val="BodyText"/>
        <w:spacing w:line="408" w:lineRule="auto"/>
        <w:ind w:left="1553" w:right="5923"/>
        <w:jc w:val="left"/>
      </w:pPr>
      <w:r>
        <w:rPr/>
        <w:t>所有董事均已出席了审议本报告的董事会会议。 </w:t>
      </w:r>
      <w:r>
        <w:rPr>
          <w:rFonts w:ascii="宋体" w:hAnsi="宋体" w:cs="宋体" w:eastAsia="宋体" w:hint="default"/>
        </w:rPr>
        <w:t>1</w:t>
      </w:r>
      <w:r>
        <w:rPr/>
        <w:t>、行业竞争加剧带来的市场风险</w:t>
      </w:r>
    </w:p>
    <w:p>
      <w:pPr>
        <w:pStyle w:val="BodyText"/>
        <w:spacing w:line="408" w:lineRule="auto"/>
        <w:ind w:right="1131" w:firstLine="420"/>
        <w:jc w:val="both"/>
      </w:pPr>
      <w:r>
        <w:rPr>
          <w:spacing w:val="-1"/>
        </w:rPr>
        <w:t>中国经济进入龙头经济时代，而物联网行业市场竞争日趋激烈，智慧城市、智慧环保逐渐成为资本追</w:t>
      </w:r>
      <w:r>
        <w:rPr/>
        <w:t> </w:t>
      </w:r>
      <w:r>
        <w:rPr>
          <w:spacing w:val="-1"/>
        </w:rPr>
        <w:t>逐的行业领域，市场机会增加的同时，新的竞争对手也会依靠产品与服务升级等方式争夺物联网产业链各</w:t>
      </w:r>
      <w:r>
        <w:rPr>
          <w:spacing w:val="-81"/>
        </w:rPr>
        <w:t> </w:t>
      </w:r>
      <w:r>
        <w:rPr>
          <w:spacing w:val="-81"/>
        </w:rPr>
      </w:r>
      <w:r>
        <w:rPr>
          <w:spacing w:val="-1"/>
        </w:rPr>
        <w:t>细分领域市场份额，对现有的市场格局构成压力。所谓大者恒大，强者恒强。谁能成为行业龙头，谁就能</w:t>
      </w:r>
      <w:r>
        <w:rPr>
          <w:spacing w:val="-83"/>
        </w:rPr>
        <w:t> </w:t>
      </w:r>
      <w:r>
        <w:rPr>
          <w:spacing w:val="-83"/>
        </w:rPr>
      </w:r>
      <w:r>
        <w:rPr>
          <w:spacing w:val="-1"/>
        </w:rPr>
        <w:t>获取更多的资源，形成竞争壁垒。如果未来公司不能在技术创新、市场开拓、服务客户等方面进一步增强</w:t>
      </w:r>
      <w:r>
        <w:rPr>
          <w:spacing w:val="-86"/>
        </w:rPr>
        <w:t> </w:t>
      </w:r>
      <w:r>
        <w:rPr>
          <w:spacing w:val="-86"/>
        </w:rPr>
      </w:r>
      <w:r>
        <w:rPr>
          <w:spacing w:val="-1"/>
        </w:rPr>
        <w:t>实力，保持行业领先地位，公司将受行业分化的影响丧失领先优势。为此，公司将不断加强研发投入，巩</w:t>
      </w:r>
      <w:r>
        <w:rPr>
          <w:spacing w:val="-82"/>
        </w:rPr>
        <w:t> </w:t>
      </w:r>
      <w:r>
        <w:rPr>
          <w:spacing w:val="-82"/>
        </w:rPr>
      </w:r>
      <w:r>
        <w:rPr>
          <w:spacing w:val="-1"/>
        </w:rPr>
        <w:t>固传感器核心优势，不断完善物联网产业生态平台，加强行业解决方案的适用性。同时，提高大客户公关</w:t>
      </w:r>
      <w:r>
        <w:rPr>
          <w:spacing w:val="-86"/>
        </w:rPr>
        <w:t> </w:t>
      </w:r>
      <w:r>
        <w:rPr>
          <w:spacing w:val="-86"/>
        </w:rPr>
      </w:r>
      <w:r>
        <w:rPr/>
        <w:t>能力，创新业务合作模式，提升客户粘性，增强获得项目订单的竞争实力，早日成为物联网行业龙头。</w:t>
      </w:r>
    </w:p>
    <w:p>
      <w:pPr>
        <w:pStyle w:val="BodyText"/>
        <w:spacing w:line="408" w:lineRule="auto"/>
        <w:ind w:left="1553" w:right="0"/>
        <w:jc w:val="left"/>
      </w:pPr>
      <w:r>
        <w:rPr>
          <w:rFonts w:ascii="宋体" w:hAnsi="宋体" w:cs="宋体" w:eastAsia="宋体" w:hint="default"/>
        </w:rPr>
        <w:t>2</w:t>
      </w:r>
      <w:r>
        <w:rPr/>
        <w:t>、技术创新迭代能力不足的风险 </w:t>
      </w:r>
      <w:r>
        <w:rPr>
          <w:spacing w:val="-1"/>
        </w:rPr>
        <w:t>技术的创新是企业发展的不竭动力。在物联网行业快速发展的时代，物联网技术的创新迭代将成为打</w:t>
      </w:r>
    </w:p>
    <w:p>
      <w:pPr>
        <w:pStyle w:val="BodyText"/>
        <w:spacing w:line="408" w:lineRule="auto"/>
        <w:ind w:right="0"/>
        <w:jc w:val="left"/>
      </w:pPr>
      <w:r>
        <w:rPr/>
        <w:t>造物联网行业龙头的核心，若公司研发不紧跟行业发展大潮，将面临技术落后的风险。公司在打造领先的 物联网平台解决方案过程中，具有软硬件核心的自主知识产权。特别是在传感技术的创新迭代领域，始终 强化技术研发创新的能力，在气体传感器细分领域已成为国内龙头，并在国际市场居于前三地位。未来，</w:t>
      </w:r>
      <w:r>
        <w:rPr>
          <w:spacing w:val="-35"/>
        </w:rPr>
        <w:t> </w:t>
      </w:r>
      <w:r>
        <w:rPr>
          <w:spacing w:val="-35"/>
        </w:rPr>
      </w:r>
      <w:r>
        <w:rPr/>
        <w:t>公司将继续加大各项研发资源的投入，同时继续实施并购战略，在国内外寻求先进的技术标的，进一步加</w:t>
      </w:r>
      <w:r>
        <w:rPr/>
        <w:t> 强并保持行业技术领先的优势。</w:t>
      </w:r>
    </w:p>
    <w:p>
      <w:pPr>
        <w:pStyle w:val="BodyText"/>
        <w:spacing w:line="408" w:lineRule="auto"/>
        <w:ind w:left="1554" w:right="0"/>
        <w:jc w:val="left"/>
      </w:pPr>
      <w:r>
        <w:rPr>
          <w:rFonts w:ascii="宋体" w:hAnsi="宋体" w:cs="宋体" w:eastAsia="宋体" w:hint="default"/>
        </w:rPr>
        <w:t>3</w:t>
      </w:r>
      <w:r>
        <w:rPr/>
        <w:t>、企业规模扩大带来的管理风险 </w:t>
      </w:r>
      <w:r>
        <w:rPr>
          <w:spacing w:val="-1"/>
        </w:rPr>
        <w:t>公司近几年来通过坚持“内生增长</w:t>
      </w:r>
      <w:r>
        <w:rPr>
          <w:rFonts w:ascii="宋体" w:hAnsi="宋体" w:cs="宋体" w:eastAsia="宋体" w:hint="default"/>
          <w:spacing w:val="-1"/>
        </w:rPr>
        <w:t>+</w:t>
      </w:r>
      <w:r>
        <w:rPr>
          <w:spacing w:val="-1"/>
        </w:rPr>
        <w:t>外延并购”的战略途径，构建了较为完整的物联网产业生态集团。</w:t>
      </w:r>
    </w:p>
    <w:p>
      <w:pPr>
        <w:pStyle w:val="BodyText"/>
        <w:spacing w:line="408" w:lineRule="auto"/>
        <w:ind w:right="1131"/>
        <w:jc w:val="both"/>
      </w:pPr>
      <w:r>
        <w:rPr>
          <w:spacing w:val="-1"/>
        </w:rPr>
        <w:t>目前，公司已经拥有二十余家全资及控股子公司，地理区域横跨全国，业务涉及五大应用板块，客户和服</w:t>
      </w:r>
      <w:r>
        <w:rPr>
          <w:spacing w:val="-86"/>
        </w:rPr>
        <w:t> </w:t>
      </w:r>
      <w:r>
        <w:rPr>
          <w:spacing w:val="-86"/>
        </w:rPr>
      </w:r>
      <w:r>
        <w:rPr>
          <w:spacing w:val="-1"/>
        </w:rPr>
        <w:t>务领域更加广泛，这对公司集团化管控能力提出较高需求。原有的管理架构和流程可能无法完全适应业务</w:t>
      </w:r>
      <w:r>
        <w:rPr>
          <w:spacing w:val="-81"/>
        </w:rPr>
        <w:t> </w:t>
      </w:r>
      <w:r>
        <w:rPr>
          <w:spacing w:val="-81"/>
        </w:rPr>
      </w:r>
      <w:r>
        <w:rPr>
          <w:spacing w:val="-1"/>
        </w:rPr>
        <w:t>扩大带来的变化，公司需要对各项资源的配备和管理流程进行调整。为此，公司将进一步完善集团化管控</w:t>
      </w:r>
      <w:r>
        <w:rPr>
          <w:spacing w:val="-83"/>
        </w:rPr>
        <w:t> </w:t>
      </w:r>
      <w:r>
        <w:rPr>
          <w:spacing w:val="-83"/>
        </w:rPr>
      </w:r>
      <w:r>
        <w:rPr/>
        <w:t>制度，夯实集团化管理的基础，增进各子公司之间的业务协同，真正形成融合统一的物联网产业集团。</w:t>
      </w:r>
    </w:p>
    <w:p>
      <w:pPr>
        <w:spacing w:after="0" w:line="408" w:lineRule="auto"/>
        <w:jc w:val="both"/>
        <w:sectPr>
          <w:footerReference w:type="default" r:id="rId8"/>
          <w:pgSz w:w="11910" w:h="16840"/>
          <w:pgMar w:footer="979" w:header="747" w:top="1060" w:bottom="1160" w:left="0" w:right="0"/>
          <w:pgNumType w:start="2"/>
        </w:sectPr>
      </w:pPr>
    </w:p>
    <w:p>
      <w:pPr>
        <w:spacing w:line="240" w:lineRule="auto" w:before="12"/>
        <w:rPr>
          <w:rFonts w:ascii="宋体" w:hAnsi="宋体" w:cs="宋体" w:eastAsia="宋体" w:hint="default"/>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6"/>
          <w:szCs w:val="26"/>
        </w:rPr>
      </w:pPr>
    </w:p>
    <w:p>
      <w:pPr>
        <w:pStyle w:val="BodyText"/>
        <w:spacing w:line="240" w:lineRule="auto" w:before="35"/>
        <w:ind w:left="1553" w:right="0"/>
        <w:jc w:val="left"/>
      </w:pPr>
      <w:r>
        <w:rPr/>
        <w:t>公司经本次董事会审议通过的利润分配预案为：以</w:t>
      </w:r>
      <w:r>
        <w:rPr>
          <w:spacing w:val="-33"/>
        </w:rPr>
        <w:t> </w:t>
      </w:r>
      <w:r>
        <w:rPr>
          <w:rFonts w:ascii="宋体" w:hAnsi="宋体" w:cs="宋体" w:eastAsia="宋体" w:hint="default"/>
        </w:rPr>
        <w:t>293,022,806</w:t>
      </w:r>
      <w:r>
        <w:rPr>
          <w:rFonts w:ascii="宋体" w:hAnsi="宋体" w:cs="宋体" w:eastAsia="宋体" w:hint="default"/>
          <w:spacing w:val="-33"/>
        </w:rPr>
        <w:t> </w:t>
      </w:r>
      <w:r>
        <w:rPr/>
        <w:t>股为基数，向全体股东每</w:t>
      </w:r>
      <w:r>
        <w:rPr>
          <w:spacing w:val="-34"/>
        </w:rPr>
        <w:t> </w:t>
      </w:r>
      <w:r>
        <w:rPr>
          <w:rFonts w:ascii="宋体" w:hAnsi="宋体" w:cs="宋体" w:eastAsia="宋体" w:hint="default"/>
        </w:rPr>
        <w:t>10</w:t>
      </w:r>
      <w:r>
        <w:rPr>
          <w:rFonts w:ascii="宋体" w:hAnsi="宋体" w:cs="宋体" w:eastAsia="宋体" w:hint="default"/>
          <w:spacing w:val="-34"/>
        </w:rPr>
        <w:t> </w:t>
      </w:r>
      <w:r>
        <w:rPr/>
        <w:t>股派发</w:t>
      </w:r>
    </w:p>
    <w:p>
      <w:pPr>
        <w:spacing w:line="240" w:lineRule="auto" w:before="10"/>
        <w:rPr>
          <w:rFonts w:ascii="宋体" w:hAnsi="宋体" w:cs="宋体" w:eastAsia="宋体" w:hint="default"/>
          <w:sz w:val="14"/>
          <w:szCs w:val="14"/>
        </w:rPr>
      </w:pPr>
    </w:p>
    <w:p>
      <w:pPr>
        <w:pStyle w:val="BodyText"/>
        <w:spacing w:line="240" w:lineRule="auto" w:before="0"/>
        <w:ind w:right="0"/>
        <w:jc w:val="left"/>
      </w:pPr>
      <w:r>
        <w:rPr/>
        <w:t>现金红利</w:t>
      </w:r>
      <w:r>
        <w:rPr>
          <w:spacing w:val="-52"/>
        </w:rPr>
        <w:t> </w:t>
      </w:r>
      <w:r>
        <w:rPr>
          <w:rFonts w:ascii="宋体" w:hAnsi="宋体" w:cs="宋体" w:eastAsia="宋体" w:hint="default"/>
        </w:rPr>
        <w:t>0.</w:t>
      </w:r>
      <w:r>
        <w:rPr>
          <w:rFonts w:ascii="宋体" w:hAnsi="宋体" w:cs="宋体" w:eastAsia="宋体" w:hint="default"/>
          <w:spacing w:val="-1"/>
        </w:rPr>
        <w:t>4</w:t>
      </w:r>
      <w:r>
        <w:rPr>
          <w:rFonts w:ascii="宋体" w:hAnsi="宋体" w:cs="宋体" w:eastAsia="宋体" w:hint="default"/>
        </w:rPr>
        <w:t>5</w:t>
      </w:r>
      <w:r>
        <w:rPr>
          <w:rFonts w:ascii="宋体" w:hAnsi="宋体" w:cs="宋体" w:eastAsia="宋体" w:hint="default"/>
          <w:spacing w:val="-52"/>
        </w:rPr>
        <w:t> </w:t>
      </w:r>
      <w:r>
        <w:rPr/>
        <w:t>元（含税</w:t>
      </w:r>
      <w:r>
        <w:rPr>
          <w:spacing w:val="-106"/>
        </w:rPr>
        <w:t>）</w:t>
      </w:r>
      <w:r>
        <w:rPr/>
        <w:t>，送红股</w:t>
      </w:r>
      <w:r>
        <w:rPr>
          <w:spacing w:val="-53"/>
        </w:rPr>
        <w:t> </w:t>
      </w:r>
      <w:r>
        <w:rPr>
          <w:rFonts w:ascii="宋体" w:hAnsi="宋体" w:cs="宋体" w:eastAsia="宋体" w:hint="default"/>
        </w:rPr>
        <w:t>0</w:t>
      </w:r>
      <w:r>
        <w:rPr>
          <w:rFonts w:ascii="宋体" w:hAnsi="宋体" w:cs="宋体" w:eastAsia="宋体" w:hint="default"/>
          <w:spacing w:val="-53"/>
        </w:rPr>
        <w:t> </w:t>
      </w:r>
      <w:r>
        <w:rPr/>
        <w:t>股（含税</w:t>
      </w:r>
      <w:r>
        <w:rPr>
          <w:spacing w:val="-105"/>
        </w:rPr>
        <w:t>）</w:t>
      </w:r>
      <w:r>
        <w:rPr>
          <w:spacing w:val="-2"/>
        </w:rPr>
        <w:t>，</w:t>
      </w:r>
      <w:r>
        <w:rPr/>
        <w:t>以资本公积金向全体股东每</w:t>
      </w:r>
      <w:r>
        <w:rPr>
          <w:spacing w:val="-52"/>
        </w:rPr>
        <w:t> </w:t>
      </w:r>
      <w:r>
        <w:rPr>
          <w:rFonts w:ascii="宋体" w:hAnsi="宋体" w:cs="宋体" w:eastAsia="宋体" w:hint="default"/>
          <w:spacing w:val="-1"/>
        </w:rPr>
        <w:t>1</w:t>
      </w:r>
      <w:r>
        <w:rPr>
          <w:rFonts w:ascii="宋体" w:hAnsi="宋体" w:cs="宋体" w:eastAsia="宋体" w:hint="default"/>
        </w:rPr>
        <w:t>0</w:t>
      </w:r>
      <w:r>
        <w:rPr>
          <w:rFonts w:ascii="宋体" w:hAnsi="宋体" w:cs="宋体" w:eastAsia="宋体" w:hint="default"/>
          <w:spacing w:val="-52"/>
        </w:rPr>
        <w:t> </w:t>
      </w:r>
      <w:r>
        <w:rPr/>
        <w:t>股</w:t>
      </w:r>
      <w:r>
        <w:rPr>
          <w:spacing w:val="-2"/>
        </w:rPr>
        <w:t>转</w:t>
      </w:r>
      <w:r>
        <w:rPr/>
        <w:t>增</w:t>
      </w:r>
      <w:r>
        <w:rPr>
          <w:spacing w:val="-53"/>
        </w:rPr>
        <w:t> </w:t>
      </w:r>
      <w:r>
        <w:rPr>
          <w:rFonts w:ascii="宋体" w:hAnsi="宋体" w:cs="宋体" w:eastAsia="宋体" w:hint="default"/>
        </w:rPr>
        <w:t>0</w:t>
      </w:r>
      <w:r>
        <w:rPr>
          <w:rFonts w:ascii="宋体" w:hAnsi="宋体" w:cs="宋体" w:eastAsia="宋体" w:hint="default"/>
          <w:spacing w:val="-52"/>
        </w:rPr>
        <w:t> </w:t>
      </w:r>
      <w:r>
        <w:rPr/>
        <w:t>股。</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23"/>
        <w:ind w:left="3764" w:right="3763"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50"/>
          <w:szCs w:val="50"/>
        </w:rPr>
      </w:pPr>
    </w:p>
    <w:sdt>
      <w:sdtPr>
        <w:docPartObj>
          <w:docPartGallery w:val="Table of Contents"/>
          <w:docPartUnique/>
        </w:docPartObj>
      </w:sdtPr>
      <w:sdtEndPr/>
      <w:sdtContent>
        <w:p>
          <w:pPr>
            <w:pStyle w:val="TOC1"/>
            <w:tabs>
              <w:tab w:pos="10763" w:val="right" w:leader="dot"/>
            </w:tabs>
            <w:spacing w:line="240" w:lineRule="auto" w:before="0"/>
            <w:ind w:right="0"/>
            <w:jc w:val="left"/>
            <w:rPr>
              <w:rFonts w:ascii="宋体" w:hAnsi="宋体" w:cs="宋体" w:eastAsia="宋体" w:hint="default"/>
            </w:rPr>
          </w:pPr>
          <w:r>
            <w:fldChar w:fldCharType="begin"/>
          </w:r>
          <w:r>
            <w:instrText>TOC \o "1-1" \h \z \u </w:instrText>
          </w:r>
          <w:r>
            <w:fldChar w:fldCharType="separate"/>
          </w:r>
          <w:hyperlink w:history="true" w:anchor="_bookmark0">
            <w:r>
              <w:rPr/>
              <w:t>第一节 重要提示、目录和释义</w:t>
            </w:r>
            <w:r>
              <w:rPr>
                <w:rFonts w:ascii="宋体" w:hAnsi="宋体" w:cs="宋体" w:eastAsia="宋体" w:hint="default"/>
              </w:rPr>
              <w:tab/>
              <w:t>2</w:t>
            </w:r>
          </w:hyperlink>
        </w:p>
        <w:p>
          <w:pPr>
            <w:pStyle w:val="TOC1"/>
            <w:tabs>
              <w:tab w:pos="10763" w:val="right" w:leader="dot"/>
            </w:tabs>
            <w:spacing w:line="240" w:lineRule="auto"/>
            <w:ind w:right="0"/>
            <w:jc w:val="left"/>
            <w:rPr>
              <w:rFonts w:ascii="宋体" w:hAnsi="宋体" w:cs="宋体" w:eastAsia="宋体" w:hint="default"/>
            </w:rPr>
          </w:pPr>
          <w:hyperlink w:history="true" w:anchor="_bookmark1">
            <w:r>
              <w:rPr/>
              <w:t>第二节 公司简介和主要财务指标</w:t>
            </w:r>
            <w:r>
              <w:rPr>
                <w:rFonts w:ascii="宋体" w:hAnsi="宋体" w:cs="宋体" w:eastAsia="宋体" w:hint="default"/>
              </w:rPr>
              <w:tab/>
              <w:t>8</w:t>
            </w:r>
          </w:hyperlink>
        </w:p>
        <w:p>
          <w:pPr>
            <w:pStyle w:val="TOC1"/>
            <w:tabs>
              <w:tab w:pos="10763" w:val="right" w:leader="dot"/>
            </w:tabs>
            <w:spacing w:line="240" w:lineRule="auto" w:before="234"/>
            <w:ind w:right="0"/>
            <w:jc w:val="left"/>
            <w:rPr>
              <w:rFonts w:ascii="宋体" w:hAnsi="宋体" w:cs="宋体" w:eastAsia="宋体" w:hint="default"/>
            </w:rPr>
          </w:pPr>
          <w:hyperlink w:history="true" w:anchor="_bookmark2">
            <w:r>
              <w:rPr/>
              <w:t>第三节 公司业务概要</w:t>
            </w:r>
            <w:r>
              <w:rPr>
                <w:rFonts w:ascii="宋体" w:hAnsi="宋体" w:cs="宋体" w:eastAsia="宋体" w:hint="default"/>
              </w:rPr>
              <w:tab/>
              <w:t>11</w:t>
            </w:r>
          </w:hyperlink>
        </w:p>
        <w:p>
          <w:pPr>
            <w:pStyle w:val="TOC1"/>
            <w:tabs>
              <w:tab w:pos="10763" w:val="right" w:leader="dot"/>
            </w:tabs>
            <w:spacing w:line="240" w:lineRule="auto"/>
            <w:ind w:right="0"/>
            <w:jc w:val="left"/>
            <w:rPr>
              <w:rFonts w:ascii="宋体" w:hAnsi="宋体" w:cs="宋体" w:eastAsia="宋体" w:hint="default"/>
            </w:rPr>
          </w:pPr>
          <w:hyperlink w:history="true" w:anchor="_bookmark3">
            <w:r>
              <w:rPr/>
              <w:t>第四节 经营情况讨论与分析</w:t>
            </w:r>
            <w:r>
              <w:rPr>
                <w:rFonts w:ascii="宋体" w:hAnsi="宋体" w:cs="宋体" w:eastAsia="宋体" w:hint="default"/>
              </w:rPr>
              <w:tab/>
              <w:t>18</w:t>
            </w:r>
          </w:hyperlink>
        </w:p>
        <w:p>
          <w:pPr>
            <w:pStyle w:val="TOC1"/>
            <w:tabs>
              <w:tab w:pos="10763" w:val="right" w:leader="dot"/>
            </w:tabs>
            <w:spacing w:line="240" w:lineRule="auto"/>
            <w:ind w:right="0"/>
            <w:jc w:val="left"/>
            <w:rPr>
              <w:rFonts w:ascii="宋体" w:hAnsi="宋体" w:cs="宋体" w:eastAsia="宋体" w:hint="default"/>
            </w:rPr>
          </w:pPr>
          <w:hyperlink w:history="true" w:anchor="_bookmark4">
            <w:r>
              <w:rPr/>
              <w:t>第五节 重要事项</w:t>
            </w:r>
            <w:r>
              <w:rPr>
                <w:rFonts w:ascii="宋体" w:hAnsi="宋体" w:cs="宋体" w:eastAsia="宋体" w:hint="default"/>
              </w:rPr>
              <w:tab/>
              <w:t>38</w:t>
            </w:r>
          </w:hyperlink>
        </w:p>
        <w:p>
          <w:pPr>
            <w:pStyle w:val="TOC1"/>
            <w:tabs>
              <w:tab w:pos="10763" w:val="right" w:leader="dot"/>
            </w:tabs>
            <w:spacing w:line="240" w:lineRule="auto" w:before="234"/>
            <w:ind w:right="0"/>
            <w:jc w:val="left"/>
            <w:rPr>
              <w:rFonts w:ascii="宋体" w:hAnsi="宋体" w:cs="宋体" w:eastAsia="宋体" w:hint="default"/>
            </w:rPr>
          </w:pPr>
          <w:hyperlink w:history="true" w:anchor="_bookmark5">
            <w:r>
              <w:rPr/>
              <w:t>第六节 股份变动及股东情况</w:t>
            </w:r>
            <w:r>
              <w:rPr>
                <w:rFonts w:ascii="宋体" w:hAnsi="宋体" w:cs="宋体" w:eastAsia="宋体" w:hint="default"/>
              </w:rPr>
              <w:tab/>
              <w:t>57</w:t>
            </w:r>
          </w:hyperlink>
        </w:p>
        <w:p>
          <w:pPr>
            <w:pStyle w:val="TOC1"/>
            <w:tabs>
              <w:tab w:pos="10763" w:val="right" w:leader="dot"/>
            </w:tabs>
            <w:spacing w:line="240" w:lineRule="auto"/>
            <w:ind w:right="0"/>
            <w:jc w:val="left"/>
            <w:rPr>
              <w:rFonts w:ascii="宋体" w:hAnsi="宋体" w:cs="宋体" w:eastAsia="宋体" w:hint="default"/>
            </w:rPr>
          </w:pPr>
          <w:hyperlink w:history="true" w:anchor="_bookmark6">
            <w:r>
              <w:rPr/>
              <w:t>第七节 优先股相关情况</w:t>
            </w:r>
            <w:r>
              <w:rPr>
                <w:rFonts w:ascii="宋体" w:hAnsi="宋体" w:cs="宋体" w:eastAsia="宋体" w:hint="default"/>
              </w:rPr>
              <w:tab/>
              <w:t>63</w:t>
            </w:r>
          </w:hyperlink>
        </w:p>
        <w:p>
          <w:pPr>
            <w:pStyle w:val="TOC1"/>
            <w:tabs>
              <w:tab w:pos="10763" w:val="right" w:leader="dot"/>
            </w:tabs>
            <w:spacing w:line="240" w:lineRule="auto" w:before="233"/>
            <w:ind w:right="0"/>
            <w:jc w:val="left"/>
            <w:rPr>
              <w:rFonts w:ascii="宋体" w:hAnsi="宋体" w:cs="宋体" w:eastAsia="宋体" w:hint="default"/>
            </w:rPr>
          </w:pPr>
          <w:hyperlink w:history="true" w:anchor="_bookmark7">
            <w:r>
              <w:rPr/>
              <w:t>第八节 董事、监事、高级管理人员和员工情况</w:t>
            </w:r>
            <w:r>
              <w:rPr>
                <w:rFonts w:ascii="宋体" w:hAnsi="宋体" w:cs="宋体" w:eastAsia="宋体" w:hint="default"/>
              </w:rPr>
              <w:tab/>
              <w:t>64</w:t>
            </w:r>
          </w:hyperlink>
        </w:p>
        <w:p>
          <w:pPr>
            <w:pStyle w:val="TOC1"/>
            <w:tabs>
              <w:tab w:pos="10763" w:val="right" w:leader="dot"/>
            </w:tabs>
            <w:spacing w:line="240" w:lineRule="auto" w:before="234"/>
            <w:ind w:right="0"/>
            <w:jc w:val="left"/>
            <w:rPr>
              <w:rFonts w:ascii="宋体" w:hAnsi="宋体" w:cs="宋体" w:eastAsia="宋体" w:hint="default"/>
            </w:rPr>
          </w:pPr>
          <w:hyperlink w:history="true" w:anchor="_bookmark8">
            <w:r>
              <w:rPr/>
              <w:t>第九节 公司治理</w:t>
            </w:r>
            <w:r>
              <w:rPr>
                <w:rFonts w:ascii="宋体" w:hAnsi="宋体" w:cs="宋体" w:eastAsia="宋体" w:hint="default"/>
              </w:rPr>
              <w:tab/>
              <w:t>71</w:t>
            </w:r>
          </w:hyperlink>
        </w:p>
        <w:p>
          <w:pPr>
            <w:pStyle w:val="TOC1"/>
            <w:tabs>
              <w:tab w:pos="10763" w:val="right" w:leader="dot"/>
            </w:tabs>
            <w:spacing w:line="240" w:lineRule="auto"/>
            <w:ind w:right="0"/>
            <w:jc w:val="left"/>
            <w:rPr>
              <w:rFonts w:ascii="宋体" w:hAnsi="宋体" w:cs="宋体" w:eastAsia="宋体" w:hint="default"/>
            </w:rPr>
          </w:pPr>
          <w:hyperlink w:history="true" w:anchor="_bookmark9">
            <w:r>
              <w:rPr/>
              <w:t>第十节 公司债券相关情况</w:t>
            </w:r>
            <w:r>
              <w:rPr>
                <w:rFonts w:ascii="宋体" w:hAnsi="宋体" w:cs="宋体" w:eastAsia="宋体" w:hint="default"/>
              </w:rPr>
              <w:tab/>
              <w:t>80</w:t>
            </w:r>
          </w:hyperlink>
        </w:p>
        <w:p>
          <w:pPr>
            <w:pStyle w:val="TOC1"/>
            <w:tabs>
              <w:tab w:pos="10763" w:val="right" w:leader="dot"/>
            </w:tabs>
            <w:spacing w:line="240" w:lineRule="auto"/>
            <w:ind w:right="0"/>
            <w:jc w:val="left"/>
            <w:rPr>
              <w:rFonts w:ascii="宋体" w:hAnsi="宋体" w:cs="宋体" w:eastAsia="宋体" w:hint="default"/>
            </w:rPr>
          </w:pPr>
          <w:hyperlink w:history="true" w:anchor="_bookmark10">
            <w:r>
              <w:rPr/>
              <w:t>第十一节 财务报告</w:t>
            </w:r>
            <w:r>
              <w:rPr>
                <w:rFonts w:ascii="宋体" w:hAnsi="宋体" w:cs="宋体" w:eastAsia="宋体" w:hint="default"/>
              </w:rPr>
              <w:tab/>
              <w:t>81</w:t>
            </w:r>
          </w:hyperlink>
        </w:p>
        <w:p>
          <w:pPr>
            <w:pStyle w:val="TOC1"/>
            <w:tabs>
              <w:tab w:pos="10763" w:val="right" w:leader="dot"/>
            </w:tabs>
            <w:spacing w:line="240" w:lineRule="auto" w:before="234"/>
            <w:ind w:right="0"/>
            <w:jc w:val="left"/>
            <w:rPr>
              <w:rFonts w:ascii="宋体" w:hAnsi="宋体" w:cs="宋体" w:eastAsia="宋体" w:hint="default"/>
            </w:rPr>
          </w:pPr>
          <w:hyperlink w:history="true" w:anchor="_bookmark11">
            <w:r>
              <w:rPr/>
              <w:t>第十二节 备查文件目录</w:t>
            </w:r>
            <w:r>
              <w:rPr>
                <w:rFonts w:ascii="宋体" w:hAnsi="宋体" w:cs="宋体" w:eastAsia="宋体" w:hint="default"/>
              </w:rPr>
              <w:tab/>
              <w:t>173</w:t>
            </w:r>
          </w:hyperlink>
        </w:p>
        <w:p>
          <w:pPr/>
          <w:r>
            <w:fldChar w:fldCharType="end"/>
          </w:r>
        </w:p>
      </w:sdtContent>
    </w:sdt>
    <w:p>
      <w:pPr>
        <w:spacing w:after="0"/>
        <w:sectPr>
          <w:pgSz w:w="11910" w:h="16840"/>
          <w:pgMar w:header="747" w:footer="979" w:top="1060" w:bottom="1160" w:left="0" w:right="0"/>
        </w:sectPr>
      </w:pPr>
    </w:p>
    <w:p>
      <w:pPr>
        <w:spacing w:before="946"/>
        <w:ind w:left="3764" w:right="3763"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118" w:type="dxa"/>
        <w:tblLayout w:type="fixed"/>
        <w:tblCellMar>
          <w:top w:w="0" w:type="dxa"/>
          <w:left w:w="0" w:type="dxa"/>
          <w:bottom w:w="0" w:type="dxa"/>
          <w:right w:w="0" w:type="dxa"/>
        </w:tblCellMar>
        <w:tblLook w:val="01E0"/>
      </w:tblPr>
      <w:tblGrid>
        <w:gridCol w:w="2280"/>
        <w:gridCol w:w="544"/>
        <w:gridCol w:w="6745"/>
      </w:tblGrid>
      <w:tr>
        <w:trPr>
          <w:trHeight w:val="411" w:hRule="exact"/>
        </w:trPr>
        <w:tc>
          <w:tcPr>
            <w:tcW w:w="2280"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right="22"/>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4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45"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1"/>
              <w:ind w:left="21"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2280" w:type="dxa"/>
            <w:tcBorders>
              <w:top w:val="single" w:sz="4" w:space="0" w:color="000000"/>
              <w:left w:val="single" w:sz="12" w:space="0" w:color="000000"/>
              <w:bottom w:val="single" w:sz="4" w:space="0" w:color="000000"/>
              <w:right w:val="single" w:sz="13" w:space="0" w:color="D2D2D2"/>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年度报告</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45" w:type="dxa"/>
            <w:tcBorders>
              <w:top w:val="single" w:sz="4" w:space="0" w:color="000000"/>
              <w:left w:val="single" w:sz="13" w:space="0" w:color="D2D2D2"/>
              <w:bottom w:val="single" w:sz="4" w:space="0" w:color="000000"/>
              <w:right w:val="single" w:sz="12"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汉威科技集团股份有限公司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c>
      </w:tr>
      <w:tr>
        <w:trPr>
          <w:trHeight w:val="402" w:hRule="exact"/>
        </w:trPr>
        <w:tc>
          <w:tcPr>
            <w:tcW w:w="2280" w:type="dxa"/>
            <w:tcBorders>
              <w:top w:val="single" w:sz="4" w:space="0" w:color="000000"/>
              <w:left w:val="single" w:sz="12" w:space="0" w:color="000000"/>
              <w:bottom w:val="single" w:sz="4" w:space="0" w:color="000000"/>
              <w:right w:val="single" w:sz="13" w:space="0" w:color="D2D2D2"/>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报告期、上年</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45" w:type="dxa"/>
            <w:tcBorders>
              <w:top w:val="single" w:sz="4" w:space="0" w:color="000000"/>
              <w:left w:val="single" w:sz="13" w:space="0" w:color="D2D2D2"/>
              <w:bottom w:val="single" w:sz="4" w:space="0" w:color="000000"/>
              <w:right w:val="single" w:sz="12"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1-12 </w:t>
            </w:r>
            <w:r>
              <w:rPr>
                <w:rFonts w:ascii="宋体" w:hAnsi="宋体" w:cs="宋体" w:eastAsia="宋体" w:hint="default"/>
                <w:sz w:val="18"/>
                <w:szCs w:val="18"/>
              </w:rPr>
              <w:t>月</w:t>
            </w:r>
          </w:p>
        </w:tc>
      </w:tr>
      <w:tr>
        <w:trPr>
          <w:trHeight w:val="402" w:hRule="exact"/>
        </w:trPr>
        <w:tc>
          <w:tcPr>
            <w:tcW w:w="2280" w:type="dxa"/>
            <w:tcBorders>
              <w:top w:val="single" w:sz="4" w:space="0" w:color="000000"/>
              <w:left w:val="single" w:sz="12" w:space="0" w:color="000000"/>
              <w:bottom w:val="single" w:sz="4" w:space="0" w:color="000000"/>
              <w:right w:val="single" w:sz="13" w:space="0" w:color="D2D2D2"/>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45" w:type="dxa"/>
            <w:tcBorders>
              <w:top w:val="single" w:sz="4" w:space="0" w:color="000000"/>
              <w:left w:val="single" w:sz="13" w:space="0" w:color="D2D2D2"/>
              <w:bottom w:val="single" w:sz="4" w:space="0" w:color="000000"/>
              <w:right w:val="single" w:sz="12"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汉威科技集团股份有限公司董事会</w:t>
            </w:r>
          </w:p>
        </w:tc>
      </w:tr>
      <w:tr>
        <w:trPr>
          <w:trHeight w:val="402" w:hRule="exact"/>
        </w:trPr>
        <w:tc>
          <w:tcPr>
            <w:tcW w:w="2280" w:type="dxa"/>
            <w:tcBorders>
              <w:top w:val="single" w:sz="4" w:space="0" w:color="000000"/>
              <w:left w:val="single" w:sz="12" w:space="0" w:color="000000"/>
              <w:bottom w:val="single" w:sz="4" w:space="0" w:color="000000"/>
              <w:right w:val="single" w:sz="13" w:space="0" w:color="D2D2D2"/>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45" w:type="dxa"/>
            <w:tcBorders>
              <w:top w:val="single" w:sz="4" w:space="0" w:color="000000"/>
              <w:left w:val="single" w:sz="13" w:space="0" w:color="D2D2D2"/>
              <w:bottom w:val="single" w:sz="4" w:space="0" w:color="000000"/>
              <w:right w:val="single" w:sz="12"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汉威科技集团股份有限公司监事会</w:t>
            </w:r>
          </w:p>
        </w:tc>
      </w:tr>
      <w:tr>
        <w:trPr>
          <w:trHeight w:val="402" w:hRule="exact"/>
        </w:trPr>
        <w:tc>
          <w:tcPr>
            <w:tcW w:w="2280" w:type="dxa"/>
            <w:tcBorders>
              <w:top w:val="single" w:sz="4" w:space="0" w:color="000000"/>
              <w:left w:val="single" w:sz="12" w:space="0" w:color="000000"/>
              <w:bottom w:val="single" w:sz="4" w:space="0" w:color="000000"/>
              <w:right w:val="single" w:sz="13" w:space="0" w:color="D2D2D2"/>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45" w:type="dxa"/>
            <w:tcBorders>
              <w:top w:val="single" w:sz="4" w:space="0" w:color="000000"/>
              <w:left w:val="single" w:sz="13" w:space="0" w:color="D2D2D2"/>
              <w:bottom w:val="single" w:sz="4" w:space="0" w:color="000000"/>
              <w:right w:val="single" w:sz="12"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汉威科技集团股份有限公司股东大会</w:t>
            </w:r>
          </w:p>
        </w:tc>
      </w:tr>
      <w:tr>
        <w:trPr>
          <w:trHeight w:val="402" w:hRule="exact"/>
        </w:trPr>
        <w:tc>
          <w:tcPr>
            <w:tcW w:w="2280" w:type="dxa"/>
            <w:tcBorders>
              <w:top w:val="single" w:sz="4" w:space="0" w:color="000000"/>
              <w:left w:val="single" w:sz="12" w:space="0" w:color="000000"/>
              <w:bottom w:val="single" w:sz="4" w:space="0" w:color="000000"/>
              <w:right w:val="single" w:sz="13" w:space="0" w:color="D2D2D2"/>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创业板</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45" w:type="dxa"/>
            <w:tcBorders>
              <w:top w:val="single" w:sz="4" w:space="0" w:color="000000"/>
              <w:left w:val="single" w:sz="13" w:space="0" w:color="D2D2D2"/>
              <w:bottom w:val="single" w:sz="4" w:space="0" w:color="000000"/>
              <w:right w:val="single" w:sz="12"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深圳证券交易所创业板</w:t>
            </w:r>
          </w:p>
        </w:tc>
      </w:tr>
      <w:tr>
        <w:trPr>
          <w:trHeight w:val="402" w:hRule="exact"/>
        </w:trPr>
        <w:tc>
          <w:tcPr>
            <w:tcW w:w="2280" w:type="dxa"/>
            <w:tcBorders>
              <w:top w:val="single" w:sz="4" w:space="0" w:color="000000"/>
              <w:left w:val="single" w:sz="12" w:space="0" w:color="000000"/>
              <w:bottom w:val="single" w:sz="4" w:space="0" w:color="000000"/>
              <w:right w:val="single" w:sz="13" w:space="0" w:color="D2D2D2"/>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45" w:type="dxa"/>
            <w:tcBorders>
              <w:top w:val="single" w:sz="4" w:space="0" w:color="000000"/>
              <w:left w:val="single" w:sz="13" w:space="0" w:color="D2D2D2"/>
              <w:bottom w:val="single" w:sz="4" w:space="0" w:color="000000"/>
              <w:right w:val="single" w:sz="12"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人民币元</w:t>
            </w:r>
          </w:p>
        </w:tc>
      </w:tr>
      <w:tr>
        <w:trPr>
          <w:trHeight w:val="402" w:hRule="exact"/>
        </w:trPr>
        <w:tc>
          <w:tcPr>
            <w:tcW w:w="2280" w:type="dxa"/>
            <w:tcBorders>
              <w:top w:val="single" w:sz="4" w:space="0" w:color="000000"/>
              <w:left w:val="single" w:sz="12" w:space="0" w:color="000000"/>
              <w:bottom w:val="single" w:sz="4" w:space="0" w:color="000000"/>
              <w:right w:val="single" w:sz="13" w:space="0" w:color="D2D2D2"/>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汉威科技、公司</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45" w:type="dxa"/>
            <w:tcBorders>
              <w:top w:val="single" w:sz="4" w:space="0" w:color="000000"/>
              <w:left w:val="single" w:sz="13" w:space="0" w:color="D2D2D2"/>
              <w:bottom w:val="single" w:sz="4" w:space="0" w:color="000000"/>
              <w:right w:val="single" w:sz="12"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汉威科技集团股份有限公司</w:t>
            </w:r>
          </w:p>
        </w:tc>
      </w:tr>
      <w:tr>
        <w:trPr>
          <w:trHeight w:val="402" w:hRule="exact"/>
        </w:trPr>
        <w:tc>
          <w:tcPr>
            <w:tcW w:w="2280" w:type="dxa"/>
            <w:tcBorders>
              <w:top w:val="single" w:sz="4" w:space="0" w:color="000000"/>
              <w:left w:val="single" w:sz="12" w:space="0" w:color="000000"/>
              <w:bottom w:val="single" w:sz="4" w:space="0" w:color="000000"/>
              <w:right w:val="single" w:sz="13" w:space="0" w:color="D2D2D2"/>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炜盛科技</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45" w:type="dxa"/>
            <w:tcBorders>
              <w:top w:val="single" w:sz="4" w:space="0" w:color="000000"/>
              <w:left w:val="single" w:sz="13" w:space="0" w:color="D2D2D2"/>
              <w:bottom w:val="single" w:sz="4" w:space="0" w:color="000000"/>
              <w:right w:val="single" w:sz="12"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郑州炜盛电子科技有限公司</w:t>
            </w:r>
          </w:p>
        </w:tc>
      </w:tr>
      <w:tr>
        <w:trPr>
          <w:trHeight w:val="402" w:hRule="exact"/>
        </w:trPr>
        <w:tc>
          <w:tcPr>
            <w:tcW w:w="2280" w:type="dxa"/>
            <w:tcBorders>
              <w:top w:val="single" w:sz="4" w:space="0" w:color="000000"/>
              <w:left w:val="single" w:sz="12" w:space="0" w:color="000000"/>
              <w:bottom w:val="single" w:sz="4" w:space="0" w:color="000000"/>
              <w:right w:val="single" w:sz="13" w:space="0" w:color="D2D2D2"/>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沈阳金建</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45" w:type="dxa"/>
            <w:tcBorders>
              <w:top w:val="single" w:sz="4" w:space="0" w:color="000000"/>
              <w:left w:val="single" w:sz="13" w:space="0" w:color="D2D2D2"/>
              <w:bottom w:val="single" w:sz="4" w:space="0" w:color="000000"/>
              <w:right w:val="single" w:sz="12"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沈阳金建数字城市软件有限公司</w:t>
            </w:r>
          </w:p>
        </w:tc>
      </w:tr>
      <w:tr>
        <w:trPr>
          <w:trHeight w:val="402" w:hRule="exact"/>
        </w:trPr>
        <w:tc>
          <w:tcPr>
            <w:tcW w:w="2280" w:type="dxa"/>
            <w:tcBorders>
              <w:top w:val="single" w:sz="4" w:space="0" w:color="000000"/>
              <w:left w:val="single" w:sz="12" w:space="0" w:color="000000"/>
              <w:bottom w:val="single" w:sz="4" w:space="0" w:color="000000"/>
              <w:right w:val="single" w:sz="13" w:space="0" w:color="D2D2D2"/>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嘉园环保</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45" w:type="dxa"/>
            <w:tcBorders>
              <w:top w:val="single" w:sz="4" w:space="0" w:color="000000"/>
              <w:left w:val="single" w:sz="13" w:space="0" w:color="D2D2D2"/>
              <w:bottom w:val="single" w:sz="4" w:space="0" w:color="000000"/>
              <w:right w:val="single" w:sz="12"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嘉园环保有限公司</w:t>
            </w:r>
          </w:p>
        </w:tc>
      </w:tr>
      <w:tr>
        <w:trPr>
          <w:trHeight w:val="402" w:hRule="exact"/>
        </w:trPr>
        <w:tc>
          <w:tcPr>
            <w:tcW w:w="2280" w:type="dxa"/>
            <w:tcBorders>
              <w:top w:val="single" w:sz="4" w:space="0" w:color="000000"/>
              <w:left w:val="single" w:sz="12" w:space="0" w:color="000000"/>
              <w:bottom w:val="single" w:sz="4" w:space="0" w:color="000000"/>
              <w:right w:val="single" w:sz="13" w:space="0" w:color="D2D2D2"/>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汉威公用</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45" w:type="dxa"/>
            <w:tcBorders>
              <w:top w:val="single" w:sz="4" w:space="0" w:color="000000"/>
              <w:left w:val="single" w:sz="13" w:space="0" w:color="D2D2D2"/>
              <w:bottom w:val="single" w:sz="4" w:space="0" w:color="000000"/>
              <w:right w:val="single" w:sz="12"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郑州汉威公用事业科技有限公司</w:t>
            </w:r>
          </w:p>
        </w:tc>
      </w:tr>
      <w:tr>
        <w:trPr>
          <w:trHeight w:val="402" w:hRule="exact"/>
        </w:trPr>
        <w:tc>
          <w:tcPr>
            <w:tcW w:w="2280" w:type="dxa"/>
            <w:tcBorders>
              <w:top w:val="single" w:sz="4" w:space="0" w:color="000000"/>
              <w:left w:val="single" w:sz="12" w:space="0" w:color="000000"/>
              <w:bottom w:val="single" w:sz="4" w:space="0" w:color="000000"/>
              <w:right w:val="single" w:sz="13" w:space="0" w:color="D2D2D2"/>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汉威智源</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45" w:type="dxa"/>
            <w:tcBorders>
              <w:top w:val="single" w:sz="4" w:space="0" w:color="000000"/>
              <w:left w:val="single" w:sz="13" w:space="0" w:color="D2D2D2"/>
              <w:bottom w:val="single" w:sz="4" w:space="0" w:color="000000"/>
              <w:right w:val="single" w:sz="12"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郑州汉威智源科技有限公司</w:t>
            </w:r>
          </w:p>
        </w:tc>
      </w:tr>
      <w:tr>
        <w:trPr>
          <w:trHeight w:val="402" w:hRule="exact"/>
        </w:trPr>
        <w:tc>
          <w:tcPr>
            <w:tcW w:w="2280" w:type="dxa"/>
            <w:tcBorders>
              <w:top w:val="single" w:sz="4" w:space="0" w:color="000000"/>
              <w:left w:val="single" w:sz="12" w:space="0" w:color="000000"/>
              <w:bottom w:val="single" w:sz="4" w:space="0" w:color="000000"/>
              <w:right w:val="single" w:sz="13" w:space="0" w:color="D2D2D2"/>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高新供水</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45" w:type="dxa"/>
            <w:tcBorders>
              <w:top w:val="single" w:sz="4" w:space="0" w:color="000000"/>
              <w:left w:val="single" w:sz="13" w:space="0" w:color="D2D2D2"/>
              <w:bottom w:val="single" w:sz="4" w:space="0" w:color="000000"/>
              <w:right w:val="single" w:sz="12"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郑州高新供水有限责任公司</w:t>
            </w:r>
          </w:p>
        </w:tc>
      </w:tr>
      <w:tr>
        <w:trPr>
          <w:trHeight w:val="402" w:hRule="exact"/>
        </w:trPr>
        <w:tc>
          <w:tcPr>
            <w:tcW w:w="2280" w:type="dxa"/>
            <w:tcBorders>
              <w:top w:val="single" w:sz="4" w:space="0" w:color="000000"/>
              <w:left w:val="single" w:sz="12" w:space="0" w:color="000000"/>
              <w:bottom w:val="single" w:sz="4" w:space="0" w:color="000000"/>
              <w:right w:val="single" w:sz="13" w:space="0" w:color="D2D2D2"/>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水务工程</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45" w:type="dxa"/>
            <w:tcBorders>
              <w:top w:val="single" w:sz="4" w:space="0" w:color="000000"/>
              <w:left w:val="single" w:sz="13" w:space="0" w:color="D2D2D2"/>
              <w:bottom w:val="single" w:sz="4" w:space="0" w:color="000000"/>
              <w:right w:val="single" w:sz="12"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郑州高新水务工程有限公司</w:t>
            </w:r>
          </w:p>
        </w:tc>
      </w:tr>
      <w:tr>
        <w:trPr>
          <w:trHeight w:val="402" w:hRule="exact"/>
        </w:trPr>
        <w:tc>
          <w:tcPr>
            <w:tcW w:w="2280" w:type="dxa"/>
            <w:tcBorders>
              <w:top w:val="single" w:sz="4" w:space="0" w:color="000000"/>
              <w:left w:val="single" w:sz="12" w:space="0" w:color="000000"/>
              <w:bottom w:val="single" w:sz="4" w:space="0" w:color="000000"/>
              <w:right w:val="single" w:sz="13" w:space="0" w:color="D2D2D2"/>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高新热力</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45" w:type="dxa"/>
            <w:tcBorders>
              <w:top w:val="single" w:sz="4" w:space="0" w:color="000000"/>
              <w:left w:val="single" w:sz="13" w:space="0" w:color="D2D2D2"/>
              <w:bottom w:val="single" w:sz="4" w:space="0" w:color="000000"/>
              <w:right w:val="single" w:sz="12"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郑州高新热力有限责任公司</w:t>
            </w:r>
          </w:p>
        </w:tc>
      </w:tr>
      <w:tr>
        <w:trPr>
          <w:trHeight w:val="402" w:hRule="exact"/>
        </w:trPr>
        <w:tc>
          <w:tcPr>
            <w:tcW w:w="2280" w:type="dxa"/>
            <w:tcBorders>
              <w:top w:val="single" w:sz="4" w:space="0" w:color="000000"/>
              <w:left w:val="single" w:sz="12" w:space="0" w:color="000000"/>
              <w:bottom w:val="single" w:sz="4" w:space="0" w:color="000000"/>
              <w:right w:val="single" w:sz="13" w:space="0" w:color="D2D2D2"/>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热力工程</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45" w:type="dxa"/>
            <w:tcBorders>
              <w:top w:val="single" w:sz="4" w:space="0" w:color="000000"/>
              <w:left w:val="single" w:sz="13" w:space="0" w:color="D2D2D2"/>
              <w:bottom w:val="single" w:sz="4" w:space="0" w:color="000000"/>
              <w:right w:val="single" w:sz="12"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郑州高新时代热力工程有限公司</w:t>
            </w:r>
          </w:p>
        </w:tc>
      </w:tr>
      <w:tr>
        <w:trPr>
          <w:trHeight w:val="402" w:hRule="exact"/>
        </w:trPr>
        <w:tc>
          <w:tcPr>
            <w:tcW w:w="2280" w:type="dxa"/>
            <w:tcBorders>
              <w:top w:val="single" w:sz="4" w:space="0" w:color="000000"/>
              <w:left w:val="single" w:sz="12" w:space="0" w:color="000000"/>
              <w:bottom w:val="single" w:sz="4" w:space="0" w:color="000000"/>
              <w:right w:val="single" w:sz="13" w:space="0" w:color="D2D2D2"/>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鞍山易兴</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45" w:type="dxa"/>
            <w:tcBorders>
              <w:top w:val="single" w:sz="4" w:space="0" w:color="000000"/>
              <w:left w:val="single" w:sz="13" w:space="0" w:color="D2D2D2"/>
              <w:bottom w:val="single" w:sz="4" w:space="0" w:color="000000"/>
              <w:right w:val="single" w:sz="12"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鞍山易兴自动化工程有限公司</w:t>
            </w:r>
          </w:p>
        </w:tc>
      </w:tr>
      <w:tr>
        <w:trPr>
          <w:trHeight w:val="402" w:hRule="exact"/>
        </w:trPr>
        <w:tc>
          <w:tcPr>
            <w:tcW w:w="2280" w:type="dxa"/>
            <w:tcBorders>
              <w:top w:val="single" w:sz="4" w:space="0" w:color="000000"/>
              <w:left w:val="single" w:sz="12" w:space="0" w:color="000000"/>
              <w:bottom w:val="single" w:sz="4" w:space="0" w:color="000000"/>
              <w:right w:val="single" w:sz="13" w:space="0" w:color="D2D2D2"/>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广东龙泉</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45" w:type="dxa"/>
            <w:tcBorders>
              <w:top w:val="single" w:sz="4" w:space="0" w:color="000000"/>
              <w:left w:val="single" w:sz="13" w:space="0" w:color="D2D2D2"/>
              <w:bottom w:val="single" w:sz="4" w:space="0" w:color="000000"/>
              <w:right w:val="single" w:sz="12"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广东龙泉科技有限公司</w:t>
            </w:r>
          </w:p>
        </w:tc>
      </w:tr>
      <w:tr>
        <w:trPr>
          <w:trHeight w:val="402" w:hRule="exact"/>
        </w:trPr>
        <w:tc>
          <w:tcPr>
            <w:tcW w:w="2280" w:type="dxa"/>
            <w:tcBorders>
              <w:top w:val="single" w:sz="4" w:space="0" w:color="000000"/>
              <w:left w:val="single" w:sz="12" w:space="0" w:color="000000"/>
              <w:bottom w:val="single" w:sz="4" w:space="0" w:color="000000"/>
              <w:right w:val="single" w:sz="13" w:space="0" w:color="D2D2D2"/>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雪城软件</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45" w:type="dxa"/>
            <w:tcBorders>
              <w:top w:val="single" w:sz="4" w:space="0" w:color="000000"/>
              <w:left w:val="single" w:sz="13" w:space="0" w:color="D2D2D2"/>
              <w:bottom w:val="single" w:sz="4" w:space="0" w:color="000000"/>
              <w:right w:val="single" w:sz="12"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河南雪城软件有限公司</w:t>
            </w:r>
          </w:p>
        </w:tc>
      </w:tr>
      <w:tr>
        <w:trPr>
          <w:trHeight w:val="402" w:hRule="exact"/>
        </w:trPr>
        <w:tc>
          <w:tcPr>
            <w:tcW w:w="2280" w:type="dxa"/>
            <w:tcBorders>
              <w:top w:val="single" w:sz="4" w:space="0" w:color="000000"/>
              <w:left w:val="single" w:sz="12" w:space="0" w:color="000000"/>
              <w:bottom w:val="single" w:sz="4" w:space="0" w:color="000000"/>
              <w:right w:val="single" w:sz="13" w:space="0" w:color="D2D2D2"/>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和阳环境</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45" w:type="dxa"/>
            <w:tcBorders>
              <w:top w:val="single" w:sz="4" w:space="0" w:color="000000"/>
              <w:left w:val="single" w:sz="13" w:space="0" w:color="D2D2D2"/>
              <w:bottom w:val="single" w:sz="4" w:space="0" w:color="000000"/>
              <w:right w:val="single" w:sz="12"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河南和阳环境科技有限公司</w:t>
            </w:r>
          </w:p>
        </w:tc>
      </w:tr>
      <w:tr>
        <w:trPr>
          <w:trHeight w:val="402" w:hRule="exact"/>
        </w:trPr>
        <w:tc>
          <w:tcPr>
            <w:tcW w:w="2280" w:type="dxa"/>
            <w:tcBorders>
              <w:top w:val="single" w:sz="4" w:space="0" w:color="000000"/>
              <w:left w:val="single" w:sz="12" w:space="0" w:color="000000"/>
              <w:bottom w:val="single" w:sz="4" w:space="0" w:color="000000"/>
              <w:right w:val="single" w:sz="13" w:space="0" w:color="D2D2D2"/>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汉威智慧安全</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45" w:type="dxa"/>
            <w:tcBorders>
              <w:top w:val="single" w:sz="4" w:space="0" w:color="000000"/>
              <w:left w:val="single" w:sz="13" w:space="0" w:color="D2D2D2"/>
              <w:bottom w:val="single" w:sz="4" w:space="0" w:color="000000"/>
              <w:right w:val="single" w:sz="12"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河南汉威智慧安全科技有限公司</w:t>
            </w:r>
          </w:p>
        </w:tc>
      </w:tr>
      <w:tr>
        <w:trPr>
          <w:trHeight w:val="402" w:hRule="exact"/>
        </w:trPr>
        <w:tc>
          <w:tcPr>
            <w:tcW w:w="2280" w:type="dxa"/>
            <w:tcBorders>
              <w:top w:val="single" w:sz="4" w:space="0" w:color="000000"/>
              <w:left w:val="single" w:sz="12" w:space="0" w:color="000000"/>
              <w:bottom w:val="single" w:sz="4" w:space="0" w:color="000000"/>
              <w:right w:val="single" w:sz="13" w:space="0" w:color="D2D2D2"/>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沈阳汉威</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45" w:type="dxa"/>
            <w:tcBorders>
              <w:top w:val="single" w:sz="4" w:space="0" w:color="000000"/>
              <w:left w:val="single" w:sz="13" w:space="0" w:color="D2D2D2"/>
              <w:bottom w:val="single" w:sz="4" w:space="0" w:color="000000"/>
              <w:right w:val="single" w:sz="12"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沈阳汉威科技有限公司</w:t>
            </w:r>
          </w:p>
        </w:tc>
      </w:tr>
      <w:tr>
        <w:trPr>
          <w:trHeight w:val="402" w:hRule="exact"/>
        </w:trPr>
        <w:tc>
          <w:tcPr>
            <w:tcW w:w="2280" w:type="dxa"/>
            <w:tcBorders>
              <w:top w:val="single" w:sz="4" w:space="0" w:color="000000"/>
              <w:left w:val="single" w:sz="12" w:space="0" w:color="000000"/>
              <w:bottom w:val="single" w:sz="4" w:space="0" w:color="000000"/>
              <w:right w:val="single" w:sz="13" w:space="0" w:color="D2D2D2"/>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智威宇讯</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45" w:type="dxa"/>
            <w:tcBorders>
              <w:top w:val="single" w:sz="4" w:space="0" w:color="000000"/>
              <w:left w:val="single" w:sz="13" w:space="0" w:color="D2D2D2"/>
              <w:bottom w:val="single" w:sz="4" w:space="0" w:color="000000"/>
              <w:right w:val="single" w:sz="12"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北京智威宇讯科技有限公司</w:t>
            </w:r>
          </w:p>
        </w:tc>
      </w:tr>
      <w:tr>
        <w:trPr>
          <w:trHeight w:val="402" w:hRule="exact"/>
        </w:trPr>
        <w:tc>
          <w:tcPr>
            <w:tcW w:w="2280" w:type="dxa"/>
            <w:tcBorders>
              <w:top w:val="single" w:sz="4" w:space="0" w:color="000000"/>
              <w:left w:val="single" w:sz="12" w:space="0" w:color="000000"/>
              <w:bottom w:val="single" w:sz="4" w:space="0" w:color="000000"/>
              <w:right w:val="single" w:sz="13" w:space="0" w:color="D2D2D2"/>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上海中威</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45" w:type="dxa"/>
            <w:tcBorders>
              <w:top w:val="single" w:sz="4" w:space="0" w:color="000000"/>
              <w:left w:val="single" w:sz="13" w:space="0" w:color="D2D2D2"/>
              <w:bottom w:val="single" w:sz="4" w:space="0" w:color="000000"/>
              <w:right w:val="single" w:sz="12"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上海中威天安公共安全科技有限公司</w:t>
            </w:r>
          </w:p>
        </w:tc>
      </w:tr>
      <w:tr>
        <w:trPr>
          <w:trHeight w:val="402" w:hRule="exact"/>
        </w:trPr>
        <w:tc>
          <w:tcPr>
            <w:tcW w:w="2280" w:type="dxa"/>
            <w:tcBorders>
              <w:top w:val="single" w:sz="4" w:space="0" w:color="000000"/>
              <w:left w:val="single" w:sz="12" w:space="0" w:color="000000"/>
              <w:bottom w:val="single" w:sz="4" w:space="0" w:color="000000"/>
              <w:right w:val="single" w:sz="13" w:space="0" w:color="D2D2D2"/>
            </w:tcBorders>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上海英吉森</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45" w:type="dxa"/>
            <w:tcBorders>
              <w:top w:val="single" w:sz="4" w:space="0" w:color="000000"/>
              <w:left w:val="single" w:sz="13" w:space="0" w:color="D2D2D2"/>
              <w:bottom w:val="single" w:sz="4" w:space="0" w:color="000000"/>
              <w:right w:val="single" w:sz="12" w:space="0" w:color="000000"/>
            </w:tcBorders>
          </w:tcPr>
          <w:p>
            <w:pPr>
              <w:pStyle w:val="TableParagraph"/>
              <w:spacing w:line="240" w:lineRule="auto" w:before="5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英吉森安全消防系统（上海）有限公司，曾用名</w:t>
            </w:r>
            <w:r>
              <w:rPr>
                <w:rFonts w:ascii="Times New Roman" w:hAnsi="Times New Roman" w:cs="Times New Roman" w:eastAsia="Times New Roman" w:hint="default"/>
                <w:sz w:val="18"/>
                <w:szCs w:val="18"/>
              </w:rPr>
              <w:t>"</w:t>
            </w:r>
            <w:r>
              <w:rPr>
                <w:rFonts w:ascii="宋体" w:hAnsi="宋体" w:cs="宋体" w:eastAsia="宋体" w:hint="default"/>
                <w:sz w:val="18"/>
                <w:szCs w:val="18"/>
              </w:rPr>
              <w:t>英森电气系统</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r>
              <w:rPr>
                <w:rFonts w:ascii="Times New Roman" w:hAnsi="Times New Roman" w:cs="Times New Roman" w:eastAsia="Times New Roman" w:hint="default"/>
                <w:sz w:val="18"/>
                <w:szCs w:val="18"/>
              </w:rPr>
              <w:t>"</w:t>
            </w:r>
          </w:p>
        </w:tc>
      </w:tr>
      <w:tr>
        <w:trPr>
          <w:trHeight w:val="402" w:hRule="exact"/>
        </w:trPr>
        <w:tc>
          <w:tcPr>
            <w:tcW w:w="2280" w:type="dxa"/>
            <w:tcBorders>
              <w:top w:val="single" w:sz="4" w:space="0" w:color="000000"/>
              <w:left w:val="single" w:sz="12" w:space="0" w:color="000000"/>
              <w:bottom w:val="single" w:sz="4" w:space="0" w:color="000000"/>
              <w:right w:val="single" w:sz="13" w:space="0" w:color="D2D2D2"/>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河南威果</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45" w:type="dxa"/>
            <w:tcBorders>
              <w:top w:val="single" w:sz="4" w:space="0" w:color="000000"/>
              <w:left w:val="single" w:sz="13" w:space="0" w:color="D2D2D2"/>
              <w:bottom w:val="single" w:sz="4" w:space="0" w:color="000000"/>
              <w:right w:val="single" w:sz="12"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河南威果智能科技有限公司</w:t>
            </w:r>
          </w:p>
        </w:tc>
      </w:tr>
      <w:tr>
        <w:trPr>
          <w:trHeight w:val="402" w:hRule="exact"/>
        </w:trPr>
        <w:tc>
          <w:tcPr>
            <w:tcW w:w="2280" w:type="dxa"/>
            <w:tcBorders>
              <w:top w:val="single" w:sz="4" w:space="0" w:color="000000"/>
              <w:left w:val="single" w:sz="12" w:space="0" w:color="000000"/>
              <w:bottom w:val="single" w:sz="4" w:space="0" w:color="000000"/>
              <w:right w:val="single" w:sz="13" w:space="0" w:color="D2D2D2"/>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北京威果</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45" w:type="dxa"/>
            <w:tcBorders>
              <w:top w:val="single" w:sz="4" w:space="0" w:color="000000"/>
              <w:left w:val="single" w:sz="13" w:space="0" w:color="D2D2D2"/>
              <w:bottom w:val="single" w:sz="4" w:space="0" w:color="000000"/>
              <w:right w:val="single" w:sz="12"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北京威果智能科技有限公司</w:t>
            </w:r>
          </w:p>
        </w:tc>
      </w:tr>
      <w:tr>
        <w:trPr>
          <w:trHeight w:val="412" w:hRule="exact"/>
        </w:trPr>
        <w:tc>
          <w:tcPr>
            <w:tcW w:w="2280" w:type="dxa"/>
            <w:tcBorders>
              <w:top w:val="single" w:sz="4" w:space="0" w:color="000000"/>
              <w:left w:val="single" w:sz="12" w:space="0" w:color="000000"/>
              <w:bottom w:val="single" w:sz="12" w:space="0" w:color="000000"/>
              <w:right w:val="single" w:sz="13" w:space="0" w:color="D2D2D2"/>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汉威智能仪表</w:t>
            </w:r>
          </w:p>
        </w:tc>
        <w:tc>
          <w:tcPr>
            <w:tcW w:w="544"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45" w:type="dxa"/>
            <w:tcBorders>
              <w:top w:val="single" w:sz="4" w:space="0" w:color="000000"/>
              <w:left w:val="single" w:sz="13" w:space="0" w:color="D2D2D2"/>
              <w:bottom w:val="single" w:sz="12" w:space="0" w:color="000000"/>
              <w:right w:val="single" w:sz="12"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郑州汉威智能仪表有限公司</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r>
        <w:rPr/>
        <w:pict>
          <v:shape style="position:absolute;margin-left:55.919998pt;margin-top:71.999985pt;width:480.75pt;height:694.7pt;mso-position-horizontal-relative:page;mso-position-vertical-relative:page;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69"/>
                    <w:gridCol w:w="567"/>
                    <w:gridCol w:w="6734"/>
                  </w:tblGrid>
                  <w:tr>
                    <w:trPr>
                      <w:trHeight w:val="412" w:hRule="exact"/>
                    </w:trPr>
                    <w:tc>
                      <w:tcPr>
                        <w:tcW w:w="2269"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德析检测</w:t>
                        </w:r>
                      </w:p>
                    </w:tc>
                    <w:tc>
                      <w:tcPr>
                        <w:tcW w:w="567"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734"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郑州德析检测技术有限公司</w:t>
                        </w:r>
                      </w:p>
                    </w:tc>
                  </w:tr>
                  <w:tr>
                    <w:trPr>
                      <w:trHeight w:val="402" w:hRule="exact"/>
                    </w:trPr>
                    <w:tc>
                      <w:tcPr>
                        <w:tcW w:w="226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汉威祥云</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73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汉威祥云（上海）数据服务有限公司</w:t>
                        </w:r>
                      </w:p>
                    </w:tc>
                  </w:tr>
                  <w:tr>
                    <w:trPr>
                      <w:trHeight w:val="402" w:hRule="exact"/>
                    </w:trPr>
                    <w:tc>
                      <w:tcPr>
                        <w:tcW w:w="226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威研融创</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73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上海威研融创实业有限公司</w:t>
                        </w:r>
                      </w:p>
                    </w:tc>
                  </w:tr>
                  <w:tr>
                    <w:trPr>
                      <w:trHeight w:val="402" w:hRule="exact"/>
                    </w:trPr>
                    <w:tc>
                      <w:tcPr>
                        <w:tcW w:w="226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畅威物联</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73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郑州畅威物联网科技有限公司</w:t>
                        </w:r>
                      </w:p>
                    </w:tc>
                  </w:tr>
                  <w:tr>
                    <w:trPr>
                      <w:trHeight w:val="402" w:hRule="exact"/>
                    </w:trPr>
                    <w:tc>
                      <w:tcPr>
                        <w:tcW w:w="226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苏州能斯达</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73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苏州能斯达电子科技有限公司</w:t>
                        </w:r>
                      </w:p>
                    </w:tc>
                  </w:tr>
                  <w:tr>
                    <w:trPr>
                      <w:trHeight w:val="402" w:hRule="exact"/>
                    </w:trPr>
                    <w:tc>
                      <w:tcPr>
                        <w:tcW w:w="226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吉地艾斯</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73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郑州吉地艾斯仪器有限公司</w:t>
                        </w:r>
                      </w:p>
                    </w:tc>
                  </w:tr>
                  <w:tr>
                    <w:trPr>
                      <w:trHeight w:val="402" w:hRule="exact"/>
                    </w:trPr>
                    <w:tc>
                      <w:tcPr>
                        <w:tcW w:w="226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深圳明咨</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73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深圳市明咨物联科技有限公司</w:t>
                        </w:r>
                      </w:p>
                    </w:tc>
                  </w:tr>
                  <w:tr>
                    <w:trPr>
                      <w:trHeight w:val="402" w:hRule="exact"/>
                    </w:trPr>
                    <w:tc>
                      <w:tcPr>
                        <w:tcW w:w="226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英吉森消防</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73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上海英吉森消防设备有限公司，曾用名</w:t>
                        </w:r>
                        <w:r>
                          <w:rPr>
                            <w:rFonts w:ascii="Times New Roman" w:hAnsi="Times New Roman" w:cs="Times New Roman" w:eastAsia="Times New Roman" w:hint="default"/>
                            <w:sz w:val="18"/>
                            <w:szCs w:val="18"/>
                          </w:rPr>
                          <w:t>“</w:t>
                        </w:r>
                        <w:r>
                          <w:rPr>
                            <w:rFonts w:ascii="宋体" w:hAnsi="宋体" w:cs="宋体" w:eastAsia="宋体" w:hint="default"/>
                            <w:sz w:val="18"/>
                            <w:szCs w:val="18"/>
                          </w:rPr>
                          <w:t>上海凯伦消防设备有限公司</w:t>
                        </w:r>
                        <w:r>
                          <w:rPr>
                            <w:rFonts w:ascii="Times New Roman" w:hAnsi="Times New Roman" w:cs="Times New Roman" w:eastAsia="Times New Roman" w:hint="default"/>
                            <w:sz w:val="18"/>
                            <w:szCs w:val="18"/>
                          </w:rPr>
                          <w:t>”</w:t>
                        </w:r>
                      </w:p>
                    </w:tc>
                  </w:tr>
                  <w:tr>
                    <w:trPr>
                      <w:trHeight w:val="402" w:hRule="exact"/>
                    </w:trPr>
                    <w:tc>
                      <w:tcPr>
                        <w:tcW w:w="226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国仪投资</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73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国仪投资</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r>
                          <w:rPr>
                            <w:rFonts w:ascii="宋体" w:hAnsi="宋体" w:cs="宋体" w:eastAsia="宋体" w:hint="default"/>
                            <w:sz w:val="18"/>
                            <w:szCs w:val="18"/>
                          </w:rPr>
                          <w:t>合伙企业（有限合伙）</w:t>
                        </w:r>
                      </w:p>
                    </w:tc>
                  </w:tr>
                  <w:tr>
                    <w:trPr>
                      <w:trHeight w:val="402" w:hRule="exact"/>
                    </w:trPr>
                    <w:tc>
                      <w:tcPr>
                        <w:tcW w:w="226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中盾云安</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73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河南中盾云安信息科技有限公司</w:t>
                        </w:r>
                      </w:p>
                    </w:tc>
                  </w:tr>
                  <w:tr>
                    <w:trPr>
                      <w:trHeight w:val="402" w:hRule="exact"/>
                    </w:trPr>
                    <w:tc>
                      <w:tcPr>
                        <w:tcW w:w="226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泰瑞数创</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73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泰瑞数创科技（北京）有限公司</w:t>
                        </w:r>
                      </w:p>
                    </w:tc>
                  </w:tr>
                  <w:tr>
                    <w:trPr>
                      <w:trHeight w:val="402" w:hRule="exact"/>
                    </w:trPr>
                    <w:tc>
                      <w:tcPr>
                        <w:tcW w:w="226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百隆工程</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73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河南省百隆建筑工程有限公司</w:t>
                        </w:r>
                      </w:p>
                    </w:tc>
                  </w:tr>
                  <w:tr>
                    <w:trPr>
                      <w:trHeight w:val="402" w:hRule="exact"/>
                    </w:trPr>
                    <w:tc>
                      <w:tcPr>
                        <w:tcW w:w="226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易度传感</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73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郑州易度传感技术有限公司</w:t>
                        </w:r>
                      </w:p>
                    </w:tc>
                  </w:tr>
                  <w:tr>
                    <w:trPr>
                      <w:trHeight w:val="402" w:hRule="exact"/>
                    </w:trPr>
                    <w:tc>
                      <w:tcPr>
                        <w:tcW w:w="226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汉威粮安</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73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河南汉威粮安科技有限公司</w:t>
                        </w:r>
                      </w:p>
                    </w:tc>
                  </w:tr>
                  <w:tr>
                    <w:trPr>
                      <w:trHeight w:val="402" w:hRule="exact"/>
                    </w:trPr>
                    <w:tc>
                      <w:tcPr>
                        <w:tcW w:w="226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福建恒嘉</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73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福建恒嘉环保设备有限公司</w:t>
                        </w:r>
                      </w:p>
                    </w:tc>
                  </w:tr>
                  <w:tr>
                    <w:trPr>
                      <w:trHeight w:val="402" w:hRule="exact"/>
                    </w:trPr>
                    <w:tc>
                      <w:tcPr>
                        <w:tcW w:w="226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东山嘉园</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73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嘉园</w:t>
                        </w:r>
                        <w:r>
                          <w:rPr>
                            <w:rFonts w:ascii="Times New Roman" w:hAnsi="Times New Roman" w:cs="Times New Roman" w:eastAsia="Times New Roman" w:hint="default"/>
                            <w:sz w:val="18"/>
                            <w:szCs w:val="18"/>
                          </w:rPr>
                          <w:t>(</w:t>
                        </w:r>
                        <w:r>
                          <w:rPr>
                            <w:rFonts w:ascii="宋体" w:hAnsi="宋体" w:cs="宋体" w:eastAsia="宋体" w:hint="default"/>
                            <w:sz w:val="18"/>
                            <w:szCs w:val="18"/>
                          </w:rPr>
                          <w:t>东山</w:t>
                        </w:r>
                        <w:r>
                          <w:rPr>
                            <w:rFonts w:ascii="Times New Roman" w:hAnsi="Times New Roman" w:cs="Times New Roman" w:eastAsia="Times New Roman" w:hint="default"/>
                            <w:sz w:val="18"/>
                            <w:szCs w:val="18"/>
                          </w:rPr>
                          <w:t>)</w:t>
                        </w:r>
                        <w:r>
                          <w:rPr>
                            <w:rFonts w:ascii="宋体" w:hAnsi="宋体" w:cs="宋体" w:eastAsia="宋体" w:hint="default"/>
                            <w:sz w:val="18"/>
                            <w:szCs w:val="18"/>
                          </w:rPr>
                          <w:t>水处理有限公司</w:t>
                        </w:r>
                      </w:p>
                    </w:tc>
                  </w:tr>
                  <w:tr>
                    <w:trPr>
                      <w:trHeight w:val="402" w:hRule="exact"/>
                    </w:trPr>
                    <w:tc>
                      <w:tcPr>
                        <w:tcW w:w="226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福建嘉园</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73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福建嘉园环保有限责任公司</w:t>
                        </w:r>
                      </w:p>
                    </w:tc>
                  </w:tr>
                  <w:tr>
                    <w:trPr>
                      <w:trHeight w:val="402" w:hRule="exact"/>
                    </w:trPr>
                    <w:tc>
                      <w:tcPr>
                        <w:tcW w:w="226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福州丰泽</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73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福州丰泽自动化有限公司</w:t>
                        </w:r>
                      </w:p>
                    </w:tc>
                  </w:tr>
                  <w:tr>
                    <w:trPr>
                      <w:trHeight w:val="402" w:hRule="exact"/>
                    </w:trPr>
                    <w:tc>
                      <w:tcPr>
                        <w:tcW w:w="226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合肥嘉园</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73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合肥嘉园水处理投资有限公司</w:t>
                        </w:r>
                      </w:p>
                    </w:tc>
                  </w:tr>
                  <w:tr>
                    <w:trPr>
                      <w:trHeight w:val="402" w:hRule="exact"/>
                    </w:trPr>
                    <w:tc>
                      <w:tcPr>
                        <w:tcW w:w="226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重庆嘉园</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73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重庆市巴南区嘉恒污水处理有限公司</w:t>
                        </w:r>
                      </w:p>
                    </w:tc>
                  </w:tr>
                  <w:tr>
                    <w:trPr>
                      <w:trHeight w:val="402" w:hRule="exact"/>
                    </w:trPr>
                    <w:tc>
                      <w:tcPr>
                        <w:tcW w:w="226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福安嘉园</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73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福安市嘉园水处理有限公司</w:t>
                        </w:r>
                      </w:p>
                    </w:tc>
                  </w:tr>
                  <w:tr>
                    <w:trPr>
                      <w:trHeight w:val="402" w:hRule="exact"/>
                    </w:trPr>
                    <w:tc>
                      <w:tcPr>
                        <w:tcW w:w="226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光山嘉园</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73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光山县嘉园水处理有限公司</w:t>
                        </w:r>
                      </w:p>
                    </w:tc>
                  </w:tr>
                  <w:tr>
                    <w:trPr>
                      <w:trHeight w:val="402" w:hRule="exact"/>
                    </w:trPr>
                    <w:tc>
                      <w:tcPr>
                        <w:tcW w:w="226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上海嘉园</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73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上海嘉园环保科技有限公司</w:t>
                        </w:r>
                      </w:p>
                    </w:tc>
                  </w:tr>
                  <w:tr>
                    <w:trPr>
                      <w:trHeight w:val="402" w:hRule="exact"/>
                    </w:trPr>
                    <w:tc>
                      <w:tcPr>
                        <w:tcW w:w="226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汉威智慧消防</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73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河南汉威智慧消防科技有限公司</w:t>
                        </w:r>
                      </w:p>
                    </w:tc>
                  </w:tr>
                  <w:tr>
                    <w:trPr>
                      <w:trHeight w:val="402" w:hRule="exact"/>
                    </w:trPr>
                    <w:tc>
                      <w:tcPr>
                        <w:tcW w:w="226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区块链</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73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分布式数据存储、点对点传输、共识机制、加密算法等计算机技术的新型应用模式。</w:t>
                        </w:r>
                      </w:p>
                    </w:tc>
                  </w:tr>
                  <w:tr>
                    <w:trPr>
                      <w:trHeight w:val="1650" w:hRule="exact"/>
                    </w:trPr>
                    <w:tc>
                      <w:tcPr>
                        <w:tcW w:w="226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工业互联网平台</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734" w:type="dxa"/>
                        <w:tcBorders>
                          <w:top w:val="single" w:sz="4" w:space="0" w:color="000000"/>
                          <w:left w:val="single" w:sz="4" w:space="0" w:color="000000"/>
                          <w:bottom w:val="single" w:sz="4" w:space="0" w:color="000000"/>
                          <w:right w:val="single" w:sz="12" w:space="0" w:color="000000"/>
                        </w:tcBorders>
                      </w:tcPr>
                      <w:p>
                        <w:pPr>
                          <w:pStyle w:val="TableParagraph"/>
                          <w:spacing w:line="314" w:lineRule="auto" w:before="51"/>
                          <w:ind w:left="23" w:right="10"/>
                          <w:jc w:val="left"/>
                          <w:rPr>
                            <w:rFonts w:ascii="宋体" w:hAnsi="宋体" w:cs="宋体" w:eastAsia="宋体" w:hint="default"/>
                            <w:sz w:val="18"/>
                            <w:szCs w:val="18"/>
                          </w:rPr>
                        </w:pPr>
                        <w:r>
                          <w:rPr>
                            <w:rFonts w:ascii="宋体" w:hAnsi="宋体" w:cs="宋体" w:eastAsia="宋体" w:hint="default"/>
                            <w:sz w:val="18"/>
                            <w:szCs w:val="18"/>
                          </w:rPr>
                          <w:t>在传统云平台的基础上叠加物联网、大数据、人工智能等新兴技术，构建更精准、实 </w:t>
                        </w:r>
                        <w:r>
                          <w:rPr>
                            <w:rFonts w:ascii="宋体" w:hAnsi="宋体" w:cs="宋体" w:eastAsia="宋体" w:hint="default"/>
                            <w:spacing w:val="-3"/>
                            <w:sz w:val="18"/>
                            <w:szCs w:val="18"/>
                          </w:rPr>
                          <w:t>时、高效的数据采集体系，建设包括存储、集成、访问、分析、管理功能的使能平台</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实现工业技术、经验、知识模型化、软件化、复用化，以工业</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APP</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的形式为制造企业 各类创新应用，最终形成资源富集、多方参与、合作共赢、协同演进的制造业生态， 其构架包括边缘、平台（工业</w:t>
                        </w:r>
                        <w:r>
                          <w:rPr>
                            <w:rFonts w:ascii="宋体" w:hAnsi="宋体" w:cs="宋体" w:eastAsia="宋体" w:hint="default"/>
                            <w:spacing w:val="-46"/>
                            <w:sz w:val="18"/>
                            <w:szCs w:val="18"/>
                          </w:rPr>
                          <w:t> </w:t>
                        </w:r>
                        <w:r>
                          <w:rPr>
                            <w:rFonts w:ascii="Times New Roman" w:hAnsi="Times New Roman" w:cs="Times New Roman" w:eastAsia="Times New Roman" w:hint="default"/>
                            <w:spacing w:val="-6"/>
                            <w:w w:val="99"/>
                            <w:sz w:val="18"/>
                            <w:szCs w:val="18"/>
                          </w:rPr>
                          <w:t>PaaS</w:t>
                        </w:r>
                        <w:r>
                          <w:rPr>
                            <w:rFonts w:ascii="宋体" w:hAnsi="宋体" w:cs="宋体" w:eastAsia="宋体" w:hint="default"/>
                            <w:spacing w:val="-6"/>
                            <w:w w:val="99"/>
                            <w:sz w:val="18"/>
                            <w:szCs w:val="18"/>
                          </w:rPr>
                          <w:t>）、应用三大核心层级。</w:t>
                        </w:r>
                      </w:p>
                    </w:tc>
                  </w:tr>
                  <w:tr>
                    <w:trPr>
                      <w:trHeight w:val="714" w:hRule="exact"/>
                    </w:trPr>
                    <w:tc>
                      <w:tcPr>
                        <w:tcW w:w="226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气体传感器</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734" w:type="dxa"/>
                        <w:tcBorders>
                          <w:top w:val="single" w:sz="4" w:space="0" w:color="000000"/>
                          <w:left w:val="single" w:sz="4" w:space="0" w:color="000000"/>
                          <w:bottom w:val="single" w:sz="4" w:space="0" w:color="000000"/>
                          <w:right w:val="single" w:sz="12" w:space="0" w:color="000000"/>
                        </w:tcBorders>
                      </w:tcPr>
                      <w:p>
                        <w:pPr>
                          <w:pStyle w:val="TableParagraph"/>
                          <w:spacing w:line="316" w:lineRule="auto" w:before="51"/>
                          <w:ind w:left="23" w:right="28"/>
                          <w:jc w:val="left"/>
                          <w:rPr>
                            <w:rFonts w:ascii="宋体" w:hAnsi="宋体" w:cs="宋体" w:eastAsia="宋体" w:hint="default"/>
                            <w:sz w:val="18"/>
                            <w:szCs w:val="18"/>
                          </w:rPr>
                        </w:pPr>
                        <w:r>
                          <w:rPr>
                            <w:rFonts w:ascii="宋体" w:hAnsi="宋体" w:cs="宋体" w:eastAsia="宋体" w:hint="default"/>
                            <w:sz w:val="18"/>
                            <w:szCs w:val="18"/>
                          </w:rPr>
                          <w:t>利用特定气体发生物理或化学变化所释放出的有效信号，从而实现对该种气体成分、 浓度进行感知和测量的元器件。</w:t>
                        </w:r>
                      </w:p>
                    </w:tc>
                  </w:tr>
                  <w:tr>
                    <w:trPr>
                      <w:trHeight w:val="714" w:hRule="exact"/>
                    </w:trPr>
                    <w:tc>
                      <w:tcPr>
                        <w:tcW w:w="226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半导体类气体传感器</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734" w:type="dxa"/>
                        <w:tcBorders>
                          <w:top w:val="single" w:sz="4" w:space="0" w:color="000000"/>
                          <w:left w:val="single" w:sz="4" w:space="0" w:color="000000"/>
                          <w:bottom w:val="single" w:sz="4" w:space="0" w:color="000000"/>
                          <w:right w:val="single" w:sz="12" w:space="0" w:color="000000"/>
                        </w:tcBorders>
                      </w:tcPr>
                      <w:p>
                        <w:pPr>
                          <w:pStyle w:val="TableParagraph"/>
                          <w:spacing w:line="316" w:lineRule="auto" w:before="51"/>
                          <w:ind w:left="23" w:right="28"/>
                          <w:jc w:val="left"/>
                          <w:rPr>
                            <w:rFonts w:ascii="宋体" w:hAnsi="宋体" w:cs="宋体" w:eastAsia="宋体" w:hint="default"/>
                            <w:sz w:val="18"/>
                            <w:szCs w:val="18"/>
                          </w:rPr>
                        </w:pPr>
                        <w:r>
                          <w:rPr>
                            <w:rFonts w:ascii="宋体" w:hAnsi="宋体" w:cs="宋体" w:eastAsia="宋体" w:hint="default"/>
                            <w:sz w:val="18"/>
                            <w:szCs w:val="18"/>
                          </w:rPr>
                          <w:t>利用气体在半导体气敏材料表面所进行的吸附或反应而引起元件电信号的变化来进行 检测的气体传感器。</w:t>
                        </w:r>
                      </w:p>
                    </w:tc>
                  </w:tr>
                  <w:tr>
                    <w:trPr>
                      <w:trHeight w:val="724" w:hRule="exact"/>
                    </w:trPr>
                    <w:tc>
                      <w:tcPr>
                        <w:tcW w:w="2269"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催化燃烧类气体传感器</w:t>
                        </w:r>
                      </w:p>
                    </w:tc>
                    <w:tc>
                      <w:tcPr>
                        <w:tcW w:w="567"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734" w:type="dxa"/>
                        <w:tcBorders>
                          <w:top w:val="single" w:sz="4" w:space="0" w:color="000000"/>
                          <w:left w:val="single" w:sz="4" w:space="0" w:color="000000"/>
                          <w:bottom w:val="single" w:sz="12" w:space="0" w:color="000000"/>
                          <w:right w:val="single" w:sz="12" w:space="0" w:color="000000"/>
                        </w:tcBorders>
                      </w:tcPr>
                      <w:p>
                        <w:pPr>
                          <w:pStyle w:val="TableParagraph"/>
                          <w:spacing w:line="316" w:lineRule="auto" w:before="51"/>
                          <w:ind w:left="23" w:right="28"/>
                          <w:jc w:val="left"/>
                          <w:rPr>
                            <w:rFonts w:ascii="宋体" w:hAnsi="宋体" w:cs="宋体" w:eastAsia="宋体" w:hint="default"/>
                            <w:sz w:val="18"/>
                            <w:szCs w:val="18"/>
                          </w:rPr>
                        </w:pPr>
                        <w:r>
                          <w:rPr>
                            <w:rFonts w:ascii="宋体" w:hAnsi="宋体" w:cs="宋体" w:eastAsia="宋体" w:hint="default"/>
                            <w:sz w:val="18"/>
                            <w:szCs w:val="18"/>
                          </w:rPr>
                          <w:t>利用可燃性气体氧化燃烧放热使电热丝温度升高、电阻值发生变化的原理进行气体检 测的气体传感器。</w:t>
                        </w:r>
                      </w:p>
                    </w:tc>
                  </w:tr>
                </w:tbl>
                <w:p>
                  <w:pP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3"/>
          <w:szCs w:val="23"/>
        </w:rPr>
      </w:pPr>
    </w:p>
    <w:p>
      <w:pPr>
        <w:spacing w:before="44"/>
        <w:ind w:left="0" w:right="1139"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18" w:type="dxa"/>
        <w:tblLayout w:type="fixed"/>
        <w:tblCellMar>
          <w:top w:w="0" w:type="dxa"/>
          <w:left w:w="0" w:type="dxa"/>
          <w:bottom w:w="0" w:type="dxa"/>
          <w:right w:w="0" w:type="dxa"/>
        </w:tblCellMar>
        <w:tblLook w:val="01E0"/>
      </w:tblPr>
      <w:tblGrid>
        <w:gridCol w:w="2269"/>
        <w:gridCol w:w="567"/>
        <w:gridCol w:w="6734"/>
      </w:tblGrid>
      <w:tr>
        <w:trPr>
          <w:trHeight w:val="724" w:hRule="exact"/>
        </w:trPr>
        <w:tc>
          <w:tcPr>
            <w:tcW w:w="2269"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电化学类气体传感器</w:t>
            </w:r>
          </w:p>
        </w:tc>
        <w:tc>
          <w:tcPr>
            <w:tcW w:w="567"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734" w:type="dxa"/>
            <w:tcBorders>
              <w:top w:val="single" w:sz="12" w:space="0" w:color="000000"/>
              <w:left w:val="single" w:sz="4" w:space="0" w:color="000000"/>
              <w:bottom w:val="single" w:sz="4" w:space="0" w:color="000000"/>
              <w:right w:val="single" w:sz="12" w:space="0" w:color="000000"/>
            </w:tcBorders>
          </w:tcPr>
          <w:p>
            <w:pPr>
              <w:pStyle w:val="TableParagraph"/>
              <w:spacing w:line="300" w:lineRule="auto" w:before="51"/>
              <w:ind w:left="23" w:right="11"/>
              <w:jc w:val="left"/>
              <w:rPr>
                <w:rFonts w:ascii="宋体" w:hAnsi="宋体" w:cs="宋体" w:eastAsia="宋体" w:hint="default"/>
                <w:sz w:val="18"/>
                <w:szCs w:val="18"/>
              </w:rPr>
            </w:pPr>
            <w:r>
              <w:rPr>
                <w:rFonts w:ascii="宋体" w:hAnsi="宋体" w:cs="宋体" w:eastAsia="宋体" w:hint="default"/>
                <w:spacing w:val="-2"/>
                <w:sz w:val="18"/>
                <w:szCs w:val="18"/>
              </w:rPr>
              <w:t>利用气体的电化学效应进行检测的传感器。气体在传感器电极上发生电化学氧化</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还原</w:t>
            </w:r>
            <w:r>
              <w:rPr>
                <w:rFonts w:ascii="宋体" w:hAnsi="宋体" w:cs="宋体" w:eastAsia="宋体" w:hint="default"/>
                <w:spacing w:val="-56"/>
                <w:sz w:val="18"/>
                <w:szCs w:val="18"/>
              </w:rPr>
              <w:t> </w:t>
            </w:r>
            <w:r>
              <w:rPr>
                <w:rFonts w:ascii="宋体" w:hAnsi="宋体" w:cs="宋体" w:eastAsia="宋体" w:hint="default"/>
                <w:sz w:val="18"/>
                <w:szCs w:val="18"/>
              </w:rPr>
              <w:t>反应并释放出电荷</w:t>
            </w:r>
            <w:r>
              <w:rPr>
                <w:rFonts w:ascii="Times New Roman" w:hAnsi="Times New Roman" w:cs="Times New Roman" w:eastAsia="Times New Roman" w:hint="default"/>
                <w:sz w:val="18"/>
                <w:szCs w:val="18"/>
              </w:rPr>
              <w:t>,</w:t>
            </w:r>
            <w:r>
              <w:rPr>
                <w:rFonts w:ascii="宋体" w:hAnsi="宋体" w:cs="宋体" w:eastAsia="宋体" w:hint="default"/>
                <w:sz w:val="18"/>
                <w:szCs w:val="18"/>
              </w:rPr>
              <w:t>产生电信号</w:t>
            </w:r>
            <w:r>
              <w:rPr>
                <w:rFonts w:ascii="Times New Roman" w:hAnsi="Times New Roman" w:cs="Times New Roman" w:eastAsia="Times New Roman" w:hint="default"/>
                <w:sz w:val="18"/>
                <w:szCs w:val="18"/>
              </w:rPr>
              <w:t>,</w:t>
            </w:r>
            <w:r>
              <w:rPr>
                <w:rFonts w:ascii="宋体" w:hAnsi="宋体" w:cs="宋体" w:eastAsia="宋体" w:hint="default"/>
                <w:sz w:val="18"/>
                <w:szCs w:val="18"/>
              </w:rPr>
              <w:t>电信号的大小与气体浓度成正比。</w:t>
            </w:r>
          </w:p>
        </w:tc>
      </w:tr>
      <w:tr>
        <w:trPr>
          <w:trHeight w:val="714" w:hRule="exact"/>
        </w:trPr>
        <w:tc>
          <w:tcPr>
            <w:tcW w:w="226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红外光学类气体传感器</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734" w:type="dxa"/>
            <w:tcBorders>
              <w:top w:val="single" w:sz="4" w:space="0" w:color="000000"/>
              <w:left w:val="single" w:sz="4" w:space="0" w:color="000000"/>
              <w:bottom w:val="single" w:sz="4" w:space="0" w:color="000000"/>
              <w:right w:val="single" w:sz="12" w:space="0" w:color="000000"/>
            </w:tcBorders>
          </w:tcPr>
          <w:p>
            <w:pPr>
              <w:pStyle w:val="TableParagraph"/>
              <w:spacing w:line="316" w:lineRule="auto" w:before="51"/>
              <w:ind w:left="23" w:right="28"/>
              <w:jc w:val="left"/>
              <w:rPr>
                <w:rFonts w:ascii="宋体" w:hAnsi="宋体" w:cs="宋体" w:eastAsia="宋体" w:hint="default"/>
                <w:sz w:val="18"/>
                <w:szCs w:val="18"/>
              </w:rPr>
            </w:pPr>
            <w:r>
              <w:rPr>
                <w:rFonts w:ascii="宋体" w:hAnsi="宋体" w:cs="宋体" w:eastAsia="宋体" w:hint="default"/>
                <w:sz w:val="18"/>
                <w:szCs w:val="18"/>
              </w:rPr>
              <w:t>利用不同气体对红外线不同波谱段的光谱吸收原理来检测气体的种类及浓度，利用此 种原理工作的气体传感器称为红外光学类气体传感器。</w:t>
            </w:r>
          </w:p>
        </w:tc>
      </w:tr>
      <w:tr>
        <w:trPr>
          <w:trHeight w:val="714" w:hRule="exact"/>
        </w:trPr>
        <w:tc>
          <w:tcPr>
            <w:tcW w:w="226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气体检测仪器仪表</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734" w:type="dxa"/>
            <w:tcBorders>
              <w:top w:val="single" w:sz="4" w:space="0" w:color="000000"/>
              <w:left w:val="single" w:sz="4" w:space="0" w:color="000000"/>
              <w:bottom w:val="single" w:sz="4" w:space="0" w:color="000000"/>
              <w:right w:val="single" w:sz="12" w:space="0" w:color="000000"/>
            </w:tcBorders>
          </w:tcPr>
          <w:p>
            <w:pPr>
              <w:pStyle w:val="TableParagraph"/>
              <w:spacing w:line="316" w:lineRule="auto" w:before="51"/>
              <w:ind w:left="23" w:right="28"/>
              <w:jc w:val="left"/>
              <w:rPr>
                <w:rFonts w:ascii="宋体" w:hAnsi="宋体" w:cs="宋体" w:eastAsia="宋体" w:hint="default"/>
                <w:sz w:val="18"/>
                <w:szCs w:val="18"/>
              </w:rPr>
            </w:pPr>
            <w:r>
              <w:rPr>
                <w:rFonts w:ascii="宋体" w:hAnsi="宋体" w:cs="宋体" w:eastAsia="宋体" w:hint="default"/>
                <w:sz w:val="18"/>
                <w:szCs w:val="18"/>
              </w:rPr>
              <w:t>利用气体传感器采集生成的气体浓度信号，由配套电路进行处理，实现气体探测及控 制等各项具体功能的仪器仪表。</w:t>
            </w:r>
          </w:p>
        </w:tc>
      </w:tr>
      <w:tr>
        <w:trPr>
          <w:trHeight w:val="402" w:hRule="exact"/>
        </w:trPr>
        <w:tc>
          <w:tcPr>
            <w:tcW w:w="226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r>
              <w:rPr>
                <w:rFonts w:ascii="Times New Roman"/>
                <w:sz w:val="18"/>
              </w:rPr>
              <w:t>SCADA</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73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Supervisory Control And Data</w:t>
            </w:r>
            <w:r>
              <w:rPr>
                <w:rFonts w:ascii="Times New Roman" w:hAnsi="Times New Roman" w:cs="Times New Roman" w:eastAsia="Times New Roman" w:hint="default"/>
                <w:spacing w:val="-28"/>
                <w:sz w:val="18"/>
                <w:szCs w:val="18"/>
              </w:rPr>
              <w:t> </w:t>
            </w:r>
            <w:r>
              <w:rPr>
                <w:rFonts w:ascii="Times New Roman" w:hAnsi="Times New Roman" w:cs="Times New Roman" w:eastAsia="Times New Roman" w:hint="default"/>
                <w:sz w:val="18"/>
                <w:szCs w:val="18"/>
              </w:rPr>
              <w:t>Acquisition</w:t>
            </w:r>
            <w:r>
              <w:rPr>
                <w:rFonts w:ascii="宋体" w:hAnsi="宋体" w:cs="宋体" w:eastAsia="宋体" w:hint="default"/>
                <w:sz w:val="18"/>
                <w:szCs w:val="18"/>
              </w:rPr>
              <w:t>，即数据采集与监视控制系统。</w:t>
            </w:r>
          </w:p>
        </w:tc>
      </w:tr>
      <w:tr>
        <w:trPr>
          <w:trHeight w:val="402" w:hRule="exact"/>
        </w:trPr>
        <w:tc>
          <w:tcPr>
            <w:tcW w:w="226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r>
              <w:rPr>
                <w:rFonts w:ascii="Times New Roman"/>
                <w:sz w:val="18"/>
              </w:rPr>
              <w:t>VOCs</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73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Volatile </w:t>
            </w:r>
            <w:r>
              <w:rPr>
                <w:rFonts w:ascii="Times New Roman" w:hAnsi="Times New Roman" w:cs="Times New Roman" w:eastAsia="Times New Roman" w:hint="default"/>
                <w:sz w:val="18"/>
                <w:szCs w:val="18"/>
              </w:rPr>
              <w:t>Organic</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Compounds,</w:t>
            </w:r>
            <w:r>
              <w:rPr>
                <w:rFonts w:ascii="宋体" w:hAnsi="宋体" w:cs="宋体" w:eastAsia="宋体" w:hint="default"/>
                <w:sz w:val="18"/>
                <w:szCs w:val="18"/>
              </w:rPr>
              <w:t>即挥发性有机物。</w:t>
            </w:r>
          </w:p>
        </w:tc>
      </w:tr>
      <w:tr>
        <w:trPr>
          <w:trHeight w:val="402" w:hRule="exact"/>
        </w:trPr>
        <w:tc>
          <w:tcPr>
            <w:tcW w:w="226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r>
              <w:rPr>
                <w:rFonts w:ascii="Times New Roman"/>
                <w:sz w:val="18"/>
              </w:rPr>
              <w:t>GIS</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73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Geographic Information</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System</w:t>
            </w:r>
            <w:r>
              <w:rPr>
                <w:rFonts w:ascii="宋体" w:hAnsi="宋体" w:cs="宋体" w:eastAsia="宋体" w:hint="default"/>
                <w:sz w:val="18"/>
                <w:szCs w:val="18"/>
              </w:rPr>
              <w:t>，即地理信息系统。</w:t>
            </w:r>
          </w:p>
        </w:tc>
      </w:tr>
      <w:tr>
        <w:trPr>
          <w:trHeight w:val="1036" w:hRule="exact"/>
        </w:trPr>
        <w:tc>
          <w:tcPr>
            <w:tcW w:w="2269"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3" w:right="0"/>
              <w:jc w:val="left"/>
              <w:rPr>
                <w:rFonts w:ascii="宋体" w:hAnsi="宋体" w:cs="宋体" w:eastAsia="宋体" w:hint="default"/>
                <w:sz w:val="18"/>
                <w:szCs w:val="18"/>
              </w:rPr>
            </w:pPr>
            <w:r>
              <w:rPr>
                <w:rFonts w:ascii="宋体" w:hAnsi="宋体" w:cs="宋体" w:eastAsia="宋体" w:hint="default"/>
                <w:sz w:val="18"/>
                <w:szCs w:val="18"/>
              </w:rPr>
              <w:t>空间信息技术</w:t>
            </w:r>
          </w:p>
        </w:tc>
        <w:tc>
          <w:tcPr>
            <w:tcW w:w="567"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88"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734" w:type="dxa"/>
            <w:tcBorders>
              <w:top w:val="single" w:sz="4" w:space="0" w:color="000000"/>
              <w:left w:val="single" w:sz="4" w:space="0" w:color="000000"/>
              <w:bottom w:val="single" w:sz="12" w:space="0" w:color="000000"/>
              <w:right w:val="single" w:sz="12" w:space="0" w:color="000000"/>
            </w:tcBorders>
          </w:tcPr>
          <w:p>
            <w:pPr>
              <w:pStyle w:val="TableParagraph"/>
              <w:spacing w:line="309" w:lineRule="auto" w:before="51"/>
              <w:ind w:left="23" w:right="28"/>
              <w:jc w:val="both"/>
              <w:rPr>
                <w:rFonts w:ascii="宋体" w:hAnsi="宋体" w:cs="宋体" w:eastAsia="宋体" w:hint="default"/>
                <w:sz w:val="18"/>
                <w:szCs w:val="18"/>
              </w:rPr>
            </w:pPr>
            <w:r>
              <w:rPr>
                <w:rFonts w:ascii="宋体" w:hAnsi="宋体" w:cs="宋体" w:eastAsia="宋体" w:hint="default"/>
                <w:sz w:val="18"/>
                <w:szCs w:val="18"/>
              </w:rPr>
              <w:t>主要包括北斗、</w:t>
            </w:r>
            <w:r>
              <w:rPr>
                <w:rFonts w:ascii="Times New Roman" w:hAnsi="Times New Roman" w:cs="Times New Roman" w:eastAsia="Times New Roman" w:hint="default"/>
                <w:sz w:val="18"/>
                <w:szCs w:val="18"/>
              </w:rPr>
              <w:t>GPS </w:t>
            </w:r>
            <w:r>
              <w:rPr>
                <w:rFonts w:ascii="宋体" w:hAnsi="宋体" w:cs="宋体" w:eastAsia="宋体" w:hint="default"/>
                <w:sz w:val="18"/>
                <w:szCs w:val="18"/>
              </w:rPr>
              <w:t>卫星定位授时技术，</w:t>
            </w:r>
            <w:r>
              <w:rPr>
                <w:rFonts w:ascii="Times New Roman" w:hAnsi="Times New Roman" w:cs="Times New Roman" w:eastAsia="Times New Roman" w:hint="default"/>
                <w:sz w:val="18"/>
                <w:szCs w:val="18"/>
              </w:rPr>
              <w:t>GIS</w:t>
            </w:r>
            <w:r>
              <w:rPr>
                <w:rFonts w:ascii="宋体" w:hAnsi="宋体" w:cs="宋体" w:eastAsia="宋体" w:hint="default"/>
                <w:sz w:val="18"/>
                <w:szCs w:val="18"/>
              </w:rPr>
              <w:t>、</w:t>
            </w:r>
            <w:r>
              <w:rPr>
                <w:rFonts w:ascii="Times New Roman" w:hAnsi="Times New Roman" w:cs="Times New Roman" w:eastAsia="Times New Roman" w:hint="default"/>
                <w:sz w:val="18"/>
                <w:szCs w:val="18"/>
              </w:rPr>
              <w:t>BIM</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及三维测绘技术，进行空间数据 的采集、量测、分析、存储、管理、显示、传播和应用，并对传感数据、事件进行标 记、融合，以全面展现事物信息并深度应用的综合性信息技术。</w:t>
            </w:r>
          </w:p>
        </w:tc>
      </w:tr>
    </w:tbl>
    <w:p>
      <w:pPr>
        <w:spacing w:after="0" w:line="309" w:lineRule="auto"/>
        <w:jc w:val="both"/>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left="3624" w:right="0"/>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pict>
          <v:group style="position:absolute;margin-left:172.339996pt;margin-top:115.695595pt;width:361.5pt;height:19.650pt;mso-position-horizontal-relative:page;mso-position-vertical-relative:paragraph;z-index:-971752" coordorigin="3447,2314" coordsize="7230,393">
            <v:shape style="position:absolute;left:3447;top:2314;width:7230;height:393" coordorigin="3447,2314" coordsize="7230,393" path="m3447,2706l10676,2706,10676,2314,3447,2314,3447,2706xe" filled="true" fillcolor="#ffffff" stroked="false">
              <v:path arrowok="t"/>
              <v:fill type="solid"/>
            </v:shape>
            <w10:wrap type="none"/>
          </v:group>
        </w:pict>
      </w: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118" w:type="dxa"/>
        <w:tblLayout w:type="fixed"/>
        <w:tblCellMar>
          <w:top w:w="0" w:type="dxa"/>
          <w:left w:w="0" w:type="dxa"/>
          <w:bottom w:w="0" w:type="dxa"/>
          <w:right w:w="0" w:type="dxa"/>
        </w:tblCellMar>
        <w:tblLook w:val="01E0"/>
      </w:tblPr>
      <w:tblGrid>
        <w:gridCol w:w="2273"/>
        <w:gridCol w:w="2965"/>
        <w:gridCol w:w="2145"/>
        <w:gridCol w:w="2187"/>
      </w:tblGrid>
      <w:tr>
        <w:trPr>
          <w:trHeight w:val="412" w:hRule="exact"/>
        </w:trPr>
        <w:tc>
          <w:tcPr>
            <w:tcW w:w="2273"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12" w:space="0" w:color="000000"/>
              <w:left w:val="single" w:sz="9" w:space="0" w:color="D2D2D2"/>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汉威科技（原汉威电子）</w:t>
            </w:r>
          </w:p>
        </w:tc>
        <w:tc>
          <w:tcPr>
            <w:tcW w:w="2145"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7" w:type="dxa"/>
            <w:tcBorders>
              <w:top w:val="single" w:sz="12" w:space="0" w:color="000000"/>
              <w:left w:val="single" w:sz="10" w:space="0" w:color="D2D2D2"/>
              <w:bottom w:val="single" w:sz="4" w:space="0" w:color="000000"/>
              <w:right w:val="single" w:sz="12"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300007</w:t>
            </w:r>
          </w:p>
        </w:tc>
      </w:tr>
      <w:tr>
        <w:trPr>
          <w:trHeight w:val="402" w:hRule="exact"/>
        </w:trPr>
        <w:tc>
          <w:tcPr>
            <w:tcW w:w="227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12"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汉威科技集团股份有限公司</w:t>
            </w:r>
          </w:p>
        </w:tc>
      </w:tr>
      <w:tr>
        <w:trPr>
          <w:trHeight w:val="402" w:hRule="exact"/>
        </w:trPr>
        <w:tc>
          <w:tcPr>
            <w:tcW w:w="227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12"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汉威科技</w:t>
            </w:r>
          </w:p>
        </w:tc>
      </w:tr>
      <w:tr>
        <w:trPr>
          <w:trHeight w:val="402" w:hRule="exact"/>
        </w:trPr>
        <w:tc>
          <w:tcPr>
            <w:tcW w:w="227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12"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Hanwei Electronics Group</w:t>
            </w:r>
            <w:r>
              <w:rPr>
                <w:rFonts w:ascii="Times New Roman"/>
                <w:spacing w:val="-5"/>
                <w:sz w:val="18"/>
              </w:rPr>
              <w:t> </w:t>
            </w:r>
            <w:r>
              <w:rPr>
                <w:rFonts w:ascii="Times New Roman"/>
                <w:sz w:val="18"/>
              </w:rPr>
              <w:t>Corporation</w:t>
            </w:r>
          </w:p>
        </w:tc>
      </w:tr>
      <w:tr>
        <w:trPr>
          <w:trHeight w:val="402" w:hRule="exact"/>
        </w:trPr>
        <w:tc>
          <w:tcPr>
            <w:tcW w:w="2273" w:type="dxa"/>
            <w:tcBorders>
              <w:top w:val="single" w:sz="4" w:space="0" w:color="000000"/>
              <w:left w:val="single" w:sz="12" w:space="0" w:color="000000"/>
              <w:bottom w:val="single" w:sz="4" w:space="0" w:color="000000"/>
              <w:right w:val="single" w:sz="13" w:space="0" w:color="FFFFFF"/>
            </w:tcBorders>
            <w:shd w:val="clear" w:color="auto" w:fill="D2D2D2"/>
          </w:tcPr>
          <w:p>
            <w:pPr>
              <w:pStyle w:val="TableParagraph"/>
              <w:spacing w:line="240" w:lineRule="auto" w:before="51"/>
              <w:ind w:left="13"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12" w:space="0" w:color="000000"/>
            </w:tcBorders>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Hanwei</w:t>
            </w:r>
            <w:r>
              <w:rPr>
                <w:rFonts w:ascii="Times New Roman"/>
                <w:spacing w:val="-4"/>
                <w:sz w:val="18"/>
              </w:rPr>
              <w:t> </w:t>
            </w:r>
            <w:r>
              <w:rPr>
                <w:rFonts w:ascii="Times New Roman"/>
                <w:sz w:val="18"/>
              </w:rPr>
              <w:t>Electronics</w:t>
            </w:r>
          </w:p>
        </w:tc>
      </w:tr>
      <w:tr>
        <w:trPr>
          <w:trHeight w:val="402" w:hRule="exact"/>
        </w:trPr>
        <w:tc>
          <w:tcPr>
            <w:tcW w:w="227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12"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任红军</w:t>
            </w:r>
          </w:p>
        </w:tc>
      </w:tr>
      <w:tr>
        <w:trPr>
          <w:trHeight w:val="402" w:hRule="exact"/>
        </w:trPr>
        <w:tc>
          <w:tcPr>
            <w:tcW w:w="227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12"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郑州高新开发区雪松路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169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12"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450001</w:t>
            </w:r>
          </w:p>
        </w:tc>
      </w:tr>
      <w:tr>
        <w:trPr>
          <w:trHeight w:val="402" w:hRule="exact"/>
        </w:trPr>
        <w:tc>
          <w:tcPr>
            <w:tcW w:w="227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12"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郑州高新开发区雪松路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169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12"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450001</w:t>
            </w:r>
          </w:p>
        </w:tc>
      </w:tr>
      <w:tr>
        <w:trPr>
          <w:trHeight w:val="402" w:hRule="exact"/>
        </w:trPr>
        <w:tc>
          <w:tcPr>
            <w:tcW w:w="227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7" w:type="dxa"/>
            <w:gridSpan w:val="3"/>
            <w:tcBorders>
              <w:top w:val="single" w:sz="4" w:space="0" w:color="000000"/>
              <w:left w:val="single" w:sz="9" w:space="0" w:color="D2D2D2"/>
              <w:bottom w:val="single" w:sz="4" w:space="0" w:color="000000"/>
              <w:right w:val="single" w:sz="12"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www.hanwei.cn</w:t>
              </w:r>
            </w:hyperlink>
          </w:p>
        </w:tc>
      </w:tr>
      <w:tr>
        <w:trPr>
          <w:trHeight w:val="412" w:hRule="exact"/>
        </w:trPr>
        <w:tc>
          <w:tcPr>
            <w:tcW w:w="2273"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12" w:space="0" w:color="000000"/>
              <w:right w:val="single" w:sz="12"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hwdz@hwsensor.com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125" w:type="dxa"/>
        <w:tblLayout w:type="fixed"/>
        <w:tblCellMar>
          <w:top w:w="0" w:type="dxa"/>
          <w:left w:w="0" w:type="dxa"/>
          <w:bottom w:w="0" w:type="dxa"/>
          <w:right w:w="0" w:type="dxa"/>
        </w:tblCellMar>
        <w:tblLook w:val="01E0"/>
      </w:tblPr>
      <w:tblGrid>
        <w:gridCol w:w="3172"/>
        <w:gridCol w:w="3202"/>
        <w:gridCol w:w="3189"/>
      </w:tblGrid>
      <w:tr>
        <w:trPr>
          <w:trHeight w:val="412" w:hRule="exact"/>
        </w:trPr>
        <w:tc>
          <w:tcPr>
            <w:tcW w:w="3172" w:type="dxa"/>
            <w:tcBorders>
              <w:top w:val="single" w:sz="12" w:space="0" w:color="000000"/>
              <w:left w:val="single" w:sz="12" w:space="0" w:color="000000"/>
              <w:bottom w:val="single" w:sz="4" w:space="0" w:color="000000"/>
              <w:right w:val="single" w:sz="4" w:space="0" w:color="000000"/>
            </w:tcBorders>
            <w:shd w:val="clear" w:color="auto" w:fill="D2D2D2"/>
          </w:tcPr>
          <w:p>
            <w:pPr/>
          </w:p>
        </w:tc>
        <w:tc>
          <w:tcPr>
            <w:tcW w:w="3202"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89"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7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肖锋</w:t>
            </w:r>
          </w:p>
        </w:tc>
        <w:tc>
          <w:tcPr>
            <w:tcW w:w="318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李航</w:t>
            </w:r>
          </w:p>
        </w:tc>
      </w:tr>
      <w:tr>
        <w:trPr>
          <w:trHeight w:val="402" w:hRule="exact"/>
        </w:trPr>
        <w:tc>
          <w:tcPr>
            <w:tcW w:w="317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郑州高新开发区雪松路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169 </w:t>
            </w:r>
            <w:r>
              <w:rPr>
                <w:rFonts w:ascii="宋体" w:hAnsi="宋体" w:cs="宋体" w:eastAsia="宋体" w:hint="default"/>
                <w:sz w:val="18"/>
                <w:szCs w:val="18"/>
              </w:rPr>
              <w:t>号</w:t>
            </w:r>
          </w:p>
        </w:tc>
        <w:tc>
          <w:tcPr>
            <w:tcW w:w="318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郑州高新开发区雪松路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169 </w:t>
            </w:r>
            <w:r>
              <w:rPr>
                <w:rFonts w:ascii="宋体" w:hAnsi="宋体" w:cs="宋体" w:eastAsia="宋体" w:hint="default"/>
                <w:sz w:val="18"/>
                <w:szCs w:val="18"/>
              </w:rPr>
              <w:t>号</w:t>
            </w:r>
          </w:p>
        </w:tc>
      </w:tr>
      <w:tr>
        <w:trPr>
          <w:trHeight w:val="402" w:hRule="exact"/>
        </w:trPr>
        <w:tc>
          <w:tcPr>
            <w:tcW w:w="317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0371-67169159</w:t>
            </w:r>
          </w:p>
        </w:tc>
        <w:tc>
          <w:tcPr>
            <w:tcW w:w="318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0371-67169159</w:t>
            </w:r>
          </w:p>
        </w:tc>
      </w:tr>
      <w:tr>
        <w:trPr>
          <w:trHeight w:val="402" w:hRule="exact"/>
        </w:trPr>
        <w:tc>
          <w:tcPr>
            <w:tcW w:w="317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0371-67169196</w:t>
            </w:r>
          </w:p>
        </w:tc>
        <w:tc>
          <w:tcPr>
            <w:tcW w:w="318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0371-67169196</w:t>
            </w:r>
          </w:p>
        </w:tc>
      </w:tr>
      <w:tr>
        <w:trPr>
          <w:trHeight w:val="412" w:hRule="exact"/>
        </w:trPr>
        <w:tc>
          <w:tcPr>
            <w:tcW w:w="3172"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2D2D2"/>
              <w:bottom w:val="single" w:sz="12"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hwdz@hwsensor.com</w:t>
              </w:r>
            </w:hyperlink>
          </w:p>
        </w:tc>
        <w:tc>
          <w:tcPr>
            <w:tcW w:w="318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hwdz@hwsensor.com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118" w:type="dxa"/>
        <w:tblLayout w:type="fixed"/>
        <w:tblCellMar>
          <w:top w:w="0" w:type="dxa"/>
          <w:left w:w="0" w:type="dxa"/>
          <w:bottom w:w="0" w:type="dxa"/>
          <w:right w:w="0" w:type="dxa"/>
        </w:tblCellMar>
        <w:tblLook w:val="01E0"/>
      </w:tblPr>
      <w:tblGrid>
        <w:gridCol w:w="3994"/>
        <w:gridCol w:w="5575"/>
      </w:tblGrid>
      <w:tr>
        <w:trPr>
          <w:trHeight w:val="412" w:hRule="exact"/>
        </w:trPr>
        <w:tc>
          <w:tcPr>
            <w:tcW w:w="3994"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5"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402" w:hRule="exact"/>
        </w:trPr>
        <w:tc>
          <w:tcPr>
            <w:tcW w:w="399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0"/>
                <w:sz w:val="18"/>
                <w:szCs w:val="18"/>
              </w:rPr>
              <w:t> </w:t>
            </w:r>
            <w:hyperlink r:id="rId11">
              <w:r>
                <w:rPr>
                  <w:rFonts w:ascii="Times New Roman" w:hAnsi="Times New Roman" w:cs="Times New Roman" w:eastAsia="Times New Roman" w:hint="default"/>
                  <w:sz w:val="18"/>
                  <w:szCs w:val="18"/>
                </w:rPr>
                <w:t>www.cninfo.com.cn</w:t>
              </w:r>
            </w:hyperlink>
          </w:p>
        </w:tc>
      </w:tr>
      <w:tr>
        <w:trPr>
          <w:trHeight w:val="412" w:hRule="exact"/>
        </w:trPr>
        <w:tc>
          <w:tcPr>
            <w:tcW w:w="3994"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公司证券投资部办公室</w:t>
            </w:r>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四、其他有关资料" w:id="8"/>
      <w:bookmarkEnd w:id="8"/>
      <w:r>
        <w:rPr>
          <w:b w:val="0"/>
          <w:bCs w:val="0"/>
        </w:rPr>
      </w:r>
      <w:r>
        <w:rPr/>
        <w:t>四、其他有关资料</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18" w:type="dxa"/>
        <w:tblLayout w:type="fixed"/>
        <w:tblCellMar>
          <w:top w:w="0" w:type="dxa"/>
          <w:left w:w="0" w:type="dxa"/>
          <w:bottom w:w="0" w:type="dxa"/>
          <w:right w:w="0" w:type="dxa"/>
        </w:tblCellMar>
        <w:tblLook w:val="01E0"/>
      </w:tblPr>
      <w:tblGrid>
        <w:gridCol w:w="2663"/>
        <w:gridCol w:w="6906"/>
      </w:tblGrid>
      <w:tr>
        <w:trPr>
          <w:trHeight w:val="412" w:hRule="exact"/>
        </w:trPr>
        <w:tc>
          <w:tcPr>
            <w:tcW w:w="2663"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6"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大信会计师事务所（特殊普通合伙）</w:t>
            </w:r>
          </w:p>
        </w:tc>
      </w:tr>
      <w:tr>
        <w:trPr>
          <w:trHeight w:val="402" w:hRule="exact"/>
        </w:trPr>
        <w:tc>
          <w:tcPr>
            <w:tcW w:w="26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北京市海淀区知春路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号学院国际大厦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层</w:t>
            </w:r>
          </w:p>
        </w:tc>
      </w:tr>
      <w:tr>
        <w:trPr>
          <w:trHeight w:val="412" w:hRule="exact"/>
        </w:trPr>
        <w:tc>
          <w:tcPr>
            <w:tcW w:w="2663"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郝东升、孔庆华</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line="340" w:lineRule="auto" w:before="116"/>
        <w:ind w:left="113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公司聘请的报告期内履行持续督导职责的财务顾问</w:t>
      </w:r>
    </w:p>
    <w:p>
      <w:pPr>
        <w:spacing w:before="4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公司是否需追溯调整或重述以前年度会计数据</w:t>
      </w:r>
    </w:p>
    <w:p>
      <w:pPr>
        <w:spacing w:before="116"/>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7"/>
          <w:szCs w:val="7"/>
        </w:rPr>
      </w:pPr>
    </w:p>
    <w:tbl>
      <w:tblPr>
        <w:tblW w:w="0" w:type="auto"/>
        <w:jc w:val="left"/>
        <w:tblInd w:w="1125" w:type="dxa"/>
        <w:tblLayout w:type="fixed"/>
        <w:tblCellMar>
          <w:top w:w="0" w:type="dxa"/>
          <w:left w:w="0" w:type="dxa"/>
          <w:bottom w:w="0" w:type="dxa"/>
          <w:right w:w="0" w:type="dxa"/>
        </w:tblCellMar>
        <w:tblLook w:val="01E0"/>
      </w:tblPr>
      <w:tblGrid>
        <w:gridCol w:w="2960"/>
        <w:gridCol w:w="1856"/>
        <w:gridCol w:w="1559"/>
        <w:gridCol w:w="1844"/>
        <w:gridCol w:w="1346"/>
      </w:tblGrid>
      <w:tr>
        <w:trPr>
          <w:trHeight w:val="411" w:hRule="exact"/>
        </w:trPr>
        <w:tc>
          <w:tcPr>
            <w:tcW w:w="2960" w:type="dxa"/>
            <w:tcBorders>
              <w:top w:val="single" w:sz="12" w:space="0" w:color="000000"/>
              <w:left w:val="single" w:sz="12" w:space="0" w:color="000000"/>
              <w:bottom w:val="single" w:sz="4" w:space="0" w:color="000000"/>
              <w:right w:val="single" w:sz="4" w:space="0" w:color="000000"/>
            </w:tcBorders>
            <w:shd w:val="clear" w:color="auto" w:fill="D2D2D2"/>
          </w:tcPr>
          <w:p>
            <w:pPr/>
          </w:p>
        </w:tc>
        <w:tc>
          <w:tcPr>
            <w:tcW w:w="185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59"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5"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346"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1"/>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96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8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1,444,179,089.91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1,107,719,247.95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30.37%</w:t>
            </w:r>
          </w:p>
        </w:tc>
        <w:tc>
          <w:tcPr>
            <w:tcW w:w="134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746,718,624.28</w:t>
            </w:r>
          </w:p>
        </w:tc>
      </w:tr>
      <w:tr>
        <w:trPr>
          <w:trHeight w:val="402" w:hRule="exact"/>
        </w:trPr>
        <w:tc>
          <w:tcPr>
            <w:tcW w:w="296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18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110,320,925.94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90,629,460.02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21.73%</w:t>
            </w:r>
          </w:p>
        </w:tc>
        <w:tc>
          <w:tcPr>
            <w:tcW w:w="134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78,646,513.40</w:t>
            </w:r>
          </w:p>
        </w:tc>
      </w:tr>
      <w:tr>
        <w:trPr>
          <w:trHeight w:val="714" w:hRule="exact"/>
        </w:trPr>
        <w:tc>
          <w:tcPr>
            <w:tcW w:w="296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2"/>
              <w:ind w:left="6" w:right="51"/>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归属于上市公司股东的扣除非经常性 损益的净利润（元）</w:t>
            </w:r>
          </w:p>
        </w:tc>
        <w:tc>
          <w:tcPr>
            <w:tcW w:w="18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60,374,950.32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19,387,211.82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211.42%</w:t>
            </w:r>
          </w:p>
        </w:tc>
        <w:tc>
          <w:tcPr>
            <w:tcW w:w="134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45,169,315.18</w:t>
            </w:r>
          </w:p>
        </w:tc>
      </w:tr>
      <w:tr>
        <w:trPr>
          <w:trHeight w:val="402" w:hRule="exact"/>
        </w:trPr>
        <w:tc>
          <w:tcPr>
            <w:tcW w:w="296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18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131,246,699.03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201,438,999.76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-34.85%</w:t>
            </w:r>
          </w:p>
        </w:tc>
        <w:tc>
          <w:tcPr>
            <w:tcW w:w="134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149,242,489.83</w:t>
            </w:r>
          </w:p>
        </w:tc>
      </w:tr>
      <w:tr>
        <w:trPr>
          <w:trHeight w:val="402" w:hRule="exact"/>
        </w:trPr>
        <w:tc>
          <w:tcPr>
            <w:tcW w:w="296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8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0.38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0.31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22.58%</w:t>
            </w:r>
          </w:p>
        </w:tc>
        <w:tc>
          <w:tcPr>
            <w:tcW w:w="134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z w:val="18"/>
              </w:rPr>
              <w:t>0.27</w:t>
            </w:r>
          </w:p>
        </w:tc>
      </w:tr>
      <w:tr>
        <w:trPr>
          <w:trHeight w:val="402" w:hRule="exact"/>
        </w:trPr>
        <w:tc>
          <w:tcPr>
            <w:tcW w:w="296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8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0.38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0.31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22.58%</w:t>
            </w:r>
          </w:p>
        </w:tc>
        <w:tc>
          <w:tcPr>
            <w:tcW w:w="134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z w:val="18"/>
              </w:rPr>
              <w:t>0.27</w:t>
            </w:r>
          </w:p>
        </w:tc>
      </w:tr>
      <w:tr>
        <w:trPr>
          <w:trHeight w:val="402" w:hRule="exact"/>
        </w:trPr>
        <w:tc>
          <w:tcPr>
            <w:tcW w:w="296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8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8.20%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7.24%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0.96%</w:t>
            </w:r>
          </w:p>
        </w:tc>
        <w:tc>
          <w:tcPr>
            <w:tcW w:w="134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z w:val="18"/>
              </w:rPr>
              <w:t>6.63%</w:t>
            </w:r>
          </w:p>
        </w:tc>
      </w:tr>
      <w:tr>
        <w:trPr>
          <w:trHeight w:val="402" w:hRule="exact"/>
        </w:trPr>
        <w:tc>
          <w:tcPr>
            <w:tcW w:w="2960" w:type="dxa"/>
            <w:tcBorders>
              <w:top w:val="single" w:sz="4" w:space="0" w:color="000000"/>
              <w:left w:val="single" w:sz="12" w:space="0" w:color="000000"/>
              <w:bottom w:val="single" w:sz="4" w:space="0" w:color="000000"/>
              <w:right w:val="single" w:sz="4" w:space="0" w:color="000000"/>
            </w:tcBorders>
            <w:shd w:val="clear" w:color="auto" w:fill="D2D2D2"/>
          </w:tcPr>
          <w:p>
            <w:pPr/>
          </w:p>
        </w:tc>
        <w:tc>
          <w:tcPr>
            <w:tcW w:w="1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 w:right="0"/>
              <w:jc w:val="lef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346" w:type="dxa"/>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2"/>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96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8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4,278,972,794.41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3,765,211,905.70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13.64%</w:t>
            </w:r>
          </w:p>
        </w:tc>
        <w:tc>
          <w:tcPr>
            <w:tcW w:w="134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2,810,808,331.10</w:t>
            </w:r>
          </w:p>
        </w:tc>
      </w:tr>
      <w:tr>
        <w:trPr>
          <w:trHeight w:val="412" w:hRule="exact"/>
        </w:trPr>
        <w:tc>
          <w:tcPr>
            <w:tcW w:w="2960"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归属于上市公司股东的净资产（元）</w:t>
            </w:r>
          </w:p>
        </w:tc>
        <w:tc>
          <w:tcPr>
            <w:tcW w:w="1856" w:type="dxa"/>
            <w:tcBorders>
              <w:top w:val="single" w:sz="4" w:space="0" w:color="000000"/>
              <w:left w:val="single" w:sz="13" w:space="0" w:color="D2D2D2"/>
              <w:bottom w:val="single" w:sz="12"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1,395,977,967.95</w:t>
            </w:r>
          </w:p>
        </w:tc>
        <w:tc>
          <w:tcPr>
            <w:tcW w:w="15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1,294,945,691.31</w:t>
            </w:r>
          </w:p>
        </w:tc>
        <w:tc>
          <w:tcPr>
            <w:tcW w:w="18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7.80%</w:t>
            </w:r>
          </w:p>
        </w:tc>
        <w:tc>
          <w:tcPr>
            <w:tcW w:w="134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1,219,496,630.56</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2"/>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5" w:type="dxa"/>
        <w:tblLayout w:type="fixed"/>
        <w:tblCellMar>
          <w:top w:w="0" w:type="dxa"/>
          <w:left w:w="0" w:type="dxa"/>
          <w:bottom w:w="0" w:type="dxa"/>
          <w:right w:w="0" w:type="dxa"/>
        </w:tblCellMar>
        <w:tblLook w:val="01E0"/>
      </w:tblPr>
      <w:tblGrid>
        <w:gridCol w:w="2960"/>
        <w:gridCol w:w="1713"/>
        <w:gridCol w:w="1702"/>
        <w:gridCol w:w="1559"/>
        <w:gridCol w:w="1630"/>
      </w:tblGrid>
      <w:tr>
        <w:trPr>
          <w:trHeight w:val="411" w:hRule="exact"/>
        </w:trPr>
        <w:tc>
          <w:tcPr>
            <w:tcW w:w="2960" w:type="dxa"/>
            <w:tcBorders>
              <w:top w:val="single" w:sz="12" w:space="0" w:color="000000"/>
              <w:left w:val="single" w:sz="12" w:space="0" w:color="000000"/>
              <w:bottom w:val="single" w:sz="4" w:space="0" w:color="000000"/>
              <w:right w:val="single" w:sz="4" w:space="0" w:color="000000"/>
            </w:tcBorders>
            <w:shd w:val="clear" w:color="auto" w:fill="D2D2D2"/>
          </w:tcPr>
          <w:p>
            <w:pPr/>
          </w:p>
        </w:tc>
        <w:tc>
          <w:tcPr>
            <w:tcW w:w="171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02"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6"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559"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630"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1"/>
              <w:ind w:left="44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96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357,153,463.43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334,246,952.23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312,604,683.02</w:t>
            </w:r>
          </w:p>
        </w:tc>
        <w:tc>
          <w:tcPr>
            <w:tcW w:w="163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440,173,991.23</w:t>
            </w:r>
          </w:p>
        </w:tc>
      </w:tr>
      <w:tr>
        <w:trPr>
          <w:trHeight w:val="402" w:hRule="exact"/>
        </w:trPr>
        <w:tc>
          <w:tcPr>
            <w:tcW w:w="296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17,444,243.63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37,672,532.94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18,623,965.25</w:t>
            </w:r>
          </w:p>
        </w:tc>
        <w:tc>
          <w:tcPr>
            <w:tcW w:w="163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36,580,184.12</w:t>
            </w:r>
          </w:p>
        </w:tc>
      </w:tr>
      <w:tr>
        <w:trPr>
          <w:trHeight w:val="714" w:hRule="exact"/>
        </w:trPr>
        <w:tc>
          <w:tcPr>
            <w:tcW w:w="296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2"/>
              <w:ind w:left="6" w:right="51"/>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归属于上市公司股东的扣除非经常性 损益的净利润</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12,545,217.36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25,938,812.21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10,380,150.82</w:t>
            </w:r>
          </w:p>
        </w:tc>
        <w:tc>
          <w:tcPr>
            <w:tcW w:w="163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11,510,769.93</w:t>
            </w:r>
          </w:p>
        </w:tc>
      </w:tr>
      <w:tr>
        <w:trPr>
          <w:trHeight w:val="413" w:hRule="exact"/>
        </w:trPr>
        <w:tc>
          <w:tcPr>
            <w:tcW w:w="2960"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13" w:type="dxa"/>
            <w:tcBorders>
              <w:top w:val="single" w:sz="4" w:space="0" w:color="000000"/>
              <w:left w:val="single" w:sz="13" w:space="0" w:color="D2D2D2"/>
              <w:bottom w:val="single" w:sz="12"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-68,677,033.62</w:t>
            </w:r>
          </w:p>
        </w:tc>
        <w:tc>
          <w:tcPr>
            <w:tcW w:w="17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117,626,431.77</w:t>
            </w:r>
          </w:p>
        </w:tc>
        <w:tc>
          <w:tcPr>
            <w:tcW w:w="15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64,562,432.53</w:t>
            </w:r>
          </w:p>
        </w:tc>
        <w:tc>
          <w:tcPr>
            <w:tcW w:w="163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17,734,868.35</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7"/>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133" w:right="13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133" w:right="26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八、非经常性损益项目及金额" w:id="14"/>
      <w:bookmarkEnd w:id="14"/>
      <w:r>
        <w:rPr>
          <w:b w:val="0"/>
          <w:bCs w:val="0"/>
        </w:rPr>
      </w:r>
      <w:r>
        <w:rPr/>
        <w:t>八、非经常性损益项目及金额</w:t>
      </w:r>
      <w:r>
        <w:rPr>
          <w:b w:val="0"/>
          <w:bCs w:val="0"/>
        </w:rPr>
      </w:r>
    </w:p>
    <w:p>
      <w:pPr>
        <w:spacing w:line="240" w:lineRule="auto" w:before="3"/>
        <w:rPr>
          <w:rFonts w:ascii="宋体" w:hAnsi="宋体" w:cs="宋体" w:eastAsia="宋体" w:hint="default"/>
          <w:b/>
          <w:bCs/>
          <w:sz w:val="23"/>
          <w:szCs w:val="23"/>
        </w:rPr>
      </w:pPr>
    </w:p>
    <w:p>
      <w:pPr>
        <w:spacing w:before="44"/>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before="0"/>
        <w:ind w:left="0" w:right="1140" w:firstLine="0"/>
        <w:jc w:val="right"/>
        <w:rPr>
          <w:rFonts w:ascii="宋体" w:hAnsi="宋体" w:cs="宋体" w:eastAsia="宋体" w:hint="default"/>
          <w:sz w:val="18"/>
          <w:szCs w:val="18"/>
        </w:rPr>
      </w:pPr>
      <w:r>
        <w:rPr/>
        <w:pict>
          <v:shape style="position:absolute;margin-left:56.25pt;margin-top:-187.02829pt;width:480.4pt;height:312.7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85"/>
                    <w:gridCol w:w="1287"/>
                    <w:gridCol w:w="1277"/>
                    <w:gridCol w:w="1276"/>
                    <w:gridCol w:w="2337"/>
                  </w:tblGrid>
                  <w:tr>
                    <w:trPr>
                      <w:trHeight w:val="411" w:hRule="exact"/>
                    </w:trPr>
                    <w:tc>
                      <w:tcPr>
                        <w:tcW w:w="3385"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1287"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277"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27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2337"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38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2"/>
                          <w:ind w:left="6" w:right="10"/>
                          <w:jc w:val="left"/>
                          <w:rPr>
                            <w:rFonts w:ascii="宋体" w:hAnsi="宋体" w:cs="宋体" w:eastAsia="宋体" w:hint="default"/>
                            <w:sz w:val="18"/>
                            <w:szCs w:val="18"/>
                          </w:rPr>
                        </w:pPr>
                        <w:r>
                          <w:rPr>
                            <w:rFonts w:ascii="宋体" w:hAnsi="宋体" w:cs="宋体" w:eastAsia="宋体" w:hint="default"/>
                            <w:spacing w:val="-4"/>
                            <w:sz w:val="18"/>
                            <w:szCs w:val="18"/>
                          </w:rPr>
                          <w:t>非流动资产处置损益（包括已计提资产减值</w:t>
                        </w:r>
                        <w:r>
                          <w:rPr>
                            <w:rFonts w:ascii="宋体" w:hAnsi="宋体" w:cs="宋体" w:eastAsia="宋体" w:hint="default"/>
                            <w:sz w:val="18"/>
                            <w:szCs w:val="18"/>
                          </w:rPr>
                          <w:t> 准备的冲销部分）</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-455,564.93</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-169,552.08</w:t>
                        </w:r>
                        <w:r>
                          <w:rPr>
                            <w:rFonts w:ascii="Times New Roman"/>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-76,571.08</w:t>
                        </w:r>
                        <w:r>
                          <w:rPr>
                            <w:rFonts w:ascii="Times New Roman"/>
                            <w:sz w:val="18"/>
                          </w:rPr>
                        </w:r>
                      </w:p>
                    </w:tc>
                    <w:tc>
                      <w:tcPr>
                        <w:tcW w:w="2337" w:type="dxa"/>
                        <w:tcBorders>
                          <w:top w:val="single" w:sz="4" w:space="0" w:color="000000"/>
                          <w:left w:val="single" w:sz="4" w:space="0" w:color="000000"/>
                          <w:bottom w:val="single" w:sz="4" w:space="0" w:color="000000"/>
                          <w:right w:val="single" w:sz="12" w:space="0" w:color="000000"/>
                        </w:tcBorders>
                      </w:tcPr>
                      <w:p>
                        <w:pPr/>
                      </w:p>
                    </w:tc>
                  </w:tr>
                  <w:tr>
                    <w:trPr>
                      <w:trHeight w:val="1026" w:hRule="exact"/>
                    </w:trPr>
                    <w:tc>
                      <w:tcPr>
                        <w:tcW w:w="338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9" w:lineRule="auto" w:before="52"/>
                          <w:ind w:left="6" w:right="10"/>
                          <w:jc w:val="both"/>
                          <w:rPr>
                            <w:rFonts w:ascii="宋体" w:hAnsi="宋体" w:cs="宋体" w:eastAsia="宋体" w:hint="default"/>
                            <w:sz w:val="18"/>
                            <w:szCs w:val="18"/>
                          </w:rPr>
                        </w:pPr>
                        <w:r>
                          <w:rPr>
                            <w:rFonts w:ascii="宋体" w:hAnsi="宋体" w:cs="宋体" w:eastAsia="宋体" w:hint="default"/>
                            <w:spacing w:val="-4"/>
                            <w:sz w:val="18"/>
                            <w:szCs w:val="18"/>
                          </w:rPr>
                          <w:t>计入当期损益的政府补助（与企业业务密切</w:t>
                        </w:r>
                        <w:r>
                          <w:rPr>
                            <w:rFonts w:ascii="宋体" w:hAnsi="宋体" w:cs="宋体" w:eastAsia="宋体" w:hint="default"/>
                            <w:sz w:val="18"/>
                            <w:szCs w:val="18"/>
                          </w:rPr>
                          <w:t> </w:t>
                        </w:r>
                        <w:r>
                          <w:rPr>
                            <w:rFonts w:ascii="宋体" w:hAnsi="宋体" w:cs="宋体" w:eastAsia="宋体" w:hint="default"/>
                            <w:spacing w:val="-4"/>
                            <w:sz w:val="18"/>
                            <w:szCs w:val="18"/>
                          </w:rPr>
                          <w:t>相关，按照国家统一标准定额或定量享受的</w:t>
                        </w:r>
                        <w:r>
                          <w:rPr>
                            <w:rFonts w:ascii="宋体" w:hAnsi="宋体" w:cs="宋体" w:eastAsia="宋体" w:hint="default"/>
                            <w:sz w:val="18"/>
                            <w:szCs w:val="18"/>
                          </w:rPr>
                          <w:t> 政府补助除外）</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54,650,429.06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43,498,493.90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40,297,076.31</w:t>
                        </w:r>
                      </w:p>
                    </w:tc>
                    <w:tc>
                      <w:tcPr>
                        <w:tcW w:w="2337"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338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14,792,196.80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5,328,931.09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3,357,269.67</w:t>
                        </w:r>
                      </w:p>
                    </w:tc>
                    <w:tc>
                      <w:tcPr>
                        <w:tcW w:w="2337"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338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-94,936.80</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-208,600.00</w:t>
                        </w:r>
                        <w:r>
                          <w:rPr>
                            <w:rFonts w:ascii="Times New Roman"/>
                            <w:sz w:val="18"/>
                          </w:rPr>
                        </w:r>
                      </w:p>
                    </w:tc>
                    <w:tc>
                      <w:tcPr>
                        <w:tcW w:w="1276" w:type="dxa"/>
                        <w:tcBorders>
                          <w:top w:val="single" w:sz="4" w:space="0" w:color="000000"/>
                          <w:left w:val="single" w:sz="4" w:space="0" w:color="000000"/>
                          <w:bottom w:val="single" w:sz="4" w:space="0" w:color="000000"/>
                          <w:right w:val="single" w:sz="4" w:space="0" w:color="000000"/>
                        </w:tcBorders>
                      </w:tcPr>
                      <w:p>
                        <w:pPr/>
                      </w:p>
                    </w:tc>
                    <w:tc>
                      <w:tcPr>
                        <w:tcW w:w="2337"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338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33,248.66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473,320.12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129,649.43</w:t>
                        </w:r>
                      </w:p>
                    </w:tc>
                    <w:tc>
                      <w:tcPr>
                        <w:tcW w:w="2337" w:type="dxa"/>
                        <w:tcBorders>
                          <w:top w:val="single" w:sz="4" w:space="0" w:color="000000"/>
                          <w:left w:val="single" w:sz="4" w:space="0" w:color="000000"/>
                          <w:bottom w:val="single" w:sz="4" w:space="0" w:color="000000"/>
                          <w:right w:val="single" w:sz="12" w:space="0" w:color="000000"/>
                        </w:tcBorders>
                      </w:tcPr>
                      <w:p>
                        <w:pPr/>
                      </w:p>
                    </w:tc>
                  </w:tr>
                  <w:tr>
                    <w:trPr>
                      <w:trHeight w:val="630" w:hRule="exact"/>
                    </w:trPr>
                    <w:tc>
                      <w:tcPr>
                        <w:tcW w:w="3385" w:type="dxa"/>
                        <w:tcBorders>
                          <w:top w:val="single" w:sz="4" w:space="0" w:color="000000"/>
                          <w:left w:val="single" w:sz="12" w:space="0" w:color="000000"/>
                          <w:bottom w:val="nil" w:sz="6" w:space="0" w:color="auto"/>
                          <w:right w:val="single" w:sz="4" w:space="0" w:color="000000"/>
                        </w:tcBorders>
                        <w:shd w:val="clear" w:color="auto" w:fill="D2D2D2"/>
                      </w:tcPr>
                      <w:p>
                        <w:pPr/>
                      </w:p>
                    </w:tc>
                    <w:tc>
                      <w:tcPr>
                        <w:tcW w:w="1287"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03" w:right="0"/>
                          <w:jc w:val="left"/>
                          <w:rPr>
                            <w:rFonts w:ascii="Times New Roman" w:hAnsi="Times New Roman" w:cs="Times New Roman" w:eastAsia="Times New Roman" w:hint="default"/>
                            <w:sz w:val="18"/>
                            <w:szCs w:val="18"/>
                          </w:rPr>
                        </w:pPr>
                        <w:r>
                          <w:rPr>
                            <w:rFonts w:ascii="Times New Roman"/>
                            <w:sz w:val="18"/>
                          </w:rPr>
                          <w:t>5,206,928.81</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47,465,412.69</w:t>
                        </w:r>
                      </w:p>
                    </w:tc>
                    <w:tc>
                      <w:tcPr>
                        <w:tcW w:w="1276" w:type="dxa"/>
                        <w:vMerge w:val="restart"/>
                        <w:tcBorders>
                          <w:top w:val="single" w:sz="4" w:space="0" w:color="000000"/>
                          <w:left w:val="single" w:sz="4" w:space="0" w:color="000000"/>
                          <w:right w:val="single" w:sz="4" w:space="0" w:color="000000"/>
                        </w:tcBorders>
                      </w:tcPr>
                      <w:p>
                        <w:pPr/>
                      </w:p>
                    </w:tc>
                    <w:tc>
                      <w:tcPr>
                        <w:tcW w:w="2337" w:type="dxa"/>
                        <w:vMerge w:val="restart"/>
                        <w:tcBorders>
                          <w:top w:val="single" w:sz="4" w:space="0" w:color="000000"/>
                          <w:left w:val="single" w:sz="4" w:space="0" w:color="000000"/>
                          <w:right w:val="single" w:sz="12" w:space="0" w:color="000000"/>
                        </w:tcBorders>
                      </w:tcPr>
                      <w:p>
                        <w:pPr>
                          <w:pStyle w:val="TableParagraph"/>
                          <w:spacing w:line="309" w:lineRule="auto" w:before="52"/>
                          <w:ind w:left="22" w:right="10"/>
                          <w:jc w:val="left"/>
                          <w:rPr>
                            <w:rFonts w:ascii="宋体" w:hAnsi="宋体" w:cs="宋体" w:eastAsia="宋体" w:hint="default"/>
                            <w:sz w:val="18"/>
                            <w:szCs w:val="18"/>
                          </w:rPr>
                        </w:pPr>
                        <w:r>
                          <w:rPr>
                            <w:rFonts w:ascii="宋体" w:hAnsi="宋体" w:cs="宋体" w:eastAsia="宋体" w:hint="default"/>
                            <w:sz w:val="18"/>
                            <w:szCs w:val="18"/>
                          </w:rPr>
                          <w:t>此项目系</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、或有对价实现的 投资收益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4,708,500.00</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元；</w:t>
                        </w:r>
                        <w:r>
                          <w:rPr>
                            <w:rFonts w:ascii="Times New Roman" w:hAnsi="Times New Roman" w:cs="Times New Roman" w:eastAsia="Times New Roman" w:hint="default"/>
                            <w:spacing w:val="-5"/>
                            <w:sz w:val="18"/>
                            <w:szCs w:val="18"/>
                          </w:rPr>
                          <w:t>2</w:t>
                        </w:r>
                        <w:r>
                          <w:rPr>
                            <w:rFonts w:ascii="Times New Roman" w:hAnsi="Times New Roman" w:cs="Times New Roman" w:eastAsia="Times New Roman" w:hint="default"/>
                            <w:sz w:val="18"/>
                            <w:szCs w:val="18"/>
                          </w:rPr>
                          <w:t> </w:t>
                        </w:r>
                        <w:r>
                          <w:rPr>
                            <w:rFonts w:ascii="宋体" w:hAnsi="宋体" w:cs="宋体" w:eastAsia="宋体" w:hint="default"/>
                            <w:sz w:val="18"/>
                            <w:szCs w:val="18"/>
                          </w:rPr>
                          <w:t>联营及合营企业权益法核算 的投资收益中属于非经常性 损益的部分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498,428.81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391" w:hRule="exact"/>
                    </w:trPr>
                    <w:tc>
                      <w:tcPr>
                        <w:tcW w:w="3385" w:type="dxa"/>
                        <w:tcBorders>
                          <w:top w:val="nil" w:sz="6" w:space="0" w:color="auto"/>
                          <w:left w:val="single" w:sz="12" w:space="0" w:color="000000"/>
                          <w:bottom w:val="nil" w:sz="6" w:space="0" w:color="auto"/>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287" w:type="dxa"/>
                        <w:vMerge/>
                        <w:tcBorders>
                          <w:left w:val="single" w:sz="9" w:space="0" w:color="D2D2D2"/>
                          <w:right w:val="single" w:sz="4" w:space="0" w:color="000000"/>
                        </w:tcBorders>
                      </w:tcPr>
                      <w:p>
                        <w:pPr/>
                      </w:p>
                    </w:tc>
                    <w:tc>
                      <w:tcPr>
                        <w:tcW w:w="1277"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2337" w:type="dxa"/>
                        <w:vMerge/>
                        <w:tcBorders>
                          <w:left w:val="single" w:sz="4" w:space="0" w:color="000000"/>
                          <w:right w:val="single" w:sz="12" w:space="0" w:color="000000"/>
                        </w:tcBorders>
                      </w:tcPr>
                      <w:p>
                        <w:pPr/>
                      </w:p>
                    </w:tc>
                  </w:tr>
                  <w:tr>
                    <w:trPr>
                      <w:trHeight w:val="629" w:hRule="exact"/>
                    </w:trPr>
                    <w:tc>
                      <w:tcPr>
                        <w:tcW w:w="3385" w:type="dxa"/>
                        <w:tcBorders>
                          <w:top w:val="nil" w:sz="6" w:space="0" w:color="auto"/>
                          <w:left w:val="single" w:sz="12" w:space="0" w:color="000000"/>
                          <w:bottom w:val="single" w:sz="4" w:space="0" w:color="000000"/>
                          <w:right w:val="single" w:sz="4" w:space="0" w:color="000000"/>
                        </w:tcBorders>
                        <w:shd w:val="clear" w:color="auto" w:fill="D2D2D2"/>
                      </w:tcPr>
                      <w:p>
                        <w:pPr/>
                      </w:p>
                    </w:tc>
                    <w:tc>
                      <w:tcPr>
                        <w:tcW w:w="1287" w:type="dxa"/>
                        <w:vMerge/>
                        <w:tcBorders>
                          <w:left w:val="single" w:sz="9" w:space="0" w:color="D2D2D2"/>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2337" w:type="dxa"/>
                        <w:vMerge/>
                        <w:tcBorders>
                          <w:left w:val="single" w:sz="4" w:space="0" w:color="000000"/>
                          <w:bottom w:val="single" w:sz="4" w:space="0" w:color="000000"/>
                          <w:right w:val="single" w:sz="12" w:space="0" w:color="000000"/>
                        </w:tcBorders>
                      </w:tcPr>
                      <w:p>
                        <w:pPr/>
                      </w:p>
                    </w:tc>
                  </w:tr>
                  <w:tr>
                    <w:trPr>
                      <w:trHeight w:val="402" w:hRule="exact"/>
                    </w:trPr>
                    <w:tc>
                      <w:tcPr>
                        <w:tcW w:w="338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12,382,536.07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15,206,713.23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5,008,738.47</w:t>
                        </w:r>
                      </w:p>
                    </w:tc>
                    <w:tc>
                      <w:tcPr>
                        <w:tcW w:w="2337"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338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11,803,789.91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9,939,044.29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5,221,487.64</w:t>
                        </w:r>
                      </w:p>
                    </w:tc>
                    <w:tc>
                      <w:tcPr>
                        <w:tcW w:w="2337" w:type="dxa"/>
                        <w:tcBorders>
                          <w:top w:val="single" w:sz="4" w:space="0" w:color="000000"/>
                          <w:left w:val="single" w:sz="4" w:space="0" w:color="000000"/>
                          <w:bottom w:val="single" w:sz="4" w:space="0" w:color="000000"/>
                          <w:right w:val="single" w:sz="12" w:space="0" w:color="000000"/>
                        </w:tcBorders>
                      </w:tcPr>
                      <w:p>
                        <w:pPr/>
                      </w:p>
                    </w:tc>
                  </w:tr>
                  <w:tr>
                    <w:trPr>
                      <w:trHeight w:val="412" w:hRule="exact"/>
                    </w:trPr>
                    <w:tc>
                      <w:tcPr>
                        <w:tcW w:w="3385"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87" w:type="dxa"/>
                        <w:tcBorders>
                          <w:top w:val="single" w:sz="4" w:space="0" w:color="000000"/>
                          <w:left w:val="single" w:sz="13" w:space="0" w:color="D2D2D2"/>
                          <w:bottom w:val="single" w:sz="12"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49,945,975.62</w:t>
                        </w:r>
                      </w:p>
                    </w:tc>
                    <w:tc>
                      <w:tcPr>
                        <w:tcW w:w="12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71,242,248.20</w:t>
                        </w:r>
                      </w:p>
                    </w:tc>
                    <w:tc>
                      <w:tcPr>
                        <w:tcW w:w="1276" w:type="dxa"/>
                        <w:tcBorders>
                          <w:top w:val="single" w:sz="4" w:space="0" w:color="000000"/>
                          <w:left w:val="single" w:sz="4" w:space="0" w:color="000000"/>
                          <w:bottom w:val="single" w:sz="12"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33,477,198.22</w:t>
                        </w:r>
                      </w:p>
                    </w:tc>
                    <w:tc>
                      <w:tcPr>
                        <w:tcW w:w="2337" w:type="dxa"/>
                        <w:tcBorders>
                          <w:top w:val="single" w:sz="4" w:space="0" w:color="000000"/>
                          <w:left w:val="single" w:sz="4" w:space="0" w:color="000000"/>
                          <w:bottom w:val="single" w:sz="12" w:space="0" w:color="000000"/>
                          <w:right w:val="single" w:sz="12" w:space="0" w:color="000000"/>
                        </w:tcBorders>
                        <w:shd w:val="clear" w:color="auto" w:fill="D2D2D2"/>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spacing w:before="44"/>
        <w:ind w:left="113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3"/>
        <w:ind w:left="113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69"/>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02" w:lineRule="auto" w:before="101"/>
        <w:ind w:left="1133" w:right="1116"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after="0" w:line="302"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764"/>
        <w:jc w:val="center"/>
        <w:rPr>
          <w:b w:val="0"/>
          <w:bCs w:val="0"/>
        </w:rPr>
      </w:pPr>
      <w:bookmarkStart w:name="第三节 公司业务概要" w:id="15"/>
      <w:bookmarkEnd w:id="15"/>
      <w:r>
        <w:rPr>
          <w:b w:val="0"/>
          <w:bCs w:val="0"/>
        </w:rPr>
      </w:r>
      <w:bookmarkStart w:name="_bookmark2" w:id="16"/>
      <w:bookmarkEnd w:id="16"/>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spacing w:line="360" w:lineRule="auto" w:before="0"/>
        <w:ind w:left="1133" w:right="7693"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408" w:lineRule="auto" w:before="77"/>
        <w:ind w:right="1130" w:firstLine="420"/>
        <w:jc w:val="both"/>
      </w:pPr>
      <w:r>
        <w:rPr>
          <w:spacing w:val="-1"/>
        </w:rPr>
        <w:t>随着全球信息化的高速发展，物联网受到了前所未有的关注，国务院将包括物联网研发和示范应用在</w:t>
      </w:r>
      <w:r>
        <w:rPr/>
        <w:t> </w:t>
      </w:r>
      <w:r>
        <w:rPr>
          <w:spacing w:val="-1"/>
        </w:rPr>
        <w:t>内的新一代信息技术产业列为七大战略性新兴产业之一；党的十九大明确提出“数字中国、智慧社会”发</w:t>
      </w:r>
      <w:r>
        <w:rPr>
          <w:spacing w:val="-81"/>
        </w:rPr>
        <w:t> </w:t>
      </w:r>
      <w:r>
        <w:rPr>
          <w:spacing w:val="-81"/>
        </w:rPr>
      </w:r>
      <w:r>
        <w:rPr/>
        <w:t>展目标，为物联网行业指明了发展的道路。</w:t>
      </w:r>
    </w:p>
    <w:p>
      <w:pPr>
        <w:pStyle w:val="BodyText"/>
        <w:spacing w:line="408" w:lineRule="auto"/>
        <w:ind w:right="1024" w:firstLine="420"/>
        <w:jc w:val="left"/>
      </w:pPr>
      <w:r>
        <w:rPr/>
        <w:t>经过近几年的发展，我国物联网行业已经初具规模，物联网市场的需求不断被激发，物联网产业呈现 出蓬勃生机。物联网深刻改变着各个行业的发展模式和生态，在带动经济发展、促进行业技术升级、提升 </w:t>
      </w:r>
      <w:r>
        <w:rPr>
          <w:spacing w:val="-3"/>
        </w:rPr>
        <w:t>社会信息化建设等方面发挥着重要作用。随着物联网技术的逐步成熟，物联网技术在不同行业场景的应用，</w:t>
      </w:r>
      <w:r>
        <w:rPr>
          <w:spacing w:val="-92"/>
        </w:rPr>
        <w:t> </w:t>
      </w:r>
      <w:r>
        <w:rPr>
          <w:spacing w:val="-92"/>
        </w:rPr>
      </w:r>
      <w:r>
        <w:rPr/>
        <w:t>将成为物联网行业发展的重要方向。</w:t>
      </w:r>
    </w:p>
    <w:p>
      <w:pPr>
        <w:pStyle w:val="BodyText"/>
        <w:spacing w:line="408" w:lineRule="auto"/>
        <w:ind w:right="1129" w:firstLine="420"/>
        <w:jc w:val="both"/>
      </w:pPr>
      <w:r>
        <w:rPr/>
        <w:t>公司以成为“领先的物联网（</w:t>
      </w:r>
      <w:r>
        <w:rPr>
          <w:rFonts w:ascii="宋体" w:hAnsi="宋体" w:cs="宋体" w:eastAsia="宋体" w:hint="default"/>
        </w:rPr>
        <w:t>IOT</w:t>
      </w:r>
      <w:r>
        <w:rPr/>
        <w:t>）解决方案提供商、服务商”为产业愿景，通过多年的内生外延发 展，构建了相对完整的物联网（</w:t>
      </w:r>
      <w:r>
        <w:rPr>
          <w:rFonts w:ascii="宋体" w:hAnsi="宋体" w:cs="宋体" w:eastAsia="宋体" w:hint="default"/>
        </w:rPr>
        <w:t>IOT</w:t>
      </w:r>
      <w:r>
        <w:rPr/>
        <w:t>）生态圈，主要是以传感器为核心，将传感技术、智能终端、通讯技</w:t>
      </w:r>
      <w:r>
        <w:rPr>
          <w:spacing w:val="-34"/>
        </w:rPr>
        <w:t> </w:t>
      </w:r>
      <w:r>
        <w:rPr>
          <w:spacing w:val="-34"/>
        </w:rPr>
      </w:r>
      <w:r>
        <w:rPr>
          <w:spacing w:val="-1"/>
        </w:rPr>
        <w:t>术、云计算和地理信息等物联网技术紧密结合，形成了“传感器</w:t>
      </w:r>
      <w:r>
        <w:rPr>
          <w:rFonts w:ascii="宋体" w:hAnsi="宋体" w:cs="宋体" w:eastAsia="宋体" w:hint="default"/>
          <w:spacing w:val="-1"/>
        </w:rPr>
        <w:t>+</w:t>
      </w:r>
      <w:r>
        <w:rPr>
          <w:spacing w:val="-1"/>
        </w:rPr>
        <w:t>监测终端</w:t>
      </w:r>
      <w:r>
        <w:rPr>
          <w:rFonts w:ascii="宋体" w:hAnsi="宋体" w:cs="宋体" w:eastAsia="宋体" w:hint="default"/>
          <w:spacing w:val="-1"/>
        </w:rPr>
        <w:t>+</w:t>
      </w:r>
      <w:r>
        <w:rPr>
          <w:spacing w:val="-1"/>
        </w:rPr>
        <w:t>数据采集</w:t>
      </w:r>
      <w:r>
        <w:rPr>
          <w:rFonts w:ascii="宋体" w:hAnsi="宋体" w:cs="宋体" w:eastAsia="宋体" w:hint="default"/>
          <w:spacing w:val="-1"/>
        </w:rPr>
        <w:t>+</w:t>
      </w:r>
      <w:r>
        <w:rPr>
          <w:spacing w:val="-1"/>
        </w:rPr>
        <w:t>空间信息技术</w:t>
      </w:r>
      <w:r>
        <w:rPr>
          <w:rFonts w:ascii="宋体" w:hAnsi="宋体" w:cs="宋体" w:eastAsia="宋体" w:hint="default"/>
          <w:spacing w:val="-1"/>
        </w:rPr>
        <w:t>+</w:t>
      </w:r>
      <w:r>
        <w:rPr>
          <w:spacing w:val="-1"/>
        </w:rPr>
        <w:t>云应</w:t>
      </w:r>
      <w:r>
        <w:rPr>
          <w:spacing w:val="-83"/>
        </w:rPr>
        <w:t> </w:t>
      </w:r>
      <w:r>
        <w:rPr>
          <w:spacing w:val="-1"/>
        </w:rPr>
        <w:t>用”的系统解决方案，业务应用覆盖物联网综合解决方案及居家智能与健康等行业领域，在所涉及的产业</w:t>
      </w:r>
      <w:r>
        <w:rPr>
          <w:spacing w:val="-81"/>
        </w:rPr>
        <w:t> </w:t>
      </w:r>
      <w:r>
        <w:rPr>
          <w:spacing w:val="-81"/>
        </w:rPr>
      </w:r>
      <w:r>
        <w:rPr/>
        <w:t>领域中形成了相对领先的优势。具体如下：</w:t>
      </w:r>
    </w:p>
    <w:p>
      <w:pPr>
        <w:pStyle w:val="BodyText"/>
        <w:spacing w:line="408" w:lineRule="auto"/>
        <w:ind w:left="1554" w:right="0"/>
        <w:jc w:val="left"/>
      </w:pPr>
      <w:r>
        <w:rPr/>
        <w:t>（一）传感器业务 </w:t>
      </w:r>
      <w:r>
        <w:rPr>
          <w:spacing w:val="-1"/>
        </w:rPr>
        <w:t>在构成物联网的三层架构中，传感层处于最底层，是构成物联网的核心基础。在物联网运行中，传感</w:t>
      </w:r>
    </w:p>
    <w:p>
      <w:pPr>
        <w:pStyle w:val="BodyText"/>
        <w:spacing w:line="408" w:lineRule="auto"/>
        <w:ind w:left="1134" w:right="0"/>
        <w:jc w:val="left"/>
      </w:pPr>
      <w:r>
        <w:rPr/>
        <w:t>器将感知获取到的物理、化学、生物等信息转化为易识别的数字信息传输至后端平台处理、分析、应用。</w:t>
      </w:r>
      <w:r>
        <w:rPr>
          <w:spacing w:val="-35"/>
        </w:rPr>
        <w:t> </w:t>
      </w:r>
      <w:r>
        <w:rPr>
          <w:spacing w:val="-35"/>
        </w:rPr>
      </w:r>
      <w:r>
        <w:rPr/>
        <w:t>传感器是公司旗下最具成长性和价值的核心业务板块之一，公司集传感器的研发、生产、销售为一体，产</w:t>
      </w:r>
      <w:r>
        <w:rPr/>
        <w:t> 品覆盖气体、压力、流量、温度、湿度、加速度等门类。该业务板块主要由公司旗下子公司炜盛科技等组 成。报告期内，传感器业务得益于环保、煤改气、安全、健康以及全社会智慧化理念带来的强劲需求，继 续保持快速的发展势头。</w:t>
      </w:r>
    </w:p>
    <w:p>
      <w:pPr>
        <w:pStyle w:val="BodyText"/>
        <w:spacing w:line="408" w:lineRule="auto"/>
        <w:ind w:left="1554" w:right="7812"/>
        <w:jc w:val="left"/>
      </w:pPr>
      <w:r>
        <w:rPr/>
        <w:t>（二）物联网综合解决方案 </w:t>
      </w:r>
      <w:r>
        <w:rPr>
          <w:rFonts w:ascii="宋体" w:hAnsi="宋体" w:cs="宋体" w:eastAsia="宋体" w:hint="default"/>
        </w:rPr>
        <w:t>1</w:t>
      </w:r>
      <w:r>
        <w:rPr/>
        <w:t>、物联网平台解决方案</w:t>
      </w:r>
    </w:p>
    <w:p>
      <w:pPr>
        <w:pStyle w:val="BodyText"/>
        <w:spacing w:line="408" w:lineRule="auto"/>
        <w:ind w:right="1130" w:firstLine="420"/>
        <w:jc w:val="both"/>
      </w:pPr>
      <w:r>
        <w:rPr/>
        <w:t>物联网平台解决方案主要面向燃气、供水、供热、市政、产业园区、楼宇等领域，依靠“传感器</w:t>
      </w:r>
      <w:r>
        <w:rPr>
          <w:rFonts w:ascii="宋体" w:hAnsi="宋体" w:cs="宋体" w:eastAsia="宋体" w:hint="default"/>
        </w:rPr>
        <w:t>+</w:t>
      </w:r>
      <w:r>
        <w:rPr/>
        <w:t>监 测终端</w:t>
      </w:r>
      <w:r>
        <w:rPr>
          <w:rFonts w:ascii="宋体" w:hAnsi="宋体" w:cs="宋体" w:eastAsia="宋体" w:hint="default"/>
        </w:rPr>
        <w:t>+</w:t>
      </w:r>
      <w:r>
        <w:rPr/>
        <w:t>数据采集</w:t>
      </w:r>
      <w:r>
        <w:rPr>
          <w:rFonts w:ascii="宋体" w:hAnsi="宋体" w:cs="宋体" w:eastAsia="宋体" w:hint="default"/>
        </w:rPr>
        <w:t>+</w:t>
      </w:r>
      <w:r>
        <w:rPr/>
        <w:t>空间信息技术</w:t>
      </w:r>
      <w:r>
        <w:rPr>
          <w:rFonts w:ascii="宋体" w:hAnsi="宋体" w:cs="宋体" w:eastAsia="宋体" w:hint="default"/>
        </w:rPr>
        <w:t>+</w:t>
      </w:r>
      <w:r>
        <w:rPr/>
        <w:t>云应用”系统，提供集管网</w:t>
      </w:r>
      <w:r>
        <w:rPr>
          <w:spacing w:val="-30"/>
        </w:rPr>
        <w:t> </w:t>
      </w:r>
      <w:r>
        <w:rPr>
          <w:rFonts w:ascii="宋体" w:hAnsi="宋体" w:cs="宋体" w:eastAsia="宋体" w:hint="default"/>
        </w:rPr>
        <w:t>GIS</w:t>
      </w:r>
      <w:r>
        <w:rPr/>
        <w:t>、信息采集、</w:t>
      </w:r>
      <w:r>
        <w:rPr>
          <w:rFonts w:ascii="宋体" w:hAnsi="宋体" w:cs="宋体" w:eastAsia="宋体" w:hint="default"/>
        </w:rPr>
        <w:t>BIM</w:t>
      </w:r>
      <w:r>
        <w:rPr/>
        <w:t>、运营管理为一体的物 </w:t>
      </w:r>
      <w:r>
        <w:rPr>
          <w:spacing w:val="-1"/>
        </w:rPr>
        <w:t>联网解决方案，提高燃气、供水、供热、市政管理公司及园区、楼宇运营的效率和效益。该业务板块主要</w:t>
      </w:r>
    </w:p>
    <w:p>
      <w:pPr>
        <w:spacing w:after="0" w:line="408"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right="1131"/>
        <w:jc w:val="both"/>
      </w:pPr>
      <w:r>
        <w:rPr>
          <w:spacing w:val="-1"/>
        </w:rPr>
        <w:t>由公司旗下子公司沈阳金建、畅威物联、智威宇讯、鞍山易兴及广东龙泉等公司组成。报告期内，该业务</w:t>
      </w:r>
      <w:r>
        <w:rPr>
          <w:spacing w:val="-83"/>
        </w:rPr>
        <w:t> </w:t>
      </w:r>
      <w:r>
        <w:rPr>
          <w:spacing w:val="-83"/>
        </w:rPr>
      </w:r>
      <w:r>
        <w:rPr>
          <w:spacing w:val="-1"/>
        </w:rPr>
        <w:t>板块整体上得益于国家提倡“数字中国、智慧社会”及各地政府效率驱动的城市管理升级，保持良好的发</w:t>
      </w:r>
      <w:r>
        <w:rPr>
          <w:spacing w:val="-82"/>
        </w:rPr>
        <w:t> </w:t>
      </w:r>
      <w:r>
        <w:rPr>
          <w:spacing w:val="-82"/>
        </w:rPr>
      </w:r>
      <w:r>
        <w:rPr/>
        <w:t>展势头。</w:t>
      </w:r>
    </w:p>
    <w:p>
      <w:pPr>
        <w:pStyle w:val="BodyText"/>
        <w:spacing w:line="408" w:lineRule="auto"/>
        <w:ind w:left="1554" w:right="0"/>
        <w:jc w:val="left"/>
      </w:pPr>
      <w:r>
        <w:rPr>
          <w:rFonts w:ascii="宋体" w:hAnsi="宋体" w:cs="宋体" w:eastAsia="宋体" w:hint="default"/>
        </w:rPr>
        <w:t>2</w:t>
      </w:r>
      <w:r>
        <w:rPr/>
        <w:t>、智慧市政系统解决方案 </w:t>
      </w:r>
      <w:r>
        <w:rPr>
          <w:spacing w:val="-1"/>
        </w:rPr>
        <w:t>智慧市政系统解决方案是公司利用先进的物联网技术通过投资、建设、运营供水及供热等市政公用设</w:t>
      </w:r>
    </w:p>
    <w:p>
      <w:pPr>
        <w:pStyle w:val="BodyText"/>
        <w:spacing w:line="408" w:lineRule="auto"/>
        <w:ind w:left="1134" w:right="1131"/>
        <w:jc w:val="both"/>
      </w:pPr>
      <w:r>
        <w:rPr>
          <w:spacing w:val="-1"/>
        </w:rPr>
        <w:t>施，打造物联网应用行业标杆，为民众提供质优、经济、便捷公用产品的整体解决方案。该业务板块主要</w:t>
      </w:r>
      <w:r>
        <w:rPr>
          <w:spacing w:val="-83"/>
        </w:rPr>
        <w:t> </w:t>
      </w:r>
      <w:r>
        <w:rPr>
          <w:spacing w:val="-83"/>
        </w:rPr>
      </w:r>
      <w:r>
        <w:rPr>
          <w:spacing w:val="-1"/>
        </w:rPr>
        <w:t>由公司旗下子公司汉威公用、汉威智源及汉威智能仪表等公司组成。随着城镇化水平的不断提升及智慧化</w:t>
      </w:r>
      <w:r>
        <w:rPr>
          <w:spacing w:val="-81"/>
        </w:rPr>
        <w:t> </w:t>
      </w:r>
      <w:r>
        <w:rPr>
          <w:spacing w:val="-81"/>
        </w:rPr>
      </w:r>
      <w:r>
        <w:rPr/>
        <w:t>运营、管理手段的加强，该行业保持良好的发展趋势。</w:t>
      </w:r>
    </w:p>
    <w:p>
      <w:pPr>
        <w:pStyle w:val="BodyText"/>
        <w:spacing w:line="240" w:lineRule="auto"/>
        <w:ind w:left="1554" w:right="0"/>
        <w:jc w:val="left"/>
      </w:pPr>
      <w:r>
        <w:rPr>
          <w:rFonts w:ascii="宋体" w:hAnsi="宋体" w:cs="宋体" w:eastAsia="宋体" w:hint="default"/>
        </w:rPr>
        <w:t>3</w:t>
      </w:r>
      <w:r>
        <w:rPr/>
        <w:t>、智慧环保系统解决方案</w:t>
      </w:r>
    </w:p>
    <w:p>
      <w:pPr>
        <w:spacing w:line="240" w:lineRule="auto" w:before="10"/>
        <w:rPr>
          <w:rFonts w:ascii="宋体" w:hAnsi="宋体" w:cs="宋体" w:eastAsia="宋体" w:hint="default"/>
          <w:sz w:val="14"/>
          <w:szCs w:val="14"/>
        </w:rPr>
      </w:pPr>
    </w:p>
    <w:p>
      <w:pPr>
        <w:pStyle w:val="BodyText"/>
        <w:spacing w:line="408" w:lineRule="auto" w:before="0"/>
        <w:ind w:right="1129" w:firstLine="420"/>
        <w:jc w:val="both"/>
      </w:pPr>
      <w:r>
        <w:rPr/>
        <w:t>智慧环保系统解决方案致力为客户提供“第三方检测</w:t>
      </w:r>
      <w:r>
        <w:rPr>
          <w:rFonts w:ascii="宋体" w:hAnsi="宋体" w:cs="宋体" w:eastAsia="宋体" w:hint="default"/>
        </w:rPr>
        <w:t>-</w:t>
      </w:r>
      <w:r>
        <w:rPr/>
        <w:t>在线监测</w:t>
      </w:r>
      <w:r>
        <w:rPr>
          <w:rFonts w:ascii="宋体" w:hAnsi="宋体" w:cs="宋体" w:eastAsia="宋体" w:hint="default"/>
        </w:rPr>
        <w:t>-</w:t>
      </w:r>
      <w:r>
        <w:rPr/>
        <w:t>废气废水处理</w:t>
      </w:r>
      <w:r>
        <w:rPr>
          <w:rFonts w:ascii="宋体" w:hAnsi="宋体" w:cs="宋体" w:eastAsia="宋体" w:hint="default"/>
        </w:rPr>
        <w:t>-</w:t>
      </w:r>
      <w:r>
        <w:rPr/>
        <w:t>智慧环保系统运维” </w:t>
      </w:r>
      <w:r>
        <w:rPr>
          <w:spacing w:val="-1"/>
        </w:rPr>
        <w:t>闭环业务生态的环保系统解决方案，依靠“传感器</w:t>
      </w:r>
      <w:r>
        <w:rPr>
          <w:rFonts w:ascii="宋体" w:hAnsi="宋体" w:cs="宋体" w:eastAsia="宋体" w:hint="default"/>
          <w:spacing w:val="-1"/>
        </w:rPr>
        <w:t>+</w:t>
      </w:r>
      <w:r>
        <w:rPr>
          <w:spacing w:val="-1"/>
        </w:rPr>
        <w:t>监测终端</w:t>
      </w:r>
      <w:r>
        <w:rPr>
          <w:rFonts w:ascii="宋体" w:hAnsi="宋体" w:cs="宋体" w:eastAsia="宋体" w:hint="default"/>
          <w:spacing w:val="-1"/>
        </w:rPr>
        <w:t>+</w:t>
      </w:r>
      <w:r>
        <w:rPr>
          <w:spacing w:val="-1"/>
        </w:rPr>
        <w:t>数据采集</w:t>
      </w:r>
      <w:r>
        <w:rPr>
          <w:rFonts w:ascii="宋体" w:hAnsi="宋体" w:cs="宋体" w:eastAsia="宋体" w:hint="default"/>
          <w:spacing w:val="-1"/>
        </w:rPr>
        <w:t>+</w:t>
      </w:r>
      <w:r>
        <w:rPr>
          <w:spacing w:val="-1"/>
        </w:rPr>
        <w:t>空间信息技术</w:t>
      </w:r>
      <w:r>
        <w:rPr>
          <w:rFonts w:ascii="宋体" w:hAnsi="宋体" w:cs="宋体" w:eastAsia="宋体" w:hint="default"/>
          <w:spacing w:val="-1"/>
        </w:rPr>
        <w:t>+</w:t>
      </w:r>
      <w:r>
        <w:rPr>
          <w:spacing w:val="-1"/>
        </w:rPr>
        <w:t>云应用</w:t>
      </w:r>
      <w:r>
        <w:rPr>
          <w:rFonts w:ascii="宋体" w:hAnsi="宋体" w:cs="宋体" w:eastAsia="宋体" w:hint="default"/>
          <w:spacing w:val="-1"/>
        </w:rPr>
        <w:t>+</w:t>
      </w:r>
      <w:r>
        <w:rPr>
          <w:spacing w:val="-1"/>
        </w:rPr>
        <w:t>治理</w:t>
      </w:r>
      <w:r>
        <w:rPr>
          <w:rFonts w:ascii="宋体" w:hAnsi="宋体" w:cs="宋体" w:eastAsia="宋体" w:hint="default"/>
          <w:spacing w:val="-1"/>
        </w:rPr>
        <w:t>+</w:t>
      </w:r>
      <w:r>
        <w:rPr>
          <w:spacing w:val="-1"/>
        </w:rPr>
        <w:t>运维</w:t>
      </w:r>
      <w:r>
        <w:rPr>
          <w:spacing w:val="-83"/>
        </w:rPr>
        <w:t> </w:t>
      </w:r>
      <w:r>
        <w:rPr>
          <w:spacing w:val="-1"/>
        </w:rPr>
        <w:t>服务”整体方案，为企业、政府提供大气监测、污水及垃圾渗滤液处理、有机废气治理等一体化的环保服</w:t>
      </w:r>
      <w:r>
        <w:rPr>
          <w:spacing w:val="-86"/>
        </w:rPr>
        <w:t> </w:t>
      </w:r>
      <w:r>
        <w:rPr>
          <w:spacing w:val="-86"/>
        </w:rPr>
      </w:r>
      <w:r>
        <w:rPr>
          <w:spacing w:val="-1"/>
        </w:rPr>
        <w:t>务。该业务板块主要由公司旗下子公司嘉园环保、雪城软件及德析检测等公司组成。“新时代”国家政策</w:t>
      </w:r>
      <w:r>
        <w:rPr>
          <w:spacing w:val="-83"/>
        </w:rPr>
        <w:t> </w:t>
      </w:r>
      <w:r>
        <w:rPr>
          <w:spacing w:val="-83"/>
        </w:rPr>
      </w:r>
      <w:r>
        <w:rPr>
          <w:spacing w:val="-1"/>
        </w:rPr>
        <w:t>加大了对环保行业的支持，环保部出台了《国家环境保护“十三五”科技发展规划纲要》，彰显了政府对</w:t>
      </w:r>
      <w:r>
        <w:rPr>
          <w:spacing w:val="-88"/>
        </w:rPr>
        <w:t> </w:t>
      </w:r>
      <w:r>
        <w:rPr>
          <w:spacing w:val="-88"/>
        </w:rPr>
      </w:r>
      <w:r>
        <w:rPr/>
        <w:t>环境治理、支持环保行业发展的决心。报告期内，该行业整体发展趋势良好。</w:t>
      </w:r>
    </w:p>
    <w:p>
      <w:pPr>
        <w:pStyle w:val="BodyText"/>
        <w:spacing w:line="408" w:lineRule="auto"/>
        <w:ind w:left="1553" w:right="0"/>
        <w:jc w:val="left"/>
      </w:pPr>
      <w:r>
        <w:rPr>
          <w:rFonts w:ascii="宋体" w:hAnsi="宋体" w:cs="宋体" w:eastAsia="宋体" w:hint="default"/>
        </w:rPr>
        <w:t>4</w:t>
      </w:r>
      <w:r>
        <w:rPr/>
        <w:t>、智慧安全系统解决方案 </w:t>
      </w:r>
      <w:r>
        <w:rPr>
          <w:spacing w:val="-1"/>
        </w:rPr>
        <w:t>智慧安全系统解决方案主要面向石油、化工、冶金、电力、矿山、制药、食品等领域，致力于为各类</w:t>
      </w:r>
    </w:p>
    <w:p>
      <w:pPr>
        <w:pStyle w:val="BodyText"/>
        <w:spacing w:line="408" w:lineRule="auto"/>
        <w:ind w:right="1131"/>
        <w:jc w:val="both"/>
      </w:pPr>
      <w:r>
        <w:rPr>
          <w:spacing w:val="-1"/>
        </w:rPr>
        <w:t>工业客户提供安全管理监控一体化解决方案，由硬件监控设备和系统软件共同构成完整的安全管理监控平</w:t>
      </w:r>
      <w:r>
        <w:rPr>
          <w:spacing w:val="-81"/>
        </w:rPr>
        <w:t> </w:t>
      </w:r>
      <w:r>
        <w:rPr>
          <w:spacing w:val="-81"/>
        </w:rPr>
      </w:r>
      <w:r>
        <w:rPr>
          <w:spacing w:val="-1"/>
        </w:rPr>
        <w:t>台。该业务板块主要由公司旗下子公司汉威智慧安全、上海中威、上海英吉森及吉地艾斯等公司组成。报</w:t>
      </w:r>
      <w:r>
        <w:rPr>
          <w:spacing w:val="-85"/>
        </w:rPr>
        <w:t> </w:t>
      </w:r>
      <w:r>
        <w:rPr>
          <w:spacing w:val="-85"/>
        </w:rPr>
      </w:r>
      <w:r>
        <w:rPr>
          <w:spacing w:val="-1"/>
        </w:rPr>
        <w:t>告期内，一方面，随着供给侧结构性改革不断推进，行业客户经营状况得到了较大改善；另一方面，政府</w:t>
      </w:r>
      <w:r>
        <w:rPr>
          <w:spacing w:val="-83"/>
        </w:rPr>
        <w:t> </w:t>
      </w:r>
      <w:r>
        <w:rPr>
          <w:spacing w:val="-83"/>
        </w:rPr>
      </w:r>
      <w:r>
        <w:rPr/>
        <w:t>严格落实安全生产责任制、执行安全生产“一票否决”，提升了行业客户的需求。</w:t>
      </w:r>
    </w:p>
    <w:p>
      <w:pPr>
        <w:pStyle w:val="BodyText"/>
        <w:spacing w:line="408" w:lineRule="auto"/>
        <w:ind w:left="1553" w:right="1018"/>
        <w:jc w:val="left"/>
      </w:pPr>
      <w:r>
        <w:rPr/>
        <w:t>（三）居家智能和健康业务 </w:t>
      </w:r>
      <w:r>
        <w:rPr>
          <w:spacing w:val="-3"/>
        </w:rPr>
        <w:t>居家智能和健康业务通过物联网技术对家庭中的环境健康、人体健康、智能设备进行有机联通和管理，</w:t>
      </w:r>
    </w:p>
    <w:p>
      <w:pPr>
        <w:pStyle w:val="BodyText"/>
        <w:spacing w:line="408" w:lineRule="auto"/>
        <w:ind w:right="1129"/>
        <w:jc w:val="both"/>
      </w:pPr>
      <w:r>
        <w:rPr>
          <w:spacing w:val="-1"/>
        </w:rPr>
        <w:t>结合数据服务运营能力，夯实了空气质量、燃气安全类市场，拓展了水质安全类市场，为人们提供专业可</w:t>
      </w:r>
      <w:r>
        <w:rPr>
          <w:spacing w:val="-86"/>
        </w:rPr>
        <w:t> </w:t>
      </w:r>
      <w:r>
        <w:rPr>
          <w:spacing w:val="-86"/>
        </w:rPr>
      </w:r>
      <w:r>
        <w:rPr/>
        <w:t>靠的“监测</w:t>
      </w:r>
      <w:r>
        <w:rPr>
          <w:rFonts w:ascii="宋体" w:hAnsi="宋体" w:cs="宋体" w:eastAsia="宋体" w:hint="default"/>
        </w:rPr>
        <w:t>+</w:t>
      </w:r>
      <w:r>
        <w:rPr/>
        <w:t>治理”居家智能和健康全方案服务。该业务板块主要由公司旗下子公司北京威果等组成。报</w:t>
      </w:r>
      <w:r>
        <w:rPr>
          <w:spacing w:val="-27"/>
        </w:rPr>
        <w:t> </w:t>
      </w:r>
      <w:r>
        <w:rPr>
          <w:spacing w:val="-27"/>
        </w:rPr>
      </w:r>
      <w:r>
        <w:rPr/>
        <w:t>告期内，随着人民日益增长的美好生活需要，该业务营业规模取得一定增长。</w:t>
      </w:r>
    </w:p>
    <w:p>
      <w:pPr>
        <w:spacing w:after="0" w:line="408" w:lineRule="auto"/>
        <w:jc w:val="both"/>
        <w:sectPr>
          <w:pgSz w:w="11910" w:h="16840"/>
          <w:pgMar w:header="747" w:footer="979" w:top="1060" w:bottom="1160" w:left="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18" w:type="dxa"/>
        <w:tblLayout w:type="fixed"/>
        <w:tblCellMar>
          <w:top w:w="0" w:type="dxa"/>
          <w:left w:w="0" w:type="dxa"/>
          <w:bottom w:w="0" w:type="dxa"/>
          <w:right w:w="0" w:type="dxa"/>
        </w:tblCellMar>
        <w:tblLook w:val="01E0"/>
      </w:tblPr>
      <w:tblGrid>
        <w:gridCol w:w="3053"/>
        <w:gridCol w:w="6516"/>
      </w:tblGrid>
      <w:tr>
        <w:trPr>
          <w:trHeight w:val="197" w:hRule="exact"/>
        </w:trPr>
        <w:tc>
          <w:tcPr>
            <w:tcW w:w="3053" w:type="dxa"/>
            <w:tcBorders>
              <w:top w:val="single" w:sz="12" w:space="0" w:color="000000"/>
              <w:left w:val="single" w:sz="12" w:space="0" w:color="000000"/>
              <w:bottom w:val="nil" w:sz="6" w:space="0" w:color="auto"/>
              <w:right w:val="single" w:sz="4" w:space="0" w:color="000000"/>
            </w:tcBorders>
            <w:shd w:val="clear" w:color="auto" w:fill="D2D2D2"/>
          </w:tcPr>
          <w:p>
            <w:pPr/>
          </w:p>
        </w:tc>
        <w:tc>
          <w:tcPr>
            <w:tcW w:w="6516" w:type="dxa"/>
            <w:tcBorders>
              <w:top w:val="single" w:sz="12" w:space="0" w:color="000000"/>
              <w:left w:val="single" w:sz="4" w:space="0" w:color="000000"/>
              <w:bottom w:val="nil" w:sz="6" w:space="0" w:color="auto"/>
              <w:right w:val="single" w:sz="12" w:space="0" w:color="000000"/>
            </w:tcBorders>
            <w:shd w:val="clear" w:color="auto" w:fill="D2D2D2"/>
          </w:tcPr>
          <w:p>
            <w:pPr/>
          </w:p>
        </w:tc>
      </w:tr>
      <w:tr>
        <w:trPr>
          <w:trHeight w:val="392" w:hRule="exact"/>
        </w:trPr>
        <w:tc>
          <w:tcPr>
            <w:tcW w:w="3053" w:type="dxa"/>
            <w:tcBorders>
              <w:top w:val="nil" w:sz="6" w:space="0" w:color="auto"/>
              <w:left w:val="single" w:sz="12" w:space="0" w:color="000000"/>
              <w:bottom w:val="nil" w:sz="6" w:space="0" w:color="auto"/>
              <w:right w:val="single" w:sz="4" w:space="0" w:color="000000"/>
            </w:tcBorders>
            <w:shd w:val="clear" w:color="auto" w:fill="D2D2D2"/>
          </w:tcPr>
          <w:p>
            <w:pPr>
              <w:pStyle w:val="TableParagraph"/>
              <w:spacing w:line="240" w:lineRule="auto" w:before="51"/>
              <w:ind w:right="8"/>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6" w:type="dxa"/>
            <w:tcBorders>
              <w:top w:val="nil" w:sz="6" w:space="0" w:color="auto"/>
              <w:left w:val="single" w:sz="4" w:space="0" w:color="000000"/>
              <w:bottom w:val="nil" w:sz="6" w:space="0" w:color="auto"/>
              <w:right w:val="single" w:sz="12"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3053" w:type="dxa"/>
            <w:tcBorders>
              <w:top w:val="nil" w:sz="6" w:space="0" w:color="auto"/>
              <w:left w:val="single" w:sz="12" w:space="0" w:color="000000"/>
              <w:bottom w:val="single" w:sz="4" w:space="0" w:color="000000"/>
              <w:right w:val="single" w:sz="4" w:space="0" w:color="000000"/>
            </w:tcBorders>
            <w:shd w:val="clear" w:color="auto" w:fill="D2D2D2"/>
          </w:tcPr>
          <w:p>
            <w:pPr/>
          </w:p>
        </w:tc>
        <w:tc>
          <w:tcPr>
            <w:tcW w:w="6516" w:type="dxa"/>
            <w:tcBorders>
              <w:top w:val="nil" w:sz="6" w:space="0" w:color="auto"/>
              <w:left w:val="single" w:sz="4" w:space="0" w:color="000000"/>
              <w:bottom w:val="single" w:sz="4" w:space="0" w:color="000000"/>
              <w:right w:val="single" w:sz="12" w:space="0" w:color="000000"/>
            </w:tcBorders>
            <w:shd w:val="clear" w:color="auto" w:fill="D2D2D2"/>
          </w:tcPr>
          <w:p>
            <w:pPr/>
          </w:p>
        </w:tc>
      </w:tr>
      <w:tr>
        <w:trPr>
          <w:trHeight w:val="402" w:hRule="exact"/>
        </w:trPr>
        <w:tc>
          <w:tcPr>
            <w:tcW w:w="305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6" w:type="dxa"/>
            <w:tcBorders>
              <w:top w:val="single" w:sz="4" w:space="0" w:color="000000"/>
              <w:left w:val="single" w:sz="13" w:space="0" w:color="D2D2D2"/>
              <w:bottom w:val="single" w:sz="4" w:space="0" w:color="000000"/>
              <w:right w:val="single" w:sz="12"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较期初增加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103.04%</w:t>
            </w:r>
            <w:r>
              <w:rPr>
                <w:rFonts w:ascii="宋体" w:hAnsi="宋体" w:cs="宋体" w:eastAsia="宋体" w:hint="default"/>
                <w:sz w:val="18"/>
                <w:szCs w:val="18"/>
              </w:rPr>
              <w:t>，主要系公司投资建设管网等长期资产所致。</w:t>
            </w:r>
          </w:p>
        </w:tc>
      </w:tr>
      <w:tr>
        <w:trPr>
          <w:trHeight w:val="402" w:hRule="exact"/>
        </w:trPr>
        <w:tc>
          <w:tcPr>
            <w:tcW w:w="305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65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较期初增加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121.79%</w:t>
            </w:r>
            <w:r>
              <w:rPr>
                <w:rFonts w:ascii="宋体" w:hAnsi="宋体" w:cs="宋体" w:eastAsia="宋体" w:hint="default"/>
                <w:sz w:val="18"/>
                <w:szCs w:val="18"/>
              </w:rPr>
              <w:t>，主要系公司业务增长所致。</w:t>
            </w:r>
          </w:p>
        </w:tc>
      </w:tr>
      <w:tr>
        <w:trPr>
          <w:trHeight w:val="402" w:hRule="exact"/>
        </w:trPr>
        <w:tc>
          <w:tcPr>
            <w:tcW w:w="305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65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较期初增加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44.65%</w:t>
            </w:r>
            <w:r>
              <w:rPr>
                <w:rFonts w:ascii="宋体" w:hAnsi="宋体" w:cs="宋体" w:eastAsia="宋体" w:hint="default"/>
                <w:sz w:val="18"/>
                <w:szCs w:val="18"/>
              </w:rPr>
              <w:t>，主要系预付的环保工程款和长期资产购置款增加所致。</w:t>
            </w:r>
          </w:p>
        </w:tc>
      </w:tr>
      <w:tr>
        <w:trPr>
          <w:trHeight w:val="402" w:hRule="exact"/>
        </w:trPr>
        <w:tc>
          <w:tcPr>
            <w:tcW w:w="305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65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较期初增加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33.54%</w:t>
            </w:r>
            <w:r>
              <w:rPr>
                <w:rFonts w:ascii="宋体" w:hAnsi="宋体" w:cs="宋体" w:eastAsia="宋体" w:hint="default"/>
                <w:sz w:val="18"/>
                <w:szCs w:val="18"/>
              </w:rPr>
              <w:t>，主要系未结算的环保项目、市政项目款等增加所致。</w:t>
            </w:r>
          </w:p>
        </w:tc>
      </w:tr>
      <w:tr>
        <w:trPr>
          <w:trHeight w:val="402" w:hRule="exact"/>
        </w:trPr>
        <w:tc>
          <w:tcPr>
            <w:tcW w:w="305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65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较期初减少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75.94%</w:t>
            </w:r>
            <w:r>
              <w:rPr>
                <w:rFonts w:ascii="宋体" w:hAnsi="宋体" w:cs="宋体" w:eastAsia="宋体" w:hint="default"/>
                <w:sz w:val="18"/>
                <w:szCs w:val="18"/>
              </w:rPr>
              <w:t>，主要系按合同约定收回项目款所致。</w:t>
            </w:r>
          </w:p>
        </w:tc>
      </w:tr>
      <w:tr>
        <w:trPr>
          <w:trHeight w:val="402" w:hRule="exact"/>
        </w:trPr>
        <w:tc>
          <w:tcPr>
            <w:tcW w:w="305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65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较期初增加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84.55%</w:t>
            </w:r>
            <w:r>
              <w:rPr>
                <w:rFonts w:ascii="宋体" w:hAnsi="宋体" w:cs="宋体" w:eastAsia="宋体" w:hint="default"/>
                <w:sz w:val="18"/>
                <w:szCs w:val="18"/>
              </w:rPr>
              <w:t>，主要系公司收到政府补助增加所致。</w:t>
            </w:r>
          </w:p>
        </w:tc>
      </w:tr>
      <w:tr>
        <w:trPr>
          <w:trHeight w:val="412" w:hRule="exact"/>
        </w:trPr>
        <w:tc>
          <w:tcPr>
            <w:tcW w:w="3053"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651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较期初较少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96.52%</w:t>
            </w:r>
            <w:r>
              <w:rPr>
                <w:rFonts w:ascii="宋体" w:hAnsi="宋体" w:cs="宋体" w:eastAsia="宋体" w:hint="default"/>
                <w:sz w:val="18"/>
                <w:szCs w:val="18"/>
              </w:rPr>
              <w:t>，主要系公司预付的房地产购置款结清所致。</w:t>
            </w:r>
          </w:p>
        </w:tc>
      </w:tr>
    </w:tbl>
    <w:p>
      <w:pPr>
        <w:spacing w:line="240" w:lineRule="auto" w:before="2"/>
        <w:rPr>
          <w:rFonts w:ascii="宋体" w:hAnsi="宋体" w:cs="宋体" w:eastAsia="宋体" w:hint="default"/>
          <w:b/>
          <w:bCs/>
          <w:sz w:val="19"/>
          <w:szCs w:val="19"/>
        </w:rPr>
      </w:pPr>
    </w:p>
    <w:p>
      <w:pPr>
        <w:pStyle w:val="Heading4"/>
        <w:spacing w:line="240" w:lineRule="auto" w:before="35"/>
        <w:ind w:left="1134" w:right="0"/>
        <w:jc w:val="left"/>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9"/>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核心竞争力分析" w:id="21"/>
      <w:bookmarkEnd w:id="21"/>
      <w:r>
        <w:rPr>
          <w:b w:val="0"/>
          <w:bCs w:val="0"/>
        </w:rPr>
      </w:r>
      <w:r>
        <w:rPr/>
        <w:t>三、核心竞争力分析</w:t>
      </w:r>
      <w:r>
        <w:rPr>
          <w:b w:val="0"/>
          <w:bCs w:val="0"/>
        </w:rPr>
      </w:r>
    </w:p>
    <w:p>
      <w:pPr>
        <w:spacing w:line="240" w:lineRule="auto" w:before="9"/>
        <w:rPr>
          <w:rFonts w:ascii="宋体" w:hAnsi="宋体" w:cs="宋体" w:eastAsia="宋体" w:hint="default"/>
          <w:b/>
          <w:bCs/>
          <w:sz w:val="26"/>
          <w:szCs w:val="26"/>
        </w:rPr>
      </w:pPr>
    </w:p>
    <w:p>
      <w:pPr>
        <w:spacing w:line="357" w:lineRule="auto" w:before="0"/>
        <w:ind w:left="1133" w:right="7693"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408" w:lineRule="auto" w:before="79"/>
        <w:ind w:left="1554" w:right="0"/>
        <w:jc w:val="left"/>
      </w:pPr>
      <w:r>
        <w:rPr>
          <w:rFonts w:ascii="宋体" w:hAnsi="宋体" w:cs="宋体" w:eastAsia="宋体" w:hint="default"/>
        </w:rPr>
        <w:t>1</w:t>
      </w:r>
      <w:r>
        <w:rPr/>
        <w:t>、产业生态圈优势 </w:t>
      </w:r>
      <w:r>
        <w:rPr>
          <w:spacing w:val="-6"/>
        </w:rPr>
        <w:t>公司以成为领先的物联网解决方案提供商、服务商为战略目标，通过自主创新与外延并购，形成了“传</w:t>
      </w:r>
    </w:p>
    <w:p>
      <w:pPr>
        <w:pStyle w:val="BodyText"/>
        <w:spacing w:line="408" w:lineRule="auto"/>
        <w:ind w:left="1134" w:right="1131"/>
        <w:jc w:val="both"/>
      </w:pPr>
      <w:r>
        <w:rPr>
          <w:spacing w:val="-1"/>
        </w:rPr>
        <w:t>感器</w:t>
      </w:r>
      <w:r>
        <w:rPr>
          <w:rFonts w:ascii="宋体" w:hAnsi="宋体" w:cs="宋体" w:eastAsia="宋体" w:hint="default"/>
          <w:spacing w:val="-1"/>
        </w:rPr>
        <w:t>+</w:t>
      </w:r>
      <w:r>
        <w:rPr>
          <w:spacing w:val="-1"/>
        </w:rPr>
        <w:t>监测终端</w:t>
      </w:r>
      <w:r>
        <w:rPr>
          <w:rFonts w:ascii="宋体" w:hAnsi="宋体" w:cs="宋体" w:eastAsia="宋体" w:hint="default"/>
          <w:spacing w:val="-1"/>
        </w:rPr>
        <w:t>+</w:t>
      </w:r>
      <w:r>
        <w:rPr>
          <w:spacing w:val="-1"/>
        </w:rPr>
        <w:t>数据采集</w:t>
      </w:r>
      <w:r>
        <w:rPr>
          <w:rFonts w:ascii="宋体" w:hAnsi="宋体" w:cs="宋体" w:eastAsia="宋体" w:hint="default"/>
          <w:spacing w:val="-1"/>
        </w:rPr>
        <w:t>+</w:t>
      </w:r>
      <w:r>
        <w:rPr>
          <w:spacing w:val="-1"/>
        </w:rPr>
        <w:t>空间信息技术</w:t>
      </w:r>
      <w:r>
        <w:rPr>
          <w:rFonts w:ascii="宋体" w:hAnsi="宋体" w:cs="宋体" w:eastAsia="宋体" w:hint="default"/>
          <w:spacing w:val="-1"/>
        </w:rPr>
        <w:t>+</w:t>
      </w:r>
      <w:r>
        <w:rPr>
          <w:spacing w:val="-1"/>
        </w:rPr>
        <w:t>云应用”的完整物联网技术平台，并构建了围绕该物联网技术平</w:t>
      </w:r>
      <w:r>
        <w:rPr>
          <w:spacing w:val="-84"/>
        </w:rPr>
        <w:t> </w:t>
      </w:r>
      <w:r>
        <w:rPr>
          <w:spacing w:val="-84"/>
        </w:rPr>
      </w:r>
      <w:r>
        <w:rPr>
          <w:spacing w:val="-1"/>
        </w:rPr>
        <w:t>台应用的产业生态圈。该物联网应用产业生态圈将互联网、物联网技术与应用行业高度融合，真正实现智</w:t>
      </w:r>
      <w:r>
        <w:rPr>
          <w:spacing w:val="-83"/>
        </w:rPr>
        <w:t> </w:t>
      </w:r>
      <w:r>
        <w:rPr>
          <w:spacing w:val="-83"/>
        </w:rPr>
      </w:r>
      <w:r>
        <w:rPr>
          <w:spacing w:val="-5"/>
        </w:rPr>
        <w:t>能、智慧化管理，助推传统产业升级，具备高度的可复制及扩张性。同时，公司以文化和科学管理为基础，</w:t>
      </w:r>
      <w:r>
        <w:rPr/>
        <w:t> 基于高度的业务、技术协同，在物联网领域均具有业内领先优势。</w:t>
      </w:r>
    </w:p>
    <w:p>
      <w:pPr>
        <w:pStyle w:val="BodyText"/>
        <w:spacing w:line="408" w:lineRule="auto"/>
        <w:ind w:left="1553" w:right="0"/>
        <w:jc w:val="left"/>
      </w:pPr>
      <w:r>
        <w:rPr>
          <w:rFonts w:ascii="宋体" w:hAnsi="宋体" w:cs="宋体" w:eastAsia="宋体" w:hint="default"/>
        </w:rPr>
        <w:t>2</w:t>
      </w:r>
      <w:r>
        <w:rPr/>
        <w:t>、核心技术优势 </w:t>
      </w:r>
      <w:r>
        <w:rPr>
          <w:spacing w:val="-1"/>
        </w:rPr>
        <w:t>传感器作为物联网感知层的核心技术，公司在气体传感器细分市场中具有龙头地位。同时，公司将传</w:t>
      </w:r>
    </w:p>
    <w:p>
      <w:pPr>
        <w:pStyle w:val="BodyText"/>
        <w:spacing w:line="408" w:lineRule="auto"/>
        <w:ind w:left="1134" w:right="1024"/>
        <w:jc w:val="left"/>
      </w:pPr>
      <w:r>
        <w:rPr>
          <w:spacing w:val="-4"/>
        </w:rPr>
        <w:t>感器深入物联网下游应用领域，结合</w:t>
      </w:r>
      <w:r>
        <w:rPr>
          <w:spacing w:val="-46"/>
        </w:rPr>
        <w:t> </w:t>
      </w:r>
      <w:r>
        <w:rPr>
          <w:rFonts w:ascii="宋体" w:hAnsi="宋体" w:cs="宋体" w:eastAsia="宋体" w:hint="default"/>
          <w:spacing w:val="-10"/>
        </w:rPr>
        <w:t>GIS</w:t>
      </w:r>
      <w:r>
        <w:rPr>
          <w:spacing w:val="-10"/>
        </w:rPr>
        <w:t>、</w:t>
      </w:r>
      <w:r>
        <w:rPr>
          <w:rFonts w:ascii="宋体" w:hAnsi="宋体" w:cs="宋体" w:eastAsia="宋体" w:hint="default"/>
          <w:spacing w:val="-10"/>
        </w:rPr>
        <w:t>BIM</w:t>
      </w:r>
      <w:r>
        <w:rPr>
          <w:spacing w:val="-10"/>
        </w:rPr>
        <w:t>、</w:t>
      </w:r>
      <w:r>
        <w:rPr>
          <w:rFonts w:ascii="宋体" w:hAnsi="宋体" w:cs="宋体" w:eastAsia="宋体" w:hint="default"/>
          <w:spacing w:val="-10"/>
        </w:rPr>
        <w:t>SCADA</w:t>
      </w:r>
      <w:r>
        <w:rPr>
          <w:rFonts w:ascii="宋体" w:hAnsi="宋体" w:cs="宋体" w:eastAsia="宋体" w:hint="default"/>
          <w:spacing w:val="-46"/>
        </w:rPr>
        <w:t> </w:t>
      </w:r>
      <w:r>
        <w:rPr>
          <w:spacing w:val="-3"/>
        </w:rPr>
        <w:t>等技术组成完整物联网系统技术架构，在智慧城市、</w:t>
      </w:r>
      <w:r>
        <w:rPr>
          <w:spacing w:val="-92"/>
        </w:rPr>
        <w:t> </w:t>
      </w:r>
      <w:r>
        <w:rPr>
          <w:spacing w:val="-92"/>
        </w:rPr>
      </w:r>
      <w:r>
        <w:rPr/>
        <w:t>智慧环保等领域进行智慧化升级与改造，迅速改变着生态模式，进一步推动公司战略目标的实现。未来，</w:t>
      </w:r>
      <w:r>
        <w:rPr>
          <w:spacing w:val="-35"/>
        </w:rPr>
        <w:t> </w:t>
      </w:r>
      <w:r>
        <w:rPr>
          <w:spacing w:val="-35"/>
        </w:rPr>
      </w:r>
      <w:r>
        <w:rPr/>
        <w:t>公司将继续围绕物联网技术架构丰富物联网系统解决方案在多场景的应用，向物联网运营平台的方向持续</w:t>
      </w:r>
      <w:r>
        <w:rPr/>
        <w:t> 迈进。</w:t>
      </w:r>
    </w:p>
    <w:p>
      <w:pPr>
        <w:pStyle w:val="BodyText"/>
        <w:spacing w:line="240" w:lineRule="auto"/>
        <w:ind w:left="1554" w:right="0"/>
        <w:jc w:val="left"/>
      </w:pPr>
      <w:r>
        <w:rPr>
          <w:rFonts w:ascii="宋体" w:hAnsi="宋体" w:cs="宋体" w:eastAsia="宋体" w:hint="default"/>
        </w:rPr>
        <w:t>3</w:t>
      </w:r>
      <w:r>
        <w:rPr/>
        <w:t>、行业引领优势</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right="1131" w:firstLine="420"/>
        <w:jc w:val="both"/>
      </w:pPr>
      <w:r>
        <w:rPr>
          <w:spacing w:val="-1"/>
        </w:rPr>
        <w:t>历经多年行业沉淀，公司构建了以传感器为核心、领先优势的物联网产业生态圈，在水务、热力、燃</w:t>
      </w:r>
      <w:r>
        <w:rPr/>
        <w:t> </w:t>
      </w:r>
      <w:r>
        <w:rPr>
          <w:spacing w:val="-1"/>
        </w:rPr>
        <w:t>气、市政管理等领域建立成熟的示范标杆项目，发挥了物联网一体化解决方案的技术优势，降低了综合运</w:t>
      </w:r>
      <w:r>
        <w:rPr>
          <w:spacing w:val="-83"/>
        </w:rPr>
        <w:t> </w:t>
      </w:r>
      <w:r>
        <w:rPr>
          <w:spacing w:val="-83"/>
        </w:rPr>
      </w:r>
      <w:r>
        <w:rPr>
          <w:spacing w:val="-1"/>
        </w:rPr>
        <w:t>营成本，实现了较好的效益，解决了行业客户的痛点，彰显了行业标杆的示范引领优势。未来，公司将不</w:t>
      </w:r>
      <w:r>
        <w:rPr>
          <w:spacing w:val="-83"/>
        </w:rPr>
        <w:t> </w:t>
      </w:r>
      <w:r>
        <w:rPr>
          <w:spacing w:val="-83"/>
        </w:rPr>
      </w:r>
      <w:r>
        <w:rPr>
          <w:spacing w:val="-1"/>
        </w:rPr>
        <w:t>断保持并扩大行业领先优势，夯实各产业板块在细分行业领域的领先地位，整体提升公司在物联网行业的</w:t>
      </w:r>
      <w:r>
        <w:rPr>
          <w:spacing w:val="-81"/>
        </w:rPr>
        <w:t> </w:t>
      </w:r>
      <w:r>
        <w:rPr>
          <w:spacing w:val="-81"/>
        </w:rPr>
      </w:r>
      <w:r>
        <w:rPr/>
        <w:t>领军地位。</w:t>
      </w:r>
    </w:p>
    <w:p>
      <w:pPr>
        <w:pStyle w:val="BodyText"/>
        <w:spacing w:line="408" w:lineRule="auto"/>
        <w:ind w:left="1553" w:right="1118"/>
        <w:jc w:val="left"/>
      </w:pPr>
      <w:r>
        <w:rPr>
          <w:rFonts w:ascii="宋体" w:hAnsi="宋体" w:cs="宋体" w:eastAsia="宋体" w:hint="default"/>
        </w:rPr>
        <w:t>4</w:t>
      </w:r>
      <w:r>
        <w:rPr/>
        <w:t>、品牌优势 </w:t>
      </w:r>
      <w:r>
        <w:rPr>
          <w:spacing w:val="-1"/>
        </w:rPr>
        <w:t>公司布局物联网行业多年，始终注重品牌发展战略，“汉威”商标被评为中国驰名商标，实现了品牌</w:t>
      </w:r>
    </w:p>
    <w:p>
      <w:pPr>
        <w:pStyle w:val="BodyText"/>
        <w:spacing w:line="408" w:lineRule="auto"/>
        <w:ind w:right="1131"/>
        <w:jc w:val="both"/>
      </w:pPr>
      <w:r>
        <w:rPr>
          <w:spacing w:val="-1"/>
        </w:rPr>
        <w:t>创造市场、联合市场和巩固市场的功能。公司参加了大量国内外具有重大影响力的物联网行业展会，宣传</w:t>
      </w:r>
      <w:r>
        <w:rPr>
          <w:spacing w:val="-83"/>
        </w:rPr>
        <w:t> </w:t>
      </w:r>
      <w:r>
        <w:rPr>
          <w:spacing w:val="-83"/>
        </w:rPr>
      </w:r>
      <w:r>
        <w:rPr>
          <w:spacing w:val="-1"/>
        </w:rPr>
        <w:t>公司产品和品牌，进一步发挥品牌效应，提升品牌知名度，市场开拓能力显著增强。此外，报告期内公司</w:t>
      </w:r>
      <w:r>
        <w:rPr>
          <w:spacing w:val="-83"/>
        </w:rPr>
        <w:t> </w:t>
      </w:r>
      <w:r>
        <w:rPr>
          <w:spacing w:val="-83"/>
        </w:rPr>
      </w:r>
      <w:r>
        <w:rPr/>
        <w:t>完成了名称及证券简称变更，完善了公司 </w:t>
      </w:r>
      <w:r>
        <w:rPr>
          <w:rFonts w:ascii="宋体" w:hAnsi="宋体" w:cs="宋体" w:eastAsia="宋体" w:hint="default"/>
        </w:rPr>
        <w:t>VI</w:t>
      </w:r>
      <w:r>
        <w:rPr>
          <w:rFonts w:ascii="宋体" w:hAnsi="宋体" w:cs="宋体" w:eastAsia="宋体" w:hint="default"/>
          <w:spacing w:val="-22"/>
        </w:rPr>
        <w:t> </w:t>
      </w:r>
      <w:r>
        <w:rPr/>
        <w:t>标识形象设计，更进一步吻合公司发展战略，有效提升了公 司物联网行业领军企业的形象。</w:t>
      </w:r>
    </w:p>
    <w:p>
      <w:pPr>
        <w:pStyle w:val="BodyText"/>
        <w:spacing w:line="408" w:lineRule="auto"/>
        <w:ind w:left="1553" w:right="0"/>
        <w:jc w:val="left"/>
      </w:pPr>
      <w:r>
        <w:rPr>
          <w:rFonts w:ascii="宋体" w:hAnsi="宋体" w:cs="宋体" w:eastAsia="宋体" w:hint="default"/>
        </w:rPr>
        <w:t>5</w:t>
      </w:r>
      <w:r>
        <w:rPr/>
        <w:t>、研发创新优势 </w:t>
      </w:r>
      <w:r>
        <w:rPr>
          <w:spacing w:val="-1"/>
        </w:rPr>
        <w:t>公司拥有锐意创新的研发团队，具有独立的设计和开发能力，研发中心具备“国家级企业技术中心”</w:t>
      </w:r>
    </w:p>
    <w:p>
      <w:pPr>
        <w:pStyle w:val="BodyText"/>
        <w:spacing w:line="408" w:lineRule="auto"/>
        <w:ind w:right="1130"/>
        <w:jc w:val="both"/>
      </w:pPr>
      <w:r>
        <w:rPr>
          <w:spacing w:val="-1"/>
        </w:rPr>
        <w:t>认证资质，设有博士后科研工作分站、河南省微量气体检测技术及仪表工程技术研究中心、郑州市光电器</w:t>
      </w:r>
      <w:r>
        <w:rPr>
          <w:spacing w:val="-83"/>
        </w:rPr>
        <w:t> </w:t>
      </w:r>
      <w:r>
        <w:rPr>
          <w:spacing w:val="-83"/>
        </w:rPr>
      </w:r>
      <w:r>
        <w:rPr>
          <w:spacing w:val="-1"/>
        </w:rPr>
        <w:t>件及气体检测技术院士工作站，持续加强研发创新能力。报告期内，公司申报的“基于智能传感的城市综</w:t>
      </w:r>
      <w:r>
        <w:rPr>
          <w:spacing w:val="-83"/>
        </w:rPr>
        <w:t> </w:t>
      </w:r>
      <w:r>
        <w:rPr>
          <w:spacing w:val="-83"/>
        </w:rPr>
      </w:r>
      <w:r>
        <w:rPr/>
        <w:t>合管理云平台项目”成功入选国家发改委</w:t>
      </w:r>
      <w:r>
        <w:rPr>
          <w:spacing w:val="-65"/>
        </w:rPr>
        <w:t> </w:t>
      </w:r>
      <w:r>
        <w:rPr>
          <w:rFonts w:ascii="宋体" w:hAnsi="宋体" w:cs="宋体" w:eastAsia="宋体" w:hint="default"/>
        </w:rPr>
        <w:t>2017</w:t>
      </w:r>
      <w:r>
        <w:rPr>
          <w:rFonts w:ascii="宋体" w:hAnsi="宋体" w:cs="宋体" w:eastAsia="宋体" w:hint="default"/>
          <w:spacing w:val="-67"/>
        </w:rPr>
        <w:t> </w:t>
      </w:r>
      <w:r>
        <w:rPr/>
        <w:t>年新一代信息基础设施建设工程和“互联网+”重大工程项 目，加大了行业影响力。</w:t>
      </w:r>
    </w:p>
    <w:p>
      <w:pPr>
        <w:pStyle w:val="BodyText"/>
        <w:spacing w:line="240" w:lineRule="auto"/>
        <w:ind w:left="1554" w:right="0"/>
        <w:jc w:val="left"/>
        <w:rPr>
          <w:rFonts w:ascii="宋体" w:hAnsi="宋体" w:cs="宋体" w:eastAsia="宋体" w:hint="default"/>
        </w:rPr>
      </w:pPr>
      <w:r>
        <w:rPr/>
        <w:t>报告期内，公司及子公司新增专利证书</w:t>
      </w:r>
      <w:r>
        <w:rPr>
          <w:spacing w:val="-48"/>
        </w:rPr>
        <w:t> </w:t>
      </w:r>
      <w:r>
        <w:rPr>
          <w:rFonts w:ascii="宋体" w:hAnsi="宋体" w:cs="宋体" w:eastAsia="宋体" w:hint="default"/>
        </w:rPr>
        <w:t>37</w:t>
      </w:r>
      <w:r>
        <w:rPr>
          <w:rFonts w:ascii="宋体" w:hAnsi="宋体" w:cs="宋体" w:eastAsia="宋体" w:hint="default"/>
          <w:spacing w:val="-49"/>
        </w:rPr>
        <w:t> </w:t>
      </w:r>
      <w:r>
        <w:rPr/>
        <w:t>项，其中发明专利</w:t>
      </w:r>
      <w:r>
        <w:rPr>
          <w:spacing w:val="-49"/>
        </w:rPr>
        <w:t> </w:t>
      </w:r>
      <w:r>
        <w:rPr>
          <w:rFonts w:ascii="宋体" w:hAnsi="宋体" w:cs="宋体" w:eastAsia="宋体" w:hint="default"/>
        </w:rPr>
        <w:t>8</w:t>
      </w:r>
      <w:r>
        <w:rPr>
          <w:rFonts w:ascii="宋体" w:hAnsi="宋体" w:cs="宋体" w:eastAsia="宋体" w:hint="default"/>
          <w:spacing w:val="-48"/>
        </w:rPr>
        <w:t> </w:t>
      </w:r>
      <w:r>
        <w:rPr/>
        <w:t>项，实用新型专利</w:t>
      </w:r>
      <w:r>
        <w:rPr>
          <w:spacing w:val="-49"/>
        </w:rPr>
        <w:t> </w:t>
      </w:r>
      <w:r>
        <w:rPr>
          <w:rFonts w:ascii="宋体" w:hAnsi="宋体" w:cs="宋体" w:eastAsia="宋体" w:hint="default"/>
        </w:rPr>
        <w:t>20</w:t>
      </w:r>
      <w:r>
        <w:rPr>
          <w:rFonts w:ascii="宋体" w:hAnsi="宋体" w:cs="宋体" w:eastAsia="宋体" w:hint="default"/>
          <w:spacing w:val="-48"/>
        </w:rPr>
        <w:t> </w:t>
      </w:r>
      <w:r>
        <w:rPr/>
        <w:t>项，外观设计</w:t>
      </w:r>
      <w:r>
        <w:rPr>
          <w:spacing w:val="-49"/>
        </w:rPr>
        <w:t> </w:t>
      </w:r>
      <w:r>
        <w:rPr>
          <w:rFonts w:ascii="宋体" w:hAnsi="宋体" w:cs="宋体" w:eastAsia="宋体" w:hint="default"/>
        </w:rPr>
        <w:t>9</w:t>
      </w:r>
    </w:p>
    <w:p>
      <w:pPr>
        <w:spacing w:line="240" w:lineRule="auto" w:before="10"/>
        <w:rPr>
          <w:rFonts w:ascii="宋体" w:hAnsi="宋体" w:cs="宋体" w:eastAsia="宋体" w:hint="default"/>
          <w:sz w:val="14"/>
          <w:szCs w:val="14"/>
        </w:rPr>
      </w:pPr>
    </w:p>
    <w:p>
      <w:pPr>
        <w:pStyle w:val="BodyText"/>
        <w:spacing w:line="240" w:lineRule="auto" w:before="0"/>
        <w:ind w:left="1134" w:right="0"/>
        <w:jc w:val="both"/>
      </w:pPr>
      <w:r>
        <w:rPr/>
        <w:t>项；新增计算机软件著作权</w:t>
      </w:r>
      <w:r>
        <w:rPr>
          <w:spacing w:val="-54"/>
        </w:rPr>
        <w:t> </w:t>
      </w:r>
      <w:r>
        <w:rPr>
          <w:rFonts w:ascii="宋体" w:hAnsi="宋体" w:cs="宋体" w:eastAsia="宋体" w:hint="default"/>
        </w:rPr>
        <w:t>49</w:t>
      </w:r>
      <w:r>
        <w:rPr>
          <w:rFonts w:ascii="宋体" w:hAnsi="宋体" w:cs="宋体" w:eastAsia="宋体" w:hint="default"/>
          <w:spacing w:val="-53"/>
        </w:rPr>
        <w:t> </w:t>
      </w:r>
      <w:r>
        <w:rPr/>
        <w:t>项。</w:t>
      </w:r>
    </w:p>
    <w:p>
      <w:pPr>
        <w:spacing w:line="240" w:lineRule="auto" w:before="10"/>
        <w:rPr>
          <w:rFonts w:ascii="宋体" w:hAnsi="宋体" w:cs="宋体" w:eastAsia="宋体" w:hint="default"/>
          <w:sz w:val="14"/>
          <w:szCs w:val="14"/>
        </w:rPr>
      </w:pPr>
    </w:p>
    <w:p>
      <w:pPr>
        <w:pStyle w:val="BodyText"/>
        <w:spacing w:line="240" w:lineRule="auto" w:before="0"/>
        <w:ind w:left="1554" w:right="0"/>
        <w:jc w:val="left"/>
      </w:pPr>
      <w:r>
        <w:rPr/>
        <w:t>（</w:t>
      </w:r>
      <w:r>
        <w:rPr>
          <w:rFonts w:ascii="宋体" w:hAnsi="宋体" w:cs="宋体" w:eastAsia="宋体" w:hint="default"/>
        </w:rPr>
        <w:t>1</w:t>
      </w:r>
      <w:r>
        <w:rPr/>
        <w:t>）报告期内，公司及子公司新增专利证书如下：</w:t>
      </w:r>
    </w:p>
    <w:p>
      <w:pPr>
        <w:spacing w:line="240" w:lineRule="auto" w:before="12"/>
        <w:rPr>
          <w:rFonts w:ascii="宋体" w:hAnsi="宋体" w:cs="宋体" w:eastAsia="宋体" w:hint="default"/>
          <w:sz w:val="9"/>
          <w:szCs w:val="9"/>
        </w:rPr>
      </w:pPr>
    </w:p>
    <w:tbl>
      <w:tblPr>
        <w:tblW w:w="0" w:type="auto"/>
        <w:jc w:val="left"/>
        <w:tblInd w:w="1113" w:type="dxa"/>
        <w:tblLayout w:type="fixed"/>
        <w:tblCellMar>
          <w:top w:w="0" w:type="dxa"/>
          <w:left w:w="0" w:type="dxa"/>
          <w:bottom w:w="0" w:type="dxa"/>
          <w:right w:w="0" w:type="dxa"/>
        </w:tblCellMar>
        <w:tblLook w:val="01E0"/>
      </w:tblPr>
      <w:tblGrid>
        <w:gridCol w:w="395"/>
        <w:gridCol w:w="1306"/>
        <w:gridCol w:w="4224"/>
        <w:gridCol w:w="851"/>
        <w:gridCol w:w="992"/>
        <w:gridCol w:w="851"/>
        <w:gridCol w:w="1045"/>
      </w:tblGrid>
      <w:tr>
        <w:trPr>
          <w:trHeight w:val="356" w:hRule="exact"/>
        </w:trPr>
        <w:tc>
          <w:tcPr>
            <w:tcW w:w="395" w:type="dxa"/>
            <w:tcBorders>
              <w:top w:val="single" w:sz="12" w:space="0" w:color="000000"/>
              <w:left w:val="single" w:sz="12" w:space="0" w:color="000000"/>
              <w:bottom w:val="single" w:sz="8" w:space="0" w:color="000000"/>
              <w:right w:val="single" w:sz="8" w:space="0" w:color="000000"/>
            </w:tcBorders>
            <w:shd w:val="clear" w:color="auto" w:fill="D9D9D9"/>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1306" w:type="dxa"/>
            <w:tcBorders>
              <w:top w:val="single" w:sz="12"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专利号</w:t>
            </w:r>
          </w:p>
        </w:tc>
        <w:tc>
          <w:tcPr>
            <w:tcW w:w="4224" w:type="dxa"/>
            <w:tcBorders>
              <w:top w:val="single" w:sz="12"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专利名称</w:t>
            </w:r>
          </w:p>
        </w:tc>
        <w:tc>
          <w:tcPr>
            <w:tcW w:w="851" w:type="dxa"/>
            <w:tcBorders>
              <w:top w:val="single" w:sz="12"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专利类型</w:t>
            </w:r>
          </w:p>
        </w:tc>
        <w:tc>
          <w:tcPr>
            <w:tcW w:w="992" w:type="dxa"/>
            <w:tcBorders>
              <w:top w:val="single" w:sz="12"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申请日</w:t>
            </w:r>
          </w:p>
        </w:tc>
        <w:tc>
          <w:tcPr>
            <w:tcW w:w="851" w:type="dxa"/>
            <w:tcBorders>
              <w:top w:val="single" w:sz="12"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保护期限</w:t>
            </w:r>
          </w:p>
        </w:tc>
        <w:tc>
          <w:tcPr>
            <w:tcW w:w="1045" w:type="dxa"/>
            <w:tcBorders>
              <w:top w:val="single" w:sz="12" w:space="0" w:color="000000"/>
              <w:left w:val="single" w:sz="8" w:space="0" w:color="000000"/>
              <w:bottom w:val="single" w:sz="8" w:space="0" w:color="000000"/>
              <w:right w:val="single" w:sz="12"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专利权人</w:t>
            </w:r>
          </w:p>
        </w:tc>
      </w:tr>
      <w:tr>
        <w:trPr>
          <w:trHeight w:val="433" w:hRule="exact"/>
        </w:trPr>
        <w:tc>
          <w:tcPr>
            <w:tcW w:w="395"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1</w:t>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201410450908.2</w:t>
            </w:r>
          </w:p>
        </w:tc>
        <w:tc>
          <w:tcPr>
            <w:tcW w:w="42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left"/>
              <w:rPr>
                <w:rFonts w:ascii="宋体" w:hAnsi="宋体" w:cs="宋体" w:eastAsia="宋体" w:hint="default"/>
                <w:sz w:val="18"/>
                <w:szCs w:val="18"/>
              </w:rPr>
            </w:pPr>
            <w:r>
              <w:rPr>
                <w:rFonts w:ascii="宋体" w:hAnsi="宋体" w:cs="宋体" w:eastAsia="宋体" w:hint="default"/>
                <w:sz w:val="18"/>
                <w:szCs w:val="18"/>
              </w:rPr>
              <w:t>微型红外气体传感器</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2014-9-5</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年</w:t>
            </w:r>
          </w:p>
        </w:tc>
        <w:tc>
          <w:tcPr>
            <w:tcW w:w="1045"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汉威科技</w:t>
            </w:r>
          </w:p>
        </w:tc>
      </w:tr>
      <w:tr>
        <w:trPr>
          <w:trHeight w:val="432" w:hRule="exact"/>
        </w:trPr>
        <w:tc>
          <w:tcPr>
            <w:tcW w:w="395"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2</w:t>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201410450846.5</w:t>
            </w:r>
          </w:p>
        </w:tc>
        <w:tc>
          <w:tcPr>
            <w:tcW w:w="42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left"/>
              <w:rPr>
                <w:rFonts w:ascii="宋体" w:hAnsi="宋体" w:cs="宋体" w:eastAsia="宋体" w:hint="default"/>
                <w:sz w:val="18"/>
                <w:szCs w:val="18"/>
              </w:rPr>
            </w:pPr>
            <w:r>
              <w:rPr>
                <w:rFonts w:ascii="宋体" w:hAnsi="宋体" w:cs="宋体" w:eastAsia="宋体" w:hint="default"/>
                <w:sz w:val="18"/>
                <w:szCs w:val="18"/>
              </w:rPr>
              <w:t>红外气体传感器</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2014-9-5</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年</w:t>
            </w:r>
          </w:p>
        </w:tc>
        <w:tc>
          <w:tcPr>
            <w:tcW w:w="1045"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汉威科技</w:t>
            </w:r>
          </w:p>
        </w:tc>
      </w:tr>
      <w:tr>
        <w:trPr>
          <w:trHeight w:val="432" w:hRule="exact"/>
        </w:trPr>
        <w:tc>
          <w:tcPr>
            <w:tcW w:w="395"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3</w:t>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201410454829.9</w:t>
            </w:r>
          </w:p>
        </w:tc>
        <w:tc>
          <w:tcPr>
            <w:tcW w:w="42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left"/>
              <w:rPr>
                <w:rFonts w:ascii="宋体" w:hAnsi="宋体" w:cs="宋体" w:eastAsia="宋体" w:hint="default"/>
                <w:sz w:val="18"/>
                <w:szCs w:val="18"/>
              </w:rPr>
            </w:pPr>
            <w:r>
              <w:rPr>
                <w:rFonts w:ascii="宋体" w:hAnsi="宋体" w:cs="宋体" w:eastAsia="宋体" w:hint="default"/>
                <w:sz w:val="18"/>
                <w:szCs w:val="18"/>
              </w:rPr>
              <w:t>一种司法监控用酒精检测系统及其监控方法</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2014-9-5</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年</w:t>
            </w:r>
          </w:p>
        </w:tc>
        <w:tc>
          <w:tcPr>
            <w:tcW w:w="1045"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汉威科技</w:t>
            </w:r>
          </w:p>
        </w:tc>
      </w:tr>
      <w:tr>
        <w:trPr>
          <w:trHeight w:val="432" w:hRule="exact"/>
        </w:trPr>
        <w:tc>
          <w:tcPr>
            <w:tcW w:w="395"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4</w:t>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201620682517.8</w:t>
            </w:r>
          </w:p>
        </w:tc>
        <w:tc>
          <w:tcPr>
            <w:tcW w:w="42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left"/>
              <w:rPr>
                <w:rFonts w:ascii="宋体" w:hAnsi="宋体" w:cs="宋体" w:eastAsia="宋体" w:hint="default"/>
                <w:sz w:val="18"/>
                <w:szCs w:val="18"/>
              </w:rPr>
            </w:pPr>
            <w:r>
              <w:rPr>
                <w:rFonts w:ascii="宋体" w:hAnsi="宋体" w:cs="宋体" w:eastAsia="宋体" w:hint="default"/>
                <w:sz w:val="18"/>
                <w:szCs w:val="18"/>
              </w:rPr>
              <w:t>二线制总线探测器</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2016-7-2</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045"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汉威科技</w:t>
            </w:r>
          </w:p>
        </w:tc>
      </w:tr>
      <w:tr>
        <w:trPr>
          <w:trHeight w:val="432" w:hRule="exact"/>
        </w:trPr>
        <w:tc>
          <w:tcPr>
            <w:tcW w:w="395"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5</w:t>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201630577094.9</w:t>
            </w:r>
          </w:p>
        </w:tc>
        <w:tc>
          <w:tcPr>
            <w:tcW w:w="42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left"/>
              <w:rPr>
                <w:rFonts w:ascii="宋体" w:hAnsi="宋体" w:cs="宋体" w:eastAsia="宋体" w:hint="default"/>
                <w:sz w:val="18"/>
                <w:szCs w:val="18"/>
              </w:rPr>
            </w:pPr>
            <w:r>
              <w:rPr>
                <w:rFonts w:ascii="宋体" w:hAnsi="宋体" w:cs="宋体" w:eastAsia="宋体" w:hint="default"/>
                <w:sz w:val="18"/>
                <w:szCs w:val="18"/>
              </w:rPr>
              <w:t>便携式激光检测仪</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2016-11-28</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045"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汉威科技</w:t>
            </w:r>
          </w:p>
        </w:tc>
      </w:tr>
      <w:tr>
        <w:trPr>
          <w:trHeight w:val="432" w:hRule="exact"/>
        </w:trPr>
        <w:tc>
          <w:tcPr>
            <w:tcW w:w="395"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6</w:t>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201720257319.1</w:t>
            </w:r>
          </w:p>
        </w:tc>
        <w:tc>
          <w:tcPr>
            <w:tcW w:w="42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left"/>
              <w:rPr>
                <w:rFonts w:ascii="宋体" w:hAnsi="宋体" w:cs="宋体" w:eastAsia="宋体" w:hint="default"/>
                <w:sz w:val="18"/>
                <w:szCs w:val="18"/>
              </w:rPr>
            </w:pPr>
            <w:r>
              <w:rPr>
                <w:rFonts w:ascii="宋体" w:hAnsi="宋体" w:cs="宋体" w:eastAsia="宋体" w:hint="default"/>
                <w:sz w:val="18"/>
                <w:szCs w:val="18"/>
              </w:rPr>
              <w:t>双光源双光路红外气体传感器</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2017-3-16</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045"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汉威科技</w:t>
            </w:r>
          </w:p>
        </w:tc>
      </w:tr>
      <w:tr>
        <w:trPr>
          <w:trHeight w:val="432" w:hRule="exact"/>
        </w:trPr>
        <w:tc>
          <w:tcPr>
            <w:tcW w:w="395"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7</w:t>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201730100765.7</w:t>
            </w:r>
          </w:p>
        </w:tc>
        <w:tc>
          <w:tcPr>
            <w:tcW w:w="42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left"/>
              <w:rPr>
                <w:rFonts w:ascii="宋体" w:hAnsi="宋体" w:cs="宋体" w:eastAsia="宋体" w:hint="default"/>
                <w:sz w:val="18"/>
                <w:szCs w:val="18"/>
              </w:rPr>
            </w:pPr>
            <w:r>
              <w:rPr>
                <w:rFonts w:ascii="宋体" w:hAnsi="宋体" w:cs="宋体" w:eastAsia="宋体" w:hint="default"/>
                <w:sz w:val="18"/>
                <w:szCs w:val="18"/>
              </w:rPr>
              <w:t>便携式气体探测器</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2017-3-30</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045"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汉威科技</w:t>
            </w:r>
          </w:p>
        </w:tc>
      </w:tr>
      <w:tr>
        <w:trPr>
          <w:trHeight w:val="432" w:hRule="exact"/>
        </w:trPr>
        <w:tc>
          <w:tcPr>
            <w:tcW w:w="395"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8</w:t>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201410328694.1</w:t>
            </w:r>
          </w:p>
        </w:tc>
        <w:tc>
          <w:tcPr>
            <w:tcW w:w="42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left"/>
              <w:rPr>
                <w:rFonts w:ascii="宋体" w:hAnsi="宋体" w:cs="宋体" w:eastAsia="宋体" w:hint="default"/>
                <w:sz w:val="18"/>
                <w:szCs w:val="18"/>
              </w:rPr>
            </w:pPr>
            <w:r>
              <w:rPr>
                <w:rFonts w:ascii="宋体" w:hAnsi="宋体" w:cs="宋体" w:eastAsia="宋体" w:hint="default"/>
                <w:sz w:val="18"/>
                <w:szCs w:val="18"/>
              </w:rPr>
              <w:t>点检剂、点检器及点检剂制作方法</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2014-7-11</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年</w:t>
            </w:r>
          </w:p>
        </w:tc>
        <w:tc>
          <w:tcPr>
            <w:tcW w:w="1045"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炜盛科技</w:t>
            </w:r>
          </w:p>
        </w:tc>
      </w:tr>
      <w:tr>
        <w:trPr>
          <w:trHeight w:val="437" w:hRule="exact"/>
        </w:trPr>
        <w:tc>
          <w:tcPr>
            <w:tcW w:w="395" w:type="dxa"/>
            <w:tcBorders>
              <w:top w:val="single" w:sz="8" w:space="0" w:color="000000"/>
              <w:left w:val="single" w:sz="12" w:space="0" w:color="000000"/>
              <w:bottom w:val="single" w:sz="12" w:space="0" w:color="000000"/>
              <w:right w:val="single" w:sz="8"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9</w:t>
            </w:r>
          </w:p>
        </w:tc>
        <w:tc>
          <w:tcPr>
            <w:tcW w:w="1306"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201620724207.8</w:t>
            </w:r>
          </w:p>
        </w:tc>
        <w:tc>
          <w:tcPr>
            <w:tcW w:w="4224"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2"/>
              <w:ind w:left="1" w:right="0"/>
              <w:jc w:val="left"/>
              <w:rPr>
                <w:rFonts w:ascii="宋体" w:hAnsi="宋体" w:cs="宋体" w:eastAsia="宋体" w:hint="default"/>
                <w:sz w:val="18"/>
                <w:szCs w:val="18"/>
              </w:rPr>
            </w:pPr>
            <w:r>
              <w:rPr>
                <w:rFonts w:ascii="宋体" w:hAnsi="宋体" w:cs="宋体" w:eastAsia="宋体" w:hint="default"/>
                <w:sz w:val="18"/>
                <w:szCs w:val="18"/>
              </w:rPr>
              <w:t>常温固体电解质</w:t>
            </w:r>
            <w:r>
              <w:rPr>
                <w:rFonts w:ascii="Times New Roman" w:hAnsi="Times New Roman" w:cs="Times New Roman" w:eastAsia="Times New Roman" w:hint="default"/>
                <w:sz w:val="18"/>
                <w:szCs w:val="18"/>
              </w:rPr>
              <w:t>CO2</w:t>
            </w:r>
            <w:r>
              <w:rPr>
                <w:rFonts w:ascii="宋体" w:hAnsi="宋体" w:cs="宋体" w:eastAsia="宋体" w:hint="default"/>
                <w:sz w:val="18"/>
                <w:szCs w:val="18"/>
              </w:rPr>
              <w:t>传感器</w:t>
            </w:r>
          </w:p>
        </w:tc>
        <w:tc>
          <w:tcPr>
            <w:tcW w:w="85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992"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2016-7-11</w:t>
            </w:r>
          </w:p>
        </w:tc>
        <w:tc>
          <w:tcPr>
            <w:tcW w:w="85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045" w:type="dxa"/>
            <w:tcBorders>
              <w:top w:val="single" w:sz="8" w:space="0" w:color="000000"/>
              <w:left w:val="single" w:sz="8" w:space="0" w:color="000000"/>
              <w:bottom w:val="single" w:sz="12" w:space="0" w:color="000000"/>
              <w:right w:val="single" w:sz="12"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炜盛科技</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13" w:type="dxa"/>
        <w:tblLayout w:type="fixed"/>
        <w:tblCellMar>
          <w:top w:w="0" w:type="dxa"/>
          <w:left w:w="0" w:type="dxa"/>
          <w:bottom w:w="0" w:type="dxa"/>
          <w:right w:w="0" w:type="dxa"/>
        </w:tblCellMar>
        <w:tblLook w:val="01E0"/>
      </w:tblPr>
      <w:tblGrid>
        <w:gridCol w:w="395"/>
        <w:gridCol w:w="1306"/>
        <w:gridCol w:w="4224"/>
        <w:gridCol w:w="851"/>
        <w:gridCol w:w="992"/>
        <w:gridCol w:w="851"/>
        <w:gridCol w:w="1045"/>
      </w:tblGrid>
      <w:tr>
        <w:trPr>
          <w:trHeight w:val="436" w:hRule="exact"/>
        </w:trPr>
        <w:tc>
          <w:tcPr>
            <w:tcW w:w="395" w:type="dxa"/>
            <w:tcBorders>
              <w:top w:val="single" w:sz="12" w:space="0" w:color="000000"/>
              <w:left w:val="single" w:sz="12" w:space="0" w:color="000000"/>
              <w:bottom w:val="single" w:sz="8" w:space="0" w:color="000000"/>
              <w:right w:val="single" w:sz="8"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sz w:val="18"/>
              </w:rPr>
              <w:t>10</w:t>
            </w:r>
          </w:p>
        </w:tc>
        <w:tc>
          <w:tcPr>
            <w:tcW w:w="1306"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201630330957.2</w:t>
            </w:r>
          </w:p>
        </w:tc>
        <w:tc>
          <w:tcPr>
            <w:tcW w:w="4224"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61"/>
              <w:ind w:left="1" w:right="0"/>
              <w:jc w:val="left"/>
              <w:rPr>
                <w:rFonts w:ascii="宋体" w:hAnsi="宋体" w:cs="宋体" w:eastAsia="宋体" w:hint="default"/>
                <w:sz w:val="18"/>
                <w:szCs w:val="18"/>
              </w:rPr>
            </w:pPr>
            <w:r>
              <w:rPr>
                <w:rFonts w:ascii="宋体" w:hAnsi="宋体" w:cs="宋体" w:eastAsia="宋体" w:hint="default"/>
                <w:sz w:val="18"/>
                <w:szCs w:val="18"/>
              </w:rPr>
              <w:t>电化学甲醛传感器</w:t>
            </w:r>
          </w:p>
        </w:tc>
        <w:tc>
          <w:tcPr>
            <w:tcW w:w="851"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992"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2016-7-19</w:t>
            </w:r>
          </w:p>
        </w:tc>
        <w:tc>
          <w:tcPr>
            <w:tcW w:w="851"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045" w:type="dxa"/>
            <w:tcBorders>
              <w:top w:val="single" w:sz="12" w:space="0" w:color="000000"/>
              <w:left w:val="single" w:sz="8" w:space="0" w:color="000000"/>
              <w:bottom w:val="single" w:sz="8" w:space="0" w:color="000000"/>
              <w:right w:val="single" w:sz="12"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炜盛科技</w:t>
            </w:r>
          </w:p>
        </w:tc>
      </w:tr>
      <w:tr>
        <w:trPr>
          <w:trHeight w:val="432" w:hRule="exact"/>
        </w:trPr>
        <w:tc>
          <w:tcPr>
            <w:tcW w:w="395"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sz w:val="18"/>
              </w:rPr>
              <w:t>11</w:t>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201630492367.X</w:t>
            </w:r>
          </w:p>
        </w:tc>
        <w:tc>
          <w:tcPr>
            <w:tcW w:w="42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left"/>
              <w:rPr>
                <w:rFonts w:ascii="宋体" w:hAnsi="宋体" w:cs="宋体" w:eastAsia="宋体" w:hint="default"/>
                <w:sz w:val="18"/>
                <w:szCs w:val="18"/>
              </w:rPr>
            </w:pPr>
            <w:r>
              <w:rPr>
                <w:rFonts w:ascii="宋体" w:hAnsi="宋体" w:cs="宋体" w:eastAsia="宋体" w:hint="default"/>
                <w:sz w:val="18"/>
                <w:szCs w:val="18"/>
              </w:rPr>
              <w:t>空气质量检测仪</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2016-9-30</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045"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炜盛科技</w:t>
            </w:r>
          </w:p>
        </w:tc>
      </w:tr>
      <w:tr>
        <w:trPr>
          <w:trHeight w:val="432" w:hRule="exact"/>
        </w:trPr>
        <w:tc>
          <w:tcPr>
            <w:tcW w:w="395"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sz w:val="18"/>
              </w:rPr>
              <w:t>12</w:t>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201621485188.4</w:t>
            </w:r>
          </w:p>
        </w:tc>
        <w:tc>
          <w:tcPr>
            <w:tcW w:w="42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left"/>
              <w:rPr>
                <w:rFonts w:ascii="宋体" w:hAnsi="宋体" w:cs="宋体" w:eastAsia="宋体" w:hint="default"/>
                <w:sz w:val="18"/>
                <w:szCs w:val="18"/>
              </w:rPr>
            </w:pPr>
            <w:r>
              <w:rPr>
                <w:rFonts w:ascii="宋体" w:hAnsi="宋体" w:cs="宋体" w:eastAsia="宋体" w:hint="default"/>
                <w:sz w:val="18"/>
                <w:szCs w:val="18"/>
              </w:rPr>
              <w:t>平面半导体传感器电流检测电路</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2016-12-31</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045"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炜盛科技</w:t>
            </w:r>
          </w:p>
        </w:tc>
      </w:tr>
      <w:tr>
        <w:trPr>
          <w:trHeight w:val="432" w:hRule="exact"/>
        </w:trPr>
        <w:tc>
          <w:tcPr>
            <w:tcW w:w="395"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sz w:val="18"/>
              </w:rPr>
              <w:t>13</w:t>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201621485194.X</w:t>
            </w:r>
          </w:p>
        </w:tc>
        <w:tc>
          <w:tcPr>
            <w:tcW w:w="42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left"/>
              <w:rPr>
                <w:rFonts w:ascii="宋体" w:hAnsi="宋体" w:cs="宋体" w:eastAsia="宋体" w:hint="default"/>
                <w:sz w:val="18"/>
                <w:szCs w:val="18"/>
              </w:rPr>
            </w:pPr>
            <w:r>
              <w:rPr>
                <w:rFonts w:ascii="宋体" w:hAnsi="宋体" w:cs="宋体" w:eastAsia="宋体" w:hint="default"/>
                <w:sz w:val="18"/>
                <w:szCs w:val="18"/>
              </w:rPr>
              <w:t>基于光学检测的微量气体检测装置</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2016-12-31</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045"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炜盛科技</w:t>
            </w:r>
          </w:p>
        </w:tc>
      </w:tr>
      <w:tr>
        <w:trPr>
          <w:trHeight w:val="432" w:hRule="exact"/>
        </w:trPr>
        <w:tc>
          <w:tcPr>
            <w:tcW w:w="395"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sz w:val="18"/>
              </w:rPr>
              <w:t>14</w:t>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201630662042.1</w:t>
            </w:r>
          </w:p>
        </w:tc>
        <w:tc>
          <w:tcPr>
            <w:tcW w:w="42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left"/>
              <w:rPr>
                <w:rFonts w:ascii="宋体" w:hAnsi="宋体" w:cs="宋体" w:eastAsia="宋体" w:hint="default"/>
                <w:sz w:val="18"/>
                <w:szCs w:val="18"/>
              </w:rPr>
            </w:pPr>
            <w:r>
              <w:rPr>
                <w:rFonts w:ascii="宋体" w:hAnsi="宋体" w:cs="宋体" w:eastAsia="宋体" w:hint="default"/>
                <w:sz w:val="18"/>
                <w:szCs w:val="18"/>
              </w:rPr>
              <w:t>激光粉尘传感器（</w:t>
            </w:r>
            <w:r>
              <w:rPr>
                <w:rFonts w:ascii="Times New Roman" w:hAnsi="Times New Roman" w:cs="Times New Roman" w:eastAsia="Times New Roman" w:hint="default"/>
                <w:sz w:val="18"/>
                <w:szCs w:val="18"/>
              </w:rPr>
              <w:t>ZH1</w:t>
            </w:r>
            <w:r>
              <w:rPr>
                <w:rFonts w:ascii="宋体" w:hAnsi="宋体" w:cs="宋体" w:eastAsia="宋体" w:hint="default"/>
                <w:sz w:val="18"/>
                <w:szCs w:val="18"/>
              </w:rPr>
              <w:t>）</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2016-12-31</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045"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炜盛科技</w:t>
            </w:r>
          </w:p>
        </w:tc>
      </w:tr>
      <w:tr>
        <w:trPr>
          <w:trHeight w:val="432" w:hRule="exact"/>
        </w:trPr>
        <w:tc>
          <w:tcPr>
            <w:tcW w:w="395"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sz w:val="18"/>
              </w:rPr>
              <w:t>15</w:t>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201630662043.6</w:t>
            </w:r>
          </w:p>
        </w:tc>
        <w:tc>
          <w:tcPr>
            <w:tcW w:w="42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left"/>
              <w:rPr>
                <w:rFonts w:ascii="宋体" w:hAnsi="宋体" w:cs="宋体" w:eastAsia="宋体" w:hint="default"/>
                <w:sz w:val="18"/>
                <w:szCs w:val="18"/>
              </w:rPr>
            </w:pPr>
            <w:r>
              <w:rPr>
                <w:rFonts w:ascii="宋体" w:hAnsi="宋体" w:cs="宋体" w:eastAsia="宋体" w:hint="default"/>
                <w:sz w:val="18"/>
                <w:szCs w:val="18"/>
              </w:rPr>
              <w:t>激光粉尘传感器（</w:t>
            </w:r>
            <w:r>
              <w:rPr>
                <w:rFonts w:ascii="Times New Roman" w:hAnsi="Times New Roman" w:cs="Times New Roman" w:eastAsia="Times New Roman" w:hint="default"/>
                <w:sz w:val="18"/>
                <w:szCs w:val="18"/>
              </w:rPr>
              <w:t>ZH2</w:t>
            </w:r>
            <w:r>
              <w:rPr>
                <w:rFonts w:ascii="宋体" w:hAnsi="宋体" w:cs="宋体" w:eastAsia="宋体" w:hint="default"/>
                <w:sz w:val="18"/>
                <w:szCs w:val="18"/>
              </w:rPr>
              <w:t>）</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2016-12-31</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045"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炜盛科技</w:t>
            </w:r>
          </w:p>
        </w:tc>
      </w:tr>
      <w:tr>
        <w:trPr>
          <w:trHeight w:val="432" w:hRule="exact"/>
        </w:trPr>
        <w:tc>
          <w:tcPr>
            <w:tcW w:w="395"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sz w:val="18"/>
              </w:rPr>
              <w:t>16</w:t>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201620968759.3</w:t>
            </w:r>
          </w:p>
        </w:tc>
        <w:tc>
          <w:tcPr>
            <w:tcW w:w="42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left"/>
              <w:rPr>
                <w:rFonts w:ascii="宋体" w:hAnsi="宋体" w:cs="宋体" w:eastAsia="宋体" w:hint="default"/>
                <w:sz w:val="18"/>
                <w:szCs w:val="18"/>
              </w:rPr>
            </w:pPr>
            <w:r>
              <w:rPr>
                <w:rFonts w:ascii="宋体" w:hAnsi="宋体" w:cs="宋体" w:eastAsia="宋体" w:hint="default"/>
                <w:sz w:val="18"/>
                <w:szCs w:val="18"/>
              </w:rPr>
              <w:t>有害气体传感器的信号处理电路</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2016-8-30</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045"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智慧安全</w:t>
            </w:r>
          </w:p>
        </w:tc>
      </w:tr>
      <w:tr>
        <w:trPr>
          <w:trHeight w:val="432" w:hRule="exact"/>
        </w:trPr>
        <w:tc>
          <w:tcPr>
            <w:tcW w:w="395"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sz w:val="18"/>
              </w:rPr>
              <w:t>17</w:t>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201621394762.5</w:t>
            </w:r>
          </w:p>
        </w:tc>
        <w:tc>
          <w:tcPr>
            <w:tcW w:w="42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left"/>
              <w:rPr>
                <w:rFonts w:ascii="宋体" w:hAnsi="宋体" w:cs="宋体" w:eastAsia="宋体" w:hint="default"/>
                <w:sz w:val="18"/>
                <w:szCs w:val="18"/>
              </w:rPr>
            </w:pPr>
            <w:r>
              <w:rPr>
                <w:rFonts w:ascii="宋体" w:hAnsi="宋体" w:cs="宋体" w:eastAsia="宋体" w:hint="default"/>
                <w:sz w:val="18"/>
                <w:szCs w:val="18"/>
              </w:rPr>
              <w:t>一种用于可燃气体探测器的负反馈信号处理电路</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2016-12-19</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045"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智慧安全</w:t>
            </w:r>
          </w:p>
        </w:tc>
      </w:tr>
      <w:tr>
        <w:trPr>
          <w:trHeight w:val="432" w:hRule="exact"/>
        </w:trPr>
        <w:tc>
          <w:tcPr>
            <w:tcW w:w="395"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sz w:val="18"/>
              </w:rPr>
              <w:t>18</w:t>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201621127799.1</w:t>
            </w:r>
          </w:p>
        </w:tc>
        <w:tc>
          <w:tcPr>
            <w:tcW w:w="42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left"/>
              <w:rPr>
                <w:rFonts w:ascii="宋体" w:hAnsi="宋体" w:cs="宋体" w:eastAsia="宋体" w:hint="default"/>
                <w:sz w:val="18"/>
                <w:szCs w:val="18"/>
              </w:rPr>
            </w:pPr>
            <w:r>
              <w:rPr>
                <w:rFonts w:ascii="宋体" w:hAnsi="宋体" w:cs="宋体" w:eastAsia="宋体" w:hint="default"/>
                <w:sz w:val="18"/>
                <w:szCs w:val="18"/>
              </w:rPr>
              <w:t>自带水位报警提醒的道牙</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2016-10-17</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045"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畅威物联</w:t>
            </w:r>
          </w:p>
        </w:tc>
      </w:tr>
      <w:tr>
        <w:trPr>
          <w:trHeight w:val="432" w:hRule="exact"/>
        </w:trPr>
        <w:tc>
          <w:tcPr>
            <w:tcW w:w="395"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sz w:val="18"/>
              </w:rPr>
              <w:t>19</w:t>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201410471180.1</w:t>
            </w:r>
          </w:p>
        </w:tc>
        <w:tc>
          <w:tcPr>
            <w:tcW w:w="42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left"/>
              <w:rPr>
                <w:rFonts w:ascii="宋体" w:hAnsi="宋体" w:cs="宋体" w:eastAsia="宋体" w:hint="default"/>
                <w:sz w:val="18"/>
                <w:szCs w:val="18"/>
              </w:rPr>
            </w:pPr>
            <w:r>
              <w:rPr>
                <w:rFonts w:ascii="宋体" w:hAnsi="宋体" w:cs="宋体" w:eastAsia="宋体" w:hint="default"/>
                <w:sz w:val="18"/>
                <w:szCs w:val="18"/>
              </w:rPr>
              <w:t>一种用于压力传感器中的敏感材料及其制备方法</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2014-9-16</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年</w:t>
            </w:r>
          </w:p>
        </w:tc>
        <w:tc>
          <w:tcPr>
            <w:tcW w:w="1045"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苏州能斯达</w:t>
            </w:r>
          </w:p>
        </w:tc>
      </w:tr>
      <w:tr>
        <w:trPr>
          <w:trHeight w:val="432" w:hRule="exact"/>
        </w:trPr>
        <w:tc>
          <w:tcPr>
            <w:tcW w:w="395"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sz w:val="18"/>
              </w:rPr>
              <w:t>20</w:t>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201410351198.8</w:t>
            </w:r>
          </w:p>
        </w:tc>
        <w:tc>
          <w:tcPr>
            <w:tcW w:w="42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left"/>
              <w:rPr>
                <w:rFonts w:ascii="宋体" w:hAnsi="宋体" w:cs="宋体" w:eastAsia="宋体" w:hint="default"/>
                <w:sz w:val="18"/>
                <w:szCs w:val="18"/>
              </w:rPr>
            </w:pPr>
            <w:r>
              <w:rPr>
                <w:rFonts w:ascii="宋体" w:hAnsi="宋体" w:cs="宋体" w:eastAsia="宋体" w:hint="default"/>
                <w:sz w:val="18"/>
                <w:szCs w:val="18"/>
              </w:rPr>
              <w:t>一种基于二氧化锡功能化石墨烯的传感器的制备方法</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2014-7-22</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年</w:t>
            </w:r>
          </w:p>
        </w:tc>
        <w:tc>
          <w:tcPr>
            <w:tcW w:w="1045"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苏州能斯达</w:t>
            </w:r>
          </w:p>
        </w:tc>
      </w:tr>
      <w:tr>
        <w:trPr>
          <w:trHeight w:val="432" w:hRule="exact"/>
        </w:trPr>
        <w:tc>
          <w:tcPr>
            <w:tcW w:w="395"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sz w:val="18"/>
              </w:rPr>
              <w:t>21</w:t>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201410345482.4</w:t>
            </w:r>
          </w:p>
        </w:tc>
        <w:tc>
          <w:tcPr>
            <w:tcW w:w="42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left"/>
              <w:rPr>
                <w:rFonts w:ascii="宋体" w:hAnsi="宋体" w:cs="宋体" w:eastAsia="宋体" w:hint="default"/>
                <w:sz w:val="18"/>
                <w:szCs w:val="18"/>
              </w:rPr>
            </w:pPr>
            <w:r>
              <w:rPr>
                <w:rFonts w:ascii="宋体" w:hAnsi="宋体" w:cs="宋体" w:eastAsia="宋体" w:hint="default"/>
                <w:sz w:val="18"/>
                <w:szCs w:val="18"/>
              </w:rPr>
              <w:t>一种具有绝热沟槽的</w:t>
            </w:r>
            <w:r>
              <w:rPr>
                <w:rFonts w:ascii="Times New Roman" w:hAnsi="Times New Roman" w:cs="Times New Roman" w:eastAsia="Times New Roman" w:hint="default"/>
                <w:sz w:val="18"/>
                <w:szCs w:val="18"/>
              </w:rPr>
              <w:t>MEMS</w:t>
            </w:r>
            <w:r>
              <w:rPr>
                <w:rFonts w:ascii="宋体" w:hAnsi="宋体" w:cs="宋体" w:eastAsia="宋体" w:hint="default"/>
                <w:sz w:val="18"/>
                <w:szCs w:val="18"/>
              </w:rPr>
              <w:t>气体传感器及其加工方法</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2014-7-18</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w:t>
            </w:r>
            <w:r>
              <w:rPr>
                <w:rFonts w:ascii="宋体" w:hAnsi="宋体" w:cs="宋体" w:eastAsia="宋体" w:hint="default"/>
                <w:sz w:val="22"/>
                <w:szCs w:val="22"/>
              </w:rPr>
              <w:t>年</w:t>
            </w:r>
          </w:p>
        </w:tc>
        <w:tc>
          <w:tcPr>
            <w:tcW w:w="1045"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苏州能斯达</w:t>
            </w:r>
          </w:p>
        </w:tc>
      </w:tr>
      <w:tr>
        <w:trPr>
          <w:trHeight w:val="432" w:hRule="exact"/>
        </w:trPr>
        <w:tc>
          <w:tcPr>
            <w:tcW w:w="395"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sz w:val="18"/>
              </w:rPr>
              <w:t>22</w:t>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201410692352.8</w:t>
            </w:r>
          </w:p>
        </w:tc>
        <w:tc>
          <w:tcPr>
            <w:tcW w:w="42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left"/>
              <w:rPr>
                <w:rFonts w:ascii="宋体" w:hAnsi="宋体" w:cs="宋体" w:eastAsia="宋体" w:hint="default"/>
                <w:sz w:val="18"/>
                <w:szCs w:val="18"/>
              </w:rPr>
            </w:pPr>
            <w:r>
              <w:rPr>
                <w:rFonts w:ascii="宋体" w:hAnsi="宋体" w:cs="宋体" w:eastAsia="宋体" w:hint="default"/>
                <w:sz w:val="18"/>
                <w:szCs w:val="18"/>
              </w:rPr>
              <w:t>一种胎压监测系统</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2014-11-25</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w:t>
            </w:r>
            <w:r>
              <w:rPr>
                <w:rFonts w:ascii="宋体" w:hAnsi="宋体" w:cs="宋体" w:eastAsia="宋体" w:hint="default"/>
                <w:sz w:val="20"/>
                <w:szCs w:val="20"/>
              </w:rPr>
              <w:t>年</w:t>
            </w:r>
          </w:p>
        </w:tc>
        <w:tc>
          <w:tcPr>
            <w:tcW w:w="1045"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苏州能斯达</w:t>
            </w:r>
          </w:p>
        </w:tc>
      </w:tr>
      <w:tr>
        <w:trPr>
          <w:trHeight w:val="432" w:hRule="exact"/>
        </w:trPr>
        <w:tc>
          <w:tcPr>
            <w:tcW w:w="395"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sz w:val="18"/>
              </w:rPr>
              <w:t>23</w:t>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201620544958.1</w:t>
            </w:r>
          </w:p>
        </w:tc>
        <w:tc>
          <w:tcPr>
            <w:tcW w:w="42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left"/>
              <w:rPr>
                <w:rFonts w:ascii="宋体" w:hAnsi="宋体" w:cs="宋体" w:eastAsia="宋体" w:hint="default"/>
                <w:sz w:val="18"/>
                <w:szCs w:val="18"/>
              </w:rPr>
            </w:pPr>
            <w:r>
              <w:rPr>
                <w:rFonts w:ascii="宋体" w:hAnsi="宋体" w:cs="宋体" w:eastAsia="宋体" w:hint="default"/>
                <w:sz w:val="18"/>
                <w:szCs w:val="18"/>
              </w:rPr>
              <w:t>指夹式检测仪</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2016-6-8</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w:t>
            </w:r>
            <w:r>
              <w:rPr>
                <w:rFonts w:ascii="宋体" w:hAnsi="宋体" w:cs="宋体" w:eastAsia="宋体" w:hint="default"/>
                <w:sz w:val="20"/>
                <w:szCs w:val="20"/>
              </w:rPr>
              <w:t>年</w:t>
            </w:r>
          </w:p>
        </w:tc>
        <w:tc>
          <w:tcPr>
            <w:tcW w:w="1045"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苏州能斯达</w:t>
            </w:r>
          </w:p>
        </w:tc>
      </w:tr>
      <w:tr>
        <w:trPr>
          <w:trHeight w:val="744" w:hRule="exact"/>
        </w:trPr>
        <w:tc>
          <w:tcPr>
            <w:tcW w:w="395"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sz w:val="18"/>
              </w:rPr>
              <w:t>24</w:t>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sz w:val="18"/>
              </w:rPr>
              <w:t>201620875361.5</w:t>
            </w:r>
          </w:p>
        </w:tc>
        <w:tc>
          <w:tcPr>
            <w:tcW w:w="4224" w:type="dxa"/>
            <w:tcBorders>
              <w:top w:val="single" w:sz="8" w:space="0" w:color="000000"/>
              <w:left w:val="single" w:sz="8" w:space="0" w:color="000000"/>
              <w:bottom w:val="single" w:sz="8" w:space="0" w:color="000000"/>
              <w:right w:val="single" w:sz="8" w:space="0" w:color="000000"/>
            </w:tcBorders>
          </w:tcPr>
          <w:p>
            <w:pPr>
              <w:pStyle w:val="TableParagraph"/>
              <w:spacing w:line="319" w:lineRule="auto" w:before="62"/>
              <w:ind w:left="1" w:right="5"/>
              <w:jc w:val="left"/>
              <w:rPr>
                <w:rFonts w:ascii="宋体" w:hAnsi="宋体" w:cs="宋体" w:eastAsia="宋体" w:hint="default"/>
                <w:sz w:val="18"/>
                <w:szCs w:val="18"/>
              </w:rPr>
            </w:pPr>
            <w:r>
              <w:rPr>
                <w:rFonts w:ascii="宋体" w:hAnsi="宋体" w:cs="宋体" w:eastAsia="宋体" w:hint="default"/>
                <w:spacing w:val="2"/>
                <w:sz w:val="18"/>
                <w:szCs w:val="18"/>
              </w:rPr>
              <w:t>柔性智能织物传感器及其制造方法、智能床垫及监测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系统</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2016-8-12</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w:t>
            </w:r>
            <w:r>
              <w:rPr>
                <w:rFonts w:ascii="宋体" w:hAnsi="宋体" w:cs="宋体" w:eastAsia="宋体" w:hint="default"/>
                <w:sz w:val="20"/>
                <w:szCs w:val="20"/>
              </w:rPr>
              <w:t>年</w:t>
            </w:r>
          </w:p>
        </w:tc>
        <w:tc>
          <w:tcPr>
            <w:tcW w:w="1045"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苏州能斯达</w:t>
            </w:r>
          </w:p>
        </w:tc>
      </w:tr>
      <w:tr>
        <w:trPr>
          <w:trHeight w:val="432" w:hRule="exact"/>
        </w:trPr>
        <w:tc>
          <w:tcPr>
            <w:tcW w:w="395"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sz w:val="18"/>
              </w:rPr>
              <w:t>25</w:t>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201620875315.5</w:t>
            </w:r>
          </w:p>
        </w:tc>
        <w:tc>
          <w:tcPr>
            <w:tcW w:w="42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left"/>
              <w:rPr>
                <w:rFonts w:ascii="宋体" w:hAnsi="宋体" w:cs="宋体" w:eastAsia="宋体" w:hint="default"/>
                <w:sz w:val="18"/>
                <w:szCs w:val="18"/>
              </w:rPr>
            </w:pPr>
            <w:r>
              <w:rPr>
                <w:rFonts w:ascii="宋体" w:hAnsi="宋体" w:cs="宋体" w:eastAsia="宋体" w:hint="default"/>
                <w:sz w:val="18"/>
                <w:szCs w:val="18"/>
              </w:rPr>
              <w:t>可检测脚底压力的跑步带及跑步智能监测系统</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2016-8-12</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w:t>
            </w:r>
            <w:r>
              <w:rPr>
                <w:rFonts w:ascii="宋体" w:hAnsi="宋体" w:cs="宋体" w:eastAsia="宋体" w:hint="default"/>
                <w:sz w:val="20"/>
                <w:szCs w:val="20"/>
              </w:rPr>
              <w:t>年</w:t>
            </w:r>
          </w:p>
        </w:tc>
        <w:tc>
          <w:tcPr>
            <w:tcW w:w="1045"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苏州能斯达</w:t>
            </w:r>
          </w:p>
        </w:tc>
      </w:tr>
      <w:tr>
        <w:trPr>
          <w:trHeight w:val="432" w:hRule="exact"/>
        </w:trPr>
        <w:tc>
          <w:tcPr>
            <w:tcW w:w="395"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sz w:val="18"/>
              </w:rPr>
              <w:t>26</w:t>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201630308765.1</w:t>
            </w:r>
          </w:p>
        </w:tc>
        <w:tc>
          <w:tcPr>
            <w:tcW w:w="42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left"/>
              <w:rPr>
                <w:rFonts w:ascii="宋体" w:hAnsi="宋体" w:cs="宋体" w:eastAsia="宋体" w:hint="default"/>
                <w:sz w:val="18"/>
                <w:szCs w:val="18"/>
              </w:rPr>
            </w:pPr>
            <w:r>
              <w:rPr>
                <w:rFonts w:ascii="宋体" w:hAnsi="宋体" w:cs="宋体" w:eastAsia="宋体" w:hint="default"/>
                <w:sz w:val="18"/>
                <w:szCs w:val="18"/>
              </w:rPr>
              <w:t>湿度传感器</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2016-7-8</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w:t>
            </w:r>
            <w:r>
              <w:rPr>
                <w:rFonts w:ascii="宋体" w:hAnsi="宋体" w:cs="宋体" w:eastAsia="宋体" w:hint="default"/>
                <w:sz w:val="20"/>
                <w:szCs w:val="20"/>
              </w:rPr>
              <w:t>年</w:t>
            </w:r>
          </w:p>
        </w:tc>
        <w:tc>
          <w:tcPr>
            <w:tcW w:w="1045"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苏州能斯达</w:t>
            </w:r>
          </w:p>
        </w:tc>
      </w:tr>
      <w:tr>
        <w:trPr>
          <w:trHeight w:val="432" w:hRule="exact"/>
        </w:trPr>
        <w:tc>
          <w:tcPr>
            <w:tcW w:w="395"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sz w:val="18"/>
              </w:rPr>
              <w:t>27</w:t>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201630579162.5</w:t>
            </w:r>
          </w:p>
        </w:tc>
        <w:tc>
          <w:tcPr>
            <w:tcW w:w="42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left"/>
              <w:rPr>
                <w:rFonts w:ascii="宋体" w:hAnsi="宋体" w:cs="宋体" w:eastAsia="宋体" w:hint="default"/>
                <w:sz w:val="18"/>
                <w:szCs w:val="18"/>
              </w:rPr>
            </w:pPr>
            <w:r>
              <w:rPr>
                <w:rFonts w:ascii="宋体" w:hAnsi="宋体" w:cs="宋体" w:eastAsia="宋体" w:hint="default"/>
                <w:sz w:val="18"/>
                <w:szCs w:val="18"/>
              </w:rPr>
              <w:t>空气检测仪（台式）</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2016-11-28</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w:t>
            </w:r>
            <w:r>
              <w:rPr>
                <w:rFonts w:ascii="宋体" w:hAnsi="宋体" w:cs="宋体" w:eastAsia="宋体" w:hint="default"/>
                <w:sz w:val="20"/>
                <w:szCs w:val="20"/>
              </w:rPr>
              <w:t>年</w:t>
            </w:r>
          </w:p>
        </w:tc>
        <w:tc>
          <w:tcPr>
            <w:tcW w:w="1045"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苏州能斯达</w:t>
            </w:r>
          </w:p>
        </w:tc>
      </w:tr>
      <w:tr>
        <w:trPr>
          <w:trHeight w:val="432" w:hRule="exact"/>
        </w:trPr>
        <w:tc>
          <w:tcPr>
            <w:tcW w:w="395"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sz w:val="18"/>
              </w:rPr>
              <w:t>28</w:t>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201630579487.3</w:t>
            </w:r>
          </w:p>
        </w:tc>
        <w:tc>
          <w:tcPr>
            <w:tcW w:w="42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left"/>
              <w:rPr>
                <w:rFonts w:ascii="宋体" w:hAnsi="宋体" w:cs="宋体" w:eastAsia="宋体" w:hint="default"/>
                <w:sz w:val="18"/>
                <w:szCs w:val="18"/>
              </w:rPr>
            </w:pPr>
            <w:r>
              <w:rPr>
                <w:rFonts w:ascii="宋体" w:hAnsi="宋体" w:cs="宋体" w:eastAsia="宋体" w:hint="default"/>
                <w:sz w:val="18"/>
                <w:szCs w:val="18"/>
              </w:rPr>
              <w:t>手持式检测仪（便携式）</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2016-11-28</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w:t>
            </w:r>
            <w:r>
              <w:rPr>
                <w:rFonts w:ascii="宋体" w:hAnsi="宋体" w:cs="宋体" w:eastAsia="宋体" w:hint="default"/>
                <w:sz w:val="20"/>
                <w:szCs w:val="20"/>
              </w:rPr>
              <w:t>年</w:t>
            </w:r>
          </w:p>
        </w:tc>
        <w:tc>
          <w:tcPr>
            <w:tcW w:w="1045"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苏州能斯达</w:t>
            </w:r>
          </w:p>
        </w:tc>
      </w:tr>
      <w:tr>
        <w:trPr>
          <w:trHeight w:val="432" w:hRule="exact"/>
        </w:trPr>
        <w:tc>
          <w:tcPr>
            <w:tcW w:w="395"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sz w:val="18"/>
              </w:rPr>
              <w:t>29</w:t>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201621298778.6</w:t>
            </w:r>
          </w:p>
        </w:tc>
        <w:tc>
          <w:tcPr>
            <w:tcW w:w="42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left"/>
              <w:rPr>
                <w:rFonts w:ascii="宋体" w:hAnsi="宋体" w:cs="宋体" w:eastAsia="宋体" w:hint="default"/>
                <w:sz w:val="18"/>
                <w:szCs w:val="18"/>
              </w:rPr>
            </w:pPr>
            <w:r>
              <w:rPr>
                <w:rFonts w:ascii="宋体" w:hAnsi="宋体" w:cs="宋体" w:eastAsia="宋体" w:hint="default"/>
                <w:sz w:val="18"/>
                <w:szCs w:val="18"/>
              </w:rPr>
              <w:t>一种空气净化检测装置及系统</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2016-11-30</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w:t>
            </w:r>
            <w:r>
              <w:rPr>
                <w:rFonts w:ascii="宋体" w:hAnsi="宋体" w:cs="宋体" w:eastAsia="宋体" w:hint="default"/>
                <w:sz w:val="20"/>
                <w:szCs w:val="20"/>
              </w:rPr>
              <w:t>年</w:t>
            </w:r>
          </w:p>
        </w:tc>
        <w:tc>
          <w:tcPr>
            <w:tcW w:w="1045"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苏州能斯达</w:t>
            </w:r>
          </w:p>
        </w:tc>
      </w:tr>
      <w:tr>
        <w:trPr>
          <w:trHeight w:val="432" w:hRule="exact"/>
        </w:trPr>
        <w:tc>
          <w:tcPr>
            <w:tcW w:w="395"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sz w:val="18"/>
              </w:rPr>
              <w:t>30</w:t>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201621488796.0</w:t>
            </w:r>
          </w:p>
        </w:tc>
        <w:tc>
          <w:tcPr>
            <w:tcW w:w="42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left"/>
              <w:rPr>
                <w:rFonts w:ascii="宋体" w:hAnsi="宋体" w:cs="宋体" w:eastAsia="宋体" w:hint="default"/>
                <w:sz w:val="18"/>
                <w:szCs w:val="18"/>
              </w:rPr>
            </w:pPr>
            <w:r>
              <w:rPr>
                <w:rFonts w:ascii="宋体" w:hAnsi="宋体" w:cs="宋体" w:eastAsia="宋体" w:hint="default"/>
                <w:sz w:val="18"/>
                <w:szCs w:val="18"/>
              </w:rPr>
              <w:t>一种检测脚部运动的智能穿戴设备</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2016/12/30</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045"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苏州能斯达</w:t>
            </w:r>
          </w:p>
        </w:tc>
      </w:tr>
      <w:tr>
        <w:trPr>
          <w:trHeight w:val="432" w:hRule="exact"/>
        </w:trPr>
        <w:tc>
          <w:tcPr>
            <w:tcW w:w="395"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sz w:val="18"/>
              </w:rPr>
              <w:t>31</w:t>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201621113919.2</w:t>
            </w:r>
          </w:p>
        </w:tc>
        <w:tc>
          <w:tcPr>
            <w:tcW w:w="42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left"/>
              <w:rPr>
                <w:rFonts w:ascii="宋体" w:hAnsi="宋体" w:cs="宋体" w:eastAsia="宋体" w:hint="default"/>
                <w:sz w:val="18"/>
                <w:szCs w:val="18"/>
              </w:rPr>
            </w:pPr>
            <w:r>
              <w:rPr>
                <w:rFonts w:ascii="宋体" w:hAnsi="宋体" w:cs="宋体" w:eastAsia="宋体" w:hint="default"/>
                <w:sz w:val="18"/>
                <w:szCs w:val="18"/>
              </w:rPr>
              <w:t>一种生物滴滤塔</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2016-10-11</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045"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上海嘉园</w:t>
            </w:r>
          </w:p>
        </w:tc>
      </w:tr>
      <w:tr>
        <w:trPr>
          <w:trHeight w:val="432" w:hRule="exact"/>
        </w:trPr>
        <w:tc>
          <w:tcPr>
            <w:tcW w:w="395"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sz w:val="18"/>
              </w:rPr>
              <w:t>32</w:t>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201621193746.X</w:t>
            </w:r>
          </w:p>
        </w:tc>
        <w:tc>
          <w:tcPr>
            <w:tcW w:w="42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left"/>
              <w:rPr>
                <w:rFonts w:ascii="宋体" w:hAnsi="宋体" w:cs="宋体" w:eastAsia="宋体" w:hint="default"/>
                <w:sz w:val="18"/>
                <w:szCs w:val="18"/>
              </w:rPr>
            </w:pPr>
            <w:r>
              <w:rPr>
                <w:rFonts w:ascii="宋体" w:hAnsi="宋体" w:cs="宋体" w:eastAsia="宋体" w:hint="default"/>
                <w:sz w:val="18"/>
                <w:szCs w:val="18"/>
              </w:rPr>
              <w:t>一种带有刮泥机的构建物</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2016-10-28</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045"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上海嘉园</w:t>
            </w:r>
          </w:p>
        </w:tc>
      </w:tr>
      <w:tr>
        <w:trPr>
          <w:trHeight w:val="432" w:hRule="exact"/>
        </w:trPr>
        <w:tc>
          <w:tcPr>
            <w:tcW w:w="395"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sz w:val="18"/>
              </w:rPr>
              <w:t>33</w:t>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201621421923.5</w:t>
            </w:r>
          </w:p>
        </w:tc>
        <w:tc>
          <w:tcPr>
            <w:tcW w:w="42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left"/>
              <w:rPr>
                <w:rFonts w:ascii="宋体" w:hAnsi="宋体" w:cs="宋体" w:eastAsia="宋体" w:hint="default"/>
                <w:sz w:val="18"/>
                <w:szCs w:val="18"/>
              </w:rPr>
            </w:pPr>
            <w:r>
              <w:rPr>
                <w:rFonts w:ascii="宋体" w:hAnsi="宋体" w:cs="宋体" w:eastAsia="宋体" w:hint="default"/>
                <w:sz w:val="18"/>
                <w:szCs w:val="18"/>
              </w:rPr>
              <w:t>一种基于芬顿反应的浓缩液处理自控装置</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2016-12-23</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045"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嘉园环保</w:t>
            </w:r>
          </w:p>
        </w:tc>
      </w:tr>
      <w:tr>
        <w:trPr>
          <w:trHeight w:val="432" w:hRule="exact"/>
        </w:trPr>
        <w:tc>
          <w:tcPr>
            <w:tcW w:w="395"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sz w:val="18"/>
              </w:rPr>
              <w:t>34</w:t>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201621421883.4</w:t>
            </w:r>
          </w:p>
        </w:tc>
        <w:tc>
          <w:tcPr>
            <w:tcW w:w="42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left"/>
              <w:rPr>
                <w:rFonts w:ascii="宋体" w:hAnsi="宋体" w:cs="宋体" w:eastAsia="宋体" w:hint="default"/>
                <w:sz w:val="18"/>
                <w:szCs w:val="18"/>
              </w:rPr>
            </w:pPr>
            <w:r>
              <w:rPr>
                <w:rFonts w:ascii="宋体" w:hAnsi="宋体" w:cs="宋体" w:eastAsia="宋体" w:hint="default"/>
                <w:sz w:val="18"/>
                <w:szCs w:val="18"/>
              </w:rPr>
              <w:t>一种高温混流换热设备</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2016-12-23</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045"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嘉园环保</w:t>
            </w:r>
          </w:p>
        </w:tc>
      </w:tr>
      <w:tr>
        <w:trPr>
          <w:trHeight w:val="432" w:hRule="exact"/>
        </w:trPr>
        <w:tc>
          <w:tcPr>
            <w:tcW w:w="395"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sz w:val="18"/>
              </w:rPr>
              <w:t>35</w:t>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201621421901.9</w:t>
            </w:r>
          </w:p>
        </w:tc>
        <w:tc>
          <w:tcPr>
            <w:tcW w:w="42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left"/>
              <w:rPr>
                <w:rFonts w:ascii="宋体" w:hAnsi="宋体" w:cs="宋体" w:eastAsia="宋体" w:hint="default"/>
                <w:sz w:val="18"/>
                <w:szCs w:val="18"/>
              </w:rPr>
            </w:pPr>
            <w:r>
              <w:rPr>
                <w:rFonts w:ascii="宋体" w:hAnsi="宋体" w:cs="宋体" w:eastAsia="宋体" w:hint="default"/>
                <w:sz w:val="18"/>
                <w:szCs w:val="18"/>
              </w:rPr>
              <w:t>焚烧厂垃圾渗滤液处理系统的辅助装置</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2016-12-23</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045"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嘉园环保</w:t>
            </w:r>
          </w:p>
        </w:tc>
      </w:tr>
      <w:tr>
        <w:trPr>
          <w:trHeight w:val="432" w:hRule="exact"/>
        </w:trPr>
        <w:tc>
          <w:tcPr>
            <w:tcW w:w="395"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sz w:val="18"/>
              </w:rPr>
              <w:t>36</w:t>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201621444395.5</w:t>
            </w:r>
          </w:p>
        </w:tc>
        <w:tc>
          <w:tcPr>
            <w:tcW w:w="42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left"/>
              <w:rPr>
                <w:rFonts w:ascii="宋体" w:hAnsi="宋体" w:cs="宋体" w:eastAsia="宋体" w:hint="default"/>
                <w:sz w:val="18"/>
                <w:szCs w:val="18"/>
              </w:rPr>
            </w:pPr>
            <w:r>
              <w:rPr>
                <w:rFonts w:ascii="宋体" w:hAnsi="宋体" w:cs="宋体" w:eastAsia="宋体" w:hint="default"/>
                <w:sz w:val="18"/>
                <w:szCs w:val="18"/>
              </w:rPr>
              <w:t>一种带余热回用的蓄热式焚烧炉</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2016-12-27</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045"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嘉园环保</w:t>
            </w:r>
          </w:p>
        </w:tc>
      </w:tr>
      <w:tr>
        <w:trPr>
          <w:trHeight w:val="437" w:hRule="exact"/>
        </w:trPr>
        <w:tc>
          <w:tcPr>
            <w:tcW w:w="395" w:type="dxa"/>
            <w:tcBorders>
              <w:top w:val="single" w:sz="8" w:space="0" w:color="000000"/>
              <w:left w:val="single" w:sz="12" w:space="0" w:color="000000"/>
              <w:bottom w:val="single" w:sz="12" w:space="0" w:color="000000"/>
              <w:right w:val="single" w:sz="8"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sz w:val="18"/>
              </w:rPr>
              <w:t>37</w:t>
            </w:r>
          </w:p>
        </w:tc>
        <w:tc>
          <w:tcPr>
            <w:tcW w:w="1306"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sz w:val="18"/>
              </w:rPr>
              <w:t>201621421924.X</w:t>
            </w:r>
          </w:p>
        </w:tc>
        <w:tc>
          <w:tcPr>
            <w:tcW w:w="4224"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2"/>
              <w:ind w:left="1" w:right="0"/>
              <w:jc w:val="left"/>
              <w:rPr>
                <w:rFonts w:ascii="宋体" w:hAnsi="宋体" w:cs="宋体" w:eastAsia="宋体" w:hint="default"/>
                <w:sz w:val="18"/>
                <w:szCs w:val="18"/>
              </w:rPr>
            </w:pPr>
            <w:r>
              <w:rPr>
                <w:rFonts w:ascii="宋体" w:hAnsi="宋体" w:cs="宋体" w:eastAsia="宋体" w:hint="default"/>
                <w:sz w:val="18"/>
                <w:szCs w:val="18"/>
              </w:rPr>
              <w:t>一种微孔曝气式的双层节能型氧化沟</w:t>
            </w:r>
          </w:p>
        </w:tc>
        <w:tc>
          <w:tcPr>
            <w:tcW w:w="85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992"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2016-12-23</w:t>
            </w:r>
          </w:p>
        </w:tc>
        <w:tc>
          <w:tcPr>
            <w:tcW w:w="85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045" w:type="dxa"/>
            <w:tcBorders>
              <w:top w:val="single" w:sz="8" w:space="0" w:color="000000"/>
              <w:left w:val="single" w:sz="8" w:space="0" w:color="000000"/>
              <w:bottom w:val="single" w:sz="12" w:space="0" w:color="000000"/>
              <w:right w:val="single" w:sz="12"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福建恒嘉</w:t>
            </w:r>
          </w:p>
        </w:tc>
      </w:tr>
    </w:tbl>
    <w:p>
      <w:pPr>
        <w:pStyle w:val="BodyText"/>
        <w:spacing w:line="240" w:lineRule="auto" w:before="63"/>
        <w:ind w:left="1554" w:right="0"/>
        <w:jc w:val="left"/>
      </w:pPr>
      <w:r>
        <w:rPr/>
        <w:t>（</w:t>
      </w:r>
      <w:r>
        <w:rPr>
          <w:rFonts w:ascii="宋体" w:hAnsi="宋体" w:cs="宋体" w:eastAsia="宋体" w:hint="default"/>
        </w:rPr>
        <w:t>2</w:t>
      </w:r>
      <w:r>
        <w:rPr/>
        <w:t>）报告期内，公司及子公司新增软件著作权情况：</w:t>
      </w:r>
    </w:p>
    <w:p>
      <w:pPr>
        <w:spacing w:line="240" w:lineRule="auto" w:before="12"/>
        <w:rPr>
          <w:rFonts w:ascii="宋体" w:hAnsi="宋体" w:cs="宋体" w:eastAsia="宋体" w:hint="default"/>
          <w:sz w:val="9"/>
          <w:szCs w:val="9"/>
        </w:rPr>
      </w:pPr>
    </w:p>
    <w:tbl>
      <w:tblPr>
        <w:tblW w:w="0" w:type="auto"/>
        <w:jc w:val="left"/>
        <w:tblInd w:w="1113" w:type="dxa"/>
        <w:tblLayout w:type="fixed"/>
        <w:tblCellMar>
          <w:top w:w="0" w:type="dxa"/>
          <w:left w:w="0" w:type="dxa"/>
          <w:bottom w:w="0" w:type="dxa"/>
          <w:right w:w="0" w:type="dxa"/>
        </w:tblCellMar>
        <w:tblLook w:val="01E0"/>
      </w:tblPr>
      <w:tblGrid>
        <w:gridCol w:w="393"/>
        <w:gridCol w:w="4570"/>
        <w:gridCol w:w="1274"/>
        <w:gridCol w:w="960"/>
        <w:gridCol w:w="851"/>
        <w:gridCol w:w="851"/>
        <w:gridCol w:w="759"/>
      </w:tblGrid>
      <w:tr>
        <w:trPr>
          <w:trHeight w:val="357" w:hRule="exact"/>
        </w:trPr>
        <w:tc>
          <w:tcPr>
            <w:tcW w:w="393" w:type="dxa"/>
            <w:tcBorders>
              <w:top w:val="single" w:sz="12" w:space="0" w:color="000000"/>
              <w:left w:val="single" w:sz="12" w:space="0" w:color="000000"/>
              <w:bottom w:val="single" w:sz="8" w:space="0" w:color="000000"/>
              <w:right w:val="single" w:sz="8"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4570" w:type="dxa"/>
            <w:tcBorders>
              <w:top w:val="single" w:sz="12"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著作权名称</w:t>
            </w:r>
          </w:p>
        </w:tc>
        <w:tc>
          <w:tcPr>
            <w:tcW w:w="1274" w:type="dxa"/>
            <w:tcBorders>
              <w:top w:val="single" w:sz="12"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著作权号</w:t>
            </w:r>
          </w:p>
        </w:tc>
        <w:tc>
          <w:tcPr>
            <w:tcW w:w="960" w:type="dxa"/>
            <w:tcBorders>
              <w:top w:val="single" w:sz="12"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申请日</w:t>
            </w:r>
          </w:p>
        </w:tc>
        <w:tc>
          <w:tcPr>
            <w:tcW w:w="851" w:type="dxa"/>
            <w:tcBorders>
              <w:top w:val="single" w:sz="12"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保护期限</w:t>
            </w:r>
          </w:p>
        </w:tc>
        <w:tc>
          <w:tcPr>
            <w:tcW w:w="851" w:type="dxa"/>
            <w:tcBorders>
              <w:top w:val="single" w:sz="12"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54"/>
              <w:jc w:val="right"/>
              <w:rPr>
                <w:rFonts w:ascii="宋体" w:hAnsi="宋体" w:cs="宋体" w:eastAsia="宋体" w:hint="default"/>
                <w:sz w:val="18"/>
                <w:szCs w:val="18"/>
              </w:rPr>
            </w:pPr>
            <w:r>
              <w:rPr>
                <w:rFonts w:ascii="宋体" w:hAnsi="宋体" w:cs="宋体" w:eastAsia="宋体" w:hint="default"/>
                <w:sz w:val="18"/>
                <w:szCs w:val="18"/>
              </w:rPr>
              <w:t>取得方式</w:t>
            </w:r>
          </w:p>
        </w:tc>
        <w:tc>
          <w:tcPr>
            <w:tcW w:w="759" w:type="dxa"/>
            <w:tcBorders>
              <w:top w:val="single" w:sz="12" w:space="0" w:color="000000"/>
              <w:left w:val="single" w:sz="8" w:space="0" w:color="000000"/>
              <w:bottom w:val="single" w:sz="8" w:space="0" w:color="000000"/>
              <w:right w:val="single" w:sz="12" w:space="0" w:color="000000"/>
            </w:tcBorders>
            <w:shd w:val="clear" w:color="auto" w:fill="D9D9D9"/>
          </w:tcPr>
          <w:p>
            <w:pPr>
              <w:pStyle w:val="TableParagraph"/>
              <w:spacing w:line="240" w:lineRule="auto" w:before="21"/>
              <w:ind w:right="5"/>
              <w:jc w:val="right"/>
              <w:rPr>
                <w:rFonts w:ascii="宋体" w:hAnsi="宋体" w:cs="宋体" w:eastAsia="宋体" w:hint="default"/>
                <w:sz w:val="18"/>
                <w:szCs w:val="18"/>
              </w:rPr>
            </w:pPr>
            <w:r>
              <w:rPr>
                <w:rFonts w:ascii="宋体" w:hAnsi="宋体" w:cs="宋体" w:eastAsia="宋体" w:hint="default"/>
                <w:sz w:val="18"/>
                <w:szCs w:val="18"/>
              </w:rPr>
              <w:t>所有权人</w:t>
            </w:r>
          </w:p>
        </w:tc>
      </w:tr>
      <w:tr>
        <w:trPr>
          <w:trHeight w:val="437" w:hRule="exact"/>
        </w:trPr>
        <w:tc>
          <w:tcPr>
            <w:tcW w:w="393" w:type="dxa"/>
            <w:tcBorders>
              <w:top w:val="single" w:sz="8" w:space="0" w:color="000000"/>
              <w:left w:val="single" w:sz="12" w:space="0" w:color="000000"/>
              <w:bottom w:val="single" w:sz="12" w:space="0" w:color="000000"/>
              <w:right w:val="single" w:sz="8"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w:t>
            </w:r>
          </w:p>
        </w:tc>
        <w:tc>
          <w:tcPr>
            <w:tcW w:w="457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2"/>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市政小灵通安卓客户端软件</w:t>
            </w:r>
            <w:r>
              <w:rPr>
                <w:rFonts w:ascii="Times New Roman" w:hAnsi="Times New Roman" w:cs="Times New Roman" w:eastAsia="Times New Roman" w:hint="default"/>
                <w:sz w:val="18"/>
                <w:szCs w:val="18"/>
              </w:rPr>
              <w:t>V1.0</w:t>
            </w:r>
          </w:p>
        </w:tc>
        <w:tc>
          <w:tcPr>
            <w:tcW w:w="1274"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2017SR166729</w:t>
            </w:r>
          </w:p>
        </w:tc>
        <w:tc>
          <w:tcPr>
            <w:tcW w:w="96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2017-5-9</w:t>
            </w:r>
          </w:p>
        </w:tc>
        <w:tc>
          <w:tcPr>
            <w:tcW w:w="85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85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1"/>
              <w:ind w:right="54"/>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759" w:type="dxa"/>
            <w:tcBorders>
              <w:top w:val="single" w:sz="8" w:space="0" w:color="000000"/>
              <w:left w:val="single" w:sz="8" w:space="0" w:color="000000"/>
              <w:bottom w:val="single" w:sz="12" w:space="0" w:color="000000"/>
              <w:right w:val="single" w:sz="12" w:space="0" w:color="000000"/>
            </w:tcBorders>
          </w:tcPr>
          <w:p>
            <w:pPr>
              <w:pStyle w:val="TableParagraph"/>
              <w:spacing w:line="240" w:lineRule="auto" w:before="61"/>
              <w:ind w:right="5"/>
              <w:jc w:val="right"/>
              <w:rPr>
                <w:rFonts w:ascii="宋体" w:hAnsi="宋体" w:cs="宋体" w:eastAsia="宋体" w:hint="default"/>
                <w:sz w:val="18"/>
                <w:szCs w:val="18"/>
              </w:rPr>
            </w:pPr>
            <w:r>
              <w:rPr>
                <w:rFonts w:ascii="宋体" w:hAnsi="宋体" w:cs="宋体" w:eastAsia="宋体" w:hint="default"/>
                <w:sz w:val="18"/>
                <w:szCs w:val="18"/>
              </w:rPr>
              <w:t>畅威物联</w:t>
            </w:r>
          </w:p>
        </w:tc>
      </w:tr>
    </w:tbl>
    <w:p>
      <w:pPr>
        <w:spacing w:after="0" w:line="240" w:lineRule="auto"/>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13" w:type="dxa"/>
        <w:tblLayout w:type="fixed"/>
        <w:tblCellMar>
          <w:top w:w="0" w:type="dxa"/>
          <w:left w:w="0" w:type="dxa"/>
          <w:bottom w:w="0" w:type="dxa"/>
          <w:right w:w="0" w:type="dxa"/>
        </w:tblCellMar>
        <w:tblLook w:val="01E0"/>
      </w:tblPr>
      <w:tblGrid>
        <w:gridCol w:w="393"/>
        <w:gridCol w:w="4570"/>
        <w:gridCol w:w="1274"/>
        <w:gridCol w:w="960"/>
        <w:gridCol w:w="851"/>
        <w:gridCol w:w="851"/>
        <w:gridCol w:w="759"/>
      </w:tblGrid>
      <w:tr>
        <w:trPr>
          <w:trHeight w:val="436" w:hRule="exact"/>
        </w:trPr>
        <w:tc>
          <w:tcPr>
            <w:tcW w:w="393" w:type="dxa"/>
            <w:tcBorders>
              <w:top w:val="single" w:sz="12" w:space="0" w:color="000000"/>
              <w:left w:val="single" w:sz="12" w:space="0" w:color="000000"/>
              <w:bottom w:val="single" w:sz="8" w:space="0" w:color="000000"/>
              <w:right w:val="single" w:sz="8" w:space="0" w:color="000000"/>
            </w:tcBorders>
          </w:tcPr>
          <w:p>
            <w:pPr>
              <w:pStyle w:val="TableParagraph"/>
              <w:spacing w:line="240" w:lineRule="auto" w:before="100"/>
              <w:ind w:right="138"/>
              <w:jc w:val="right"/>
              <w:rPr>
                <w:rFonts w:ascii="Times New Roman" w:hAnsi="Times New Roman" w:cs="Times New Roman" w:eastAsia="Times New Roman" w:hint="default"/>
                <w:sz w:val="18"/>
                <w:szCs w:val="18"/>
              </w:rPr>
            </w:pPr>
            <w:r>
              <w:rPr>
                <w:rFonts w:ascii="Times New Roman"/>
                <w:sz w:val="18"/>
              </w:rPr>
              <w:t>2</w:t>
            </w:r>
          </w:p>
        </w:tc>
        <w:tc>
          <w:tcPr>
            <w:tcW w:w="457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61"/>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压力遥测仪软件</w:t>
            </w:r>
            <w:r>
              <w:rPr>
                <w:rFonts w:ascii="Times New Roman" w:hAnsi="Times New Roman" w:cs="Times New Roman" w:eastAsia="Times New Roman" w:hint="default"/>
                <w:sz w:val="18"/>
                <w:szCs w:val="18"/>
              </w:rPr>
              <w:t>V1.0</w:t>
            </w:r>
          </w:p>
        </w:tc>
        <w:tc>
          <w:tcPr>
            <w:tcW w:w="1274"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2017SR404181</w:t>
            </w:r>
          </w:p>
        </w:tc>
        <w:tc>
          <w:tcPr>
            <w:tcW w:w="96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2017-7-27</w:t>
            </w:r>
          </w:p>
        </w:tc>
        <w:tc>
          <w:tcPr>
            <w:tcW w:w="851"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851"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61"/>
              <w:ind w:right="54"/>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759" w:type="dxa"/>
            <w:tcBorders>
              <w:top w:val="single" w:sz="12" w:space="0" w:color="000000"/>
              <w:left w:val="single" w:sz="8" w:space="0" w:color="000000"/>
              <w:bottom w:val="single" w:sz="8" w:space="0" w:color="000000"/>
              <w:right w:val="single" w:sz="12" w:space="0" w:color="000000"/>
            </w:tcBorders>
          </w:tcPr>
          <w:p>
            <w:pPr>
              <w:pStyle w:val="TableParagraph"/>
              <w:spacing w:line="240" w:lineRule="auto" w:before="61"/>
              <w:ind w:right="5"/>
              <w:jc w:val="right"/>
              <w:rPr>
                <w:rFonts w:ascii="宋体" w:hAnsi="宋体" w:cs="宋体" w:eastAsia="宋体" w:hint="default"/>
                <w:sz w:val="18"/>
                <w:szCs w:val="18"/>
              </w:rPr>
            </w:pPr>
            <w:r>
              <w:rPr>
                <w:rFonts w:ascii="宋体" w:hAnsi="宋体" w:cs="宋体" w:eastAsia="宋体" w:hint="default"/>
                <w:sz w:val="18"/>
                <w:szCs w:val="18"/>
              </w:rPr>
              <w:t>畅威物联</w:t>
            </w:r>
          </w:p>
        </w:tc>
      </w:tr>
      <w:tr>
        <w:trPr>
          <w:trHeight w:val="432" w:hRule="exact"/>
        </w:trPr>
        <w:tc>
          <w:tcPr>
            <w:tcW w:w="393"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02"/>
              <w:ind w:right="138"/>
              <w:jc w:val="right"/>
              <w:rPr>
                <w:rFonts w:ascii="Times New Roman" w:hAnsi="Times New Roman" w:cs="Times New Roman" w:eastAsia="Times New Roman" w:hint="default"/>
                <w:sz w:val="18"/>
                <w:szCs w:val="18"/>
              </w:rPr>
            </w:pPr>
            <w:r>
              <w:rPr>
                <w:rFonts w:ascii="Times New Roman"/>
                <w:sz w:val="18"/>
              </w:rPr>
              <w:t>3</w:t>
            </w:r>
          </w:p>
        </w:tc>
        <w:tc>
          <w:tcPr>
            <w:tcW w:w="45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密闭空间气体监测系统</w:t>
            </w:r>
            <w:r>
              <w:rPr>
                <w:rFonts w:ascii="Times New Roman" w:hAnsi="Times New Roman" w:cs="Times New Roman" w:eastAsia="Times New Roman" w:hint="default"/>
                <w:sz w:val="18"/>
                <w:szCs w:val="18"/>
              </w:rPr>
              <w:t>V1.0</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2017SR159624</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2017-5-4</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54"/>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75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2"/>
              <w:ind w:right="5"/>
              <w:jc w:val="right"/>
              <w:rPr>
                <w:rFonts w:ascii="宋体" w:hAnsi="宋体" w:cs="宋体" w:eastAsia="宋体" w:hint="default"/>
                <w:sz w:val="18"/>
                <w:szCs w:val="18"/>
              </w:rPr>
            </w:pPr>
            <w:r>
              <w:rPr>
                <w:rFonts w:ascii="宋体" w:hAnsi="宋体" w:cs="宋体" w:eastAsia="宋体" w:hint="default"/>
                <w:sz w:val="18"/>
                <w:szCs w:val="18"/>
              </w:rPr>
              <w:t>畅威物联</w:t>
            </w:r>
          </w:p>
        </w:tc>
      </w:tr>
      <w:tr>
        <w:trPr>
          <w:trHeight w:val="432" w:hRule="exact"/>
        </w:trPr>
        <w:tc>
          <w:tcPr>
            <w:tcW w:w="393"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02"/>
              <w:ind w:right="138"/>
              <w:jc w:val="right"/>
              <w:rPr>
                <w:rFonts w:ascii="Times New Roman" w:hAnsi="Times New Roman" w:cs="Times New Roman" w:eastAsia="Times New Roman" w:hint="default"/>
                <w:sz w:val="18"/>
                <w:szCs w:val="18"/>
              </w:rPr>
            </w:pPr>
            <w:r>
              <w:rPr>
                <w:rFonts w:ascii="Times New Roman"/>
                <w:sz w:val="18"/>
              </w:rPr>
              <w:t>4</w:t>
            </w:r>
          </w:p>
        </w:tc>
        <w:tc>
          <w:tcPr>
            <w:tcW w:w="45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气体监测终端软件</w:t>
            </w:r>
            <w:r>
              <w:rPr>
                <w:rFonts w:ascii="Times New Roman" w:hAnsi="Times New Roman" w:cs="Times New Roman" w:eastAsia="Times New Roman" w:hint="default"/>
                <w:sz w:val="18"/>
                <w:szCs w:val="18"/>
              </w:rPr>
              <w:t>V1.0</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2017SR404384</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2017-7-27</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54"/>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75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2"/>
              <w:ind w:right="5"/>
              <w:jc w:val="right"/>
              <w:rPr>
                <w:rFonts w:ascii="宋体" w:hAnsi="宋体" w:cs="宋体" w:eastAsia="宋体" w:hint="default"/>
                <w:sz w:val="18"/>
                <w:szCs w:val="18"/>
              </w:rPr>
            </w:pPr>
            <w:r>
              <w:rPr>
                <w:rFonts w:ascii="宋体" w:hAnsi="宋体" w:cs="宋体" w:eastAsia="宋体" w:hint="default"/>
                <w:sz w:val="18"/>
                <w:szCs w:val="18"/>
              </w:rPr>
              <w:t>畅威物联</w:t>
            </w:r>
          </w:p>
        </w:tc>
      </w:tr>
      <w:tr>
        <w:trPr>
          <w:trHeight w:val="432" w:hRule="exact"/>
        </w:trPr>
        <w:tc>
          <w:tcPr>
            <w:tcW w:w="393"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02"/>
              <w:ind w:right="138"/>
              <w:jc w:val="right"/>
              <w:rPr>
                <w:rFonts w:ascii="Times New Roman" w:hAnsi="Times New Roman" w:cs="Times New Roman" w:eastAsia="Times New Roman" w:hint="default"/>
                <w:sz w:val="18"/>
                <w:szCs w:val="18"/>
              </w:rPr>
            </w:pPr>
            <w:r>
              <w:rPr>
                <w:rFonts w:ascii="Times New Roman"/>
                <w:sz w:val="18"/>
              </w:rPr>
              <w:t>5</w:t>
            </w:r>
          </w:p>
        </w:tc>
        <w:tc>
          <w:tcPr>
            <w:tcW w:w="45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管网压力监测系统</w:t>
            </w:r>
            <w:r>
              <w:rPr>
                <w:rFonts w:ascii="Times New Roman" w:hAnsi="Times New Roman" w:cs="Times New Roman" w:eastAsia="Times New Roman" w:hint="default"/>
                <w:sz w:val="18"/>
                <w:szCs w:val="18"/>
              </w:rPr>
              <w:t>V1.0</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2017SR159625</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2017-5-4</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54"/>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75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2"/>
              <w:ind w:right="5"/>
              <w:jc w:val="right"/>
              <w:rPr>
                <w:rFonts w:ascii="宋体" w:hAnsi="宋体" w:cs="宋体" w:eastAsia="宋体" w:hint="default"/>
                <w:sz w:val="18"/>
                <w:szCs w:val="18"/>
              </w:rPr>
            </w:pPr>
            <w:r>
              <w:rPr>
                <w:rFonts w:ascii="宋体" w:hAnsi="宋体" w:cs="宋体" w:eastAsia="宋体" w:hint="default"/>
                <w:sz w:val="18"/>
                <w:szCs w:val="18"/>
              </w:rPr>
              <w:t>畅威物联</w:t>
            </w:r>
          </w:p>
        </w:tc>
      </w:tr>
      <w:tr>
        <w:trPr>
          <w:trHeight w:val="432" w:hRule="exact"/>
        </w:trPr>
        <w:tc>
          <w:tcPr>
            <w:tcW w:w="393"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02"/>
              <w:ind w:right="138"/>
              <w:jc w:val="right"/>
              <w:rPr>
                <w:rFonts w:ascii="Times New Roman" w:hAnsi="Times New Roman" w:cs="Times New Roman" w:eastAsia="Times New Roman" w:hint="default"/>
                <w:sz w:val="18"/>
                <w:szCs w:val="18"/>
              </w:rPr>
            </w:pPr>
            <w:r>
              <w:rPr>
                <w:rFonts w:ascii="Times New Roman"/>
                <w:sz w:val="18"/>
              </w:rPr>
              <w:t>6</w:t>
            </w:r>
          </w:p>
        </w:tc>
        <w:tc>
          <w:tcPr>
            <w:tcW w:w="45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燃气管网查询系统</w:t>
            </w:r>
            <w:r>
              <w:rPr>
                <w:rFonts w:ascii="Times New Roman" w:hAnsi="Times New Roman" w:cs="Times New Roman" w:eastAsia="Times New Roman" w:hint="default"/>
                <w:sz w:val="18"/>
                <w:szCs w:val="18"/>
              </w:rPr>
              <w:t>V1.0</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2017SR159626</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2017-5-4</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54"/>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75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2"/>
              <w:ind w:right="5"/>
              <w:jc w:val="right"/>
              <w:rPr>
                <w:rFonts w:ascii="宋体" w:hAnsi="宋体" w:cs="宋体" w:eastAsia="宋体" w:hint="default"/>
                <w:sz w:val="18"/>
                <w:szCs w:val="18"/>
              </w:rPr>
            </w:pPr>
            <w:r>
              <w:rPr>
                <w:rFonts w:ascii="宋体" w:hAnsi="宋体" w:cs="宋体" w:eastAsia="宋体" w:hint="default"/>
                <w:sz w:val="18"/>
                <w:szCs w:val="18"/>
              </w:rPr>
              <w:t>畅威物联</w:t>
            </w:r>
          </w:p>
        </w:tc>
      </w:tr>
      <w:tr>
        <w:trPr>
          <w:trHeight w:val="432" w:hRule="exact"/>
        </w:trPr>
        <w:tc>
          <w:tcPr>
            <w:tcW w:w="393"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02"/>
              <w:ind w:right="138"/>
              <w:jc w:val="right"/>
              <w:rPr>
                <w:rFonts w:ascii="Times New Roman" w:hAnsi="Times New Roman" w:cs="Times New Roman" w:eastAsia="Times New Roman" w:hint="default"/>
                <w:sz w:val="18"/>
                <w:szCs w:val="18"/>
              </w:rPr>
            </w:pPr>
            <w:r>
              <w:rPr>
                <w:rFonts w:ascii="Times New Roman"/>
                <w:sz w:val="18"/>
              </w:rPr>
              <w:t>7</w:t>
            </w:r>
          </w:p>
        </w:tc>
        <w:tc>
          <w:tcPr>
            <w:tcW w:w="45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无线型固定式多参数监测仪软件</w:t>
            </w:r>
            <w:r>
              <w:rPr>
                <w:rFonts w:ascii="Times New Roman" w:hAnsi="Times New Roman" w:cs="Times New Roman" w:eastAsia="Times New Roman" w:hint="default"/>
                <w:sz w:val="18"/>
                <w:szCs w:val="18"/>
              </w:rPr>
              <w:t>V1.0</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2017SR464216</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2017-8-22</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54"/>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75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2"/>
              <w:ind w:right="5"/>
              <w:jc w:val="right"/>
              <w:rPr>
                <w:rFonts w:ascii="宋体" w:hAnsi="宋体" w:cs="宋体" w:eastAsia="宋体" w:hint="default"/>
                <w:sz w:val="18"/>
                <w:szCs w:val="18"/>
              </w:rPr>
            </w:pPr>
            <w:r>
              <w:rPr>
                <w:rFonts w:ascii="宋体" w:hAnsi="宋体" w:cs="宋体" w:eastAsia="宋体" w:hint="default"/>
                <w:sz w:val="18"/>
                <w:szCs w:val="18"/>
              </w:rPr>
              <w:t>畅威物联</w:t>
            </w:r>
          </w:p>
        </w:tc>
      </w:tr>
      <w:tr>
        <w:trPr>
          <w:trHeight w:val="432" w:hRule="exact"/>
        </w:trPr>
        <w:tc>
          <w:tcPr>
            <w:tcW w:w="393"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02"/>
              <w:ind w:right="138"/>
              <w:jc w:val="right"/>
              <w:rPr>
                <w:rFonts w:ascii="Times New Roman" w:hAnsi="Times New Roman" w:cs="Times New Roman" w:eastAsia="Times New Roman" w:hint="default"/>
                <w:sz w:val="18"/>
                <w:szCs w:val="18"/>
              </w:rPr>
            </w:pPr>
            <w:r>
              <w:rPr>
                <w:rFonts w:ascii="Times New Roman"/>
                <w:sz w:val="18"/>
              </w:rPr>
              <w:t>8</w:t>
            </w:r>
          </w:p>
        </w:tc>
        <w:tc>
          <w:tcPr>
            <w:tcW w:w="45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燃气管网信息综合管理平台</w:t>
            </w:r>
            <w:r>
              <w:rPr>
                <w:rFonts w:ascii="Times New Roman" w:hAnsi="Times New Roman" w:cs="Times New Roman" w:eastAsia="Times New Roman" w:hint="default"/>
                <w:sz w:val="18"/>
                <w:szCs w:val="18"/>
              </w:rPr>
              <w:t>V1.0</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2017SR156293</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2017-5-4</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54"/>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75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2"/>
              <w:ind w:right="5"/>
              <w:jc w:val="right"/>
              <w:rPr>
                <w:rFonts w:ascii="宋体" w:hAnsi="宋体" w:cs="宋体" w:eastAsia="宋体" w:hint="default"/>
                <w:sz w:val="18"/>
                <w:szCs w:val="18"/>
              </w:rPr>
            </w:pPr>
            <w:r>
              <w:rPr>
                <w:rFonts w:ascii="宋体" w:hAnsi="宋体" w:cs="宋体" w:eastAsia="宋体" w:hint="default"/>
                <w:sz w:val="18"/>
                <w:szCs w:val="18"/>
              </w:rPr>
              <w:t>畅威物联</w:t>
            </w:r>
          </w:p>
        </w:tc>
      </w:tr>
      <w:tr>
        <w:trPr>
          <w:trHeight w:val="432" w:hRule="exact"/>
        </w:trPr>
        <w:tc>
          <w:tcPr>
            <w:tcW w:w="393"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02"/>
              <w:ind w:right="138"/>
              <w:jc w:val="right"/>
              <w:rPr>
                <w:rFonts w:ascii="Times New Roman" w:hAnsi="Times New Roman" w:cs="Times New Roman" w:eastAsia="Times New Roman" w:hint="default"/>
                <w:sz w:val="18"/>
                <w:szCs w:val="18"/>
              </w:rPr>
            </w:pPr>
            <w:r>
              <w:rPr>
                <w:rFonts w:ascii="Times New Roman"/>
                <w:sz w:val="18"/>
              </w:rPr>
              <w:t>9</w:t>
            </w:r>
          </w:p>
        </w:tc>
        <w:tc>
          <w:tcPr>
            <w:tcW w:w="45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雪城干部信息管理系统</w:t>
            </w:r>
            <w:r>
              <w:rPr>
                <w:rFonts w:ascii="Times New Roman" w:hAnsi="Times New Roman" w:cs="Times New Roman" w:eastAsia="Times New Roman" w:hint="default"/>
                <w:sz w:val="18"/>
                <w:szCs w:val="18"/>
              </w:rPr>
              <w:t>V1.0</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2017SR025182</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2017-01-24</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54"/>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75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2"/>
              <w:ind w:right="5"/>
              <w:jc w:val="right"/>
              <w:rPr>
                <w:rFonts w:ascii="宋体" w:hAnsi="宋体" w:cs="宋体" w:eastAsia="宋体" w:hint="default"/>
                <w:sz w:val="18"/>
                <w:szCs w:val="18"/>
              </w:rPr>
            </w:pPr>
            <w:r>
              <w:rPr>
                <w:rFonts w:ascii="宋体" w:hAnsi="宋体" w:cs="宋体" w:eastAsia="宋体" w:hint="default"/>
                <w:sz w:val="18"/>
                <w:szCs w:val="18"/>
              </w:rPr>
              <w:t>雪城软件</w:t>
            </w:r>
          </w:p>
        </w:tc>
      </w:tr>
      <w:tr>
        <w:trPr>
          <w:trHeight w:val="432" w:hRule="exact"/>
        </w:trPr>
        <w:tc>
          <w:tcPr>
            <w:tcW w:w="393"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02"/>
              <w:ind w:right="92"/>
              <w:jc w:val="right"/>
              <w:rPr>
                <w:rFonts w:ascii="Times New Roman" w:hAnsi="Times New Roman" w:cs="Times New Roman" w:eastAsia="Times New Roman" w:hint="default"/>
                <w:sz w:val="18"/>
                <w:szCs w:val="18"/>
              </w:rPr>
            </w:pPr>
            <w:r>
              <w:rPr>
                <w:rFonts w:ascii="Times New Roman"/>
                <w:sz w:val="18"/>
              </w:rPr>
              <w:t>10</w:t>
            </w:r>
          </w:p>
        </w:tc>
        <w:tc>
          <w:tcPr>
            <w:tcW w:w="45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雪城机动车尾气监测监控平台</w:t>
            </w:r>
            <w:r>
              <w:rPr>
                <w:rFonts w:ascii="Times New Roman" w:hAnsi="Times New Roman" w:cs="Times New Roman" w:eastAsia="Times New Roman" w:hint="default"/>
                <w:sz w:val="18"/>
                <w:szCs w:val="18"/>
              </w:rPr>
              <w:t>V1.0</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2017SR023491</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2017-01-23</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54"/>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75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2"/>
              <w:ind w:right="5"/>
              <w:jc w:val="right"/>
              <w:rPr>
                <w:rFonts w:ascii="宋体" w:hAnsi="宋体" w:cs="宋体" w:eastAsia="宋体" w:hint="default"/>
                <w:sz w:val="18"/>
                <w:szCs w:val="18"/>
              </w:rPr>
            </w:pPr>
            <w:r>
              <w:rPr>
                <w:rFonts w:ascii="宋体" w:hAnsi="宋体" w:cs="宋体" w:eastAsia="宋体" w:hint="default"/>
                <w:sz w:val="18"/>
                <w:szCs w:val="18"/>
              </w:rPr>
              <w:t>雪城软件</w:t>
            </w:r>
          </w:p>
        </w:tc>
      </w:tr>
      <w:tr>
        <w:trPr>
          <w:trHeight w:val="432" w:hRule="exact"/>
        </w:trPr>
        <w:tc>
          <w:tcPr>
            <w:tcW w:w="393"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02"/>
              <w:ind w:right="92"/>
              <w:jc w:val="right"/>
              <w:rPr>
                <w:rFonts w:ascii="Times New Roman" w:hAnsi="Times New Roman" w:cs="Times New Roman" w:eastAsia="Times New Roman" w:hint="default"/>
                <w:sz w:val="18"/>
                <w:szCs w:val="18"/>
              </w:rPr>
            </w:pPr>
            <w:r>
              <w:rPr>
                <w:rFonts w:ascii="Times New Roman"/>
                <w:sz w:val="18"/>
              </w:rPr>
              <w:t>11</w:t>
            </w:r>
          </w:p>
        </w:tc>
        <w:tc>
          <w:tcPr>
            <w:tcW w:w="45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雪城</w:t>
            </w:r>
            <w:r>
              <w:rPr>
                <w:rFonts w:ascii="Times New Roman" w:hAnsi="Times New Roman" w:cs="Times New Roman" w:eastAsia="Times New Roman" w:hint="default"/>
                <w:sz w:val="18"/>
                <w:szCs w:val="18"/>
              </w:rPr>
              <w:t>VOCs</w:t>
            </w:r>
            <w:r>
              <w:rPr>
                <w:rFonts w:ascii="宋体" w:hAnsi="宋体" w:cs="宋体" w:eastAsia="宋体" w:hint="default"/>
                <w:sz w:val="18"/>
                <w:szCs w:val="18"/>
              </w:rPr>
              <w:t>监测管理平台</w:t>
            </w:r>
            <w:r>
              <w:rPr>
                <w:rFonts w:ascii="Times New Roman" w:hAnsi="Times New Roman" w:cs="Times New Roman" w:eastAsia="Times New Roman" w:hint="default"/>
                <w:sz w:val="18"/>
                <w:szCs w:val="18"/>
              </w:rPr>
              <w:t>V1.0</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2017SR023126</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2017-01-23</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54"/>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75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2"/>
              <w:ind w:right="5"/>
              <w:jc w:val="right"/>
              <w:rPr>
                <w:rFonts w:ascii="宋体" w:hAnsi="宋体" w:cs="宋体" w:eastAsia="宋体" w:hint="default"/>
                <w:sz w:val="18"/>
                <w:szCs w:val="18"/>
              </w:rPr>
            </w:pPr>
            <w:r>
              <w:rPr>
                <w:rFonts w:ascii="宋体" w:hAnsi="宋体" w:cs="宋体" w:eastAsia="宋体" w:hint="default"/>
                <w:sz w:val="18"/>
                <w:szCs w:val="18"/>
              </w:rPr>
              <w:t>雪城软件</w:t>
            </w:r>
          </w:p>
        </w:tc>
      </w:tr>
      <w:tr>
        <w:trPr>
          <w:trHeight w:val="432" w:hRule="exact"/>
        </w:trPr>
        <w:tc>
          <w:tcPr>
            <w:tcW w:w="393"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02"/>
              <w:ind w:right="92"/>
              <w:jc w:val="right"/>
              <w:rPr>
                <w:rFonts w:ascii="Times New Roman" w:hAnsi="Times New Roman" w:cs="Times New Roman" w:eastAsia="Times New Roman" w:hint="default"/>
                <w:sz w:val="18"/>
                <w:szCs w:val="18"/>
              </w:rPr>
            </w:pPr>
            <w:r>
              <w:rPr>
                <w:rFonts w:ascii="Times New Roman"/>
                <w:sz w:val="18"/>
              </w:rPr>
              <w:t>12</w:t>
            </w:r>
          </w:p>
        </w:tc>
        <w:tc>
          <w:tcPr>
            <w:tcW w:w="45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雪城环境监测综合业务管理平台</w:t>
            </w:r>
            <w:r>
              <w:rPr>
                <w:rFonts w:ascii="Times New Roman" w:hAnsi="Times New Roman" w:cs="Times New Roman" w:eastAsia="Times New Roman" w:hint="default"/>
                <w:sz w:val="18"/>
                <w:szCs w:val="18"/>
              </w:rPr>
              <w:t>V1.0</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2017SR023579</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2017-01-23</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54"/>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75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2"/>
              <w:ind w:right="5"/>
              <w:jc w:val="right"/>
              <w:rPr>
                <w:rFonts w:ascii="宋体" w:hAnsi="宋体" w:cs="宋体" w:eastAsia="宋体" w:hint="default"/>
                <w:sz w:val="18"/>
                <w:szCs w:val="18"/>
              </w:rPr>
            </w:pPr>
            <w:r>
              <w:rPr>
                <w:rFonts w:ascii="宋体" w:hAnsi="宋体" w:cs="宋体" w:eastAsia="宋体" w:hint="default"/>
                <w:sz w:val="18"/>
                <w:szCs w:val="18"/>
              </w:rPr>
              <w:t>雪城软件</w:t>
            </w:r>
          </w:p>
        </w:tc>
      </w:tr>
      <w:tr>
        <w:trPr>
          <w:trHeight w:val="432" w:hRule="exact"/>
        </w:trPr>
        <w:tc>
          <w:tcPr>
            <w:tcW w:w="393"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02"/>
              <w:ind w:right="92"/>
              <w:jc w:val="right"/>
              <w:rPr>
                <w:rFonts w:ascii="Times New Roman" w:hAnsi="Times New Roman" w:cs="Times New Roman" w:eastAsia="Times New Roman" w:hint="default"/>
                <w:sz w:val="18"/>
                <w:szCs w:val="18"/>
              </w:rPr>
            </w:pPr>
            <w:r>
              <w:rPr>
                <w:rFonts w:ascii="Times New Roman"/>
                <w:sz w:val="18"/>
              </w:rPr>
              <w:t>13</w:t>
            </w:r>
          </w:p>
        </w:tc>
        <w:tc>
          <w:tcPr>
            <w:tcW w:w="45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雪城提案管理系统</w:t>
            </w:r>
            <w:r>
              <w:rPr>
                <w:rFonts w:ascii="Times New Roman" w:hAnsi="Times New Roman" w:cs="Times New Roman" w:eastAsia="Times New Roman" w:hint="default"/>
                <w:sz w:val="18"/>
                <w:szCs w:val="18"/>
              </w:rPr>
              <w:t>V1.0</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2017SR023911</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2017-01-23</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54"/>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75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2"/>
              <w:ind w:right="5"/>
              <w:jc w:val="right"/>
              <w:rPr>
                <w:rFonts w:ascii="宋体" w:hAnsi="宋体" w:cs="宋体" w:eastAsia="宋体" w:hint="default"/>
                <w:sz w:val="18"/>
                <w:szCs w:val="18"/>
              </w:rPr>
            </w:pPr>
            <w:r>
              <w:rPr>
                <w:rFonts w:ascii="宋体" w:hAnsi="宋体" w:cs="宋体" w:eastAsia="宋体" w:hint="default"/>
                <w:sz w:val="18"/>
                <w:szCs w:val="18"/>
              </w:rPr>
              <w:t>雪城软件</w:t>
            </w:r>
          </w:p>
        </w:tc>
      </w:tr>
      <w:tr>
        <w:trPr>
          <w:trHeight w:val="432" w:hRule="exact"/>
        </w:trPr>
        <w:tc>
          <w:tcPr>
            <w:tcW w:w="393"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02"/>
              <w:ind w:right="92"/>
              <w:jc w:val="right"/>
              <w:rPr>
                <w:rFonts w:ascii="Times New Roman" w:hAnsi="Times New Roman" w:cs="Times New Roman" w:eastAsia="Times New Roman" w:hint="default"/>
                <w:sz w:val="18"/>
                <w:szCs w:val="18"/>
              </w:rPr>
            </w:pPr>
            <w:r>
              <w:rPr>
                <w:rFonts w:ascii="Times New Roman"/>
                <w:sz w:val="18"/>
              </w:rPr>
              <w:t>14</w:t>
            </w:r>
          </w:p>
        </w:tc>
        <w:tc>
          <w:tcPr>
            <w:tcW w:w="45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雪城扬尘在线监测云平台</w:t>
            </w:r>
            <w:r>
              <w:rPr>
                <w:rFonts w:ascii="Times New Roman" w:hAnsi="Times New Roman" w:cs="Times New Roman" w:eastAsia="Times New Roman" w:hint="default"/>
                <w:sz w:val="18"/>
                <w:szCs w:val="18"/>
              </w:rPr>
              <w:t>V1.0</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2017SR025735</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2017-01-25</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54"/>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75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2"/>
              <w:ind w:right="5"/>
              <w:jc w:val="right"/>
              <w:rPr>
                <w:rFonts w:ascii="宋体" w:hAnsi="宋体" w:cs="宋体" w:eastAsia="宋体" w:hint="default"/>
                <w:sz w:val="18"/>
                <w:szCs w:val="18"/>
              </w:rPr>
            </w:pPr>
            <w:r>
              <w:rPr>
                <w:rFonts w:ascii="宋体" w:hAnsi="宋体" w:cs="宋体" w:eastAsia="宋体" w:hint="default"/>
                <w:sz w:val="18"/>
                <w:szCs w:val="18"/>
              </w:rPr>
              <w:t>雪城软件</w:t>
            </w:r>
          </w:p>
        </w:tc>
      </w:tr>
      <w:tr>
        <w:trPr>
          <w:trHeight w:val="432" w:hRule="exact"/>
        </w:trPr>
        <w:tc>
          <w:tcPr>
            <w:tcW w:w="393"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02"/>
              <w:ind w:right="92"/>
              <w:jc w:val="right"/>
              <w:rPr>
                <w:rFonts w:ascii="Times New Roman" w:hAnsi="Times New Roman" w:cs="Times New Roman" w:eastAsia="Times New Roman" w:hint="default"/>
                <w:sz w:val="18"/>
                <w:szCs w:val="18"/>
              </w:rPr>
            </w:pPr>
            <w:r>
              <w:rPr>
                <w:rFonts w:ascii="Times New Roman"/>
                <w:sz w:val="18"/>
              </w:rPr>
              <w:t>15</w:t>
            </w:r>
          </w:p>
        </w:tc>
        <w:tc>
          <w:tcPr>
            <w:tcW w:w="45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雪城火焰检测智能分析系统</w:t>
            </w:r>
            <w:r>
              <w:rPr>
                <w:rFonts w:ascii="Times New Roman" w:hAnsi="Times New Roman" w:cs="Times New Roman" w:eastAsia="Times New Roman" w:hint="default"/>
                <w:sz w:val="18"/>
                <w:szCs w:val="18"/>
              </w:rPr>
              <w:t>V1.0</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2017SR504026</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2017-09-11</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54"/>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75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2"/>
              <w:ind w:right="5"/>
              <w:jc w:val="right"/>
              <w:rPr>
                <w:rFonts w:ascii="宋体" w:hAnsi="宋体" w:cs="宋体" w:eastAsia="宋体" w:hint="default"/>
                <w:sz w:val="18"/>
                <w:szCs w:val="18"/>
              </w:rPr>
            </w:pPr>
            <w:r>
              <w:rPr>
                <w:rFonts w:ascii="宋体" w:hAnsi="宋体" w:cs="宋体" w:eastAsia="宋体" w:hint="default"/>
                <w:sz w:val="18"/>
                <w:szCs w:val="18"/>
              </w:rPr>
              <w:t>雪城软件</w:t>
            </w:r>
          </w:p>
        </w:tc>
      </w:tr>
      <w:tr>
        <w:trPr>
          <w:trHeight w:val="432" w:hRule="exact"/>
        </w:trPr>
        <w:tc>
          <w:tcPr>
            <w:tcW w:w="393"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02"/>
              <w:ind w:right="92"/>
              <w:jc w:val="right"/>
              <w:rPr>
                <w:rFonts w:ascii="Times New Roman" w:hAnsi="Times New Roman" w:cs="Times New Roman" w:eastAsia="Times New Roman" w:hint="default"/>
                <w:sz w:val="18"/>
                <w:szCs w:val="18"/>
              </w:rPr>
            </w:pPr>
            <w:r>
              <w:rPr>
                <w:rFonts w:ascii="Times New Roman"/>
                <w:sz w:val="18"/>
              </w:rPr>
              <w:t>16</w:t>
            </w:r>
          </w:p>
        </w:tc>
        <w:tc>
          <w:tcPr>
            <w:tcW w:w="45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雪城固体废弃物检测智能分析系统</w:t>
            </w:r>
            <w:r>
              <w:rPr>
                <w:rFonts w:ascii="Times New Roman" w:hAnsi="Times New Roman" w:cs="Times New Roman" w:eastAsia="Times New Roman" w:hint="default"/>
                <w:sz w:val="18"/>
                <w:szCs w:val="18"/>
              </w:rPr>
              <w:t>V1.0</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2017SR503070</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2017-09-11</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54"/>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75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2"/>
              <w:ind w:right="5"/>
              <w:jc w:val="right"/>
              <w:rPr>
                <w:rFonts w:ascii="宋体" w:hAnsi="宋体" w:cs="宋体" w:eastAsia="宋体" w:hint="default"/>
                <w:sz w:val="18"/>
                <w:szCs w:val="18"/>
              </w:rPr>
            </w:pPr>
            <w:r>
              <w:rPr>
                <w:rFonts w:ascii="宋体" w:hAnsi="宋体" w:cs="宋体" w:eastAsia="宋体" w:hint="default"/>
                <w:sz w:val="18"/>
                <w:szCs w:val="18"/>
              </w:rPr>
              <w:t>雪城软件</w:t>
            </w:r>
          </w:p>
        </w:tc>
      </w:tr>
      <w:tr>
        <w:trPr>
          <w:trHeight w:val="432" w:hRule="exact"/>
        </w:trPr>
        <w:tc>
          <w:tcPr>
            <w:tcW w:w="393"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02"/>
              <w:ind w:right="92"/>
              <w:jc w:val="right"/>
              <w:rPr>
                <w:rFonts w:ascii="Times New Roman" w:hAnsi="Times New Roman" w:cs="Times New Roman" w:eastAsia="Times New Roman" w:hint="default"/>
                <w:sz w:val="18"/>
                <w:szCs w:val="18"/>
              </w:rPr>
            </w:pPr>
            <w:r>
              <w:rPr>
                <w:rFonts w:ascii="Times New Roman"/>
                <w:sz w:val="18"/>
              </w:rPr>
              <w:t>17</w:t>
            </w:r>
          </w:p>
        </w:tc>
        <w:tc>
          <w:tcPr>
            <w:tcW w:w="45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雪城渣土车禁行检测智能分析系统</w:t>
            </w:r>
            <w:r>
              <w:rPr>
                <w:rFonts w:ascii="Times New Roman" w:hAnsi="Times New Roman" w:cs="Times New Roman" w:eastAsia="Times New Roman" w:hint="default"/>
                <w:sz w:val="18"/>
                <w:szCs w:val="18"/>
              </w:rPr>
              <w:t>V1.0</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2017SR503722</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2017-09-11</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54"/>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75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2"/>
              <w:ind w:right="5"/>
              <w:jc w:val="right"/>
              <w:rPr>
                <w:rFonts w:ascii="宋体" w:hAnsi="宋体" w:cs="宋体" w:eastAsia="宋体" w:hint="default"/>
                <w:sz w:val="18"/>
                <w:szCs w:val="18"/>
              </w:rPr>
            </w:pPr>
            <w:r>
              <w:rPr>
                <w:rFonts w:ascii="宋体" w:hAnsi="宋体" w:cs="宋体" w:eastAsia="宋体" w:hint="default"/>
                <w:sz w:val="18"/>
                <w:szCs w:val="18"/>
              </w:rPr>
              <w:t>雪城软件</w:t>
            </w:r>
          </w:p>
        </w:tc>
      </w:tr>
      <w:tr>
        <w:trPr>
          <w:trHeight w:val="432" w:hRule="exact"/>
        </w:trPr>
        <w:tc>
          <w:tcPr>
            <w:tcW w:w="393"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02"/>
              <w:ind w:right="92"/>
              <w:jc w:val="right"/>
              <w:rPr>
                <w:rFonts w:ascii="Times New Roman" w:hAnsi="Times New Roman" w:cs="Times New Roman" w:eastAsia="Times New Roman" w:hint="default"/>
                <w:sz w:val="18"/>
                <w:szCs w:val="18"/>
              </w:rPr>
            </w:pPr>
            <w:r>
              <w:rPr>
                <w:rFonts w:ascii="Times New Roman"/>
                <w:sz w:val="18"/>
              </w:rPr>
              <w:t>18</w:t>
            </w:r>
          </w:p>
        </w:tc>
        <w:tc>
          <w:tcPr>
            <w:tcW w:w="45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雪城烟雾检测智能分析系统</w:t>
            </w:r>
            <w:r>
              <w:rPr>
                <w:rFonts w:ascii="Times New Roman" w:hAnsi="Times New Roman" w:cs="Times New Roman" w:eastAsia="Times New Roman" w:hint="default"/>
                <w:sz w:val="18"/>
                <w:szCs w:val="18"/>
              </w:rPr>
              <w:t>V1.0</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2017SR504327</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2017-09-12</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54"/>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75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2"/>
              <w:ind w:right="5"/>
              <w:jc w:val="right"/>
              <w:rPr>
                <w:rFonts w:ascii="宋体" w:hAnsi="宋体" w:cs="宋体" w:eastAsia="宋体" w:hint="default"/>
                <w:sz w:val="18"/>
                <w:szCs w:val="18"/>
              </w:rPr>
            </w:pPr>
            <w:r>
              <w:rPr>
                <w:rFonts w:ascii="宋体" w:hAnsi="宋体" w:cs="宋体" w:eastAsia="宋体" w:hint="default"/>
                <w:sz w:val="18"/>
                <w:szCs w:val="18"/>
              </w:rPr>
              <w:t>雪城软件</w:t>
            </w:r>
          </w:p>
        </w:tc>
      </w:tr>
      <w:tr>
        <w:trPr>
          <w:trHeight w:val="432" w:hRule="exact"/>
        </w:trPr>
        <w:tc>
          <w:tcPr>
            <w:tcW w:w="393"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02"/>
              <w:ind w:right="92"/>
              <w:jc w:val="right"/>
              <w:rPr>
                <w:rFonts w:ascii="Times New Roman" w:hAnsi="Times New Roman" w:cs="Times New Roman" w:eastAsia="Times New Roman" w:hint="default"/>
                <w:sz w:val="18"/>
                <w:szCs w:val="18"/>
              </w:rPr>
            </w:pPr>
            <w:r>
              <w:rPr>
                <w:rFonts w:ascii="Times New Roman"/>
                <w:sz w:val="18"/>
              </w:rPr>
              <w:t>19</w:t>
            </w:r>
          </w:p>
        </w:tc>
        <w:tc>
          <w:tcPr>
            <w:tcW w:w="45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雪城环境污染综合研判系统</w:t>
            </w:r>
            <w:r>
              <w:rPr>
                <w:rFonts w:ascii="Times New Roman" w:hAnsi="Times New Roman" w:cs="Times New Roman" w:eastAsia="Times New Roman" w:hint="default"/>
                <w:sz w:val="18"/>
                <w:szCs w:val="18"/>
              </w:rPr>
              <w:t>V1.0</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2017SR581181</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2017-10-23</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54"/>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75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2"/>
              <w:ind w:right="5"/>
              <w:jc w:val="right"/>
              <w:rPr>
                <w:rFonts w:ascii="宋体" w:hAnsi="宋体" w:cs="宋体" w:eastAsia="宋体" w:hint="default"/>
                <w:sz w:val="18"/>
                <w:szCs w:val="18"/>
              </w:rPr>
            </w:pPr>
            <w:r>
              <w:rPr>
                <w:rFonts w:ascii="宋体" w:hAnsi="宋体" w:cs="宋体" w:eastAsia="宋体" w:hint="default"/>
                <w:sz w:val="18"/>
                <w:szCs w:val="18"/>
              </w:rPr>
              <w:t>雪城软件</w:t>
            </w:r>
          </w:p>
        </w:tc>
      </w:tr>
      <w:tr>
        <w:trPr>
          <w:trHeight w:val="432" w:hRule="exact"/>
        </w:trPr>
        <w:tc>
          <w:tcPr>
            <w:tcW w:w="393"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02"/>
              <w:ind w:right="92"/>
              <w:jc w:val="right"/>
              <w:rPr>
                <w:rFonts w:ascii="Times New Roman" w:hAnsi="Times New Roman" w:cs="Times New Roman" w:eastAsia="Times New Roman" w:hint="default"/>
                <w:sz w:val="18"/>
                <w:szCs w:val="18"/>
              </w:rPr>
            </w:pPr>
            <w:r>
              <w:rPr>
                <w:rFonts w:ascii="Times New Roman"/>
                <w:sz w:val="18"/>
              </w:rPr>
              <w:t>20</w:t>
            </w:r>
          </w:p>
        </w:tc>
        <w:tc>
          <w:tcPr>
            <w:tcW w:w="45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雪城环境污染防治网格化指挥调度平台</w:t>
            </w:r>
            <w:r>
              <w:rPr>
                <w:rFonts w:ascii="Times New Roman" w:hAnsi="Times New Roman" w:cs="Times New Roman" w:eastAsia="Times New Roman" w:hint="default"/>
                <w:sz w:val="18"/>
                <w:szCs w:val="18"/>
              </w:rPr>
              <w:t>V1.0</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2017SR581396</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2017-10-23</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54"/>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75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2"/>
              <w:ind w:right="5"/>
              <w:jc w:val="right"/>
              <w:rPr>
                <w:rFonts w:ascii="宋体" w:hAnsi="宋体" w:cs="宋体" w:eastAsia="宋体" w:hint="default"/>
                <w:sz w:val="18"/>
                <w:szCs w:val="18"/>
              </w:rPr>
            </w:pPr>
            <w:r>
              <w:rPr>
                <w:rFonts w:ascii="宋体" w:hAnsi="宋体" w:cs="宋体" w:eastAsia="宋体" w:hint="default"/>
                <w:sz w:val="18"/>
                <w:szCs w:val="18"/>
              </w:rPr>
              <w:t>雪城软件</w:t>
            </w:r>
          </w:p>
        </w:tc>
      </w:tr>
      <w:tr>
        <w:trPr>
          <w:trHeight w:val="432" w:hRule="exact"/>
        </w:trPr>
        <w:tc>
          <w:tcPr>
            <w:tcW w:w="393"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91"/>
              <w:ind w:right="83"/>
              <w:jc w:val="right"/>
              <w:rPr>
                <w:rFonts w:ascii="Times New Roman" w:hAnsi="Times New Roman" w:cs="Times New Roman" w:eastAsia="Times New Roman" w:hint="default"/>
                <w:sz w:val="20"/>
                <w:szCs w:val="20"/>
              </w:rPr>
            </w:pPr>
            <w:r>
              <w:rPr>
                <w:rFonts w:ascii="Times New Roman"/>
                <w:sz w:val="20"/>
              </w:rPr>
              <w:t>21</w:t>
            </w:r>
          </w:p>
        </w:tc>
        <w:tc>
          <w:tcPr>
            <w:tcW w:w="45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雪城智慧园区安环一体化监管平台</w:t>
            </w:r>
            <w:r>
              <w:rPr>
                <w:rFonts w:ascii="Times New Roman" w:hAnsi="Times New Roman" w:cs="Times New Roman" w:eastAsia="Times New Roman" w:hint="default"/>
                <w:sz w:val="18"/>
                <w:szCs w:val="18"/>
              </w:rPr>
              <w:t>V1.0</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2017SR581178</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2017-10-23</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54"/>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75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2"/>
              <w:ind w:right="5"/>
              <w:jc w:val="right"/>
              <w:rPr>
                <w:rFonts w:ascii="宋体" w:hAnsi="宋体" w:cs="宋体" w:eastAsia="宋体" w:hint="default"/>
                <w:sz w:val="18"/>
                <w:szCs w:val="18"/>
              </w:rPr>
            </w:pPr>
            <w:r>
              <w:rPr>
                <w:rFonts w:ascii="宋体" w:hAnsi="宋体" w:cs="宋体" w:eastAsia="宋体" w:hint="default"/>
                <w:sz w:val="18"/>
                <w:szCs w:val="18"/>
              </w:rPr>
              <w:t>雪城软件</w:t>
            </w:r>
          </w:p>
        </w:tc>
      </w:tr>
      <w:tr>
        <w:trPr>
          <w:trHeight w:val="432" w:hRule="exact"/>
        </w:trPr>
        <w:tc>
          <w:tcPr>
            <w:tcW w:w="393"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91"/>
              <w:ind w:right="83"/>
              <w:jc w:val="right"/>
              <w:rPr>
                <w:rFonts w:ascii="Times New Roman" w:hAnsi="Times New Roman" w:cs="Times New Roman" w:eastAsia="Times New Roman" w:hint="default"/>
                <w:sz w:val="20"/>
                <w:szCs w:val="20"/>
              </w:rPr>
            </w:pPr>
            <w:r>
              <w:rPr>
                <w:rFonts w:ascii="Times New Roman"/>
                <w:sz w:val="20"/>
              </w:rPr>
              <w:t>22</w:t>
            </w:r>
          </w:p>
        </w:tc>
        <w:tc>
          <w:tcPr>
            <w:tcW w:w="45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雪城大气污染防治综合管理平台</w:t>
            </w:r>
            <w:r>
              <w:rPr>
                <w:rFonts w:ascii="Times New Roman" w:hAnsi="Times New Roman" w:cs="Times New Roman" w:eastAsia="Times New Roman" w:hint="default"/>
                <w:sz w:val="18"/>
                <w:szCs w:val="18"/>
              </w:rPr>
              <w:t>V1.0</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2017SR585383</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2017-10-25</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54"/>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75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2"/>
              <w:ind w:right="5"/>
              <w:jc w:val="right"/>
              <w:rPr>
                <w:rFonts w:ascii="宋体" w:hAnsi="宋体" w:cs="宋体" w:eastAsia="宋体" w:hint="default"/>
                <w:sz w:val="18"/>
                <w:szCs w:val="18"/>
              </w:rPr>
            </w:pPr>
            <w:r>
              <w:rPr>
                <w:rFonts w:ascii="宋体" w:hAnsi="宋体" w:cs="宋体" w:eastAsia="宋体" w:hint="default"/>
                <w:sz w:val="18"/>
                <w:szCs w:val="18"/>
              </w:rPr>
              <w:t>雪城软件</w:t>
            </w:r>
          </w:p>
        </w:tc>
      </w:tr>
      <w:tr>
        <w:trPr>
          <w:trHeight w:val="432" w:hRule="exact"/>
        </w:trPr>
        <w:tc>
          <w:tcPr>
            <w:tcW w:w="393"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91"/>
              <w:ind w:right="83"/>
              <w:jc w:val="right"/>
              <w:rPr>
                <w:rFonts w:ascii="Times New Roman" w:hAnsi="Times New Roman" w:cs="Times New Roman" w:eastAsia="Times New Roman" w:hint="default"/>
                <w:sz w:val="20"/>
                <w:szCs w:val="20"/>
              </w:rPr>
            </w:pPr>
            <w:r>
              <w:rPr>
                <w:rFonts w:ascii="Times New Roman"/>
                <w:sz w:val="20"/>
              </w:rPr>
              <w:t>23</w:t>
            </w:r>
          </w:p>
        </w:tc>
        <w:tc>
          <w:tcPr>
            <w:tcW w:w="45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智慧消防物联网远程监控平台</w:t>
            </w:r>
            <w:r>
              <w:rPr>
                <w:rFonts w:ascii="宋体" w:hAnsi="宋体" w:cs="宋体" w:eastAsia="宋体" w:hint="default"/>
                <w:spacing w:val="-17"/>
                <w:sz w:val="18"/>
                <w:szCs w:val="18"/>
              </w:rPr>
              <w:t> </w:t>
            </w:r>
            <w:r>
              <w:rPr>
                <w:rFonts w:ascii="Times New Roman" w:hAnsi="Times New Roman" w:cs="Times New Roman" w:eastAsia="Times New Roman" w:hint="default"/>
                <w:sz w:val="18"/>
                <w:szCs w:val="18"/>
              </w:rPr>
              <w:t>V1.0</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2017SR576435</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2017-10-19</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54"/>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75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2"/>
              <w:ind w:right="5"/>
              <w:jc w:val="right"/>
              <w:rPr>
                <w:rFonts w:ascii="宋体" w:hAnsi="宋体" w:cs="宋体" w:eastAsia="宋体" w:hint="default"/>
                <w:sz w:val="18"/>
                <w:szCs w:val="18"/>
              </w:rPr>
            </w:pPr>
            <w:r>
              <w:rPr>
                <w:rFonts w:ascii="宋体" w:hAnsi="宋体" w:cs="宋体" w:eastAsia="宋体" w:hint="default"/>
                <w:sz w:val="18"/>
                <w:szCs w:val="18"/>
              </w:rPr>
              <w:t>汉威科技</w:t>
            </w:r>
          </w:p>
        </w:tc>
      </w:tr>
      <w:tr>
        <w:trPr>
          <w:trHeight w:val="432" w:hRule="exact"/>
        </w:trPr>
        <w:tc>
          <w:tcPr>
            <w:tcW w:w="393"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91"/>
              <w:ind w:right="83"/>
              <w:jc w:val="right"/>
              <w:rPr>
                <w:rFonts w:ascii="Times New Roman" w:hAnsi="Times New Roman" w:cs="Times New Roman" w:eastAsia="Times New Roman" w:hint="default"/>
                <w:sz w:val="20"/>
                <w:szCs w:val="20"/>
              </w:rPr>
            </w:pPr>
            <w:r>
              <w:rPr>
                <w:rFonts w:ascii="Times New Roman"/>
                <w:sz w:val="20"/>
              </w:rPr>
              <w:t>24</w:t>
            </w:r>
          </w:p>
        </w:tc>
        <w:tc>
          <w:tcPr>
            <w:tcW w:w="45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智慧消防物联网客户端微信版</w:t>
            </w:r>
            <w:r>
              <w:rPr>
                <w:rFonts w:ascii="宋体" w:hAnsi="宋体" w:cs="宋体" w:eastAsia="宋体" w:hint="default"/>
                <w:spacing w:val="-17"/>
                <w:sz w:val="18"/>
                <w:szCs w:val="18"/>
              </w:rPr>
              <w:t> </w:t>
            </w:r>
            <w:r>
              <w:rPr>
                <w:rFonts w:ascii="Times New Roman" w:hAnsi="Times New Roman" w:cs="Times New Roman" w:eastAsia="Times New Roman" w:hint="default"/>
                <w:sz w:val="18"/>
                <w:szCs w:val="18"/>
              </w:rPr>
              <w:t>V1.0</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2017SR576578</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2017-10-19</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54"/>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75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2"/>
              <w:ind w:right="5"/>
              <w:jc w:val="right"/>
              <w:rPr>
                <w:rFonts w:ascii="宋体" w:hAnsi="宋体" w:cs="宋体" w:eastAsia="宋体" w:hint="default"/>
                <w:sz w:val="18"/>
                <w:szCs w:val="18"/>
              </w:rPr>
            </w:pPr>
            <w:r>
              <w:rPr>
                <w:rFonts w:ascii="宋体" w:hAnsi="宋体" w:cs="宋体" w:eastAsia="宋体" w:hint="default"/>
                <w:sz w:val="18"/>
                <w:szCs w:val="18"/>
              </w:rPr>
              <w:t>汉威科技</w:t>
            </w:r>
          </w:p>
        </w:tc>
      </w:tr>
      <w:tr>
        <w:trPr>
          <w:trHeight w:val="432" w:hRule="exact"/>
        </w:trPr>
        <w:tc>
          <w:tcPr>
            <w:tcW w:w="393"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91"/>
              <w:ind w:right="83"/>
              <w:jc w:val="right"/>
              <w:rPr>
                <w:rFonts w:ascii="Times New Roman" w:hAnsi="Times New Roman" w:cs="Times New Roman" w:eastAsia="Times New Roman" w:hint="default"/>
                <w:sz w:val="20"/>
                <w:szCs w:val="20"/>
              </w:rPr>
            </w:pPr>
            <w:r>
              <w:rPr>
                <w:rFonts w:ascii="Times New Roman"/>
                <w:sz w:val="20"/>
              </w:rPr>
              <w:t>25</w:t>
            </w:r>
          </w:p>
        </w:tc>
        <w:tc>
          <w:tcPr>
            <w:tcW w:w="45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龙泉智慧水务管控一体化平台软件</w:t>
            </w:r>
            <w:r>
              <w:rPr>
                <w:rFonts w:ascii="Times New Roman" w:hAnsi="Times New Roman" w:cs="Times New Roman" w:eastAsia="Times New Roman" w:hint="default"/>
                <w:sz w:val="18"/>
                <w:szCs w:val="18"/>
              </w:rPr>
              <w:t>V1.0</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2017SR715502</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2016-11-15</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54"/>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75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2"/>
              <w:ind w:right="5"/>
              <w:jc w:val="right"/>
              <w:rPr>
                <w:rFonts w:ascii="宋体" w:hAnsi="宋体" w:cs="宋体" w:eastAsia="宋体" w:hint="default"/>
                <w:sz w:val="18"/>
                <w:szCs w:val="18"/>
              </w:rPr>
            </w:pPr>
            <w:r>
              <w:rPr>
                <w:rFonts w:ascii="宋体" w:hAnsi="宋体" w:cs="宋体" w:eastAsia="宋体" w:hint="default"/>
                <w:sz w:val="18"/>
                <w:szCs w:val="18"/>
              </w:rPr>
              <w:t>广东龙泉</w:t>
            </w:r>
          </w:p>
        </w:tc>
      </w:tr>
      <w:tr>
        <w:trPr>
          <w:trHeight w:val="432" w:hRule="exact"/>
        </w:trPr>
        <w:tc>
          <w:tcPr>
            <w:tcW w:w="393"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91"/>
              <w:ind w:right="83"/>
              <w:jc w:val="right"/>
              <w:rPr>
                <w:rFonts w:ascii="Times New Roman" w:hAnsi="Times New Roman" w:cs="Times New Roman" w:eastAsia="Times New Roman" w:hint="default"/>
                <w:sz w:val="20"/>
                <w:szCs w:val="20"/>
              </w:rPr>
            </w:pPr>
            <w:r>
              <w:rPr>
                <w:rFonts w:ascii="Times New Roman"/>
                <w:sz w:val="20"/>
              </w:rPr>
              <w:t>26</w:t>
            </w:r>
          </w:p>
        </w:tc>
        <w:tc>
          <w:tcPr>
            <w:tcW w:w="45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龙泉管线隐患排查一体化作业平台软件</w:t>
            </w:r>
            <w:r>
              <w:rPr>
                <w:rFonts w:ascii="Times New Roman" w:hAnsi="Times New Roman" w:cs="Times New Roman" w:eastAsia="Times New Roman" w:hint="default"/>
                <w:sz w:val="18"/>
                <w:szCs w:val="18"/>
              </w:rPr>
              <w:t>V1.0</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2017SR715992</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2016-9-15</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54"/>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75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2"/>
              <w:ind w:right="5"/>
              <w:jc w:val="right"/>
              <w:rPr>
                <w:rFonts w:ascii="宋体" w:hAnsi="宋体" w:cs="宋体" w:eastAsia="宋体" w:hint="default"/>
                <w:sz w:val="18"/>
                <w:szCs w:val="18"/>
              </w:rPr>
            </w:pPr>
            <w:r>
              <w:rPr>
                <w:rFonts w:ascii="宋体" w:hAnsi="宋体" w:cs="宋体" w:eastAsia="宋体" w:hint="default"/>
                <w:sz w:val="18"/>
                <w:szCs w:val="18"/>
              </w:rPr>
              <w:t>广东龙泉</w:t>
            </w:r>
          </w:p>
        </w:tc>
      </w:tr>
      <w:tr>
        <w:trPr>
          <w:trHeight w:val="432" w:hRule="exact"/>
        </w:trPr>
        <w:tc>
          <w:tcPr>
            <w:tcW w:w="393"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91"/>
              <w:ind w:right="83"/>
              <w:jc w:val="right"/>
              <w:rPr>
                <w:rFonts w:ascii="Times New Roman" w:hAnsi="Times New Roman" w:cs="Times New Roman" w:eastAsia="Times New Roman" w:hint="default"/>
                <w:sz w:val="20"/>
                <w:szCs w:val="20"/>
              </w:rPr>
            </w:pPr>
            <w:r>
              <w:rPr>
                <w:rFonts w:ascii="Times New Roman"/>
                <w:sz w:val="20"/>
              </w:rPr>
              <w:t>27</w:t>
            </w:r>
          </w:p>
        </w:tc>
        <w:tc>
          <w:tcPr>
            <w:tcW w:w="45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龙泉智慧燃气管控一体化平台软件</w:t>
            </w:r>
            <w:r>
              <w:rPr>
                <w:rFonts w:ascii="Times New Roman" w:hAnsi="Times New Roman" w:cs="Times New Roman" w:eastAsia="Times New Roman" w:hint="default"/>
                <w:sz w:val="18"/>
                <w:szCs w:val="18"/>
              </w:rPr>
              <w:t>V1.0</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2017SR715511</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2016-9-30</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54"/>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75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2"/>
              <w:ind w:right="5"/>
              <w:jc w:val="right"/>
              <w:rPr>
                <w:rFonts w:ascii="宋体" w:hAnsi="宋体" w:cs="宋体" w:eastAsia="宋体" w:hint="default"/>
                <w:sz w:val="18"/>
                <w:szCs w:val="18"/>
              </w:rPr>
            </w:pPr>
            <w:r>
              <w:rPr>
                <w:rFonts w:ascii="宋体" w:hAnsi="宋体" w:cs="宋体" w:eastAsia="宋体" w:hint="default"/>
                <w:sz w:val="18"/>
                <w:szCs w:val="18"/>
              </w:rPr>
              <w:t>广东龙泉</w:t>
            </w:r>
          </w:p>
        </w:tc>
      </w:tr>
      <w:tr>
        <w:trPr>
          <w:trHeight w:val="432" w:hRule="exact"/>
        </w:trPr>
        <w:tc>
          <w:tcPr>
            <w:tcW w:w="393"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91"/>
              <w:ind w:right="83"/>
              <w:jc w:val="right"/>
              <w:rPr>
                <w:rFonts w:ascii="Times New Roman" w:hAnsi="Times New Roman" w:cs="Times New Roman" w:eastAsia="Times New Roman" w:hint="default"/>
                <w:sz w:val="20"/>
                <w:szCs w:val="20"/>
              </w:rPr>
            </w:pPr>
            <w:r>
              <w:rPr>
                <w:rFonts w:ascii="Times New Roman"/>
                <w:sz w:val="20"/>
              </w:rPr>
              <w:t>28</w:t>
            </w:r>
          </w:p>
        </w:tc>
        <w:tc>
          <w:tcPr>
            <w:tcW w:w="45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龙泉管线探测移动采测系统</w:t>
            </w:r>
            <w:r>
              <w:rPr>
                <w:rFonts w:ascii="Times New Roman" w:hAnsi="Times New Roman" w:cs="Times New Roman" w:eastAsia="Times New Roman" w:hint="default"/>
                <w:sz w:val="18"/>
                <w:szCs w:val="18"/>
              </w:rPr>
              <w:t>V1.0</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2017SR716003</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2017-9-30</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54"/>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75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2"/>
              <w:ind w:right="5"/>
              <w:jc w:val="right"/>
              <w:rPr>
                <w:rFonts w:ascii="宋体" w:hAnsi="宋体" w:cs="宋体" w:eastAsia="宋体" w:hint="default"/>
                <w:sz w:val="18"/>
                <w:szCs w:val="18"/>
              </w:rPr>
            </w:pPr>
            <w:r>
              <w:rPr>
                <w:rFonts w:ascii="宋体" w:hAnsi="宋体" w:cs="宋体" w:eastAsia="宋体" w:hint="default"/>
                <w:sz w:val="18"/>
                <w:szCs w:val="18"/>
              </w:rPr>
              <w:t>广东龙泉</w:t>
            </w:r>
          </w:p>
        </w:tc>
      </w:tr>
      <w:tr>
        <w:trPr>
          <w:trHeight w:val="432" w:hRule="exact"/>
        </w:trPr>
        <w:tc>
          <w:tcPr>
            <w:tcW w:w="393"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91"/>
              <w:ind w:right="83"/>
              <w:jc w:val="right"/>
              <w:rPr>
                <w:rFonts w:ascii="Times New Roman" w:hAnsi="Times New Roman" w:cs="Times New Roman" w:eastAsia="Times New Roman" w:hint="default"/>
                <w:sz w:val="20"/>
                <w:szCs w:val="20"/>
              </w:rPr>
            </w:pPr>
            <w:r>
              <w:rPr>
                <w:rFonts w:ascii="Times New Roman"/>
                <w:sz w:val="20"/>
              </w:rPr>
              <w:t>29</w:t>
            </w:r>
          </w:p>
        </w:tc>
        <w:tc>
          <w:tcPr>
            <w:tcW w:w="45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龙泉泵房远程监控集控系统</w:t>
            </w:r>
            <w:r>
              <w:rPr>
                <w:rFonts w:ascii="Times New Roman" w:hAnsi="Times New Roman" w:cs="Times New Roman" w:eastAsia="Times New Roman" w:hint="default"/>
                <w:sz w:val="18"/>
                <w:szCs w:val="18"/>
              </w:rPr>
              <w:t>V1.0</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2017SR715746</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2017-11-1</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54"/>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75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2"/>
              <w:ind w:right="5"/>
              <w:jc w:val="right"/>
              <w:rPr>
                <w:rFonts w:ascii="宋体" w:hAnsi="宋体" w:cs="宋体" w:eastAsia="宋体" w:hint="default"/>
                <w:sz w:val="18"/>
                <w:szCs w:val="18"/>
              </w:rPr>
            </w:pPr>
            <w:r>
              <w:rPr>
                <w:rFonts w:ascii="宋体" w:hAnsi="宋体" w:cs="宋体" w:eastAsia="宋体" w:hint="default"/>
                <w:sz w:val="18"/>
                <w:szCs w:val="18"/>
              </w:rPr>
              <w:t>广东龙泉</w:t>
            </w:r>
          </w:p>
        </w:tc>
      </w:tr>
      <w:tr>
        <w:trPr>
          <w:trHeight w:val="432" w:hRule="exact"/>
        </w:trPr>
        <w:tc>
          <w:tcPr>
            <w:tcW w:w="393"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91"/>
              <w:ind w:right="83"/>
              <w:jc w:val="right"/>
              <w:rPr>
                <w:rFonts w:ascii="Times New Roman" w:hAnsi="Times New Roman" w:cs="Times New Roman" w:eastAsia="Times New Roman" w:hint="default"/>
                <w:sz w:val="20"/>
                <w:szCs w:val="20"/>
              </w:rPr>
            </w:pPr>
            <w:r>
              <w:rPr>
                <w:rFonts w:ascii="Times New Roman"/>
                <w:sz w:val="20"/>
              </w:rPr>
              <w:t>30</w:t>
            </w:r>
          </w:p>
        </w:tc>
        <w:tc>
          <w:tcPr>
            <w:tcW w:w="45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宋体" w:hAnsi="宋体" w:cs="宋体" w:eastAsia="宋体" w:hint="default"/>
                <w:sz w:val="18"/>
                <w:szCs w:val="18"/>
              </w:rPr>
            </w:pPr>
            <w:r>
              <w:rPr>
                <w:rFonts w:ascii="宋体" w:hAnsi="宋体" w:cs="宋体" w:eastAsia="宋体" w:hint="default"/>
                <w:sz w:val="18"/>
                <w:szCs w:val="18"/>
              </w:rPr>
              <w:t>汉威硬件通讯一体化平台</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2017SR207155</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2017-5-25</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54"/>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75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2"/>
              <w:ind w:right="5"/>
              <w:jc w:val="right"/>
              <w:rPr>
                <w:rFonts w:ascii="宋体" w:hAnsi="宋体" w:cs="宋体" w:eastAsia="宋体" w:hint="default"/>
                <w:sz w:val="18"/>
                <w:szCs w:val="18"/>
              </w:rPr>
            </w:pPr>
            <w:r>
              <w:rPr>
                <w:rFonts w:ascii="宋体" w:hAnsi="宋体" w:cs="宋体" w:eastAsia="宋体" w:hint="default"/>
                <w:sz w:val="18"/>
                <w:szCs w:val="18"/>
              </w:rPr>
              <w:t>汉威科技</w:t>
            </w:r>
          </w:p>
        </w:tc>
      </w:tr>
      <w:tr>
        <w:trPr>
          <w:trHeight w:val="432" w:hRule="exact"/>
        </w:trPr>
        <w:tc>
          <w:tcPr>
            <w:tcW w:w="393"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92"/>
              <w:ind w:right="83"/>
              <w:jc w:val="right"/>
              <w:rPr>
                <w:rFonts w:ascii="Times New Roman" w:hAnsi="Times New Roman" w:cs="Times New Roman" w:eastAsia="Times New Roman" w:hint="default"/>
                <w:sz w:val="20"/>
                <w:szCs w:val="20"/>
              </w:rPr>
            </w:pPr>
            <w:r>
              <w:rPr>
                <w:rFonts w:ascii="Times New Roman"/>
                <w:sz w:val="20"/>
              </w:rPr>
              <w:t>31</w:t>
            </w:r>
          </w:p>
        </w:tc>
        <w:tc>
          <w:tcPr>
            <w:tcW w:w="45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宋体" w:hAnsi="宋体" w:cs="宋体" w:eastAsia="宋体" w:hint="default"/>
                <w:sz w:val="18"/>
                <w:szCs w:val="18"/>
              </w:rPr>
            </w:pPr>
            <w:r>
              <w:rPr>
                <w:rFonts w:ascii="宋体" w:hAnsi="宋体" w:cs="宋体" w:eastAsia="宋体" w:hint="default"/>
                <w:sz w:val="18"/>
                <w:szCs w:val="18"/>
              </w:rPr>
              <w:t>汉威整合研发框架平台</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2017SR207164</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2017-5-25</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54"/>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75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2"/>
              <w:ind w:right="5"/>
              <w:jc w:val="right"/>
              <w:rPr>
                <w:rFonts w:ascii="宋体" w:hAnsi="宋体" w:cs="宋体" w:eastAsia="宋体" w:hint="default"/>
                <w:sz w:val="18"/>
                <w:szCs w:val="18"/>
              </w:rPr>
            </w:pPr>
            <w:r>
              <w:rPr>
                <w:rFonts w:ascii="宋体" w:hAnsi="宋体" w:cs="宋体" w:eastAsia="宋体" w:hint="default"/>
                <w:sz w:val="18"/>
                <w:szCs w:val="18"/>
              </w:rPr>
              <w:t>汉威科技</w:t>
            </w:r>
          </w:p>
        </w:tc>
      </w:tr>
      <w:tr>
        <w:trPr>
          <w:trHeight w:val="432" w:hRule="exact"/>
        </w:trPr>
        <w:tc>
          <w:tcPr>
            <w:tcW w:w="393"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91"/>
              <w:ind w:right="83"/>
              <w:jc w:val="right"/>
              <w:rPr>
                <w:rFonts w:ascii="Times New Roman" w:hAnsi="Times New Roman" w:cs="Times New Roman" w:eastAsia="Times New Roman" w:hint="default"/>
                <w:sz w:val="20"/>
                <w:szCs w:val="20"/>
              </w:rPr>
            </w:pPr>
            <w:r>
              <w:rPr>
                <w:rFonts w:ascii="Times New Roman"/>
                <w:sz w:val="20"/>
              </w:rPr>
              <w:t>32</w:t>
            </w:r>
          </w:p>
        </w:tc>
        <w:tc>
          <w:tcPr>
            <w:tcW w:w="45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宋体" w:hAnsi="宋体" w:cs="宋体" w:eastAsia="宋体" w:hint="default"/>
                <w:sz w:val="18"/>
                <w:szCs w:val="18"/>
              </w:rPr>
            </w:pPr>
            <w:r>
              <w:rPr>
                <w:rFonts w:ascii="宋体" w:hAnsi="宋体" w:cs="宋体" w:eastAsia="宋体" w:hint="default"/>
                <w:sz w:val="18"/>
                <w:szCs w:val="18"/>
              </w:rPr>
              <w:t>汉威基于云架构的配置管理系统</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2017SR215050</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2017-5-27</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54"/>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75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2"/>
              <w:ind w:right="5"/>
              <w:jc w:val="right"/>
              <w:rPr>
                <w:rFonts w:ascii="宋体" w:hAnsi="宋体" w:cs="宋体" w:eastAsia="宋体" w:hint="default"/>
                <w:sz w:val="18"/>
                <w:szCs w:val="18"/>
              </w:rPr>
            </w:pPr>
            <w:r>
              <w:rPr>
                <w:rFonts w:ascii="宋体" w:hAnsi="宋体" w:cs="宋体" w:eastAsia="宋体" w:hint="default"/>
                <w:sz w:val="18"/>
                <w:szCs w:val="18"/>
              </w:rPr>
              <w:t>汉威科技</w:t>
            </w:r>
          </w:p>
        </w:tc>
      </w:tr>
      <w:tr>
        <w:trPr>
          <w:trHeight w:val="437" w:hRule="exact"/>
        </w:trPr>
        <w:tc>
          <w:tcPr>
            <w:tcW w:w="393" w:type="dxa"/>
            <w:tcBorders>
              <w:top w:val="single" w:sz="8" w:space="0" w:color="000000"/>
              <w:left w:val="single" w:sz="12" w:space="0" w:color="000000"/>
              <w:bottom w:val="single" w:sz="12" w:space="0" w:color="000000"/>
              <w:right w:val="single" w:sz="8" w:space="0" w:color="000000"/>
            </w:tcBorders>
          </w:tcPr>
          <w:p>
            <w:pPr>
              <w:pStyle w:val="TableParagraph"/>
              <w:spacing w:line="240" w:lineRule="auto" w:before="91"/>
              <w:ind w:right="83"/>
              <w:jc w:val="right"/>
              <w:rPr>
                <w:rFonts w:ascii="Times New Roman" w:hAnsi="Times New Roman" w:cs="Times New Roman" w:eastAsia="Times New Roman" w:hint="default"/>
                <w:sz w:val="20"/>
                <w:szCs w:val="20"/>
              </w:rPr>
            </w:pPr>
            <w:r>
              <w:rPr>
                <w:rFonts w:ascii="Times New Roman"/>
                <w:sz w:val="20"/>
              </w:rPr>
              <w:t>33</w:t>
            </w:r>
          </w:p>
        </w:tc>
        <w:tc>
          <w:tcPr>
            <w:tcW w:w="457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2"/>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易兴场（厂）站自控系统</w:t>
            </w:r>
            <w:r>
              <w:rPr>
                <w:rFonts w:ascii="Times New Roman" w:hAnsi="Times New Roman" w:cs="Times New Roman" w:eastAsia="Times New Roman" w:hint="default"/>
                <w:sz w:val="18"/>
                <w:szCs w:val="18"/>
              </w:rPr>
              <w:t>V1.0</w:t>
            </w:r>
          </w:p>
        </w:tc>
        <w:tc>
          <w:tcPr>
            <w:tcW w:w="1274"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2017SR107730</w:t>
            </w:r>
          </w:p>
        </w:tc>
        <w:tc>
          <w:tcPr>
            <w:tcW w:w="96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2017-3-10</w:t>
            </w:r>
          </w:p>
        </w:tc>
        <w:tc>
          <w:tcPr>
            <w:tcW w:w="85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85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2"/>
              <w:ind w:right="54"/>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759" w:type="dxa"/>
            <w:tcBorders>
              <w:top w:val="single" w:sz="8" w:space="0" w:color="000000"/>
              <w:left w:val="single" w:sz="8" w:space="0" w:color="000000"/>
              <w:bottom w:val="single" w:sz="12" w:space="0" w:color="000000"/>
              <w:right w:val="single" w:sz="12" w:space="0" w:color="000000"/>
            </w:tcBorders>
          </w:tcPr>
          <w:p>
            <w:pPr>
              <w:pStyle w:val="TableParagraph"/>
              <w:spacing w:line="240" w:lineRule="auto" w:before="62"/>
              <w:ind w:right="5"/>
              <w:jc w:val="right"/>
              <w:rPr>
                <w:rFonts w:ascii="宋体" w:hAnsi="宋体" w:cs="宋体" w:eastAsia="宋体" w:hint="default"/>
                <w:sz w:val="18"/>
                <w:szCs w:val="18"/>
              </w:rPr>
            </w:pPr>
            <w:r>
              <w:rPr>
                <w:rFonts w:ascii="宋体" w:hAnsi="宋体" w:cs="宋体" w:eastAsia="宋体" w:hint="default"/>
                <w:sz w:val="18"/>
                <w:szCs w:val="18"/>
              </w:rPr>
              <w:t>鞍山易兴</w:t>
            </w:r>
          </w:p>
        </w:tc>
      </w:tr>
    </w:tbl>
    <w:p>
      <w:pPr>
        <w:spacing w:after="0" w:line="240" w:lineRule="auto"/>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13" w:type="dxa"/>
        <w:tblLayout w:type="fixed"/>
        <w:tblCellMar>
          <w:top w:w="0" w:type="dxa"/>
          <w:left w:w="0" w:type="dxa"/>
          <w:bottom w:w="0" w:type="dxa"/>
          <w:right w:w="0" w:type="dxa"/>
        </w:tblCellMar>
        <w:tblLook w:val="01E0"/>
      </w:tblPr>
      <w:tblGrid>
        <w:gridCol w:w="393"/>
        <w:gridCol w:w="4570"/>
        <w:gridCol w:w="1274"/>
        <w:gridCol w:w="960"/>
        <w:gridCol w:w="851"/>
        <w:gridCol w:w="851"/>
        <w:gridCol w:w="759"/>
      </w:tblGrid>
      <w:tr>
        <w:trPr>
          <w:trHeight w:val="436" w:hRule="exact"/>
        </w:trPr>
        <w:tc>
          <w:tcPr>
            <w:tcW w:w="393" w:type="dxa"/>
            <w:tcBorders>
              <w:top w:val="single" w:sz="12" w:space="0" w:color="000000"/>
              <w:left w:val="single" w:sz="12" w:space="0" w:color="000000"/>
              <w:bottom w:val="single" w:sz="8" w:space="0" w:color="000000"/>
              <w:right w:val="single" w:sz="8" w:space="0" w:color="000000"/>
            </w:tcBorders>
          </w:tcPr>
          <w:p>
            <w:pPr>
              <w:pStyle w:val="TableParagraph"/>
              <w:spacing w:line="240" w:lineRule="auto" w:before="90"/>
              <w:ind w:right="1"/>
              <w:jc w:val="center"/>
              <w:rPr>
                <w:rFonts w:ascii="Times New Roman" w:hAnsi="Times New Roman" w:cs="Times New Roman" w:eastAsia="Times New Roman" w:hint="default"/>
                <w:sz w:val="20"/>
                <w:szCs w:val="20"/>
              </w:rPr>
            </w:pPr>
            <w:r>
              <w:rPr>
                <w:rFonts w:ascii="Times New Roman"/>
                <w:sz w:val="20"/>
              </w:rPr>
              <w:t>34</w:t>
            </w:r>
          </w:p>
        </w:tc>
        <w:tc>
          <w:tcPr>
            <w:tcW w:w="457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61"/>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易兴智慧热力监管平台</w:t>
            </w:r>
            <w:r>
              <w:rPr>
                <w:rFonts w:ascii="Times New Roman" w:hAnsi="Times New Roman" w:cs="Times New Roman" w:eastAsia="Times New Roman" w:hint="default"/>
                <w:sz w:val="18"/>
                <w:szCs w:val="18"/>
              </w:rPr>
              <w:t>V1.0</w:t>
            </w:r>
          </w:p>
        </w:tc>
        <w:tc>
          <w:tcPr>
            <w:tcW w:w="1274"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2017SR110390</w:t>
            </w:r>
          </w:p>
        </w:tc>
        <w:tc>
          <w:tcPr>
            <w:tcW w:w="96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2017-3-11</w:t>
            </w:r>
          </w:p>
        </w:tc>
        <w:tc>
          <w:tcPr>
            <w:tcW w:w="851"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851"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61"/>
              <w:ind w:right="54"/>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759" w:type="dxa"/>
            <w:tcBorders>
              <w:top w:val="single" w:sz="12" w:space="0" w:color="000000"/>
              <w:left w:val="single" w:sz="8" w:space="0" w:color="000000"/>
              <w:bottom w:val="single" w:sz="8" w:space="0" w:color="000000"/>
              <w:right w:val="single" w:sz="12" w:space="0" w:color="000000"/>
            </w:tcBorders>
          </w:tcPr>
          <w:p>
            <w:pPr>
              <w:pStyle w:val="TableParagraph"/>
              <w:spacing w:line="240" w:lineRule="auto" w:before="61"/>
              <w:ind w:right="5"/>
              <w:jc w:val="right"/>
              <w:rPr>
                <w:rFonts w:ascii="宋体" w:hAnsi="宋体" w:cs="宋体" w:eastAsia="宋体" w:hint="default"/>
                <w:sz w:val="18"/>
                <w:szCs w:val="18"/>
              </w:rPr>
            </w:pPr>
            <w:r>
              <w:rPr>
                <w:rFonts w:ascii="宋体" w:hAnsi="宋体" w:cs="宋体" w:eastAsia="宋体" w:hint="default"/>
                <w:sz w:val="18"/>
                <w:szCs w:val="18"/>
              </w:rPr>
              <w:t>鞍山易兴</w:t>
            </w:r>
          </w:p>
        </w:tc>
      </w:tr>
      <w:tr>
        <w:trPr>
          <w:trHeight w:val="432" w:hRule="exact"/>
        </w:trPr>
        <w:tc>
          <w:tcPr>
            <w:tcW w:w="393"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91"/>
              <w:ind w:right="1"/>
              <w:jc w:val="center"/>
              <w:rPr>
                <w:rFonts w:ascii="Times New Roman" w:hAnsi="Times New Roman" w:cs="Times New Roman" w:eastAsia="Times New Roman" w:hint="default"/>
                <w:sz w:val="20"/>
                <w:szCs w:val="20"/>
              </w:rPr>
            </w:pPr>
            <w:r>
              <w:rPr>
                <w:rFonts w:ascii="Times New Roman"/>
                <w:sz w:val="20"/>
              </w:rPr>
              <w:t>35</w:t>
            </w:r>
          </w:p>
        </w:tc>
        <w:tc>
          <w:tcPr>
            <w:tcW w:w="45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易兴智慧水务监管平台</w:t>
            </w:r>
            <w:r>
              <w:rPr>
                <w:rFonts w:ascii="Times New Roman" w:hAnsi="Times New Roman" w:cs="Times New Roman" w:eastAsia="Times New Roman" w:hint="default"/>
                <w:sz w:val="18"/>
                <w:szCs w:val="18"/>
              </w:rPr>
              <w:t>V1.0</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2017SR110385</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2017-3-11</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54"/>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75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2"/>
              <w:ind w:right="5"/>
              <w:jc w:val="right"/>
              <w:rPr>
                <w:rFonts w:ascii="宋体" w:hAnsi="宋体" w:cs="宋体" w:eastAsia="宋体" w:hint="default"/>
                <w:sz w:val="18"/>
                <w:szCs w:val="18"/>
              </w:rPr>
            </w:pPr>
            <w:r>
              <w:rPr>
                <w:rFonts w:ascii="宋体" w:hAnsi="宋体" w:cs="宋体" w:eastAsia="宋体" w:hint="default"/>
                <w:sz w:val="18"/>
                <w:szCs w:val="18"/>
              </w:rPr>
              <w:t>鞍山易兴</w:t>
            </w:r>
          </w:p>
        </w:tc>
      </w:tr>
      <w:tr>
        <w:trPr>
          <w:trHeight w:val="432" w:hRule="exact"/>
        </w:trPr>
        <w:tc>
          <w:tcPr>
            <w:tcW w:w="393"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91"/>
              <w:ind w:right="1"/>
              <w:jc w:val="center"/>
              <w:rPr>
                <w:rFonts w:ascii="Times New Roman" w:hAnsi="Times New Roman" w:cs="Times New Roman" w:eastAsia="Times New Roman" w:hint="default"/>
                <w:sz w:val="20"/>
                <w:szCs w:val="20"/>
              </w:rPr>
            </w:pPr>
            <w:r>
              <w:rPr>
                <w:rFonts w:ascii="Times New Roman"/>
                <w:sz w:val="20"/>
              </w:rPr>
              <w:t>36</w:t>
            </w:r>
          </w:p>
        </w:tc>
        <w:tc>
          <w:tcPr>
            <w:tcW w:w="45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易兴</w:t>
            </w:r>
            <w:r>
              <w:rPr>
                <w:rFonts w:ascii="Times New Roman" w:hAnsi="Times New Roman" w:cs="Times New Roman" w:eastAsia="Times New Roman" w:hint="default"/>
                <w:sz w:val="18"/>
                <w:szCs w:val="18"/>
              </w:rPr>
              <w:t>SCADA</w:t>
            </w:r>
            <w:r>
              <w:rPr>
                <w:rFonts w:ascii="宋体" w:hAnsi="宋体" w:cs="宋体" w:eastAsia="宋体" w:hint="default"/>
                <w:sz w:val="18"/>
                <w:szCs w:val="18"/>
              </w:rPr>
              <w:t>系统</w:t>
            </w:r>
            <w:r>
              <w:rPr>
                <w:rFonts w:ascii="Times New Roman" w:hAnsi="Times New Roman" w:cs="Times New Roman" w:eastAsia="Times New Roman" w:hint="default"/>
                <w:sz w:val="18"/>
                <w:szCs w:val="18"/>
              </w:rPr>
              <w:t>V1.0</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2017SR110380</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2017-3-11</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54"/>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75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2"/>
              <w:ind w:right="5"/>
              <w:jc w:val="right"/>
              <w:rPr>
                <w:rFonts w:ascii="宋体" w:hAnsi="宋体" w:cs="宋体" w:eastAsia="宋体" w:hint="default"/>
                <w:sz w:val="18"/>
                <w:szCs w:val="18"/>
              </w:rPr>
            </w:pPr>
            <w:r>
              <w:rPr>
                <w:rFonts w:ascii="宋体" w:hAnsi="宋体" w:cs="宋体" w:eastAsia="宋体" w:hint="default"/>
                <w:sz w:val="18"/>
                <w:szCs w:val="18"/>
              </w:rPr>
              <w:t>鞍山易兴</w:t>
            </w:r>
          </w:p>
        </w:tc>
      </w:tr>
      <w:tr>
        <w:trPr>
          <w:trHeight w:val="432" w:hRule="exact"/>
        </w:trPr>
        <w:tc>
          <w:tcPr>
            <w:tcW w:w="393"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92"/>
              <w:ind w:right="1"/>
              <w:jc w:val="center"/>
              <w:rPr>
                <w:rFonts w:ascii="Times New Roman" w:hAnsi="Times New Roman" w:cs="Times New Roman" w:eastAsia="Times New Roman" w:hint="default"/>
                <w:sz w:val="20"/>
                <w:szCs w:val="20"/>
              </w:rPr>
            </w:pPr>
            <w:r>
              <w:rPr>
                <w:rFonts w:ascii="Times New Roman"/>
                <w:sz w:val="20"/>
              </w:rPr>
              <w:t>37</w:t>
            </w:r>
          </w:p>
        </w:tc>
        <w:tc>
          <w:tcPr>
            <w:tcW w:w="45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易兴远程数据采集单元软件</w:t>
            </w:r>
            <w:r>
              <w:rPr>
                <w:rFonts w:ascii="Times New Roman" w:hAnsi="Times New Roman" w:cs="Times New Roman" w:eastAsia="Times New Roman" w:hint="default"/>
                <w:sz w:val="18"/>
                <w:szCs w:val="18"/>
              </w:rPr>
              <w:t>V1.0</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2017SR111530</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2017-3-12</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54"/>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75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2"/>
              <w:ind w:right="5"/>
              <w:jc w:val="right"/>
              <w:rPr>
                <w:rFonts w:ascii="宋体" w:hAnsi="宋体" w:cs="宋体" w:eastAsia="宋体" w:hint="default"/>
                <w:sz w:val="18"/>
                <w:szCs w:val="18"/>
              </w:rPr>
            </w:pPr>
            <w:r>
              <w:rPr>
                <w:rFonts w:ascii="宋体" w:hAnsi="宋体" w:cs="宋体" w:eastAsia="宋体" w:hint="default"/>
                <w:sz w:val="18"/>
                <w:szCs w:val="18"/>
              </w:rPr>
              <w:t>鞍山易兴</w:t>
            </w:r>
          </w:p>
        </w:tc>
      </w:tr>
      <w:tr>
        <w:trPr>
          <w:trHeight w:val="432" w:hRule="exact"/>
        </w:trPr>
        <w:tc>
          <w:tcPr>
            <w:tcW w:w="393"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91"/>
              <w:ind w:right="1"/>
              <w:jc w:val="center"/>
              <w:rPr>
                <w:rFonts w:ascii="Times New Roman" w:hAnsi="Times New Roman" w:cs="Times New Roman" w:eastAsia="Times New Roman" w:hint="default"/>
                <w:sz w:val="20"/>
                <w:szCs w:val="20"/>
              </w:rPr>
            </w:pPr>
            <w:r>
              <w:rPr>
                <w:rFonts w:ascii="Times New Roman"/>
                <w:sz w:val="20"/>
              </w:rPr>
              <w:t>38</w:t>
            </w:r>
          </w:p>
        </w:tc>
        <w:tc>
          <w:tcPr>
            <w:tcW w:w="45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易兴智慧油库监管平台</w:t>
            </w:r>
            <w:r>
              <w:rPr>
                <w:rFonts w:ascii="Times New Roman" w:hAnsi="Times New Roman" w:cs="Times New Roman" w:eastAsia="Times New Roman" w:hint="default"/>
                <w:sz w:val="18"/>
                <w:szCs w:val="18"/>
              </w:rPr>
              <w:t>V1.0</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2017SR140654</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2017-3-26</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54"/>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75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2"/>
              <w:ind w:right="5"/>
              <w:jc w:val="right"/>
              <w:rPr>
                <w:rFonts w:ascii="宋体" w:hAnsi="宋体" w:cs="宋体" w:eastAsia="宋体" w:hint="default"/>
                <w:sz w:val="18"/>
                <w:szCs w:val="18"/>
              </w:rPr>
            </w:pPr>
            <w:r>
              <w:rPr>
                <w:rFonts w:ascii="宋体" w:hAnsi="宋体" w:cs="宋体" w:eastAsia="宋体" w:hint="default"/>
                <w:sz w:val="18"/>
                <w:szCs w:val="18"/>
              </w:rPr>
              <w:t>鞍山易兴</w:t>
            </w:r>
          </w:p>
        </w:tc>
      </w:tr>
      <w:tr>
        <w:trPr>
          <w:trHeight w:val="432" w:hRule="exact"/>
        </w:trPr>
        <w:tc>
          <w:tcPr>
            <w:tcW w:w="393"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91"/>
              <w:ind w:right="1"/>
              <w:jc w:val="center"/>
              <w:rPr>
                <w:rFonts w:ascii="Times New Roman" w:hAnsi="Times New Roman" w:cs="Times New Roman" w:eastAsia="Times New Roman" w:hint="default"/>
                <w:sz w:val="20"/>
                <w:szCs w:val="20"/>
              </w:rPr>
            </w:pPr>
            <w:r>
              <w:rPr>
                <w:rFonts w:ascii="Times New Roman"/>
                <w:sz w:val="20"/>
              </w:rPr>
              <w:t>39</w:t>
            </w:r>
          </w:p>
        </w:tc>
        <w:tc>
          <w:tcPr>
            <w:tcW w:w="45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易兴</w:t>
            </w:r>
            <w:r>
              <w:rPr>
                <w:rFonts w:ascii="Times New Roman" w:hAnsi="Times New Roman" w:cs="Times New Roman" w:eastAsia="Times New Roman" w:hint="default"/>
                <w:sz w:val="18"/>
                <w:szCs w:val="18"/>
              </w:rPr>
              <w:t>3D</w:t>
            </w:r>
            <w:r>
              <w:rPr>
                <w:rFonts w:ascii="宋体" w:hAnsi="宋体" w:cs="宋体" w:eastAsia="宋体" w:hint="default"/>
                <w:sz w:val="18"/>
                <w:szCs w:val="18"/>
              </w:rPr>
              <w:t>全景漫游软件</w:t>
            </w:r>
            <w:r>
              <w:rPr>
                <w:rFonts w:ascii="Times New Roman" w:hAnsi="Times New Roman" w:cs="Times New Roman" w:eastAsia="Times New Roman" w:hint="default"/>
                <w:sz w:val="18"/>
                <w:szCs w:val="18"/>
              </w:rPr>
              <w:t>V1.0</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2017SR140994</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2017-3-26</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54"/>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75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2"/>
              <w:ind w:right="5"/>
              <w:jc w:val="right"/>
              <w:rPr>
                <w:rFonts w:ascii="宋体" w:hAnsi="宋体" w:cs="宋体" w:eastAsia="宋体" w:hint="default"/>
                <w:sz w:val="18"/>
                <w:szCs w:val="18"/>
              </w:rPr>
            </w:pPr>
            <w:r>
              <w:rPr>
                <w:rFonts w:ascii="宋体" w:hAnsi="宋体" w:cs="宋体" w:eastAsia="宋体" w:hint="default"/>
                <w:sz w:val="18"/>
                <w:szCs w:val="18"/>
              </w:rPr>
              <w:t>鞍山易兴</w:t>
            </w:r>
          </w:p>
        </w:tc>
      </w:tr>
      <w:tr>
        <w:trPr>
          <w:trHeight w:val="432" w:hRule="exact"/>
        </w:trPr>
        <w:tc>
          <w:tcPr>
            <w:tcW w:w="393"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91"/>
              <w:ind w:right="1"/>
              <w:jc w:val="center"/>
              <w:rPr>
                <w:rFonts w:ascii="Times New Roman" w:hAnsi="Times New Roman" w:cs="Times New Roman" w:eastAsia="Times New Roman" w:hint="default"/>
                <w:sz w:val="20"/>
                <w:szCs w:val="20"/>
              </w:rPr>
            </w:pPr>
            <w:r>
              <w:rPr>
                <w:rFonts w:ascii="Times New Roman"/>
                <w:sz w:val="20"/>
              </w:rPr>
              <w:t>40</w:t>
            </w:r>
          </w:p>
        </w:tc>
        <w:tc>
          <w:tcPr>
            <w:tcW w:w="45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易兴安全网格化管理系统软件</w:t>
            </w:r>
            <w:r>
              <w:rPr>
                <w:rFonts w:ascii="Times New Roman" w:hAnsi="Times New Roman" w:cs="Times New Roman" w:eastAsia="Times New Roman" w:hint="default"/>
                <w:sz w:val="18"/>
                <w:szCs w:val="18"/>
              </w:rPr>
              <w:t>V1.0</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2017SR140502</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2017-3-26</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54"/>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75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2"/>
              <w:ind w:right="5"/>
              <w:jc w:val="right"/>
              <w:rPr>
                <w:rFonts w:ascii="宋体" w:hAnsi="宋体" w:cs="宋体" w:eastAsia="宋体" w:hint="default"/>
                <w:sz w:val="18"/>
                <w:szCs w:val="18"/>
              </w:rPr>
            </w:pPr>
            <w:r>
              <w:rPr>
                <w:rFonts w:ascii="宋体" w:hAnsi="宋体" w:cs="宋体" w:eastAsia="宋体" w:hint="default"/>
                <w:sz w:val="18"/>
                <w:szCs w:val="18"/>
              </w:rPr>
              <w:t>鞍山易兴</w:t>
            </w:r>
          </w:p>
        </w:tc>
      </w:tr>
      <w:tr>
        <w:trPr>
          <w:trHeight w:val="432" w:hRule="exact"/>
        </w:trPr>
        <w:tc>
          <w:tcPr>
            <w:tcW w:w="393"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91"/>
              <w:ind w:right="1"/>
              <w:jc w:val="center"/>
              <w:rPr>
                <w:rFonts w:ascii="Times New Roman" w:hAnsi="Times New Roman" w:cs="Times New Roman" w:eastAsia="Times New Roman" w:hint="default"/>
                <w:sz w:val="20"/>
                <w:szCs w:val="20"/>
              </w:rPr>
            </w:pPr>
            <w:r>
              <w:rPr>
                <w:rFonts w:ascii="Times New Roman"/>
                <w:sz w:val="20"/>
              </w:rPr>
              <w:t>41</w:t>
            </w:r>
          </w:p>
        </w:tc>
        <w:tc>
          <w:tcPr>
            <w:tcW w:w="45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易兴燃气计量分析系统软件</w:t>
            </w:r>
            <w:r>
              <w:rPr>
                <w:rFonts w:ascii="Times New Roman" w:hAnsi="Times New Roman" w:cs="Times New Roman" w:eastAsia="Times New Roman" w:hint="default"/>
                <w:sz w:val="18"/>
                <w:szCs w:val="18"/>
              </w:rPr>
              <w:t>V1.0</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2017SR140636</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2017-3-26</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54"/>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75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2"/>
              <w:ind w:right="5"/>
              <w:jc w:val="right"/>
              <w:rPr>
                <w:rFonts w:ascii="宋体" w:hAnsi="宋体" w:cs="宋体" w:eastAsia="宋体" w:hint="default"/>
                <w:sz w:val="18"/>
                <w:szCs w:val="18"/>
              </w:rPr>
            </w:pPr>
            <w:r>
              <w:rPr>
                <w:rFonts w:ascii="宋体" w:hAnsi="宋体" w:cs="宋体" w:eastAsia="宋体" w:hint="default"/>
                <w:sz w:val="18"/>
                <w:szCs w:val="18"/>
              </w:rPr>
              <w:t>鞍山易兴</w:t>
            </w:r>
          </w:p>
        </w:tc>
      </w:tr>
      <w:tr>
        <w:trPr>
          <w:trHeight w:val="432" w:hRule="exact"/>
        </w:trPr>
        <w:tc>
          <w:tcPr>
            <w:tcW w:w="393"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91"/>
              <w:ind w:right="1"/>
              <w:jc w:val="center"/>
              <w:rPr>
                <w:rFonts w:ascii="Times New Roman" w:hAnsi="Times New Roman" w:cs="Times New Roman" w:eastAsia="Times New Roman" w:hint="default"/>
                <w:sz w:val="20"/>
                <w:szCs w:val="20"/>
              </w:rPr>
            </w:pPr>
            <w:r>
              <w:rPr>
                <w:rFonts w:ascii="Times New Roman"/>
                <w:sz w:val="20"/>
              </w:rPr>
              <w:t>42</w:t>
            </w:r>
          </w:p>
        </w:tc>
        <w:tc>
          <w:tcPr>
            <w:tcW w:w="45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易兴钢瓶流转管理</w:t>
            </w:r>
            <w:r>
              <w:rPr>
                <w:rFonts w:ascii="Times New Roman" w:hAnsi="Times New Roman" w:cs="Times New Roman" w:eastAsia="Times New Roman" w:hint="default"/>
                <w:sz w:val="18"/>
                <w:szCs w:val="18"/>
              </w:rPr>
              <w:t>APP</w:t>
            </w:r>
            <w:r>
              <w:rPr>
                <w:rFonts w:ascii="宋体" w:hAnsi="宋体" w:cs="宋体" w:eastAsia="宋体" w:hint="default"/>
                <w:sz w:val="18"/>
                <w:szCs w:val="18"/>
              </w:rPr>
              <w:t>软件</w:t>
            </w:r>
            <w:r>
              <w:rPr>
                <w:rFonts w:ascii="Times New Roman" w:hAnsi="Times New Roman" w:cs="Times New Roman" w:eastAsia="Times New Roman" w:hint="default"/>
                <w:sz w:val="18"/>
                <w:szCs w:val="18"/>
              </w:rPr>
              <w:t>V1.0</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2017SR140475</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2017-3-26</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54"/>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75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2"/>
              <w:ind w:right="5"/>
              <w:jc w:val="right"/>
              <w:rPr>
                <w:rFonts w:ascii="宋体" w:hAnsi="宋体" w:cs="宋体" w:eastAsia="宋体" w:hint="default"/>
                <w:sz w:val="18"/>
                <w:szCs w:val="18"/>
              </w:rPr>
            </w:pPr>
            <w:r>
              <w:rPr>
                <w:rFonts w:ascii="宋体" w:hAnsi="宋体" w:cs="宋体" w:eastAsia="宋体" w:hint="default"/>
                <w:sz w:val="18"/>
                <w:szCs w:val="18"/>
              </w:rPr>
              <w:t>鞍山易兴</w:t>
            </w:r>
          </w:p>
        </w:tc>
      </w:tr>
      <w:tr>
        <w:trPr>
          <w:trHeight w:val="432" w:hRule="exact"/>
        </w:trPr>
        <w:tc>
          <w:tcPr>
            <w:tcW w:w="393"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91"/>
              <w:ind w:right="1"/>
              <w:jc w:val="center"/>
              <w:rPr>
                <w:rFonts w:ascii="Times New Roman" w:hAnsi="Times New Roman" w:cs="Times New Roman" w:eastAsia="Times New Roman" w:hint="default"/>
                <w:sz w:val="20"/>
                <w:szCs w:val="20"/>
              </w:rPr>
            </w:pPr>
            <w:r>
              <w:rPr>
                <w:rFonts w:ascii="Times New Roman"/>
                <w:sz w:val="20"/>
              </w:rPr>
              <w:t>43</w:t>
            </w:r>
          </w:p>
        </w:tc>
        <w:tc>
          <w:tcPr>
            <w:tcW w:w="45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易兴水泵震动监测软件</w:t>
            </w:r>
            <w:r>
              <w:rPr>
                <w:rFonts w:ascii="Times New Roman" w:hAnsi="Times New Roman" w:cs="Times New Roman" w:eastAsia="Times New Roman" w:hint="default"/>
                <w:sz w:val="18"/>
                <w:szCs w:val="18"/>
              </w:rPr>
              <w:t>V1.0</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2017SR140645</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2017-3-26</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54"/>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75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2"/>
              <w:ind w:right="5"/>
              <w:jc w:val="right"/>
              <w:rPr>
                <w:rFonts w:ascii="宋体" w:hAnsi="宋体" w:cs="宋体" w:eastAsia="宋体" w:hint="default"/>
                <w:sz w:val="18"/>
                <w:szCs w:val="18"/>
              </w:rPr>
            </w:pPr>
            <w:r>
              <w:rPr>
                <w:rFonts w:ascii="宋体" w:hAnsi="宋体" w:cs="宋体" w:eastAsia="宋体" w:hint="default"/>
                <w:sz w:val="18"/>
                <w:szCs w:val="18"/>
              </w:rPr>
              <w:t>鞍山易兴</w:t>
            </w:r>
          </w:p>
        </w:tc>
      </w:tr>
      <w:tr>
        <w:trPr>
          <w:trHeight w:val="432" w:hRule="exact"/>
        </w:trPr>
        <w:tc>
          <w:tcPr>
            <w:tcW w:w="393"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91"/>
              <w:ind w:right="1"/>
              <w:jc w:val="center"/>
              <w:rPr>
                <w:rFonts w:ascii="Times New Roman" w:hAnsi="Times New Roman" w:cs="Times New Roman" w:eastAsia="Times New Roman" w:hint="default"/>
                <w:sz w:val="20"/>
                <w:szCs w:val="20"/>
              </w:rPr>
            </w:pPr>
            <w:r>
              <w:rPr>
                <w:rFonts w:ascii="Times New Roman"/>
                <w:sz w:val="20"/>
              </w:rPr>
              <w:t>44</w:t>
            </w:r>
          </w:p>
        </w:tc>
        <w:tc>
          <w:tcPr>
            <w:tcW w:w="45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易兴</w:t>
            </w:r>
            <w:r>
              <w:rPr>
                <w:rFonts w:ascii="Times New Roman" w:hAnsi="Times New Roman" w:cs="Times New Roman" w:eastAsia="Times New Roman" w:hint="default"/>
                <w:sz w:val="18"/>
                <w:szCs w:val="18"/>
              </w:rPr>
              <w:t>SCADA</w:t>
            </w:r>
            <w:r>
              <w:rPr>
                <w:rFonts w:ascii="宋体" w:hAnsi="宋体" w:cs="宋体" w:eastAsia="宋体" w:hint="default"/>
                <w:sz w:val="18"/>
                <w:szCs w:val="18"/>
              </w:rPr>
              <w:t>系统</w:t>
            </w:r>
            <w:r>
              <w:rPr>
                <w:rFonts w:ascii="Times New Roman" w:hAnsi="Times New Roman" w:cs="Times New Roman" w:eastAsia="Times New Roman" w:hint="default"/>
                <w:sz w:val="18"/>
                <w:szCs w:val="18"/>
              </w:rPr>
              <w:t>V2.0</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2017SR743088</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2017-11-29</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54"/>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75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2"/>
              <w:ind w:right="5"/>
              <w:jc w:val="right"/>
              <w:rPr>
                <w:rFonts w:ascii="宋体" w:hAnsi="宋体" w:cs="宋体" w:eastAsia="宋体" w:hint="default"/>
                <w:sz w:val="18"/>
                <w:szCs w:val="18"/>
              </w:rPr>
            </w:pPr>
            <w:r>
              <w:rPr>
                <w:rFonts w:ascii="宋体" w:hAnsi="宋体" w:cs="宋体" w:eastAsia="宋体" w:hint="default"/>
                <w:sz w:val="18"/>
                <w:szCs w:val="18"/>
              </w:rPr>
              <w:t>鞍山易兴</w:t>
            </w:r>
          </w:p>
        </w:tc>
      </w:tr>
      <w:tr>
        <w:trPr>
          <w:trHeight w:val="432" w:hRule="exact"/>
        </w:trPr>
        <w:tc>
          <w:tcPr>
            <w:tcW w:w="393"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91"/>
              <w:ind w:right="1"/>
              <w:jc w:val="center"/>
              <w:rPr>
                <w:rFonts w:ascii="Times New Roman" w:hAnsi="Times New Roman" w:cs="Times New Roman" w:eastAsia="Times New Roman" w:hint="default"/>
                <w:sz w:val="20"/>
                <w:szCs w:val="20"/>
              </w:rPr>
            </w:pPr>
            <w:r>
              <w:rPr>
                <w:rFonts w:ascii="Times New Roman"/>
                <w:sz w:val="20"/>
              </w:rPr>
              <w:t>45</w:t>
            </w:r>
          </w:p>
        </w:tc>
        <w:tc>
          <w:tcPr>
            <w:tcW w:w="45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智慧环保综合监管平台</w:t>
            </w:r>
            <w:r>
              <w:rPr>
                <w:rFonts w:ascii="Times New Roman" w:hAnsi="Times New Roman" w:cs="Times New Roman" w:eastAsia="Times New Roman" w:hint="default"/>
                <w:sz w:val="18"/>
                <w:szCs w:val="18"/>
              </w:rPr>
              <w:t>V1.0</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2017SR743528</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2017-11-29</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54"/>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75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2"/>
              <w:ind w:right="5"/>
              <w:jc w:val="right"/>
              <w:rPr>
                <w:rFonts w:ascii="宋体" w:hAnsi="宋体" w:cs="宋体" w:eastAsia="宋体" w:hint="default"/>
                <w:sz w:val="18"/>
                <w:szCs w:val="18"/>
              </w:rPr>
            </w:pPr>
            <w:r>
              <w:rPr>
                <w:rFonts w:ascii="宋体" w:hAnsi="宋体" w:cs="宋体" w:eastAsia="宋体" w:hint="default"/>
                <w:sz w:val="18"/>
                <w:szCs w:val="18"/>
              </w:rPr>
              <w:t>鞍山易兴</w:t>
            </w:r>
          </w:p>
        </w:tc>
      </w:tr>
      <w:tr>
        <w:trPr>
          <w:trHeight w:val="432" w:hRule="exact"/>
        </w:trPr>
        <w:tc>
          <w:tcPr>
            <w:tcW w:w="393"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91"/>
              <w:ind w:right="1"/>
              <w:jc w:val="center"/>
              <w:rPr>
                <w:rFonts w:ascii="Times New Roman" w:hAnsi="Times New Roman" w:cs="Times New Roman" w:eastAsia="Times New Roman" w:hint="default"/>
                <w:sz w:val="20"/>
                <w:szCs w:val="20"/>
              </w:rPr>
            </w:pPr>
            <w:r>
              <w:rPr>
                <w:rFonts w:ascii="Times New Roman"/>
                <w:sz w:val="20"/>
              </w:rPr>
              <w:t>46</w:t>
            </w:r>
          </w:p>
        </w:tc>
        <w:tc>
          <w:tcPr>
            <w:tcW w:w="45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智慧燃气管控一体化平台</w:t>
            </w:r>
            <w:r>
              <w:rPr>
                <w:rFonts w:ascii="Times New Roman" w:hAnsi="Times New Roman" w:cs="Times New Roman" w:eastAsia="Times New Roman" w:hint="default"/>
                <w:sz w:val="18"/>
                <w:szCs w:val="18"/>
              </w:rPr>
              <w:t>V1.0</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2017SR743096</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2017-11-29</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54"/>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75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2"/>
              <w:ind w:right="5"/>
              <w:jc w:val="right"/>
              <w:rPr>
                <w:rFonts w:ascii="宋体" w:hAnsi="宋体" w:cs="宋体" w:eastAsia="宋体" w:hint="default"/>
                <w:sz w:val="18"/>
                <w:szCs w:val="18"/>
              </w:rPr>
            </w:pPr>
            <w:r>
              <w:rPr>
                <w:rFonts w:ascii="宋体" w:hAnsi="宋体" w:cs="宋体" w:eastAsia="宋体" w:hint="default"/>
                <w:sz w:val="18"/>
                <w:szCs w:val="18"/>
              </w:rPr>
              <w:t>鞍山易兴</w:t>
            </w:r>
          </w:p>
        </w:tc>
      </w:tr>
      <w:tr>
        <w:trPr>
          <w:trHeight w:val="432" w:hRule="exact"/>
        </w:trPr>
        <w:tc>
          <w:tcPr>
            <w:tcW w:w="393"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91"/>
              <w:ind w:right="1"/>
              <w:jc w:val="center"/>
              <w:rPr>
                <w:rFonts w:ascii="Times New Roman" w:hAnsi="Times New Roman" w:cs="Times New Roman" w:eastAsia="Times New Roman" w:hint="default"/>
                <w:sz w:val="20"/>
                <w:szCs w:val="20"/>
              </w:rPr>
            </w:pPr>
            <w:r>
              <w:rPr>
                <w:rFonts w:ascii="Times New Roman"/>
                <w:sz w:val="20"/>
              </w:rPr>
              <w:t>47</w:t>
            </w:r>
          </w:p>
        </w:tc>
        <w:tc>
          <w:tcPr>
            <w:tcW w:w="45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智慧市政综合监管平台</w:t>
            </w:r>
            <w:r>
              <w:rPr>
                <w:rFonts w:ascii="Times New Roman" w:hAnsi="Times New Roman" w:cs="Times New Roman" w:eastAsia="Times New Roman" w:hint="default"/>
                <w:sz w:val="18"/>
                <w:szCs w:val="18"/>
              </w:rPr>
              <w:t>V1.0</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2017SR743092</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2017-11-29</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54"/>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75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2"/>
              <w:ind w:right="5"/>
              <w:jc w:val="right"/>
              <w:rPr>
                <w:rFonts w:ascii="宋体" w:hAnsi="宋体" w:cs="宋体" w:eastAsia="宋体" w:hint="default"/>
                <w:sz w:val="18"/>
                <w:szCs w:val="18"/>
              </w:rPr>
            </w:pPr>
            <w:r>
              <w:rPr>
                <w:rFonts w:ascii="宋体" w:hAnsi="宋体" w:cs="宋体" w:eastAsia="宋体" w:hint="default"/>
                <w:sz w:val="18"/>
                <w:szCs w:val="18"/>
              </w:rPr>
              <w:t>鞍山易兴</w:t>
            </w:r>
          </w:p>
        </w:tc>
      </w:tr>
      <w:tr>
        <w:trPr>
          <w:trHeight w:val="432" w:hRule="exact"/>
        </w:trPr>
        <w:tc>
          <w:tcPr>
            <w:tcW w:w="393"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48</w:t>
            </w:r>
          </w:p>
        </w:tc>
        <w:tc>
          <w:tcPr>
            <w:tcW w:w="45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宋体" w:hAnsi="宋体" w:cs="宋体" w:eastAsia="宋体" w:hint="default"/>
                <w:sz w:val="18"/>
                <w:szCs w:val="18"/>
              </w:rPr>
            </w:pPr>
            <w:r>
              <w:rPr>
                <w:rFonts w:ascii="宋体" w:hAnsi="宋体" w:cs="宋体" w:eastAsia="宋体" w:hint="default"/>
                <w:sz w:val="18"/>
                <w:szCs w:val="18"/>
              </w:rPr>
              <w:t>建设行业建设工程综合管理平台</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2017SR561711</w:t>
            </w:r>
          </w:p>
        </w:tc>
        <w:tc>
          <w:tcPr>
            <w:tcW w:w="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2017-8-22</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54"/>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75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2"/>
              <w:ind w:right="5"/>
              <w:jc w:val="right"/>
              <w:rPr>
                <w:rFonts w:ascii="宋体" w:hAnsi="宋体" w:cs="宋体" w:eastAsia="宋体" w:hint="default"/>
                <w:sz w:val="18"/>
                <w:szCs w:val="18"/>
              </w:rPr>
            </w:pPr>
            <w:r>
              <w:rPr>
                <w:rFonts w:ascii="宋体" w:hAnsi="宋体" w:cs="宋体" w:eastAsia="宋体" w:hint="default"/>
                <w:sz w:val="18"/>
                <w:szCs w:val="18"/>
              </w:rPr>
              <w:t>沈阳金建</w:t>
            </w:r>
          </w:p>
        </w:tc>
      </w:tr>
      <w:tr>
        <w:trPr>
          <w:trHeight w:val="437" w:hRule="exact"/>
        </w:trPr>
        <w:tc>
          <w:tcPr>
            <w:tcW w:w="393" w:type="dxa"/>
            <w:tcBorders>
              <w:top w:val="single" w:sz="8" w:space="0" w:color="000000"/>
              <w:left w:val="single" w:sz="12" w:space="0" w:color="000000"/>
              <w:bottom w:val="single" w:sz="12"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49</w:t>
            </w:r>
          </w:p>
        </w:tc>
        <w:tc>
          <w:tcPr>
            <w:tcW w:w="457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2"/>
              <w:ind w:right="0"/>
              <w:jc w:val="left"/>
              <w:rPr>
                <w:rFonts w:ascii="宋体" w:hAnsi="宋体" w:cs="宋体" w:eastAsia="宋体" w:hint="default"/>
                <w:sz w:val="18"/>
                <w:szCs w:val="18"/>
              </w:rPr>
            </w:pPr>
            <w:r>
              <w:rPr>
                <w:rFonts w:ascii="宋体" w:hAnsi="宋体" w:cs="宋体" w:eastAsia="宋体" w:hint="default"/>
                <w:sz w:val="18"/>
                <w:szCs w:val="18"/>
              </w:rPr>
              <w:t>建设行业建设工程协同办公与诚信管理平台</w:t>
            </w:r>
          </w:p>
        </w:tc>
        <w:tc>
          <w:tcPr>
            <w:tcW w:w="1274"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2017SR565663</w:t>
            </w:r>
          </w:p>
        </w:tc>
        <w:tc>
          <w:tcPr>
            <w:tcW w:w="96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2016-12-30</w:t>
            </w:r>
          </w:p>
        </w:tc>
        <w:tc>
          <w:tcPr>
            <w:tcW w:w="85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85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2"/>
              <w:ind w:right="54"/>
              <w:jc w:val="right"/>
              <w:rPr>
                <w:rFonts w:ascii="宋体" w:hAnsi="宋体" w:cs="宋体" w:eastAsia="宋体" w:hint="default"/>
                <w:sz w:val="18"/>
                <w:szCs w:val="18"/>
              </w:rPr>
            </w:pPr>
            <w:r>
              <w:rPr>
                <w:rFonts w:ascii="宋体" w:hAnsi="宋体" w:cs="宋体" w:eastAsia="宋体" w:hint="default"/>
                <w:sz w:val="18"/>
                <w:szCs w:val="18"/>
              </w:rPr>
              <w:t>原始取得</w:t>
            </w:r>
          </w:p>
        </w:tc>
        <w:tc>
          <w:tcPr>
            <w:tcW w:w="759" w:type="dxa"/>
            <w:tcBorders>
              <w:top w:val="single" w:sz="8" w:space="0" w:color="000000"/>
              <w:left w:val="single" w:sz="8" w:space="0" w:color="000000"/>
              <w:bottom w:val="single" w:sz="12" w:space="0" w:color="000000"/>
              <w:right w:val="single" w:sz="12" w:space="0" w:color="000000"/>
            </w:tcBorders>
          </w:tcPr>
          <w:p>
            <w:pPr>
              <w:pStyle w:val="TableParagraph"/>
              <w:spacing w:line="240" w:lineRule="auto" w:before="62"/>
              <w:ind w:right="5"/>
              <w:jc w:val="right"/>
              <w:rPr>
                <w:rFonts w:ascii="宋体" w:hAnsi="宋体" w:cs="宋体" w:eastAsia="宋体" w:hint="default"/>
                <w:sz w:val="18"/>
                <w:szCs w:val="18"/>
              </w:rPr>
            </w:pPr>
            <w:r>
              <w:rPr>
                <w:rFonts w:ascii="宋体" w:hAnsi="宋体" w:cs="宋体" w:eastAsia="宋体" w:hint="default"/>
                <w:sz w:val="18"/>
                <w:szCs w:val="18"/>
              </w:rPr>
              <w:t>沈阳金建</w:t>
            </w:r>
          </w:p>
        </w:tc>
      </w:tr>
    </w:tbl>
    <w:p>
      <w:pPr>
        <w:spacing w:after="0" w:line="240" w:lineRule="auto"/>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39"/>
        <w:ind w:left="3945" w:right="0"/>
        <w:jc w:val="left"/>
        <w:rPr>
          <w:b w:val="0"/>
          <w:bCs w:val="0"/>
        </w:rPr>
      </w:pPr>
      <w:bookmarkStart w:name="第四节 经营情况讨论与分析" w:id="22"/>
      <w:bookmarkEnd w:id="22"/>
      <w:r>
        <w:rPr>
          <w:b w:val="0"/>
          <w:bCs w:val="0"/>
        </w:rPr>
      </w:r>
      <w:bookmarkStart w:name="_bookmark3" w:id="23"/>
      <w:bookmarkEnd w:id="23"/>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概述" w:id="24"/>
      <w:bookmarkEnd w:id="24"/>
      <w:r>
        <w:rPr>
          <w:b w:val="0"/>
          <w:bCs w:val="0"/>
        </w:rPr>
      </w:r>
      <w:r>
        <w:rPr/>
        <w:t>一、概述</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0" w:firstLine="420"/>
        <w:jc w:val="left"/>
      </w:pPr>
      <w:r>
        <w:rPr>
          <w:rFonts w:ascii="宋体" w:hAnsi="宋体" w:cs="宋体" w:eastAsia="宋体" w:hint="default"/>
        </w:rPr>
        <w:t>2017</w:t>
      </w:r>
      <w:r>
        <w:rPr>
          <w:rFonts w:ascii="宋体" w:hAnsi="宋体" w:cs="宋体" w:eastAsia="宋体" w:hint="default"/>
          <w:spacing w:val="-47"/>
        </w:rPr>
        <w:t> </w:t>
      </w:r>
      <w:r>
        <w:rPr>
          <w:spacing w:val="-7"/>
        </w:rPr>
        <w:t>年是公司夯实内生增长的一年。报告期内，公司在董事会的领导下，始终坚持“以传感器为核心，</w:t>
      </w:r>
      <w:r>
        <w:rPr/>
        <w:t> 做领先的物联网解决方案提供商、服务商”的发展战略，以市场为导向，在生产经营、产业生态圈建设、</w:t>
      </w:r>
      <w:r>
        <w:rPr>
          <w:spacing w:val="-30"/>
        </w:rPr>
        <w:t> </w:t>
      </w:r>
      <w:r>
        <w:rPr>
          <w:spacing w:val="-30"/>
        </w:rPr>
      </w:r>
      <w:r>
        <w:rPr/>
        <w:t>集团化管理、创新发展等方面开展了大量工作，取得了显著成效。报告期内，公司更名为“汉威科技集团</w:t>
      </w:r>
      <w:r>
        <w:rPr/>
        <w:t> 股份有限公司”，着力推动感知、采集、软件平台、空间信息、信息安全等技术之间的深度融合，充分发 挥协同性的力量，打造完整物联网解决方案，形成汉威科技的独特竞争力。报告期内，经过不断的沉淀和 积累，公司成功入选河南省民营企业现代服务业</w:t>
      </w:r>
      <w:r>
        <w:rPr>
          <w:spacing w:val="-57"/>
        </w:rPr>
        <w:t> </w:t>
      </w:r>
      <w:r>
        <w:rPr>
          <w:rFonts w:ascii="宋体" w:hAnsi="宋体" w:cs="宋体" w:eastAsia="宋体" w:hint="default"/>
        </w:rPr>
        <w:t>30</w:t>
      </w:r>
      <w:r>
        <w:rPr>
          <w:rFonts w:ascii="宋体" w:hAnsi="宋体" w:cs="宋体" w:eastAsia="宋体" w:hint="default"/>
          <w:spacing w:val="-57"/>
        </w:rPr>
        <w:t> </w:t>
      </w:r>
      <w:r>
        <w:rPr/>
        <w:t>强。整体来看，公司</w:t>
      </w:r>
      <w:r>
        <w:rPr>
          <w:spacing w:val="-58"/>
        </w:rPr>
        <w:t> </w:t>
      </w:r>
      <w:r>
        <w:rPr>
          <w:rFonts w:ascii="宋体" w:hAnsi="宋体" w:cs="宋体" w:eastAsia="宋体" w:hint="default"/>
        </w:rPr>
        <w:t>2017</w:t>
      </w:r>
      <w:r>
        <w:rPr>
          <w:rFonts w:ascii="宋体" w:hAnsi="宋体" w:cs="宋体" w:eastAsia="宋体" w:hint="default"/>
          <w:spacing w:val="-57"/>
        </w:rPr>
        <w:t> </w:t>
      </w:r>
      <w:r>
        <w:rPr/>
        <w:t>年整体延续了快速发展、总 体良好的态势，细分行业龙头地位和竞争优势得到进一步巩固和增强。</w:t>
      </w:r>
    </w:p>
    <w:p>
      <w:pPr>
        <w:pStyle w:val="BodyText"/>
        <w:spacing w:line="408" w:lineRule="auto"/>
        <w:ind w:right="1118" w:firstLine="420"/>
        <w:jc w:val="left"/>
      </w:pPr>
      <w:r>
        <w:rPr/>
        <w:t>报告期内，公司实现营业收入</w:t>
      </w:r>
      <w:r>
        <w:rPr>
          <w:spacing w:val="-44"/>
        </w:rPr>
        <w:t> </w:t>
      </w:r>
      <w:r>
        <w:rPr>
          <w:rFonts w:ascii="宋体" w:hAnsi="宋体" w:cs="宋体" w:eastAsia="宋体" w:hint="default"/>
        </w:rPr>
        <w:t>144,417.91</w:t>
      </w:r>
      <w:r>
        <w:rPr>
          <w:rFonts w:ascii="宋体" w:hAnsi="宋体" w:cs="宋体" w:eastAsia="宋体" w:hint="default"/>
          <w:spacing w:val="-42"/>
        </w:rPr>
        <w:t> </w:t>
      </w:r>
      <w:r>
        <w:rPr/>
        <w:t>万元，同比增长</w:t>
      </w:r>
      <w:r>
        <w:rPr>
          <w:spacing w:val="-44"/>
        </w:rPr>
        <w:t> </w:t>
      </w:r>
      <w:r>
        <w:rPr>
          <w:rFonts w:ascii="宋体" w:hAnsi="宋体" w:cs="宋体" w:eastAsia="宋体" w:hint="default"/>
        </w:rPr>
        <w:t>30.37%</w:t>
      </w:r>
      <w:r>
        <w:rPr/>
        <w:t>；实现归属于上市公司股东的净利 润</w:t>
      </w:r>
      <w:r>
        <w:rPr>
          <w:spacing w:val="-54"/>
        </w:rPr>
        <w:t> </w:t>
      </w:r>
      <w:r>
        <w:rPr>
          <w:rFonts w:ascii="宋体" w:hAnsi="宋体" w:cs="宋体" w:eastAsia="宋体" w:hint="default"/>
        </w:rPr>
        <w:t>11,032.09</w:t>
      </w:r>
      <w:r>
        <w:rPr>
          <w:rFonts w:ascii="宋体" w:hAnsi="宋体" w:cs="宋体" w:eastAsia="宋体" w:hint="default"/>
          <w:spacing w:val="-53"/>
        </w:rPr>
        <w:t> </w:t>
      </w:r>
      <w:r>
        <w:rPr/>
        <w:t>万元，同比增长</w:t>
      </w:r>
      <w:r>
        <w:rPr>
          <w:spacing w:val="-54"/>
        </w:rPr>
        <w:t> </w:t>
      </w:r>
      <w:r>
        <w:rPr>
          <w:rFonts w:ascii="宋体" w:hAnsi="宋体" w:cs="宋体" w:eastAsia="宋体" w:hint="default"/>
        </w:rPr>
        <w:t>21.73%</w:t>
      </w:r>
      <w:r>
        <w:rPr/>
        <w:t>。</w:t>
      </w:r>
    </w:p>
    <w:p>
      <w:pPr>
        <w:pStyle w:val="BodyText"/>
        <w:spacing w:line="408" w:lineRule="auto"/>
        <w:ind w:left="1554" w:right="0"/>
        <w:jc w:val="left"/>
      </w:pPr>
      <w:r>
        <w:rPr/>
        <w:t>公司取得上述经营成果的主要原因如下： </w:t>
      </w:r>
      <w:r>
        <w:rPr>
          <w:rFonts w:ascii="宋体" w:hAnsi="宋体" w:cs="宋体" w:eastAsia="宋体" w:hint="default"/>
        </w:rPr>
        <w:t>1</w:t>
      </w:r>
      <w:r>
        <w:rPr/>
        <w:t>、传感器业务增速显著。报告期内，传感器板块受益于安全、环保、健康以及全社会智慧化等理念</w:t>
      </w:r>
    </w:p>
    <w:p>
      <w:pPr>
        <w:pStyle w:val="BodyText"/>
        <w:spacing w:line="408" w:lineRule="auto"/>
        <w:ind w:right="1132"/>
        <w:jc w:val="both"/>
      </w:pPr>
      <w:r>
        <w:rPr>
          <w:spacing w:val="-1"/>
        </w:rPr>
        <w:t>提升带来的强劲需求，气体监控需求持续上升，该板块相关产品取得了突出的增长；另一方面，随着下游</w:t>
      </w:r>
      <w:r>
        <w:rPr>
          <w:spacing w:val="-86"/>
        </w:rPr>
        <w:t> </w:t>
      </w:r>
      <w:r>
        <w:rPr>
          <w:spacing w:val="-86"/>
        </w:rPr>
      </w:r>
      <w:r>
        <w:rPr>
          <w:spacing w:val="-1"/>
        </w:rPr>
        <w:t>应用行业的快速发展，该板块经营的甲醛、</w:t>
      </w:r>
      <w:r>
        <w:rPr>
          <w:rFonts w:ascii="宋体" w:hAnsi="宋体" w:cs="宋体" w:eastAsia="宋体" w:hint="default"/>
          <w:spacing w:val="-1"/>
        </w:rPr>
        <w:t>VOCs</w:t>
      </w:r>
      <w:r>
        <w:rPr>
          <w:spacing w:val="-1"/>
        </w:rPr>
        <w:t>、粉尘等监测类传感器产品业绩增速较快，传感器板块业</w:t>
      </w:r>
      <w:r>
        <w:rPr>
          <w:spacing w:val="-83"/>
        </w:rPr>
        <w:t> </w:t>
      </w:r>
      <w:r>
        <w:rPr>
          <w:spacing w:val="-83"/>
        </w:rPr>
      </w:r>
      <w:r>
        <w:rPr/>
        <w:t>绩较上年同期增幅显著，增长势头强劲。</w:t>
      </w:r>
    </w:p>
    <w:p>
      <w:pPr>
        <w:pStyle w:val="BodyText"/>
        <w:spacing w:line="408" w:lineRule="auto"/>
        <w:ind w:right="1024" w:firstLine="420"/>
        <w:jc w:val="left"/>
      </w:pPr>
      <w:r>
        <w:rPr>
          <w:rFonts w:ascii="宋体" w:hAnsi="宋体" w:cs="宋体" w:eastAsia="宋体" w:hint="default"/>
        </w:rPr>
        <w:t>2</w:t>
      </w:r>
      <w:r>
        <w:rPr/>
        <w:t>、物联网综合解决方案成果显著。报告期内，公司加大自筹资金的使用规模，稳步推进物联网综合 </w:t>
      </w:r>
      <w:r>
        <w:rPr>
          <w:spacing w:val="-3"/>
        </w:rPr>
        <w:t>解决方案中已实施的智慧水务、智慧市政系统解决方案等智慧化建设项目的落地，产业协同效应不断增强，</w:t>
      </w:r>
      <w:r>
        <w:rPr>
          <w:spacing w:val="-91"/>
        </w:rPr>
        <w:t> </w:t>
      </w:r>
      <w:r>
        <w:rPr>
          <w:spacing w:val="-91"/>
        </w:rPr>
      </w:r>
      <w:r>
        <w:rPr/>
        <w:t>进一步促进了公司整体经营业绩持续、稳健地增长。同时，受益于社会民众对环保关注度的提升以及国家</w:t>
      </w:r>
      <w:r>
        <w:rPr/>
        <w:t> 政策对环保行业的大力支持，智慧环保系统解决方案业务整体发展情况良好。公司持续构建并完善“智慧 环保”一体化解决方案，报告期内通过打通数据通道，实现了为客户提供数据增值服务，提高了环保数据 集中管理效率及智慧化水平，取得了较好的市场示范效果。</w:t>
      </w:r>
    </w:p>
    <w:p>
      <w:pPr>
        <w:pStyle w:val="BodyText"/>
        <w:spacing w:line="240" w:lineRule="auto"/>
        <w:ind w:left="1554" w:right="0"/>
        <w:jc w:val="left"/>
      </w:pPr>
      <w:r>
        <w:rPr/>
        <w:t>报告期内，公司重点工作回顾如下：</w:t>
      </w:r>
    </w:p>
    <w:p>
      <w:pPr>
        <w:spacing w:line="240" w:lineRule="auto" w:before="10"/>
        <w:rPr>
          <w:rFonts w:ascii="宋体" w:hAnsi="宋体" w:cs="宋体" w:eastAsia="宋体" w:hint="default"/>
          <w:sz w:val="14"/>
          <w:szCs w:val="14"/>
        </w:rPr>
      </w:pPr>
    </w:p>
    <w:p>
      <w:pPr>
        <w:pStyle w:val="BodyText"/>
        <w:spacing w:line="408" w:lineRule="auto" w:before="0"/>
        <w:ind w:left="1554" w:right="0"/>
        <w:jc w:val="left"/>
      </w:pPr>
      <w:r>
        <w:rPr/>
        <w:t>（一）纵深发展物联网产业生态圈 </w:t>
      </w:r>
      <w:r>
        <w:rPr>
          <w:spacing w:val="-1"/>
        </w:rPr>
        <w:t>报告期内，公司围绕“以传感器为核心，做领先的物联网解决方案提供商、服务商”的发展思路，以</w:t>
      </w:r>
    </w:p>
    <w:p>
      <w:pPr>
        <w:pStyle w:val="BodyText"/>
        <w:spacing w:line="408" w:lineRule="auto"/>
        <w:ind w:right="1133"/>
        <w:jc w:val="both"/>
      </w:pPr>
      <w:r>
        <w:rPr>
          <w:spacing w:val="-1"/>
        </w:rPr>
        <w:t>拓展产业内涵、增强产业厚度、丰富产品品种为切入口，以技术突破和项目落地为着力点，充分发挥物联</w:t>
      </w:r>
      <w:r>
        <w:rPr>
          <w:spacing w:val="-86"/>
        </w:rPr>
        <w:t> </w:t>
      </w:r>
      <w:r>
        <w:rPr>
          <w:spacing w:val="-86"/>
        </w:rPr>
      </w:r>
      <w:r>
        <w:rPr>
          <w:spacing w:val="-1"/>
        </w:rPr>
        <w:t>网生态圈的协同作用，实现可持续的、良性的内生增长，部分业务板块实现了突破，公司的物联网产业布</w:t>
      </w:r>
    </w:p>
    <w:p>
      <w:pPr>
        <w:spacing w:after="0" w:line="408"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left="1553" w:right="0" w:hanging="420"/>
        <w:jc w:val="left"/>
      </w:pPr>
      <w:r>
        <w:rPr/>
        <w:t>局趋向更加合理。 </w:t>
      </w:r>
      <w:r>
        <w:rPr>
          <w:spacing w:val="-6"/>
        </w:rPr>
        <w:t>报告期内，公司稳步推进了基于行业应用的“汉威云”战略。通过将智慧水务、智慧热力、智慧安全、</w:t>
      </w:r>
    </w:p>
    <w:p>
      <w:pPr>
        <w:pStyle w:val="BodyText"/>
        <w:spacing w:line="408" w:lineRule="auto"/>
        <w:ind w:right="0"/>
        <w:jc w:val="left"/>
      </w:pPr>
      <w:r>
        <w:rPr/>
        <w:t>智慧环保、大气网格化监测平台等一系列解决方案收集的行业数据导入云平台进行分析，实现了为客户提 供增值服务，公司的物联网服务体系得到进一步完善。随着数据规模的日益扩张以及数据传输、交换频率 的不断增加，数据安全性成为“汉威云”战略的重要课题。在数据安全领域，公司投资的中盾云安通过电 子签名、区块链等技术的应用，提供数据安全传输、存储、交换、查证等完备的产品体系及解决方案，有 </w:t>
      </w:r>
      <w:r>
        <w:rPr>
          <w:spacing w:val="-1"/>
        </w:rPr>
        <w:t>效解决电子数据的可信性认证问题，目前已经在物联网数据可信采集及交换等领域开展了一系列应用尝试，</w:t>
      </w:r>
      <w:r>
        <w:rPr>
          <w:spacing w:val="-80"/>
        </w:rPr>
        <w:t> </w:t>
      </w:r>
      <w:r>
        <w:rPr>
          <w:spacing w:val="-80"/>
        </w:rPr>
      </w:r>
      <w:r>
        <w:rPr/>
        <w:t>形成了一定的技术积累和实践基础。</w:t>
      </w:r>
    </w:p>
    <w:p>
      <w:pPr>
        <w:pStyle w:val="BodyText"/>
        <w:spacing w:line="240" w:lineRule="auto"/>
        <w:ind w:left="1553" w:right="0"/>
        <w:jc w:val="left"/>
      </w:pPr>
      <w:r>
        <w:rPr>
          <w:rFonts w:ascii="宋体" w:hAnsi="宋体" w:cs="宋体" w:eastAsia="宋体" w:hint="default"/>
        </w:rPr>
        <w:t>1</w:t>
      </w:r>
      <w:r>
        <w:rPr/>
        <w:t>、传感器</w:t>
      </w:r>
    </w:p>
    <w:p>
      <w:pPr>
        <w:spacing w:line="240" w:lineRule="auto" w:before="10"/>
        <w:rPr>
          <w:rFonts w:ascii="宋体" w:hAnsi="宋体" w:cs="宋体" w:eastAsia="宋体" w:hint="default"/>
          <w:sz w:val="14"/>
          <w:szCs w:val="14"/>
        </w:rPr>
      </w:pPr>
    </w:p>
    <w:p>
      <w:pPr>
        <w:pStyle w:val="BodyText"/>
        <w:spacing w:line="408" w:lineRule="auto" w:before="0"/>
        <w:ind w:right="1131" w:firstLine="420"/>
        <w:jc w:val="both"/>
      </w:pPr>
      <w:r>
        <w:rPr/>
        <w:t>报告期内，炜盛科技营业收入和净利润同比增幅均超</w:t>
      </w:r>
      <w:r>
        <w:rPr>
          <w:spacing w:val="-23"/>
        </w:rPr>
        <w:t> </w:t>
      </w:r>
      <w:r>
        <w:rPr>
          <w:rFonts w:ascii="宋体" w:hAnsi="宋体" w:cs="宋体" w:eastAsia="宋体" w:hint="default"/>
        </w:rPr>
        <w:t>50%</w:t>
      </w:r>
      <w:r>
        <w:rPr/>
        <w:t>，尤其在环保、安防产品领域增速突出。一 </w:t>
      </w:r>
      <w:r>
        <w:rPr>
          <w:spacing w:val="-1"/>
        </w:rPr>
        <w:t>方面，用于室内空气质量检测的甲醛传感器、红外二氧化碳传感器销量较过去几年实现了显著的增长；另</w:t>
      </w:r>
      <w:r>
        <w:rPr>
          <w:spacing w:val="-83"/>
        </w:rPr>
        <w:t> </w:t>
      </w:r>
      <w:r>
        <w:rPr>
          <w:spacing w:val="-83"/>
        </w:rPr>
      </w:r>
      <w:r>
        <w:rPr/>
        <w:t>一方面，随着煤改气政策的逐步推进，传统的半导体气体传感器也实现了超预期的增长。</w:t>
      </w:r>
    </w:p>
    <w:p>
      <w:pPr>
        <w:pStyle w:val="BodyText"/>
        <w:spacing w:line="408" w:lineRule="auto"/>
        <w:ind w:right="1131" w:firstLine="420"/>
        <w:jc w:val="both"/>
      </w:pPr>
      <w:r>
        <w:rPr>
          <w:spacing w:val="-1"/>
        </w:rPr>
        <w:t>报告期内，炜盛科技设立中英合资公司，实现了海外传感器行业资源整合和业务拓展；新能源汽车领</w:t>
      </w:r>
      <w:r>
        <w:rPr/>
        <w:t> 域传感器及 </w:t>
      </w:r>
      <w:r>
        <w:rPr>
          <w:rFonts w:ascii="宋体" w:hAnsi="宋体" w:cs="宋体" w:eastAsia="宋体" w:hint="default"/>
        </w:rPr>
        <w:t>MEMS</w:t>
      </w:r>
      <w:r>
        <w:rPr>
          <w:rFonts w:ascii="宋体" w:hAnsi="宋体" w:cs="宋体" w:eastAsia="宋体" w:hint="default"/>
          <w:spacing w:val="-24"/>
        </w:rPr>
        <w:t> </w:t>
      </w:r>
      <w:r>
        <w:rPr/>
        <w:t>传感器销量持续增长，生产自动化水平不断提高；拓展了传感器板块的产品种类；与青 </w:t>
      </w:r>
      <w:r>
        <w:rPr>
          <w:spacing w:val="-1"/>
        </w:rPr>
        <w:t>岛海尔股份有限公司子公司共同建立智控传感联合实验室，强强联合共谋智慧家电市场，在行业形成较大</w:t>
      </w:r>
      <w:r>
        <w:rPr>
          <w:spacing w:val="-81"/>
        </w:rPr>
        <w:t> </w:t>
      </w:r>
      <w:r>
        <w:rPr>
          <w:spacing w:val="-81"/>
        </w:rPr>
      </w:r>
      <w:r>
        <w:rPr/>
        <w:t>的影响力。</w:t>
      </w:r>
    </w:p>
    <w:p>
      <w:pPr>
        <w:pStyle w:val="BodyText"/>
        <w:spacing w:line="240" w:lineRule="auto"/>
        <w:ind w:left="1554" w:right="0"/>
        <w:jc w:val="left"/>
      </w:pPr>
      <w:r>
        <w:rPr>
          <w:rFonts w:ascii="宋体" w:hAnsi="宋体" w:cs="宋体" w:eastAsia="宋体" w:hint="default"/>
        </w:rPr>
        <w:t>2</w:t>
      </w:r>
      <w:r>
        <w:rPr/>
        <w:t>、物联网综合解决方案</w:t>
      </w:r>
    </w:p>
    <w:p>
      <w:pPr>
        <w:spacing w:line="240" w:lineRule="auto" w:before="10"/>
        <w:rPr>
          <w:rFonts w:ascii="宋体" w:hAnsi="宋体" w:cs="宋体" w:eastAsia="宋体" w:hint="default"/>
          <w:sz w:val="14"/>
          <w:szCs w:val="14"/>
        </w:rPr>
      </w:pPr>
    </w:p>
    <w:p>
      <w:pPr>
        <w:pStyle w:val="BodyText"/>
        <w:spacing w:line="408" w:lineRule="auto" w:before="0"/>
        <w:ind w:left="1554" w:right="0"/>
        <w:jc w:val="left"/>
      </w:pPr>
      <w:r>
        <w:rPr/>
        <w:t>（</w:t>
      </w:r>
      <w:r>
        <w:rPr>
          <w:rFonts w:ascii="宋体" w:hAnsi="宋体" w:cs="宋体" w:eastAsia="宋体" w:hint="default"/>
        </w:rPr>
        <w:t>1</w:t>
      </w:r>
      <w:r>
        <w:rPr/>
        <w:t>）物联网平台解决方案 </w:t>
      </w:r>
      <w:r>
        <w:rPr>
          <w:spacing w:val="-1"/>
        </w:rPr>
        <w:t>报告期内，畅威物联相继承接了厦门（金砖会议保障）和杭州（亚运会筹备）的燃气监管平台等多个</w:t>
      </w:r>
    </w:p>
    <w:p>
      <w:pPr>
        <w:pStyle w:val="BodyText"/>
        <w:spacing w:line="408" w:lineRule="auto"/>
        <w:ind w:right="1131"/>
        <w:jc w:val="both"/>
      </w:pPr>
      <w:r>
        <w:rPr>
          <w:spacing w:val="-1"/>
        </w:rPr>
        <w:t>重大项目，主要经营指标稳步增长。产品方面，畅威物联相关软硬件产品陆续获得自主知识产权认证，受</w:t>
      </w:r>
      <w:r>
        <w:rPr>
          <w:spacing w:val="-84"/>
        </w:rPr>
        <w:t> </w:t>
      </w:r>
      <w:r>
        <w:rPr>
          <w:spacing w:val="-84"/>
        </w:rPr>
      </w:r>
      <w:r>
        <w:rPr>
          <w:spacing w:val="-1"/>
        </w:rPr>
        <w:t>“煤改气”政策稳步推进的影响，公司研发的燃气报警器产品销量增速显著。公司的解决方案为客户实现</w:t>
      </w:r>
      <w:r>
        <w:rPr>
          <w:spacing w:val="-82"/>
        </w:rPr>
        <w:t> </w:t>
      </w:r>
      <w:r>
        <w:rPr>
          <w:spacing w:val="-82"/>
        </w:rPr>
      </w:r>
      <w:r>
        <w:rPr>
          <w:spacing w:val="-1"/>
        </w:rPr>
        <w:t>从源头到末端的信息化改造，所有的运行指标参数均可通过远传的方式进入客户的运营平台，进一步的为</w:t>
      </w:r>
      <w:r>
        <w:rPr>
          <w:spacing w:val="-81"/>
        </w:rPr>
        <w:t> </w:t>
      </w:r>
      <w:r>
        <w:rPr>
          <w:spacing w:val="-81"/>
        </w:rPr>
      </w:r>
      <w:r>
        <w:rPr/>
        <w:t>客户提供决策依据，方便客户指挥高效的调度与运营，为安全运营保驾护航。</w:t>
      </w:r>
    </w:p>
    <w:p>
      <w:pPr>
        <w:pStyle w:val="BodyText"/>
        <w:spacing w:line="408" w:lineRule="auto"/>
        <w:ind w:right="1130" w:firstLine="420"/>
        <w:jc w:val="both"/>
      </w:pPr>
      <w:r>
        <w:rPr>
          <w:spacing w:val="-1"/>
        </w:rPr>
        <w:t>报告期内，广东龙泉通过了高新企业认定并保持了高速增长势头；完成了对人员、资质、基础设施等</w:t>
      </w:r>
      <w:r>
        <w:rPr/>
        <w:t> </w:t>
      </w:r>
      <w:r>
        <w:rPr>
          <w:spacing w:val="-1"/>
        </w:rPr>
        <w:t>多方面的改进，总体软实力与硬实力均得到了增强。行业方面，广东龙泉实现了排水行业从入门到高速成</w:t>
      </w:r>
      <w:r>
        <w:rPr>
          <w:spacing w:val="-83"/>
        </w:rPr>
        <w:t> </w:t>
      </w:r>
      <w:r>
        <w:rPr>
          <w:spacing w:val="-83"/>
        </w:rPr>
      </w:r>
      <w:r>
        <w:rPr>
          <w:spacing w:val="-1"/>
        </w:rPr>
        <w:t>长的突破，中标了广州市开发区供水中心调度系统重大项目；资质方面，广东龙泉测绘资质证书由丙级提</w:t>
      </w:r>
      <w:r>
        <w:rPr>
          <w:spacing w:val="-83"/>
        </w:rPr>
        <w:t> </w:t>
      </w:r>
      <w:r>
        <w:rPr>
          <w:spacing w:val="-83"/>
        </w:rPr>
      </w:r>
      <w:r>
        <w:rPr/>
        <w:t>升到乙级，并完成房产测绘等增项。</w:t>
      </w:r>
    </w:p>
    <w:p>
      <w:pPr>
        <w:pStyle w:val="BodyText"/>
        <w:spacing w:line="408" w:lineRule="auto"/>
        <w:ind w:right="1131" w:firstLine="420"/>
        <w:jc w:val="both"/>
      </w:pPr>
      <w:r>
        <w:rPr>
          <w:spacing w:val="-1"/>
        </w:rPr>
        <w:t>报告期内，沈阳金建实施的天津滨海投资集团等燃气行业信息化项目、航空港区智慧水务项目顺利通</w:t>
      </w:r>
      <w:r>
        <w:rPr/>
        <w:t> </w:t>
      </w:r>
      <w:r>
        <w:rPr>
          <w:spacing w:val="-1"/>
        </w:rPr>
        <w:t>过验收，为整体方案的打造积累了技术和行业基础；长安天然气公司智慧燃气、乌鲁木齐燃气办燃气监管</w:t>
      </w:r>
      <w:r>
        <w:rPr>
          <w:spacing w:val="-83"/>
        </w:rPr>
        <w:t> </w:t>
      </w:r>
      <w:r>
        <w:rPr>
          <w:spacing w:val="-83"/>
        </w:rPr>
      </w:r>
      <w:r>
        <w:rPr/>
        <w:t>平台（图</w:t>
      </w:r>
      <w:r>
        <w:rPr>
          <w:spacing w:val="-22"/>
        </w:rPr>
        <w:t> </w:t>
      </w:r>
      <w:r>
        <w:rPr>
          <w:rFonts w:ascii="宋体" w:hAnsi="宋体" w:cs="宋体" w:eastAsia="宋体" w:hint="default"/>
        </w:rPr>
        <w:t>1</w:t>
      </w:r>
      <w:r>
        <w:rPr/>
        <w:t>）等重大项目的落地，一方面为公司积累了大项目运作经验，拓展了行业解决方案深度，另一</w:t>
      </w:r>
    </w:p>
    <w:p>
      <w:pPr>
        <w:spacing w:after="0" w:line="408"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240" w:lineRule="auto" w:before="174"/>
        <w:ind w:right="0"/>
        <w:jc w:val="left"/>
      </w:pPr>
      <w:r>
        <w:rPr/>
        <w:t>方面也彰显了物联网生态圈的协同效应。</w:t>
      </w:r>
    </w:p>
    <w:p>
      <w:pPr>
        <w:spacing w:line="240" w:lineRule="auto" w:before="11"/>
        <w:rPr>
          <w:rFonts w:ascii="宋体" w:hAnsi="宋体" w:cs="宋体" w:eastAsia="宋体" w:hint="default"/>
          <w:sz w:val="21"/>
          <w:szCs w:val="21"/>
        </w:rPr>
      </w:pPr>
    </w:p>
    <w:p>
      <w:pPr>
        <w:spacing w:line="4705" w:lineRule="exact"/>
        <w:ind w:left="2005" w:right="0" w:firstLine="0"/>
        <w:rPr>
          <w:rFonts w:ascii="宋体" w:hAnsi="宋体" w:cs="宋体" w:eastAsia="宋体" w:hint="default"/>
          <w:sz w:val="20"/>
          <w:szCs w:val="20"/>
        </w:rPr>
      </w:pPr>
      <w:r>
        <w:rPr>
          <w:rFonts w:ascii="宋体" w:hAnsi="宋体" w:cs="宋体" w:eastAsia="宋体" w:hint="default"/>
          <w:position w:val="-93"/>
          <w:sz w:val="20"/>
          <w:szCs w:val="20"/>
        </w:rPr>
        <w:drawing>
          <wp:inline distT="0" distB="0" distL="0" distR="0">
            <wp:extent cx="5313392" cy="2988182"/>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2" cstate="print"/>
                    <a:stretch>
                      <a:fillRect/>
                    </a:stretch>
                  </pic:blipFill>
                  <pic:spPr>
                    <a:xfrm>
                      <a:off x="0" y="0"/>
                      <a:ext cx="5313392" cy="2988182"/>
                    </a:xfrm>
                    <a:prstGeom prst="rect">
                      <a:avLst/>
                    </a:prstGeom>
                  </pic:spPr>
                </pic:pic>
              </a:graphicData>
            </a:graphic>
          </wp:inline>
        </w:drawing>
      </w:r>
      <w:r>
        <w:rPr>
          <w:rFonts w:ascii="宋体" w:hAnsi="宋体" w:cs="宋体" w:eastAsia="宋体" w:hint="default"/>
          <w:position w:val="-93"/>
          <w:sz w:val="20"/>
          <w:szCs w:val="20"/>
        </w:rPr>
      </w:r>
    </w:p>
    <w:p>
      <w:pPr>
        <w:spacing w:line="240" w:lineRule="auto" w:before="11"/>
        <w:rPr>
          <w:rFonts w:ascii="宋体" w:hAnsi="宋体" w:cs="宋体" w:eastAsia="宋体" w:hint="default"/>
          <w:sz w:val="14"/>
          <w:szCs w:val="14"/>
        </w:rPr>
      </w:pPr>
    </w:p>
    <w:p>
      <w:pPr>
        <w:pStyle w:val="BodyText"/>
        <w:spacing w:line="240" w:lineRule="auto" w:before="0"/>
        <w:ind w:left="3764" w:right="3343"/>
        <w:jc w:val="center"/>
      </w:pPr>
      <w:r>
        <w:rPr/>
        <w:t>图 </w:t>
      </w:r>
      <w:r>
        <w:rPr>
          <w:rFonts w:ascii="宋体" w:hAnsi="宋体" w:cs="宋体" w:eastAsia="宋体" w:hint="default"/>
        </w:rPr>
        <w:t>1</w:t>
      </w:r>
      <w:r>
        <w:rPr>
          <w:rFonts w:ascii="宋体" w:hAnsi="宋体" w:cs="宋体" w:eastAsia="宋体" w:hint="default"/>
          <w:spacing w:val="-54"/>
        </w:rPr>
        <w:t> </w:t>
      </w:r>
      <w:r>
        <w:rPr/>
        <w:t>智慧燃气综合管理平台</w:t>
      </w:r>
    </w:p>
    <w:p>
      <w:pPr>
        <w:spacing w:line="240" w:lineRule="auto" w:before="10"/>
        <w:rPr>
          <w:rFonts w:ascii="宋体" w:hAnsi="宋体" w:cs="宋体" w:eastAsia="宋体" w:hint="default"/>
          <w:sz w:val="14"/>
          <w:szCs w:val="14"/>
        </w:rPr>
      </w:pPr>
    </w:p>
    <w:p>
      <w:pPr>
        <w:pStyle w:val="BodyText"/>
        <w:spacing w:line="408" w:lineRule="auto" w:before="0"/>
        <w:ind w:right="0" w:firstLine="420"/>
        <w:jc w:val="left"/>
      </w:pPr>
      <w:r>
        <w:rPr/>
        <w:t>报告期内，鞍山易兴燃气</w:t>
      </w:r>
      <w:r>
        <w:rPr>
          <w:spacing w:val="-44"/>
        </w:rPr>
        <w:t> </w:t>
      </w:r>
      <w:r>
        <w:rPr>
          <w:rFonts w:ascii="宋体" w:hAnsi="宋体" w:cs="宋体" w:eastAsia="宋体" w:hint="default"/>
        </w:rPr>
        <w:t>SCADA</w:t>
      </w:r>
      <w:r>
        <w:rPr>
          <w:rFonts w:ascii="宋体" w:hAnsi="宋体" w:cs="宋体" w:eastAsia="宋体" w:hint="default"/>
          <w:spacing w:val="-43"/>
        </w:rPr>
        <w:t> </w:t>
      </w:r>
      <w:r>
        <w:rPr/>
        <w:t>系统、</w:t>
      </w:r>
      <w:r>
        <w:rPr>
          <w:rFonts w:ascii="宋体" w:hAnsi="宋体" w:cs="宋体" w:eastAsia="宋体" w:hint="default"/>
        </w:rPr>
        <w:t>CDM</w:t>
      </w:r>
      <w:r>
        <w:rPr>
          <w:rFonts w:ascii="宋体" w:hAnsi="宋体" w:cs="宋体" w:eastAsia="宋体" w:hint="default"/>
          <w:spacing w:val="-43"/>
        </w:rPr>
        <w:t> </w:t>
      </w:r>
      <w:r>
        <w:rPr/>
        <w:t>等传统业务实现稳步增长，盐城水厂、港区二水厂等智慧 场站项目实施完成并通过初步验收，具备了此类项目的复制推广实力；智慧管网和智慧市政项目在杭州、</w:t>
      </w:r>
      <w:r>
        <w:rPr>
          <w:spacing w:val="-35"/>
        </w:rPr>
        <w:t> </w:t>
      </w:r>
      <w:r>
        <w:rPr>
          <w:spacing w:val="-35"/>
        </w:rPr>
      </w:r>
      <w:r>
        <w:rPr/>
        <w:t>镇江和吐鲁番等地得到成功复制。</w:t>
      </w:r>
    </w:p>
    <w:p>
      <w:pPr>
        <w:pStyle w:val="BodyText"/>
        <w:spacing w:line="408" w:lineRule="auto"/>
        <w:ind w:left="1134" w:right="0" w:firstLine="420"/>
        <w:jc w:val="left"/>
      </w:pPr>
      <w:r>
        <w:rPr/>
        <w:t>报告期内，公司智慧水务业务明确了以“智慧生产”为核心的产品线建设，打造了以“抄收、营收” 为核心的“智慧客服”产品线。同时以贵州兴义项目为契机，公司联合了当地三大运营商和中兴、华为、</w:t>
      </w:r>
      <w:r>
        <w:rPr>
          <w:spacing w:val="-33"/>
        </w:rPr>
        <w:t> </w:t>
      </w:r>
      <w:r>
        <w:rPr>
          <w:spacing w:val="-33"/>
        </w:rPr>
      </w:r>
      <w:r>
        <w:rPr/>
        <w:t>设计院等其它合作伙伴大力开拓贵州市场，进一步扩大了智慧水务的影响力。</w:t>
      </w:r>
    </w:p>
    <w:p>
      <w:pPr>
        <w:pStyle w:val="BodyText"/>
        <w:spacing w:line="408" w:lineRule="auto"/>
        <w:ind w:left="1554" w:right="0"/>
        <w:jc w:val="left"/>
      </w:pPr>
      <w:r>
        <w:rPr/>
        <w:t>（</w:t>
      </w:r>
      <w:r>
        <w:rPr>
          <w:rFonts w:ascii="宋体" w:hAnsi="宋体" w:cs="宋体" w:eastAsia="宋体" w:hint="default"/>
        </w:rPr>
        <w:t>2</w:t>
      </w:r>
      <w:r>
        <w:rPr/>
        <w:t>）智慧市政系统解决方案 </w:t>
      </w:r>
      <w:r>
        <w:rPr>
          <w:spacing w:val="-1"/>
        </w:rPr>
        <w:t>报告期内，智慧水务平台应用继续深化。远程抄表、信息化改造推进顺利，节省了人力物力，并为数</w:t>
      </w:r>
    </w:p>
    <w:p>
      <w:pPr>
        <w:pStyle w:val="BodyText"/>
        <w:spacing w:line="408" w:lineRule="auto"/>
        <w:ind w:left="1134" w:right="0"/>
        <w:jc w:val="left"/>
      </w:pPr>
      <w:r>
        <w:rPr/>
        <w:t>据分析系统持续提供实时数据。高新第二水厂建设等重大项目有序推进，高新智慧水务项目已基本建成，</w:t>
      </w:r>
      <w:r>
        <w:rPr>
          <w:spacing w:val="-35"/>
        </w:rPr>
        <w:t> </w:t>
      </w:r>
      <w:r>
        <w:rPr>
          <w:spacing w:val="-35"/>
        </w:rPr>
      </w:r>
      <w:r>
        <w:rPr/>
        <w:t>智慧化覆盖率达到</w:t>
      </w:r>
      <w:r>
        <w:rPr>
          <w:spacing w:val="-52"/>
        </w:rPr>
        <w:t> </w:t>
      </w:r>
      <w:r>
        <w:rPr>
          <w:rFonts w:ascii="宋体" w:hAnsi="宋体" w:cs="宋体" w:eastAsia="宋体" w:hint="default"/>
        </w:rPr>
        <w:t>100%</w:t>
      </w:r>
      <w:r>
        <w:rPr/>
        <w:t>。</w:t>
      </w:r>
    </w:p>
    <w:p>
      <w:pPr>
        <w:pStyle w:val="BodyText"/>
        <w:spacing w:line="408" w:lineRule="auto"/>
        <w:ind w:left="1134" w:right="1131" w:firstLine="420"/>
        <w:jc w:val="both"/>
      </w:pPr>
      <w:r>
        <w:rPr>
          <w:spacing w:val="-1"/>
        </w:rPr>
        <w:t>报告期内，智慧热力一期框架体系基本建成，完成了数十个换热站的智慧化改造，供暖入网面积达到</w:t>
      </w:r>
      <w:r>
        <w:rPr/>
        <w:t> </w:t>
      </w:r>
      <w:r>
        <w:rPr>
          <w:rFonts w:ascii="宋体" w:hAnsi="宋体" w:cs="宋体" w:eastAsia="宋体" w:hint="default"/>
        </w:rPr>
        <w:t>1,000</w:t>
      </w:r>
      <w:r>
        <w:rPr>
          <w:rFonts w:ascii="宋体" w:hAnsi="宋体" w:cs="宋体" w:eastAsia="宋体" w:hint="default"/>
          <w:spacing w:val="-23"/>
        </w:rPr>
        <w:t> </w:t>
      </w:r>
      <w:r>
        <w:rPr/>
        <w:t>万平方米。智慧热力管控一体化基础平台、硬件通讯平台、配置管理系统、管网数据采集一体化入 库系统、热力管网</w:t>
      </w:r>
      <w:r>
        <w:rPr>
          <w:spacing w:val="-33"/>
        </w:rPr>
        <w:t> </w:t>
      </w:r>
      <w:r>
        <w:rPr>
          <w:rFonts w:ascii="宋体" w:hAnsi="宋体" w:cs="宋体" w:eastAsia="宋体" w:hint="default"/>
        </w:rPr>
        <w:t>GIS</w:t>
      </w:r>
      <w:r>
        <w:rPr>
          <w:rFonts w:ascii="宋体" w:hAnsi="宋体" w:cs="宋体" w:eastAsia="宋体" w:hint="default"/>
          <w:spacing w:val="-34"/>
        </w:rPr>
        <w:t> </w:t>
      </w:r>
      <w:r>
        <w:rPr/>
        <w:t>系统、协同办公</w:t>
      </w:r>
      <w:r>
        <w:rPr>
          <w:spacing w:val="-33"/>
        </w:rPr>
        <w:t> </w:t>
      </w:r>
      <w:r>
        <w:rPr>
          <w:rFonts w:ascii="宋体" w:hAnsi="宋体" w:cs="宋体" w:eastAsia="宋体" w:hint="default"/>
        </w:rPr>
        <w:t>OA</w:t>
      </w:r>
      <w:r>
        <w:rPr>
          <w:rFonts w:ascii="宋体" w:hAnsi="宋体" w:cs="宋体" w:eastAsia="宋体" w:hint="default"/>
          <w:spacing w:val="-32"/>
        </w:rPr>
        <w:t> </w:t>
      </w:r>
      <w:r>
        <w:rPr/>
        <w:t>系统等六项系统已经投入使用，供暖收入实现了较为可观的增 长。智能仪表成功通过高新技术企业认定，外拓市场取得初步成就，若干重大订单陆续落地。</w:t>
      </w:r>
    </w:p>
    <w:p>
      <w:pPr>
        <w:pStyle w:val="BodyText"/>
        <w:spacing w:line="408" w:lineRule="auto"/>
        <w:ind w:left="1553" w:right="0"/>
        <w:jc w:val="left"/>
      </w:pPr>
      <w:r>
        <w:rPr/>
        <w:t>（</w:t>
      </w:r>
      <w:r>
        <w:rPr>
          <w:rFonts w:ascii="宋体" w:hAnsi="宋体" w:cs="宋体" w:eastAsia="宋体" w:hint="default"/>
        </w:rPr>
        <w:t>3</w:t>
      </w:r>
      <w:r>
        <w:rPr/>
        <w:t>）智慧环保系统解决方案 </w:t>
      </w:r>
      <w:r>
        <w:rPr>
          <w:spacing w:val="-1"/>
        </w:rPr>
        <w:t>环境监测方面，报告期内雪城软件重点开发了污染天气管理信息系统、安环一体化信息系统、大气污</w:t>
      </w:r>
    </w:p>
    <w:p>
      <w:pPr>
        <w:pStyle w:val="BodyText"/>
        <w:spacing w:line="240" w:lineRule="auto"/>
        <w:ind w:right="0"/>
        <w:jc w:val="left"/>
      </w:pPr>
      <w:r>
        <w:rPr/>
        <w:t>染第三方管控服务云以及“互联网</w:t>
      </w:r>
      <w:r>
        <w:rPr>
          <w:rFonts w:ascii="宋体" w:hAnsi="宋体" w:cs="宋体" w:eastAsia="宋体" w:hint="default"/>
        </w:rPr>
        <w:t>+</w:t>
      </w:r>
      <w:r>
        <w:rPr/>
        <w:t>电子政务服务云”等系统。污染天气管理信息系统以新一代信息技术</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right="0"/>
        <w:jc w:val="left"/>
      </w:pPr>
      <w:r>
        <w:rPr/>
        <w:t>为支撑，创新了城市污染天气管理新模式和新平台；安环一体化信息系统重点服务工农业化工和养殖等园 区建设和运营；大气污染第三方管控服务云重点服务政府基层环保部门、环保从业企业和污染源企业等，</w:t>
      </w:r>
      <w:r>
        <w:rPr>
          <w:spacing w:val="-35"/>
        </w:rPr>
        <w:t> </w:t>
      </w:r>
      <w:r>
        <w:rPr>
          <w:spacing w:val="-35"/>
        </w:rPr>
      </w:r>
      <w:r>
        <w:rPr/>
        <w:t>提供环保区域管家和企业管家服务，创新社会基层的环保新模式。报告期内，雪城软件网格化大气监测与</w:t>
      </w:r>
      <w:r>
        <w:rPr/>
        <w:t> 决策平台通过了环保部成果鉴定，标志着网格化大气平台从试点到全国规模化发展的里程碑式跨越。分布 式大气环境监测系统入选了国家工信部物联网成果典型案例，打造了全国首个污染天气监测系统，受到了 央视等主流媒体的关注。</w:t>
      </w:r>
    </w:p>
    <w:p>
      <w:pPr>
        <w:pStyle w:val="BodyText"/>
        <w:spacing w:line="408" w:lineRule="auto"/>
        <w:ind w:right="1131" w:firstLine="420"/>
        <w:jc w:val="both"/>
      </w:pPr>
      <w:r>
        <w:rPr>
          <w:spacing w:val="-5"/>
        </w:rPr>
        <w:t>环境治理方面，报告期内在市场政策的有利推动下，嘉园环保气务治理业绩大幅增涨，其中大风量</w:t>
      </w:r>
      <w:r>
        <w:rPr>
          <w:spacing w:val="-24"/>
        </w:rPr>
        <w:t> </w:t>
      </w:r>
      <w:r>
        <w:rPr>
          <w:rFonts w:ascii="宋体" w:hAnsi="宋体" w:cs="宋体" w:eastAsia="宋体" w:hint="default"/>
        </w:rPr>
        <w:t>RTO </w:t>
      </w:r>
      <w:r>
        <w:rPr/>
        <w:t>项目及旋转</w:t>
      </w:r>
      <w:r>
        <w:rPr>
          <w:spacing w:val="-64"/>
        </w:rPr>
        <w:t> </w:t>
      </w:r>
      <w:r>
        <w:rPr>
          <w:rFonts w:ascii="宋体" w:hAnsi="宋体" w:cs="宋体" w:eastAsia="宋体" w:hint="default"/>
        </w:rPr>
        <w:t>RTO</w:t>
      </w:r>
      <w:r>
        <w:rPr>
          <w:rFonts w:ascii="宋体" w:hAnsi="宋体" w:cs="宋体" w:eastAsia="宋体" w:hint="default"/>
          <w:spacing w:val="-64"/>
        </w:rPr>
        <w:t> </w:t>
      </w:r>
      <w:r>
        <w:rPr/>
        <w:t>项目实现落地，为后续同类业务的开拓奠定了基础。另一方面，承接上海老港垃圾渗滤液 </w:t>
      </w:r>
      <w:r>
        <w:rPr>
          <w:spacing w:val="-1"/>
        </w:rPr>
        <w:t>项目，增强了嘉园环保在渗滤液处理行业的知名度和影响力，标志着嘉园环保在水务治理领域的竞争力进</w:t>
      </w:r>
      <w:r>
        <w:rPr>
          <w:spacing w:val="-81"/>
        </w:rPr>
        <w:t> </w:t>
      </w:r>
      <w:r>
        <w:rPr>
          <w:spacing w:val="-81"/>
        </w:rPr>
      </w:r>
      <w:r>
        <w:rPr/>
        <w:t>一步提升。智慧环保平台（图</w:t>
      </w:r>
      <w:r>
        <w:rPr>
          <w:spacing w:val="-22"/>
        </w:rPr>
        <w:t> </w:t>
      </w:r>
      <w:r>
        <w:rPr>
          <w:rFonts w:ascii="宋体" w:hAnsi="宋体" w:cs="宋体" w:eastAsia="宋体" w:hint="default"/>
        </w:rPr>
        <w:t>2</w:t>
      </w:r>
      <w:r>
        <w:rPr/>
        <w:t>）完成建设及软件测试调整，目前已接入多个站点数据，可实时监控站点 </w:t>
      </w:r>
      <w:r>
        <w:rPr>
          <w:spacing w:val="-1"/>
        </w:rPr>
        <w:t>每日产水情况、实时水质、药剂耗量等数据，并及时进行故障报警及养护维修等处理，该平台即将投入试</w:t>
      </w:r>
      <w:r>
        <w:rPr>
          <w:spacing w:val="-86"/>
        </w:rPr>
        <w:t> </w:t>
      </w:r>
      <w:r>
        <w:rPr>
          <w:spacing w:val="-86"/>
        </w:rPr>
      </w:r>
      <w:r>
        <w:rPr/>
        <w:t>运行。</w:t>
      </w:r>
    </w:p>
    <w:p>
      <w:pPr>
        <w:spacing w:line="240" w:lineRule="auto" w:before="7"/>
        <w:rPr>
          <w:rFonts w:ascii="宋体" w:hAnsi="宋体" w:cs="宋体" w:eastAsia="宋体" w:hint="default"/>
          <w:sz w:val="5"/>
          <w:szCs w:val="5"/>
        </w:rPr>
      </w:pPr>
    </w:p>
    <w:p>
      <w:pPr>
        <w:spacing w:line="6060" w:lineRule="exact"/>
        <w:ind w:left="1753" w:right="0" w:firstLine="0"/>
        <w:rPr>
          <w:rFonts w:ascii="宋体" w:hAnsi="宋体" w:cs="宋体" w:eastAsia="宋体" w:hint="default"/>
          <w:sz w:val="20"/>
          <w:szCs w:val="20"/>
        </w:rPr>
      </w:pPr>
      <w:r>
        <w:rPr>
          <w:rFonts w:ascii="宋体" w:hAnsi="宋体" w:cs="宋体" w:eastAsia="宋体" w:hint="default"/>
          <w:position w:val="-120"/>
          <w:sz w:val="20"/>
          <w:szCs w:val="20"/>
        </w:rPr>
        <w:drawing>
          <wp:inline distT="0" distB="0" distL="0" distR="0">
            <wp:extent cx="5334000" cy="3848100"/>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3" cstate="print"/>
                    <a:stretch>
                      <a:fillRect/>
                    </a:stretch>
                  </pic:blipFill>
                  <pic:spPr>
                    <a:xfrm>
                      <a:off x="0" y="0"/>
                      <a:ext cx="5334000" cy="3848100"/>
                    </a:xfrm>
                    <a:prstGeom prst="rect">
                      <a:avLst/>
                    </a:prstGeom>
                  </pic:spPr>
                </pic:pic>
              </a:graphicData>
            </a:graphic>
          </wp:inline>
        </w:drawing>
      </w:r>
      <w:r>
        <w:rPr>
          <w:rFonts w:ascii="宋体" w:hAnsi="宋体" w:cs="宋体" w:eastAsia="宋体" w:hint="default"/>
          <w:position w:val="-120"/>
          <w:sz w:val="20"/>
          <w:szCs w:val="20"/>
        </w:rPr>
      </w:r>
    </w:p>
    <w:p>
      <w:pPr>
        <w:pStyle w:val="BodyText"/>
        <w:spacing w:line="240" w:lineRule="auto" w:before="154"/>
        <w:ind w:left="3764" w:right="3345"/>
        <w:jc w:val="center"/>
      </w:pPr>
      <w:r>
        <w:rPr/>
        <w:t>图 </w:t>
      </w:r>
      <w:r>
        <w:rPr>
          <w:rFonts w:ascii="宋体" w:hAnsi="宋体" w:cs="宋体" w:eastAsia="宋体" w:hint="default"/>
        </w:rPr>
        <w:t>2</w:t>
      </w:r>
      <w:r>
        <w:rPr>
          <w:rFonts w:ascii="宋体" w:hAnsi="宋体" w:cs="宋体" w:eastAsia="宋体" w:hint="default"/>
          <w:spacing w:val="-54"/>
        </w:rPr>
        <w:t> </w:t>
      </w:r>
      <w:r>
        <w:rPr/>
        <w:t>智慧环保安全运维平台构架图</w:t>
      </w:r>
    </w:p>
    <w:p>
      <w:pPr>
        <w:spacing w:line="240" w:lineRule="auto" w:before="10"/>
        <w:rPr>
          <w:rFonts w:ascii="宋体" w:hAnsi="宋体" w:cs="宋体" w:eastAsia="宋体" w:hint="default"/>
          <w:sz w:val="14"/>
          <w:szCs w:val="14"/>
        </w:rPr>
      </w:pPr>
    </w:p>
    <w:p>
      <w:pPr>
        <w:pStyle w:val="BodyText"/>
        <w:spacing w:line="408" w:lineRule="auto" w:before="0"/>
        <w:ind w:left="1553" w:right="0"/>
        <w:jc w:val="left"/>
      </w:pPr>
      <w:r>
        <w:rPr/>
        <w:t>（</w:t>
      </w:r>
      <w:r>
        <w:rPr>
          <w:rFonts w:ascii="宋体" w:hAnsi="宋体" w:cs="宋体" w:eastAsia="宋体" w:hint="default"/>
        </w:rPr>
        <w:t>4</w:t>
      </w:r>
      <w:r>
        <w:rPr/>
        <w:t>）智慧安全系统解决方案 </w:t>
      </w:r>
      <w:r>
        <w:rPr>
          <w:spacing w:val="-1"/>
        </w:rPr>
        <w:t>报告期内，受工业安全行业复苏的积极影响，公司智慧安全综合解决方案业务增幅显著。持续多年的</w:t>
      </w:r>
    </w:p>
    <w:p>
      <w:pPr>
        <w:pStyle w:val="BodyText"/>
        <w:spacing w:line="240" w:lineRule="auto"/>
        <w:ind w:right="0"/>
        <w:jc w:val="left"/>
      </w:pPr>
      <w:r>
        <w:rPr/>
        <w:t>转型升级在报告期内取得重大突破，系统集成和软件类业务合同金额占板块主体营业收入比重不断提高。</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right="1131"/>
        <w:jc w:val="both"/>
      </w:pPr>
      <w:r>
        <w:rPr>
          <w:spacing w:val="-1"/>
        </w:rPr>
        <w:t>报告期内，公司成立了大型集团客户服务小组，加强高端客户渠道的维护及开发，开展售前、售中、售后</w:t>
      </w:r>
      <w:r>
        <w:rPr>
          <w:spacing w:val="-83"/>
        </w:rPr>
        <w:t> </w:t>
      </w:r>
      <w:r>
        <w:rPr>
          <w:spacing w:val="-83"/>
        </w:rPr>
      </w:r>
      <w:r>
        <w:rPr>
          <w:spacing w:val="-1"/>
        </w:rPr>
        <w:t>团队建设，为客户更好的提供安全信息化解决方案及服务，取得了一定的成效。同时，结合物联网技术平</w:t>
      </w:r>
      <w:r>
        <w:rPr>
          <w:spacing w:val="-86"/>
        </w:rPr>
        <w:t> </w:t>
      </w:r>
      <w:r>
        <w:rPr>
          <w:spacing w:val="-86"/>
        </w:rPr>
      </w:r>
      <w:r>
        <w:rPr>
          <w:spacing w:val="-1"/>
        </w:rPr>
        <w:t>台，公司实现了固定式探测器加载预警互联技术，打造了固定</w:t>
      </w:r>
      <w:r>
        <w:rPr>
          <w:rFonts w:ascii="宋体" w:hAnsi="宋体" w:cs="宋体" w:eastAsia="宋体" w:hint="default"/>
          <w:spacing w:val="-1"/>
        </w:rPr>
        <w:t>+</w:t>
      </w:r>
      <w:r>
        <w:rPr>
          <w:spacing w:val="-1"/>
        </w:rPr>
        <w:t>声光</w:t>
      </w:r>
      <w:r>
        <w:rPr>
          <w:rFonts w:ascii="宋体" w:hAnsi="宋体" w:cs="宋体" w:eastAsia="宋体" w:hint="default"/>
          <w:spacing w:val="-1"/>
        </w:rPr>
        <w:t>+</w:t>
      </w:r>
      <w:r>
        <w:rPr>
          <w:spacing w:val="-1"/>
        </w:rPr>
        <w:t>便携一体化系统管理平台，拓展了产</w:t>
      </w:r>
      <w:r>
        <w:rPr>
          <w:spacing w:val="-83"/>
        </w:rPr>
        <w:t> </w:t>
      </w:r>
      <w:r>
        <w:rPr>
          <w:spacing w:val="-83"/>
        </w:rPr>
      </w:r>
      <w:r>
        <w:rPr/>
        <w:t>品线。</w:t>
      </w:r>
    </w:p>
    <w:p>
      <w:pPr>
        <w:pStyle w:val="BodyText"/>
        <w:spacing w:line="408" w:lineRule="auto"/>
        <w:ind w:left="1554" w:right="1122"/>
        <w:jc w:val="left"/>
      </w:pPr>
      <w:r>
        <w:rPr>
          <w:rFonts w:ascii="宋体" w:hAnsi="宋体" w:cs="宋体" w:eastAsia="宋体" w:hint="default"/>
        </w:rPr>
        <w:t>3</w:t>
      </w:r>
      <w:r>
        <w:rPr/>
        <w:t>、居家智能与健康 </w:t>
      </w:r>
      <w:r>
        <w:rPr>
          <w:spacing w:val="-3"/>
        </w:rPr>
        <w:t>报告期内，北京威果作为“传感器+”概念的消费类电子厂商，基于母公司的行业技术积淀切入市场，</w:t>
      </w:r>
    </w:p>
    <w:p>
      <w:pPr>
        <w:pStyle w:val="BodyText"/>
        <w:spacing w:line="408" w:lineRule="auto"/>
        <w:ind w:right="1024"/>
        <w:jc w:val="left"/>
      </w:pPr>
      <w:r>
        <w:rPr/>
        <w:t>在工业数据积累的基础上进行技术移植，开发出了可靠性强、性价比高、工业级技术的消费类电子产品，</w:t>
      </w:r>
      <w:r>
        <w:rPr>
          <w:spacing w:val="-35"/>
        </w:rPr>
        <w:t> </w:t>
      </w:r>
      <w:r>
        <w:rPr>
          <w:spacing w:val="-35"/>
        </w:rPr>
      </w:r>
      <w:r>
        <w:rPr/>
        <w:t>夯实了空气质量、燃气安全类市场，拓展了水质安全类市场，为消费者提供更加健康、舒适的工作和生活</w:t>
      </w:r>
      <w:r>
        <w:rPr/>
        <w:t> 环境。</w:t>
      </w:r>
    </w:p>
    <w:p>
      <w:pPr>
        <w:pStyle w:val="BodyText"/>
        <w:spacing w:line="408" w:lineRule="auto"/>
        <w:ind w:left="1553" w:right="7078"/>
        <w:jc w:val="left"/>
      </w:pPr>
      <w:r>
        <w:rPr/>
        <w:t>（二）提升研发实力 </w:t>
      </w:r>
      <w:r>
        <w:rPr>
          <w:rFonts w:ascii="宋体" w:hAnsi="宋体" w:cs="宋体" w:eastAsia="宋体" w:hint="default"/>
        </w:rPr>
        <w:t>1</w:t>
      </w:r>
      <w:r>
        <w:rPr/>
        <w:t>、“双创”孵化平台建设取得突破</w:t>
      </w:r>
    </w:p>
    <w:p>
      <w:pPr>
        <w:pStyle w:val="BodyText"/>
        <w:spacing w:line="408" w:lineRule="auto"/>
        <w:ind w:right="1130" w:firstLine="420"/>
        <w:jc w:val="both"/>
      </w:pPr>
      <w:r>
        <w:rPr>
          <w:spacing w:val="-1"/>
        </w:rPr>
        <w:t>报告期内，公司创新孵化能力不断提升。截至报告期末，漫威众创在孵企业十余家，该众创空间已成</w:t>
      </w:r>
      <w:r>
        <w:rPr/>
        <w:t> 为宣传展示公司创新创业平台的重要窗口，得到了河南省主要领导的高度肯定，继 </w:t>
      </w:r>
      <w:r>
        <w:rPr>
          <w:rFonts w:ascii="宋体" w:hAnsi="宋体" w:cs="宋体" w:eastAsia="宋体" w:hint="default"/>
        </w:rPr>
        <w:t>2016</w:t>
      </w:r>
      <w:r>
        <w:rPr>
          <w:rFonts w:ascii="宋体" w:hAnsi="宋体" w:cs="宋体" w:eastAsia="宋体" w:hint="default"/>
          <w:spacing w:val="-24"/>
        </w:rPr>
        <w:t> </w:t>
      </w:r>
      <w:r>
        <w:rPr/>
        <w:t>年被认定为全国 首批国家级专业化众创空间之后，</w:t>
      </w:r>
      <w:r>
        <w:rPr>
          <w:rFonts w:ascii="宋体" w:hAnsi="宋体" w:cs="宋体" w:eastAsia="宋体" w:hint="default"/>
        </w:rPr>
        <w:t>2017</w:t>
      </w:r>
      <w:r>
        <w:rPr>
          <w:rFonts w:ascii="宋体" w:hAnsi="宋体" w:cs="宋体" w:eastAsia="宋体" w:hint="default"/>
          <w:spacing w:val="-55"/>
        </w:rPr>
        <w:t> </w:t>
      </w:r>
      <w:r>
        <w:rPr/>
        <w:t>年被河南省发改委认定为省级双创基地。</w:t>
      </w:r>
    </w:p>
    <w:p>
      <w:pPr>
        <w:pStyle w:val="BodyText"/>
        <w:spacing w:line="240" w:lineRule="auto"/>
        <w:ind w:left="1554" w:right="0"/>
        <w:jc w:val="left"/>
      </w:pPr>
      <w:r>
        <w:rPr>
          <w:rFonts w:ascii="宋体" w:hAnsi="宋体" w:cs="宋体" w:eastAsia="宋体" w:hint="default"/>
        </w:rPr>
        <w:t>2</w:t>
      </w:r>
      <w:r>
        <w:rPr/>
        <w:t>、创新实力不断增强</w:t>
      </w:r>
    </w:p>
    <w:p>
      <w:pPr>
        <w:spacing w:line="240" w:lineRule="auto" w:before="10"/>
        <w:rPr>
          <w:rFonts w:ascii="宋体" w:hAnsi="宋体" w:cs="宋体" w:eastAsia="宋体" w:hint="default"/>
          <w:sz w:val="14"/>
          <w:szCs w:val="14"/>
        </w:rPr>
      </w:pPr>
    </w:p>
    <w:p>
      <w:pPr>
        <w:pStyle w:val="BodyText"/>
        <w:spacing w:line="408" w:lineRule="auto" w:before="0"/>
        <w:ind w:left="1134" w:right="1132" w:firstLine="420"/>
        <w:jc w:val="both"/>
        <w:rPr>
          <w:rFonts w:ascii="宋体" w:hAnsi="宋体" w:cs="宋体" w:eastAsia="宋体" w:hint="default"/>
        </w:rPr>
      </w:pPr>
      <w:r>
        <w:rPr/>
        <w:t>（</w:t>
      </w:r>
      <w:r>
        <w:rPr>
          <w:rFonts w:ascii="宋体" w:hAnsi="宋体" w:cs="宋体" w:eastAsia="宋体" w:hint="default"/>
        </w:rPr>
        <w:t>1</w:t>
      </w:r>
      <w:r>
        <w:rPr/>
        <w:t>）报告期内，公司以提升创新牵引力为目标，重点在拓展创新领域、拓宽创新方向、挖掘商业模 </w:t>
      </w:r>
      <w:r>
        <w:rPr>
          <w:spacing w:val="-2"/>
        </w:rPr>
        <w:t>式、丰富创新产品等方面入手，科技创新呈现出生机勃勃的局面。报告期内，公司投入研发经费</w:t>
      </w:r>
      <w:r>
        <w:rPr>
          <w:spacing w:val="-47"/>
        </w:rPr>
        <w:t> </w:t>
      </w:r>
      <w:r>
        <w:rPr>
          <w:rFonts w:ascii="宋体" w:hAnsi="宋体" w:cs="宋体" w:eastAsia="宋体" w:hint="default"/>
        </w:rPr>
        <w:t>9,109.74</w:t>
      </w:r>
    </w:p>
    <w:p>
      <w:pPr>
        <w:pStyle w:val="BodyText"/>
        <w:spacing w:line="240" w:lineRule="auto"/>
        <w:ind w:left="1134" w:right="0"/>
        <w:jc w:val="both"/>
      </w:pPr>
      <w:r>
        <w:rPr/>
        <w:t>万元，同比增长</w:t>
      </w:r>
      <w:r>
        <w:rPr>
          <w:spacing w:val="-46"/>
        </w:rPr>
        <w:t> </w:t>
      </w:r>
      <w:r>
        <w:rPr>
          <w:rFonts w:ascii="宋体" w:hAnsi="宋体" w:cs="宋体" w:eastAsia="宋体" w:hint="default"/>
        </w:rPr>
        <w:t>33.62%</w:t>
      </w:r>
      <w:r>
        <w:rPr/>
        <w:t>；引进</w:t>
      </w:r>
      <w:r>
        <w:rPr>
          <w:spacing w:val="-47"/>
        </w:rPr>
        <w:t> </w:t>
      </w:r>
      <w:r>
        <w:rPr>
          <w:rFonts w:ascii="宋体" w:hAnsi="宋体" w:cs="宋体" w:eastAsia="宋体" w:hint="default"/>
        </w:rPr>
        <w:t>162</w:t>
      </w:r>
      <w:r>
        <w:rPr>
          <w:rFonts w:ascii="宋体" w:hAnsi="宋体" w:cs="宋体" w:eastAsia="宋体" w:hint="default"/>
          <w:spacing w:val="-47"/>
        </w:rPr>
        <w:t> </w:t>
      </w:r>
      <w:r>
        <w:rPr/>
        <w:t>名专业技术人才，研发创新力量进一步增强；新增专利</w:t>
      </w:r>
      <w:r>
        <w:rPr>
          <w:spacing w:val="-46"/>
        </w:rPr>
        <w:t> </w:t>
      </w:r>
      <w:r>
        <w:rPr>
          <w:rFonts w:ascii="宋体" w:hAnsi="宋体" w:cs="宋体" w:eastAsia="宋体" w:hint="default"/>
        </w:rPr>
        <w:t>36</w:t>
      </w:r>
      <w:r>
        <w:rPr>
          <w:rFonts w:ascii="宋体" w:hAnsi="宋体" w:cs="宋体" w:eastAsia="宋体" w:hint="default"/>
          <w:spacing w:val="-47"/>
        </w:rPr>
        <w:t> </w:t>
      </w:r>
      <w:r>
        <w:rPr/>
        <w:t>项。截至目</w:t>
      </w:r>
    </w:p>
    <w:p>
      <w:pPr>
        <w:spacing w:line="240" w:lineRule="auto" w:before="10"/>
        <w:rPr>
          <w:rFonts w:ascii="宋体" w:hAnsi="宋体" w:cs="宋体" w:eastAsia="宋体" w:hint="default"/>
          <w:sz w:val="14"/>
          <w:szCs w:val="14"/>
        </w:rPr>
      </w:pPr>
    </w:p>
    <w:p>
      <w:pPr>
        <w:pStyle w:val="BodyText"/>
        <w:spacing w:line="408" w:lineRule="auto" w:before="0"/>
        <w:ind w:right="1130"/>
        <w:jc w:val="both"/>
      </w:pPr>
      <w:r>
        <w:rPr/>
        <w:t>前取得的专利总数达到</w:t>
      </w:r>
      <w:r>
        <w:rPr>
          <w:spacing w:val="-44"/>
        </w:rPr>
        <w:t> </w:t>
      </w:r>
      <w:r>
        <w:rPr>
          <w:rFonts w:ascii="宋体" w:hAnsi="宋体" w:cs="宋体" w:eastAsia="宋体" w:hint="default"/>
        </w:rPr>
        <w:t>347</w:t>
      </w:r>
      <w:r>
        <w:rPr>
          <w:rFonts w:ascii="宋体" w:hAnsi="宋体" w:cs="宋体" w:eastAsia="宋体" w:hint="default"/>
          <w:spacing w:val="-43"/>
        </w:rPr>
        <w:t> </w:t>
      </w:r>
      <w:r>
        <w:rPr/>
        <w:t>项，其中发明专利</w:t>
      </w:r>
      <w:r>
        <w:rPr>
          <w:spacing w:val="-44"/>
        </w:rPr>
        <w:t> </w:t>
      </w:r>
      <w:r>
        <w:rPr>
          <w:rFonts w:ascii="宋体" w:hAnsi="宋体" w:cs="宋体" w:eastAsia="宋体" w:hint="default"/>
        </w:rPr>
        <w:t>73</w:t>
      </w:r>
      <w:r>
        <w:rPr>
          <w:rFonts w:ascii="宋体" w:hAnsi="宋体" w:cs="宋体" w:eastAsia="宋体" w:hint="default"/>
          <w:spacing w:val="-43"/>
        </w:rPr>
        <w:t> </w:t>
      </w:r>
      <w:r>
        <w:rPr/>
        <w:t>项；产品通过科技成果鉴定</w:t>
      </w:r>
      <w:r>
        <w:rPr>
          <w:spacing w:val="-44"/>
        </w:rPr>
        <w:t> </w:t>
      </w:r>
      <w:r>
        <w:rPr>
          <w:rFonts w:ascii="宋体" w:hAnsi="宋体" w:cs="宋体" w:eastAsia="宋体" w:hint="default"/>
        </w:rPr>
        <w:t>39</w:t>
      </w:r>
      <w:r>
        <w:rPr>
          <w:rFonts w:ascii="宋体" w:hAnsi="宋体" w:cs="宋体" w:eastAsia="宋体" w:hint="default"/>
          <w:spacing w:val="-43"/>
        </w:rPr>
        <w:t> </w:t>
      </w:r>
      <w:r>
        <w:rPr/>
        <w:t>项，其中</w:t>
      </w:r>
      <w:r>
        <w:rPr>
          <w:spacing w:val="-44"/>
        </w:rPr>
        <w:t> </w:t>
      </w:r>
      <w:r>
        <w:rPr>
          <w:rFonts w:ascii="宋体" w:hAnsi="宋体" w:cs="宋体" w:eastAsia="宋体" w:hint="default"/>
        </w:rPr>
        <w:t>16</w:t>
      </w:r>
      <w:r>
        <w:rPr>
          <w:rFonts w:ascii="宋体" w:hAnsi="宋体" w:cs="宋体" w:eastAsia="宋体" w:hint="default"/>
          <w:spacing w:val="-43"/>
        </w:rPr>
        <w:t> </w:t>
      </w:r>
      <w:r>
        <w:rPr/>
        <w:t>项达到国际 </w:t>
      </w:r>
      <w:r>
        <w:rPr>
          <w:spacing w:val="-4"/>
        </w:rPr>
        <w:t>先进水平，</w:t>
      </w:r>
      <w:r>
        <w:rPr>
          <w:rFonts w:ascii="宋体" w:hAnsi="宋体" w:cs="宋体" w:eastAsia="宋体" w:hint="default"/>
          <w:spacing w:val="-4"/>
        </w:rPr>
        <w:t>23</w:t>
      </w:r>
      <w:r>
        <w:rPr>
          <w:rFonts w:ascii="宋体" w:hAnsi="宋体" w:cs="宋体" w:eastAsia="宋体" w:hint="default"/>
          <w:spacing w:val="-29"/>
        </w:rPr>
        <w:t> </w:t>
      </w:r>
      <w:r>
        <w:rPr>
          <w:spacing w:val="-2"/>
        </w:rPr>
        <w:t>项达到国内领先水平；积极参与了“物联网压力变送器规范”国家行业标准的制订，截至报</w:t>
      </w:r>
      <w:r>
        <w:rPr>
          <w:spacing w:val="-100"/>
        </w:rPr>
        <w:t> </w:t>
      </w:r>
      <w:r>
        <w:rPr>
          <w:spacing w:val="-100"/>
        </w:rPr>
      </w:r>
      <w:r>
        <w:rPr>
          <w:spacing w:val="-3"/>
        </w:rPr>
        <w:t>告期末，公司参与制订国家行业标准总数达 </w:t>
      </w:r>
      <w:r>
        <w:rPr>
          <w:rFonts w:ascii="宋体" w:hAnsi="宋体" w:cs="宋体" w:eastAsia="宋体" w:hint="default"/>
        </w:rPr>
        <w:t>18</w:t>
      </w:r>
      <w:r>
        <w:rPr>
          <w:rFonts w:ascii="宋体" w:hAnsi="宋体" w:cs="宋体" w:eastAsia="宋体" w:hint="default"/>
          <w:spacing w:val="-71"/>
        </w:rPr>
        <w:t> </w:t>
      </w:r>
      <w:r>
        <w:rPr>
          <w:spacing w:val="-4"/>
        </w:rPr>
        <w:t>项。报告期内，公司被评为河南省“专精特新”优质企业。</w:t>
      </w:r>
    </w:p>
    <w:p>
      <w:pPr>
        <w:pStyle w:val="BodyText"/>
        <w:spacing w:line="408" w:lineRule="auto"/>
        <w:ind w:right="1131" w:firstLine="420"/>
        <w:jc w:val="both"/>
      </w:pPr>
      <w:r>
        <w:rPr/>
        <w:t>（</w:t>
      </w:r>
      <w:r>
        <w:rPr>
          <w:rFonts w:ascii="宋体" w:hAnsi="宋体" w:cs="宋体" w:eastAsia="宋体" w:hint="default"/>
        </w:rPr>
        <w:t>2</w:t>
      </w:r>
      <w:r>
        <w:rPr/>
        <w:t>）报告期内，公司开展了新方向业务项目调研</w:t>
      </w:r>
      <w:r>
        <w:rPr>
          <w:spacing w:val="-78"/>
        </w:rPr>
        <w:t> </w:t>
      </w:r>
      <w:r>
        <w:rPr>
          <w:rFonts w:ascii="宋体" w:hAnsi="宋体" w:cs="宋体" w:eastAsia="宋体" w:hint="default"/>
        </w:rPr>
        <w:t>12</w:t>
      </w:r>
      <w:r>
        <w:rPr>
          <w:rFonts w:ascii="宋体" w:hAnsi="宋体" w:cs="宋体" w:eastAsia="宋体" w:hint="default"/>
          <w:spacing w:val="-77"/>
        </w:rPr>
        <w:t> </w:t>
      </w:r>
      <w:r>
        <w:rPr/>
        <w:t>项，目前均按照进度有序推进。</w:t>
      </w:r>
      <w:r>
        <w:rPr>
          <w:rFonts w:ascii="宋体" w:hAnsi="宋体" w:cs="宋体" w:eastAsia="宋体" w:hint="default"/>
        </w:rPr>
        <w:t>AT9000</w:t>
      </w:r>
      <w:r>
        <w:rPr>
          <w:rFonts w:ascii="宋体" w:hAnsi="宋体" w:cs="宋体" w:eastAsia="宋体" w:hint="default"/>
          <w:spacing w:val="-78"/>
        </w:rPr>
        <w:t> </w:t>
      </w:r>
      <w:r>
        <w:rPr/>
        <w:t>警用酒精 </w:t>
      </w:r>
      <w:r>
        <w:rPr>
          <w:spacing w:val="-1"/>
        </w:rPr>
        <w:t>检测仪产品研发已进入模具样机阶段，拉开了基于安卓硬件平台的产品开发应用序幕；智能网关平台第一</w:t>
      </w:r>
      <w:r>
        <w:rPr>
          <w:spacing w:val="-81"/>
        </w:rPr>
        <w:t> </w:t>
      </w:r>
      <w:r>
        <w:rPr>
          <w:spacing w:val="-81"/>
        </w:rPr>
      </w:r>
      <w:r>
        <w:rPr>
          <w:spacing w:val="-1"/>
        </w:rPr>
        <w:t>阶段研发完成，实现了燃气安全、室内环境等多种智能终端产品的联动，为集团公司智能家居、消费电子</w:t>
      </w:r>
      <w:r>
        <w:rPr>
          <w:spacing w:val="-86"/>
        </w:rPr>
        <w:t> </w:t>
      </w:r>
      <w:r>
        <w:rPr>
          <w:spacing w:val="-86"/>
        </w:rPr>
      </w:r>
      <w:r>
        <w:rPr/>
        <w:t>的应用落地与生态搭建提供了有力支撑；水质检测、气相色谱等分析仪器的研发取得了阶段性成果。</w:t>
      </w:r>
    </w:p>
    <w:p>
      <w:pPr>
        <w:pStyle w:val="BodyText"/>
        <w:spacing w:line="408" w:lineRule="auto"/>
        <w:ind w:right="0" w:firstLine="420"/>
        <w:jc w:val="left"/>
      </w:pPr>
      <w:r>
        <w:rPr/>
        <w:t>（</w:t>
      </w:r>
      <w:r>
        <w:rPr>
          <w:rFonts w:ascii="宋体" w:hAnsi="宋体" w:cs="宋体" w:eastAsia="宋体" w:hint="default"/>
        </w:rPr>
        <w:t>3</w:t>
      </w:r>
      <w:r>
        <w:rPr/>
        <w:t>）报告期内，公司对</w:t>
      </w:r>
      <w:r>
        <w:rPr>
          <w:spacing w:val="-58"/>
        </w:rPr>
        <w:t> </w:t>
      </w:r>
      <w:r>
        <w:rPr>
          <w:rFonts w:ascii="宋体" w:hAnsi="宋体" w:cs="宋体" w:eastAsia="宋体" w:hint="default"/>
        </w:rPr>
        <w:t>NB-IoT</w:t>
      </w:r>
      <w:r>
        <w:rPr/>
        <w:t>、</w:t>
      </w:r>
      <w:r>
        <w:rPr>
          <w:rFonts w:ascii="宋体" w:hAnsi="宋体" w:cs="宋体" w:eastAsia="宋体" w:hint="default"/>
        </w:rPr>
        <w:t>LoRa</w:t>
      </w:r>
      <w:r>
        <w:rPr>
          <w:rFonts w:ascii="宋体" w:hAnsi="宋体" w:cs="宋体" w:eastAsia="宋体" w:hint="default"/>
          <w:spacing w:val="-57"/>
        </w:rPr>
        <w:t> </w:t>
      </w:r>
      <w:r>
        <w:rPr/>
        <w:t>等低功耗广域网技术在传感器、仪表相关产品的应用进行了重 点研发，分别与华为、中兴等合作伙伴在环境监测、智慧园区等行业领域进行了深度技术合作，并与中兴 签署了基于城市级 </w:t>
      </w:r>
      <w:r>
        <w:rPr>
          <w:rFonts w:ascii="宋体" w:hAnsi="宋体" w:cs="宋体" w:eastAsia="宋体" w:hint="default"/>
        </w:rPr>
        <w:t>LoRa</w:t>
      </w:r>
      <w:r>
        <w:rPr>
          <w:rFonts w:ascii="宋体" w:hAnsi="宋体" w:cs="宋体" w:eastAsia="宋体" w:hint="default"/>
          <w:spacing w:val="-23"/>
        </w:rPr>
        <w:t> </w:t>
      </w:r>
      <w:r>
        <w:rPr/>
        <w:t>网络覆盖的战略合作伙伴协议，在南京、池州等多个地区实现应用落地，有效提 </w:t>
      </w:r>
      <w:r>
        <w:rPr>
          <w:spacing w:val="-1"/>
        </w:rPr>
        <w:t>升了公司在物联网行业解决方案领域的核心竞争力。公司积极对物联网平台建设进行深入探索和预研铺垫，</w:t>
      </w:r>
      <w:r>
        <w:rPr>
          <w:spacing w:val="-80"/>
        </w:rPr>
        <w:t> </w:t>
      </w:r>
      <w:r>
        <w:rPr>
          <w:spacing w:val="-80"/>
        </w:rPr>
      </w:r>
      <w:r>
        <w:rPr>
          <w:spacing w:val="-5"/>
        </w:rPr>
        <w:t>截至报告期末，物联网管理平台（工业互联网平台）已具备了较为成熟的软、硬件功能，在为工业“赋能”</w:t>
      </w:r>
    </w:p>
    <w:p>
      <w:pPr>
        <w:spacing w:after="0" w:line="408"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right="1132"/>
        <w:jc w:val="both"/>
      </w:pPr>
      <w:r>
        <w:rPr>
          <w:spacing w:val="-1"/>
        </w:rPr>
        <w:t>的基础上，实现了硬件的可接入方案，并已上线内测，为未来的开放、开源做好了准备，为物联网平台生</w:t>
      </w:r>
      <w:r>
        <w:rPr>
          <w:spacing w:val="-82"/>
        </w:rPr>
        <w:t> </w:t>
      </w:r>
      <w:r>
        <w:rPr>
          <w:spacing w:val="-82"/>
        </w:rPr>
      </w:r>
      <w:r>
        <w:rPr/>
        <w:t>态体系的建设奠定了基础。</w:t>
      </w:r>
    </w:p>
    <w:p>
      <w:pPr>
        <w:pStyle w:val="BodyText"/>
        <w:spacing w:line="408" w:lineRule="auto"/>
        <w:ind w:right="1119" w:firstLine="420"/>
        <w:jc w:val="left"/>
      </w:pPr>
      <w:r>
        <w:rPr/>
        <w:t>（</w:t>
      </w:r>
      <w:r>
        <w:rPr>
          <w:rFonts w:ascii="宋体" w:hAnsi="宋体" w:cs="宋体" w:eastAsia="宋体" w:hint="default"/>
        </w:rPr>
        <w:t>4</w:t>
      </w:r>
      <w:r>
        <w:rPr/>
        <w:t>）报告期内，公司积极投身 </w:t>
      </w:r>
      <w:r>
        <w:rPr>
          <w:rFonts w:ascii="宋体" w:hAnsi="宋体" w:cs="宋体" w:eastAsia="宋体" w:hint="default"/>
        </w:rPr>
        <w:t>2017</w:t>
      </w:r>
      <w:r>
        <w:rPr>
          <w:rFonts w:ascii="宋体" w:hAnsi="宋体" w:cs="宋体" w:eastAsia="宋体" w:hint="default"/>
          <w:spacing w:val="-26"/>
        </w:rPr>
        <w:t> </w:t>
      </w:r>
      <w:r>
        <w:rPr/>
        <w:t>年国家“互联网+”重大工程项目，参与了河南省工程实验室城 市精细化管理大数据、中原物联网体验中心等项目，展现了公司的科技实力，扩大了地区影响力。</w:t>
      </w:r>
    </w:p>
    <w:p>
      <w:pPr>
        <w:pStyle w:val="BodyText"/>
        <w:spacing w:line="408" w:lineRule="auto"/>
        <w:ind w:left="1553" w:right="0"/>
        <w:jc w:val="left"/>
      </w:pPr>
      <w:r>
        <w:rPr/>
        <w:t>（三）集团化管理体系更加完善 </w:t>
      </w:r>
      <w:r>
        <w:rPr>
          <w:spacing w:val="-6"/>
        </w:rPr>
        <w:t>报告期内，公司在界定母子公司职责边界、规范决策和办事流程方面精准发力，重点加强了财务管理、</w:t>
      </w:r>
    </w:p>
    <w:p>
      <w:pPr>
        <w:pStyle w:val="BodyText"/>
        <w:spacing w:line="408" w:lineRule="auto"/>
        <w:ind w:right="1130"/>
        <w:jc w:val="both"/>
      </w:pPr>
      <w:r>
        <w:rPr>
          <w:spacing w:val="-5"/>
        </w:rPr>
        <w:t>资金集中管理、子公司法人治理、基层三会管理、监察审计等工作，公司战略引领、文化引领、技术引领、</w:t>
      </w:r>
      <w:r>
        <w:rPr/>
        <w:t> </w:t>
      </w:r>
      <w:r>
        <w:rPr>
          <w:spacing w:val="-1"/>
        </w:rPr>
        <w:t>对外投资引领作用逐步加强，内部协同不断强化，平台价值有效提升，实现了公司内部在业务、管理、人</w:t>
      </w:r>
      <w:r>
        <w:rPr>
          <w:spacing w:val="-82"/>
        </w:rPr>
        <w:t> </w:t>
      </w:r>
      <w:r>
        <w:rPr>
          <w:spacing w:val="-82"/>
        </w:rPr>
      </w:r>
      <w:r>
        <w:rPr/>
        <w:t>才、资源、信息、技术、企业文化等方面的交互融合。</w:t>
      </w:r>
    </w:p>
    <w:p>
      <w:pPr>
        <w:pStyle w:val="BodyText"/>
        <w:spacing w:line="408" w:lineRule="auto"/>
        <w:ind w:left="1554" w:right="0"/>
        <w:jc w:val="left"/>
      </w:pPr>
      <w:r>
        <w:rPr/>
        <w:t>（四）企业文化内涵更加丰富 </w:t>
      </w:r>
      <w:r>
        <w:rPr>
          <w:spacing w:val="-1"/>
        </w:rPr>
        <w:t>报告期内，公司加强了品宣力量，重点增强了重大专题的策划能力和微博、微信等新媒体的运营能力</w:t>
      </w:r>
    </w:p>
    <w:p>
      <w:pPr>
        <w:pStyle w:val="BodyText"/>
        <w:spacing w:line="408" w:lineRule="auto"/>
        <w:ind w:right="1131"/>
        <w:jc w:val="both"/>
      </w:pPr>
      <w:r>
        <w:rPr>
          <w:spacing w:val="-1"/>
        </w:rPr>
        <w:t>建设，提高了品牌宣传推广的水平。公司不断加强品牌建设和企业文化建设，有效提升了公司的品牌价值</w:t>
      </w:r>
      <w:r>
        <w:rPr>
          <w:spacing w:val="-83"/>
        </w:rPr>
        <w:t> </w:t>
      </w:r>
      <w:r>
        <w:rPr>
          <w:spacing w:val="-83"/>
        </w:rPr>
      </w:r>
      <w:r>
        <w:rPr/>
        <w:t>和整体形象，增强了企业文化的凝聚功能、辐射功能、导向功能和约束功能，助力了公司发展。</w:t>
      </w:r>
    </w:p>
    <w:p>
      <w:pPr>
        <w:spacing w:line="240" w:lineRule="auto" w:before="11"/>
        <w:rPr>
          <w:rFonts w:ascii="宋体" w:hAnsi="宋体" w:cs="宋体" w:eastAsia="宋体" w:hint="default"/>
          <w:sz w:val="18"/>
          <w:szCs w:val="18"/>
        </w:rPr>
      </w:pPr>
    </w:p>
    <w:p>
      <w:pPr>
        <w:pStyle w:val="Heading2"/>
        <w:spacing w:line="240" w:lineRule="auto"/>
        <w:ind w:right="0"/>
        <w:jc w:val="both"/>
        <w:rPr>
          <w:b w:val="0"/>
          <w:bCs w:val="0"/>
        </w:rPr>
      </w:pPr>
      <w:bookmarkStart w:name="二、主营业务分析" w:id="25"/>
      <w:bookmarkEnd w:id="25"/>
      <w:r>
        <w:rPr>
          <w:b w:val="0"/>
          <w:bCs w:val="0"/>
        </w:rPr>
      </w:r>
      <w:r>
        <w:rPr/>
        <w:t>二、主营业务分析</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both"/>
        <w:rPr>
          <w:b w:val="0"/>
          <w:bCs w:val="0"/>
        </w:rPr>
      </w:pPr>
      <w:bookmarkStart w:name="1、概述" w:id="26"/>
      <w:bookmarkEnd w:id="26"/>
      <w:r>
        <w:rPr>
          <w:b w:val="0"/>
          <w:bCs w:val="0"/>
        </w:rPr>
      </w:r>
      <w:r>
        <w:rPr>
          <w:rFonts w:ascii="Times New Roman" w:hAnsi="Times New Roman" w:cs="Times New Roman" w:eastAsia="Times New Roman" w:hint="default"/>
        </w:rPr>
        <w:t>1</w:t>
      </w:r>
      <w:r>
        <w:rPr/>
        <w:t>、概述</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912" w:firstLine="420"/>
        <w:jc w:val="left"/>
      </w:pPr>
      <w:r>
        <w:rPr>
          <w:spacing w:val="-14"/>
        </w:rPr>
        <w:t>（</w:t>
      </w:r>
      <w:r>
        <w:rPr>
          <w:rFonts w:ascii="宋体" w:hAnsi="宋体" w:cs="宋体" w:eastAsia="宋体" w:hint="default"/>
          <w:spacing w:val="-14"/>
        </w:rPr>
        <w:t>1</w:t>
      </w:r>
      <w:r>
        <w:rPr>
          <w:spacing w:val="-14"/>
        </w:rPr>
        <w:t>）报告期内，公司实现营业收入</w:t>
      </w:r>
      <w:r>
        <w:rPr>
          <w:spacing w:val="-57"/>
        </w:rPr>
        <w:t> </w:t>
      </w:r>
      <w:r>
        <w:rPr>
          <w:rFonts w:ascii="宋体" w:hAnsi="宋体" w:cs="宋体" w:eastAsia="宋体" w:hint="default"/>
        </w:rPr>
        <w:t>144,417.91</w:t>
      </w:r>
      <w:r>
        <w:rPr>
          <w:rFonts w:ascii="宋体" w:hAnsi="宋体" w:cs="宋体" w:eastAsia="宋体" w:hint="default"/>
          <w:spacing w:val="-55"/>
        </w:rPr>
        <w:t> </w:t>
      </w:r>
      <w:r>
        <w:rPr>
          <w:spacing w:val="-11"/>
        </w:rPr>
        <w:t>万元，较上年同期增长</w:t>
      </w:r>
      <w:r>
        <w:rPr>
          <w:spacing w:val="-57"/>
        </w:rPr>
        <w:t> </w:t>
      </w:r>
      <w:r>
        <w:rPr>
          <w:rFonts w:ascii="宋体" w:hAnsi="宋体" w:cs="宋体" w:eastAsia="宋体" w:hint="default"/>
          <w:spacing w:val="-9"/>
        </w:rPr>
        <w:t>30.37%</w:t>
      </w:r>
      <w:r>
        <w:rPr>
          <w:spacing w:val="-9"/>
        </w:rPr>
        <w:t>；实现利润总额</w:t>
      </w:r>
      <w:r>
        <w:rPr>
          <w:spacing w:val="-57"/>
        </w:rPr>
        <w:t> </w:t>
      </w:r>
      <w:r>
        <w:rPr>
          <w:rFonts w:ascii="宋体" w:hAnsi="宋体" w:cs="宋体" w:eastAsia="宋体" w:hint="default"/>
        </w:rPr>
        <w:t>18,656.24 </w:t>
      </w:r>
      <w:r>
        <w:rPr>
          <w:spacing w:val="-11"/>
        </w:rPr>
        <w:t>万元，较上年同期增长</w:t>
      </w:r>
      <w:r>
        <w:rPr>
          <w:spacing w:val="-56"/>
        </w:rPr>
        <w:t> </w:t>
      </w:r>
      <w:r>
        <w:rPr>
          <w:rFonts w:ascii="宋体" w:hAnsi="宋体" w:cs="宋体" w:eastAsia="宋体" w:hint="default"/>
          <w:spacing w:val="-5"/>
        </w:rPr>
        <w:t>21.91%</w:t>
      </w:r>
      <w:r>
        <w:rPr>
          <w:spacing w:val="-5"/>
        </w:rPr>
        <w:t>；实现归属于上市公司股东的净利润</w:t>
      </w:r>
      <w:r>
        <w:rPr>
          <w:spacing w:val="-56"/>
        </w:rPr>
        <w:t> </w:t>
      </w:r>
      <w:r>
        <w:rPr>
          <w:rFonts w:ascii="宋体" w:hAnsi="宋体" w:cs="宋体" w:eastAsia="宋体" w:hint="default"/>
        </w:rPr>
        <w:t>11,032.09</w:t>
      </w:r>
      <w:r>
        <w:rPr>
          <w:rFonts w:ascii="宋体" w:hAnsi="宋体" w:cs="宋体" w:eastAsia="宋体" w:hint="default"/>
          <w:spacing w:val="-56"/>
        </w:rPr>
        <w:t> </w:t>
      </w:r>
      <w:r>
        <w:rPr>
          <w:spacing w:val="-11"/>
        </w:rPr>
        <w:t>万元，较上年同期增长</w:t>
      </w:r>
      <w:r>
        <w:rPr>
          <w:spacing w:val="-56"/>
        </w:rPr>
        <w:t> </w:t>
      </w:r>
      <w:r>
        <w:rPr>
          <w:rFonts w:ascii="宋体" w:hAnsi="宋体" w:cs="宋体" w:eastAsia="宋体" w:hint="default"/>
        </w:rPr>
        <w:t>21.73%</w:t>
      </w:r>
      <w:r>
        <w:rPr/>
        <w:t>。 公司取得上述经营成果的主要原因如下：</w:t>
      </w:r>
    </w:p>
    <w:p>
      <w:pPr>
        <w:pStyle w:val="BodyText"/>
        <w:spacing w:line="408" w:lineRule="auto"/>
        <w:ind w:right="0" w:firstLine="420"/>
        <w:jc w:val="left"/>
      </w:pPr>
      <w:r>
        <w:rPr/>
        <w:t>报告期内传感器业务板块业绩较上年同期增幅显著。一方面，用于室内空气质量检测的甲醛传感器、 红外二氧化碳传感器销量较过去几年实现了显著的增长；另一方面，随着煤改气政策的逐步推进，传统的 半导体气体传感器也实现了超预期的增长。</w:t>
      </w:r>
    </w:p>
    <w:p>
      <w:pPr>
        <w:pStyle w:val="BodyText"/>
        <w:spacing w:line="408" w:lineRule="auto"/>
        <w:ind w:right="0" w:firstLine="420"/>
        <w:jc w:val="left"/>
      </w:pPr>
      <w:r>
        <w:rPr/>
        <w:t>报告期内物联网综合解决方案复制、推广成果显著。其中，智慧水务、智慧市政系统解决方案等智慧 化建设项目的落地，产业协同效应不断增强，进一步促进了公司整体经营业绩持续、稳健地增长。同时，</w:t>
      </w:r>
      <w:r>
        <w:rPr>
          <w:spacing w:val="-29"/>
        </w:rPr>
        <w:t> </w:t>
      </w:r>
      <w:r>
        <w:rPr>
          <w:spacing w:val="-29"/>
        </w:rPr>
      </w:r>
      <w:r>
        <w:rPr/>
        <w:t>受益于社会民众对环保关注度的提升以及国家政策对环保行业的大力支持，智慧环保系统解决方案业务整</w:t>
      </w:r>
      <w:r>
        <w:rPr/>
        <w:t> 体发展情况良好，取得了较好的市场示范效果。</w:t>
      </w:r>
    </w:p>
    <w:p>
      <w:pPr>
        <w:pStyle w:val="BodyText"/>
        <w:spacing w:line="240" w:lineRule="auto"/>
        <w:ind w:left="1553" w:right="0"/>
        <w:jc w:val="left"/>
      </w:pPr>
      <w:r>
        <w:rPr/>
        <w:t>（</w:t>
      </w:r>
      <w:r>
        <w:rPr>
          <w:rFonts w:ascii="宋体" w:hAnsi="宋体" w:cs="宋体" w:eastAsia="宋体" w:hint="default"/>
        </w:rPr>
        <w:t>2</w:t>
      </w:r>
      <w:r>
        <w:rPr/>
        <w:t>）报告期内营业成本为</w:t>
      </w:r>
      <w:r>
        <w:rPr>
          <w:spacing w:val="-55"/>
        </w:rPr>
        <w:t> </w:t>
      </w:r>
      <w:r>
        <w:rPr>
          <w:rFonts w:ascii="宋体" w:hAnsi="宋体" w:cs="宋体" w:eastAsia="宋体" w:hint="default"/>
        </w:rPr>
        <w:t>90,520.24</w:t>
      </w:r>
      <w:r>
        <w:rPr>
          <w:rFonts w:ascii="宋体" w:hAnsi="宋体" w:cs="宋体" w:eastAsia="宋体" w:hint="default"/>
          <w:spacing w:val="-54"/>
        </w:rPr>
        <w:t> </w:t>
      </w:r>
      <w:r>
        <w:rPr/>
        <w:t>万元，较上年同期增加</w:t>
      </w:r>
      <w:r>
        <w:rPr>
          <w:spacing w:val="-55"/>
        </w:rPr>
        <w:t> </w:t>
      </w:r>
      <w:r>
        <w:rPr>
          <w:rFonts w:ascii="宋体" w:hAnsi="宋体" w:cs="宋体" w:eastAsia="宋体" w:hint="default"/>
        </w:rPr>
        <w:t>33.15%</w:t>
      </w:r>
      <w:r>
        <w:rPr/>
        <w:t>，主要系公司业务增长所致。</w:t>
      </w:r>
    </w:p>
    <w:p>
      <w:pPr>
        <w:spacing w:line="240" w:lineRule="auto" w:before="10"/>
        <w:rPr>
          <w:rFonts w:ascii="宋体" w:hAnsi="宋体" w:cs="宋体" w:eastAsia="宋体" w:hint="default"/>
          <w:sz w:val="14"/>
          <w:szCs w:val="14"/>
        </w:rPr>
      </w:pPr>
    </w:p>
    <w:p>
      <w:pPr>
        <w:pStyle w:val="BodyText"/>
        <w:spacing w:line="408" w:lineRule="auto" w:before="0"/>
        <w:ind w:left="1134" w:right="1121" w:firstLine="420"/>
        <w:jc w:val="left"/>
      </w:pPr>
      <w:r>
        <w:rPr/>
        <w:t>（</w:t>
      </w:r>
      <w:r>
        <w:rPr>
          <w:rFonts w:ascii="宋体" w:hAnsi="宋体" w:cs="宋体" w:eastAsia="宋体" w:hint="default"/>
        </w:rPr>
        <w:t>3</w:t>
      </w:r>
      <w:r>
        <w:rPr/>
        <w:t>）报告期内销售费用为</w:t>
      </w:r>
      <w:r>
        <w:rPr>
          <w:spacing w:val="-45"/>
        </w:rPr>
        <w:t> </w:t>
      </w:r>
      <w:r>
        <w:rPr>
          <w:rFonts w:ascii="宋体" w:hAnsi="宋体" w:cs="宋体" w:eastAsia="宋体" w:hint="default"/>
        </w:rPr>
        <w:t>10,132.90</w:t>
      </w:r>
      <w:r>
        <w:rPr>
          <w:rFonts w:ascii="宋体" w:hAnsi="宋体" w:cs="宋体" w:eastAsia="宋体" w:hint="default"/>
          <w:spacing w:val="-44"/>
        </w:rPr>
        <w:t> </w:t>
      </w:r>
      <w:r>
        <w:rPr/>
        <w:t>万元，较上年同期增加</w:t>
      </w:r>
      <w:r>
        <w:rPr>
          <w:spacing w:val="-45"/>
        </w:rPr>
        <w:t> </w:t>
      </w:r>
      <w:r>
        <w:rPr>
          <w:rFonts w:ascii="宋体" w:hAnsi="宋体" w:cs="宋体" w:eastAsia="宋体" w:hint="default"/>
        </w:rPr>
        <w:t>34.01%</w:t>
      </w:r>
      <w:r>
        <w:rPr/>
        <w:t>，主要系人员工资、差旅费等随 业务规模扩大增加所致。</w:t>
      </w:r>
    </w:p>
    <w:p>
      <w:pPr>
        <w:spacing w:after="0" w:line="408"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240" w:lineRule="auto" w:before="174"/>
        <w:ind w:left="1553" w:right="0"/>
        <w:jc w:val="left"/>
      </w:pPr>
      <w:r>
        <w:rPr/>
        <w:t>（</w:t>
      </w:r>
      <w:r>
        <w:rPr>
          <w:rFonts w:ascii="宋体" w:hAnsi="宋体" w:cs="宋体" w:eastAsia="宋体" w:hint="default"/>
        </w:rPr>
        <w:t>4</w:t>
      </w:r>
      <w:r>
        <w:rPr/>
        <w:t>）报告期内财务费用为</w:t>
      </w:r>
      <w:r>
        <w:rPr>
          <w:spacing w:val="-46"/>
        </w:rPr>
        <w:t> </w:t>
      </w:r>
      <w:r>
        <w:rPr>
          <w:rFonts w:ascii="宋体" w:hAnsi="宋体" w:cs="宋体" w:eastAsia="宋体" w:hint="default"/>
        </w:rPr>
        <w:t>4,476.15</w:t>
      </w:r>
      <w:r>
        <w:rPr>
          <w:rFonts w:ascii="宋体" w:hAnsi="宋体" w:cs="宋体" w:eastAsia="宋体" w:hint="default"/>
          <w:spacing w:val="-46"/>
        </w:rPr>
        <w:t> </w:t>
      </w:r>
      <w:r>
        <w:rPr/>
        <w:t>万元，较上年同期增加</w:t>
      </w:r>
      <w:r>
        <w:rPr>
          <w:spacing w:val="-43"/>
        </w:rPr>
        <w:t> </w:t>
      </w:r>
      <w:r>
        <w:rPr>
          <w:rFonts w:ascii="宋体" w:hAnsi="宋体" w:cs="宋体" w:eastAsia="宋体" w:hint="default"/>
        </w:rPr>
        <w:t>31.38%</w:t>
      </w:r>
      <w:r>
        <w:rPr/>
        <w:t>，主要系公司借款规模扩大所致。</w:t>
      </w:r>
    </w:p>
    <w:p>
      <w:pPr>
        <w:spacing w:line="240" w:lineRule="auto" w:before="10"/>
        <w:rPr>
          <w:rFonts w:ascii="宋体" w:hAnsi="宋体" w:cs="宋体" w:eastAsia="宋体" w:hint="default"/>
          <w:sz w:val="14"/>
          <w:szCs w:val="14"/>
        </w:rPr>
      </w:pPr>
    </w:p>
    <w:p>
      <w:pPr>
        <w:pStyle w:val="BodyText"/>
        <w:spacing w:line="408" w:lineRule="auto" w:before="0"/>
        <w:ind w:right="1124" w:firstLine="420"/>
        <w:jc w:val="left"/>
      </w:pPr>
      <w:r>
        <w:rPr>
          <w:spacing w:val="-9"/>
        </w:rPr>
        <w:t>（</w:t>
      </w:r>
      <w:r>
        <w:rPr>
          <w:rFonts w:ascii="宋体" w:hAnsi="宋体" w:cs="宋体" w:eastAsia="宋体" w:hint="default"/>
          <w:spacing w:val="-9"/>
        </w:rPr>
        <w:t>5</w:t>
      </w:r>
      <w:r>
        <w:rPr>
          <w:spacing w:val="-9"/>
        </w:rPr>
        <w:t>）报告期内研发投入</w:t>
      </w:r>
      <w:r>
        <w:rPr>
          <w:spacing w:val="-46"/>
        </w:rPr>
        <w:t> </w:t>
      </w:r>
      <w:r>
        <w:rPr>
          <w:rFonts w:ascii="宋体" w:hAnsi="宋体" w:cs="宋体" w:eastAsia="宋体" w:hint="default"/>
        </w:rPr>
        <w:t>9,109.74</w:t>
      </w:r>
      <w:r>
        <w:rPr>
          <w:rFonts w:ascii="宋体" w:hAnsi="宋体" w:cs="宋体" w:eastAsia="宋体" w:hint="default"/>
          <w:spacing w:val="-46"/>
        </w:rPr>
        <w:t> </w:t>
      </w:r>
      <w:r>
        <w:rPr>
          <w:spacing w:val="-10"/>
        </w:rPr>
        <w:t>万元，较上年同期增长</w:t>
      </w:r>
      <w:r>
        <w:rPr>
          <w:spacing w:val="-45"/>
        </w:rPr>
        <w:t> </w:t>
      </w:r>
      <w:r>
        <w:rPr>
          <w:rFonts w:ascii="宋体" w:hAnsi="宋体" w:cs="宋体" w:eastAsia="宋体" w:hint="default"/>
          <w:spacing w:val="-5"/>
        </w:rPr>
        <w:t>33.62%</w:t>
      </w:r>
      <w:r>
        <w:rPr>
          <w:spacing w:val="-5"/>
        </w:rPr>
        <w:t>，主要系公司本期加大了物联网平台、</w:t>
      </w:r>
      <w:r>
        <w:rPr/>
        <w:t> 智能传感器等项目的研发投入所致。</w:t>
      </w:r>
    </w:p>
    <w:p>
      <w:pPr>
        <w:pStyle w:val="BodyText"/>
        <w:spacing w:line="408" w:lineRule="auto"/>
        <w:ind w:right="1122" w:firstLine="420"/>
        <w:jc w:val="left"/>
      </w:pPr>
      <w:r>
        <w:rPr/>
        <w:t>（</w:t>
      </w:r>
      <w:r>
        <w:rPr>
          <w:rFonts w:ascii="宋体" w:hAnsi="宋体" w:cs="宋体" w:eastAsia="宋体" w:hint="default"/>
        </w:rPr>
        <w:t>6</w:t>
      </w:r>
      <w:r>
        <w:rPr/>
        <w:t>）报告期内经营活动产生的现金流量净额为</w:t>
      </w:r>
      <w:r>
        <w:rPr>
          <w:spacing w:val="-45"/>
        </w:rPr>
        <w:t> </w:t>
      </w:r>
      <w:r>
        <w:rPr>
          <w:rFonts w:ascii="宋体" w:hAnsi="宋体" w:cs="宋体" w:eastAsia="宋体" w:hint="default"/>
        </w:rPr>
        <w:t>13,124.67</w:t>
      </w:r>
      <w:r>
        <w:rPr>
          <w:rFonts w:ascii="宋体" w:hAnsi="宋体" w:cs="宋体" w:eastAsia="宋体" w:hint="default"/>
          <w:spacing w:val="-44"/>
        </w:rPr>
        <w:t> </w:t>
      </w:r>
      <w:r>
        <w:rPr/>
        <w:t>万元，较上年同期减少</w:t>
      </w:r>
      <w:r>
        <w:rPr>
          <w:spacing w:val="-45"/>
        </w:rPr>
        <w:t> </w:t>
      </w:r>
      <w:r>
        <w:rPr>
          <w:rFonts w:ascii="宋体" w:hAnsi="宋体" w:cs="宋体" w:eastAsia="宋体" w:hint="default"/>
        </w:rPr>
        <w:t>34.85%</w:t>
      </w:r>
      <w:r>
        <w:rPr/>
        <w:t>，主要系公 司本期收到以票据形式结算的货款、各种经营性支出较上年同期增加所致。</w:t>
      </w:r>
    </w:p>
    <w:p>
      <w:pPr>
        <w:pStyle w:val="BodyText"/>
        <w:spacing w:line="408" w:lineRule="auto"/>
        <w:ind w:right="1122" w:firstLine="420"/>
        <w:jc w:val="left"/>
      </w:pPr>
      <w:r>
        <w:rPr/>
        <w:t>（</w:t>
      </w:r>
      <w:r>
        <w:rPr>
          <w:rFonts w:ascii="宋体" w:hAnsi="宋体" w:cs="宋体" w:eastAsia="宋体" w:hint="default"/>
        </w:rPr>
        <w:t>7</w:t>
      </w:r>
      <w:r>
        <w:rPr/>
        <w:t>）报告期内投资活动产生的现金流量净额为</w:t>
      </w:r>
      <w:r>
        <w:rPr>
          <w:spacing w:val="-45"/>
        </w:rPr>
        <w:t> </w:t>
      </w:r>
      <w:r>
        <w:rPr>
          <w:rFonts w:ascii="宋体" w:hAnsi="宋体" w:cs="宋体" w:eastAsia="宋体" w:hint="default"/>
        </w:rPr>
        <w:t>6,491.98</w:t>
      </w:r>
      <w:r>
        <w:rPr>
          <w:rFonts w:ascii="宋体" w:hAnsi="宋体" w:cs="宋体" w:eastAsia="宋体" w:hint="default"/>
          <w:spacing w:val="-44"/>
        </w:rPr>
        <w:t> </w:t>
      </w:r>
      <w:r>
        <w:rPr/>
        <w:t>万元，较上年同期增长</w:t>
      </w:r>
      <w:r>
        <w:rPr>
          <w:spacing w:val="-45"/>
        </w:rPr>
        <w:t> </w:t>
      </w:r>
      <w:r>
        <w:rPr>
          <w:rFonts w:ascii="宋体" w:hAnsi="宋体" w:cs="宋体" w:eastAsia="宋体" w:hint="default"/>
        </w:rPr>
        <w:t>135.20%</w:t>
      </w:r>
      <w:r>
        <w:rPr/>
        <w:t>，主要系公 司本期投资结构调整、投资收益较上年同期增加所致。</w:t>
      </w:r>
    </w:p>
    <w:p>
      <w:pPr>
        <w:pStyle w:val="BodyText"/>
        <w:spacing w:line="408" w:lineRule="auto"/>
        <w:ind w:right="1119" w:firstLine="420"/>
        <w:jc w:val="left"/>
      </w:pPr>
      <w:r>
        <w:rPr/>
        <w:t>（</w:t>
      </w:r>
      <w:r>
        <w:rPr>
          <w:rFonts w:ascii="宋体" w:hAnsi="宋体" w:cs="宋体" w:eastAsia="宋体" w:hint="default"/>
        </w:rPr>
        <w:t>8</w:t>
      </w:r>
      <w:r>
        <w:rPr/>
        <w:t>）报告期内筹资活动产生的现金流量净额为</w:t>
      </w:r>
      <w:r>
        <w:rPr>
          <w:rFonts w:ascii="宋体" w:hAnsi="宋体" w:cs="宋体" w:eastAsia="宋体" w:hint="default"/>
        </w:rPr>
        <w:t>-5,079.73</w:t>
      </w:r>
      <w:r>
        <w:rPr>
          <w:rFonts w:ascii="宋体" w:hAnsi="宋体" w:cs="宋体" w:eastAsia="宋体" w:hint="default"/>
          <w:spacing w:val="-65"/>
        </w:rPr>
        <w:t> </w:t>
      </w:r>
      <w:r>
        <w:rPr/>
        <w:t>万元，较上年同期减少</w:t>
      </w:r>
      <w:r>
        <w:rPr>
          <w:spacing w:val="-66"/>
        </w:rPr>
        <w:t> </w:t>
      </w:r>
      <w:r>
        <w:rPr>
          <w:rFonts w:ascii="宋体" w:hAnsi="宋体" w:cs="宋体" w:eastAsia="宋体" w:hint="default"/>
        </w:rPr>
        <w:t>148.05%</w:t>
      </w:r>
      <w:r>
        <w:rPr/>
        <w:t>，主要系公 司本期新增借款及其他筹资性流入较上年同期减少所致。</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bookmarkStart w:name="2、收入与成本" w:id="27"/>
      <w:bookmarkEnd w:id="27"/>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spacing w:line="357" w:lineRule="auto" w:before="0"/>
        <w:ind w:left="1133" w:right="6973" w:firstLine="0"/>
        <w:jc w:val="left"/>
        <w:rPr>
          <w:rFonts w:ascii="宋体" w:hAnsi="宋体" w:cs="宋体" w:eastAsia="宋体" w:hint="default"/>
          <w:sz w:val="18"/>
          <w:szCs w:val="18"/>
        </w:rPr>
      </w:pPr>
      <w:r>
        <w:rPr>
          <w:rFonts w:ascii="宋体" w:hAnsi="宋体" w:cs="宋体" w:eastAsia="宋体" w:hint="default"/>
          <w:sz w:val="18"/>
          <w:szCs w:val="18"/>
        </w:rPr>
        <w:t>公司是否需要遵守光伏产业链相关业的披露要求 否</w:t>
      </w:r>
    </w:p>
    <w:p>
      <w:pPr>
        <w:spacing w:line="338" w:lineRule="auto" w:before="29"/>
        <w:ind w:left="1133" w:right="1394"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上市公司从事广播电影电视业务》的披露要求： 否</w:t>
      </w:r>
    </w:p>
    <w:p>
      <w:pPr>
        <w:spacing w:line="340" w:lineRule="auto" w:before="42"/>
        <w:ind w:left="1133" w:right="1574"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上市公司从事互联网游戏业务》的披露要求： 否</w:t>
      </w:r>
    </w:p>
    <w:p>
      <w:pPr>
        <w:spacing w:line="338" w:lineRule="auto" w:before="40"/>
        <w:ind w:left="1133" w:right="1136"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产业链相关业务》的披露要求： 否</w:t>
      </w:r>
    </w:p>
    <w:p>
      <w:pPr>
        <w:spacing w:line="338" w:lineRule="auto" w:before="43"/>
        <w:ind w:left="1133" w:right="1664"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上市公司从事医疗器械业务》的披露要求： 否</w:t>
      </w:r>
    </w:p>
    <w:p>
      <w:pPr>
        <w:spacing w:before="42"/>
        <w:ind w:left="1134" w:right="0" w:firstLine="0"/>
        <w:jc w:val="left"/>
        <w:rPr>
          <w:rFonts w:ascii="宋体" w:hAnsi="宋体" w:cs="宋体" w:eastAsia="宋体" w:hint="default"/>
          <w:sz w:val="18"/>
          <w:szCs w:val="18"/>
        </w:rPr>
      </w:pPr>
      <w:r>
        <w:rPr>
          <w:rFonts w:ascii="宋体" w:hAnsi="宋体" w:cs="宋体" w:eastAsia="宋体" w:hint="default"/>
          <w:sz w:val="18"/>
          <w:szCs w:val="18"/>
        </w:rPr>
        <w:t>营业收入整体情况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18" w:type="dxa"/>
        <w:tblLayout w:type="fixed"/>
        <w:tblCellMar>
          <w:top w:w="0" w:type="dxa"/>
          <w:left w:w="0" w:type="dxa"/>
          <w:bottom w:w="0" w:type="dxa"/>
          <w:right w:w="0" w:type="dxa"/>
        </w:tblCellMar>
        <w:tblLook w:val="01E0"/>
      </w:tblPr>
      <w:tblGrid>
        <w:gridCol w:w="2510"/>
        <w:gridCol w:w="1563"/>
        <w:gridCol w:w="1555"/>
        <w:gridCol w:w="1564"/>
        <w:gridCol w:w="1551"/>
        <w:gridCol w:w="824"/>
      </w:tblGrid>
      <w:tr>
        <w:trPr>
          <w:trHeight w:val="217" w:hRule="exact"/>
        </w:trPr>
        <w:tc>
          <w:tcPr>
            <w:tcW w:w="2510" w:type="dxa"/>
            <w:tcBorders>
              <w:top w:val="single" w:sz="12" w:space="0" w:color="000000"/>
              <w:left w:val="single" w:sz="12" w:space="0" w:color="000000"/>
              <w:bottom w:val="nil" w:sz="6" w:space="0" w:color="auto"/>
              <w:right w:val="single" w:sz="4" w:space="0" w:color="000000"/>
            </w:tcBorders>
            <w:shd w:val="clear" w:color="auto" w:fill="D2D2D2"/>
          </w:tcPr>
          <w:p>
            <w:pPr/>
          </w:p>
        </w:tc>
        <w:tc>
          <w:tcPr>
            <w:tcW w:w="3118" w:type="dxa"/>
            <w:gridSpan w:val="2"/>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15" w:type="dxa"/>
            <w:gridSpan w:val="2"/>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24" w:type="dxa"/>
            <w:tcBorders>
              <w:top w:val="single" w:sz="12" w:space="0" w:color="000000"/>
              <w:left w:val="single" w:sz="4" w:space="0" w:color="000000"/>
              <w:bottom w:val="nil" w:sz="6" w:space="0" w:color="auto"/>
              <w:right w:val="single" w:sz="12" w:space="0" w:color="000000"/>
            </w:tcBorders>
            <w:shd w:val="clear" w:color="auto" w:fill="D2D2D2"/>
          </w:tcPr>
          <w:p>
            <w:pPr/>
          </w:p>
        </w:tc>
      </w:tr>
      <w:tr>
        <w:trPr>
          <w:trHeight w:val="191" w:hRule="exact"/>
        </w:trPr>
        <w:tc>
          <w:tcPr>
            <w:tcW w:w="2510" w:type="dxa"/>
            <w:vMerge w:val="restart"/>
            <w:tcBorders>
              <w:top w:val="nil" w:sz="6" w:space="0" w:color="auto"/>
              <w:left w:val="single" w:sz="12" w:space="0" w:color="000000"/>
              <w:right w:val="single" w:sz="4" w:space="0" w:color="000000"/>
            </w:tcBorders>
            <w:shd w:val="clear" w:color="auto" w:fill="D2D2D2"/>
          </w:tcPr>
          <w:p>
            <w:pPr/>
          </w:p>
        </w:tc>
        <w:tc>
          <w:tcPr>
            <w:tcW w:w="3118" w:type="dxa"/>
            <w:gridSpan w:val="2"/>
            <w:vMerge/>
            <w:tcBorders>
              <w:left w:val="single" w:sz="4" w:space="0" w:color="000000"/>
              <w:bottom w:val="single" w:sz="4" w:space="0" w:color="000000"/>
              <w:right w:val="single" w:sz="4" w:space="0" w:color="000000"/>
            </w:tcBorders>
            <w:shd w:val="clear" w:color="auto" w:fill="D2D2D2"/>
          </w:tcPr>
          <w:p>
            <w:pPr/>
          </w:p>
        </w:tc>
        <w:tc>
          <w:tcPr>
            <w:tcW w:w="3115" w:type="dxa"/>
            <w:gridSpan w:val="2"/>
            <w:vMerge/>
            <w:tcBorders>
              <w:left w:val="single" w:sz="4" w:space="0" w:color="000000"/>
              <w:bottom w:val="single" w:sz="4" w:space="0" w:color="000000"/>
              <w:right w:val="single" w:sz="4" w:space="0" w:color="000000"/>
            </w:tcBorders>
            <w:shd w:val="clear" w:color="auto" w:fill="D2D2D2"/>
          </w:tcPr>
          <w:p>
            <w:pPr/>
          </w:p>
        </w:tc>
        <w:tc>
          <w:tcPr>
            <w:tcW w:w="824" w:type="dxa"/>
            <w:vMerge w:val="restart"/>
            <w:tcBorders>
              <w:top w:val="nil" w:sz="6" w:space="0" w:color="auto"/>
              <w:left w:val="single" w:sz="4" w:space="0" w:color="000000"/>
              <w:right w:val="single" w:sz="12" w:space="0" w:color="000000"/>
            </w:tcBorders>
            <w:shd w:val="clear" w:color="auto" w:fill="D2D2D2"/>
          </w:tcPr>
          <w:p>
            <w:pPr>
              <w:pStyle w:val="TableParagraph"/>
              <w:spacing w:line="240" w:lineRule="auto" w:before="51"/>
              <w:ind w:left="4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0" w:hRule="exact"/>
        </w:trPr>
        <w:tc>
          <w:tcPr>
            <w:tcW w:w="2510" w:type="dxa"/>
            <w:vMerge/>
            <w:tcBorders>
              <w:left w:val="single" w:sz="12" w:space="0" w:color="000000"/>
              <w:bottom w:val="nil" w:sz="6" w:space="0" w:color="auto"/>
              <w:right w:val="single" w:sz="4" w:space="0" w:color="000000"/>
            </w:tcBorders>
            <w:shd w:val="clear" w:color="auto" w:fill="D2D2D2"/>
          </w:tcPr>
          <w:p>
            <w:pPr/>
          </w:p>
        </w:tc>
        <w:tc>
          <w:tcPr>
            <w:tcW w:w="15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5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824" w:type="dxa"/>
            <w:vMerge/>
            <w:tcBorders>
              <w:left w:val="single" w:sz="4" w:space="0" w:color="000000"/>
              <w:bottom w:val="nil" w:sz="6" w:space="0" w:color="auto"/>
              <w:right w:val="single" w:sz="12" w:space="0" w:color="000000"/>
            </w:tcBorders>
            <w:shd w:val="clear" w:color="auto" w:fill="D2D2D2"/>
          </w:tcPr>
          <w:p>
            <w:pPr/>
          </w:p>
        </w:tc>
      </w:tr>
      <w:tr>
        <w:trPr>
          <w:trHeight w:val="206" w:hRule="exact"/>
        </w:trPr>
        <w:tc>
          <w:tcPr>
            <w:tcW w:w="2510" w:type="dxa"/>
            <w:tcBorders>
              <w:top w:val="nil" w:sz="6" w:space="0" w:color="auto"/>
              <w:left w:val="single" w:sz="12" w:space="0" w:color="000000"/>
              <w:bottom w:val="single" w:sz="4" w:space="0" w:color="000000"/>
              <w:right w:val="single" w:sz="4" w:space="0" w:color="000000"/>
            </w:tcBorders>
            <w:shd w:val="clear" w:color="auto" w:fill="D2D2D2"/>
          </w:tcPr>
          <w:p>
            <w:pPr/>
          </w:p>
        </w:tc>
        <w:tc>
          <w:tcPr>
            <w:tcW w:w="1563" w:type="dxa"/>
            <w:vMerge/>
            <w:tcBorders>
              <w:left w:val="single" w:sz="4" w:space="0" w:color="000000"/>
              <w:bottom w:val="single" w:sz="4" w:space="0" w:color="000000"/>
              <w:right w:val="single" w:sz="4" w:space="0" w:color="000000"/>
            </w:tcBorders>
            <w:shd w:val="clear" w:color="auto" w:fill="D2D2D2"/>
          </w:tcPr>
          <w:p>
            <w:pPr/>
          </w:p>
        </w:tc>
        <w:tc>
          <w:tcPr>
            <w:tcW w:w="1555" w:type="dxa"/>
            <w:vMerge/>
            <w:tcBorders>
              <w:left w:val="single" w:sz="4" w:space="0" w:color="000000"/>
              <w:bottom w:val="single" w:sz="4" w:space="0" w:color="000000"/>
              <w:right w:val="single" w:sz="4" w:space="0" w:color="000000"/>
            </w:tcBorders>
            <w:shd w:val="clear" w:color="auto" w:fill="D2D2D2"/>
          </w:tcPr>
          <w:p>
            <w:pPr/>
          </w:p>
        </w:tc>
        <w:tc>
          <w:tcPr>
            <w:tcW w:w="1564" w:type="dxa"/>
            <w:vMerge/>
            <w:tcBorders>
              <w:left w:val="single" w:sz="4" w:space="0" w:color="000000"/>
              <w:bottom w:val="single" w:sz="4" w:space="0" w:color="000000"/>
              <w:right w:val="single" w:sz="4" w:space="0" w:color="000000"/>
            </w:tcBorders>
            <w:shd w:val="clear" w:color="auto" w:fill="D2D2D2"/>
          </w:tcPr>
          <w:p>
            <w:pPr/>
          </w:p>
        </w:tc>
        <w:tc>
          <w:tcPr>
            <w:tcW w:w="1551" w:type="dxa"/>
            <w:vMerge/>
            <w:tcBorders>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12" w:space="0" w:color="000000"/>
            </w:tcBorders>
            <w:shd w:val="clear" w:color="auto" w:fill="D2D2D2"/>
          </w:tcPr>
          <w:p>
            <w:pPr/>
          </w:p>
        </w:tc>
      </w:tr>
      <w:tr>
        <w:trPr>
          <w:trHeight w:val="407" w:hRule="exact"/>
        </w:trPr>
        <w:tc>
          <w:tcPr>
            <w:tcW w:w="251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63"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1,444,179,089.91</w:t>
            </w:r>
          </w:p>
        </w:tc>
        <w:tc>
          <w:tcPr>
            <w:tcW w:w="1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64"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1,107,719,247.95</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824" w:type="dxa"/>
            <w:tcBorders>
              <w:top w:val="single" w:sz="4" w:space="0" w:color="000000"/>
              <w:left w:val="single" w:sz="13" w:space="0" w:color="D2D2D2"/>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30.37%</w:t>
            </w:r>
          </w:p>
        </w:tc>
      </w:tr>
      <w:tr>
        <w:trPr>
          <w:trHeight w:val="397" w:hRule="exact"/>
        </w:trPr>
        <w:tc>
          <w:tcPr>
            <w:tcW w:w="9568" w:type="dxa"/>
            <w:gridSpan w:val="6"/>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46"/>
              <w:ind w:left="13"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251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物联网行业</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1,444,179,089.91</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1,107,719,247.95</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100.00%</w:t>
            </w:r>
          </w:p>
        </w:tc>
        <w:tc>
          <w:tcPr>
            <w:tcW w:w="82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30.37%</w:t>
            </w:r>
          </w:p>
        </w:tc>
      </w:tr>
      <w:tr>
        <w:trPr>
          <w:trHeight w:val="402" w:hRule="exact"/>
        </w:trPr>
        <w:tc>
          <w:tcPr>
            <w:tcW w:w="9568" w:type="dxa"/>
            <w:gridSpan w:val="6"/>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251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传感器</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159,320,227.08</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11.03%</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97,395,685.83</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8.79%</w:t>
            </w:r>
          </w:p>
        </w:tc>
        <w:tc>
          <w:tcPr>
            <w:tcW w:w="82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63.58%</w:t>
            </w:r>
          </w:p>
        </w:tc>
      </w:tr>
      <w:tr>
        <w:trPr>
          <w:trHeight w:val="402" w:hRule="exact"/>
        </w:trPr>
        <w:tc>
          <w:tcPr>
            <w:tcW w:w="251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物联网综合解决方案</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1,242,653,464.44</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86.05%</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978,109,131.17</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88.30%</w:t>
            </w:r>
          </w:p>
        </w:tc>
        <w:tc>
          <w:tcPr>
            <w:tcW w:w="82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27.05%</w:t>
            </w:r>
          </w:p>
        </w:tc>
      </w:tr>
      <w:tr>
        <w:trPr>
          <w:trHeight w:val="412" w:hRule="exact"/>
        </w:trPr>
        <w:tc>
          <w:tcPr>
            <w:tcW w:w="2510"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其中：物联网平台解决方案</w:t>
            </w:r>
          </w:p>
        </w:tc>
        <w:tc>
          <w:tcPr>
            <w:tcW w:w="156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125,534,772.39</w:t>
            </w:r>
          </w:p>
        </w:tc>
        <w:tc>
          <w:tcPr>
            <w:tcW w:w="155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8.69%</w:t>
            </w:r>
          </w:p>
        </w:tc>
        <w:tc>
          <w:tcPr>
            <w:tcW w:w="15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97,952,458.71</w:t>
            </w:r>
          </w:p>
        </w:tc>
        <w:tc>
          <w:tcPr>
            <w:tcW w:w="15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8.84%</w:t>
            </w:r>
          </w:p>
        </w:tc>
        <w:tc>
          <w:tcPr>
            <w:tcW w:w="824"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28.16%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18" w:type="dxa"/>
        <w:tblLayout w:type="fixed"/>
        <w:tblCellMar>
          <w:top w:w="0" w:type="dxa"/>
          <w:left w:w="0" w:type="dxa"/>
          <w:bottom w:w="0" w:type="dxa"/>
          <w:right w:w="0" w:type="dxa"/>
        </w:tblCellMar>
        <w:tblLook w:val="01E0"/>
      </w:tblPr>
      <w:tblGrid>
        <w:gridCol w:w="2510"/>
        <w:gridCol w:w="1559"/>
        <w:gridCol w:w="1559"/>
        <w:gridCol w:w="1560"/>
        <w:gridCol w:w="1559"/>
        <w:gridCol w:w="820"/>
      </w:tblGrid>
      <w:tr>
        <w:trPr>
          <w:trHeight w:val="412" w:hRule="exact"/>
        </w:trPr>
        <w:tc>
          <w:tcPr>
            <w:tcW w:w="2510"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51"/>
              <w:ind w:right="134"/>
              <w:jc w:val="right"/>
              <w:rPr>
                <w:rFonts w:ascii="宋体" w:hAnsi="宋体" w:cs="宋体" w:eastAsia="宋体" w:hint="default"/>
                <w:sz w:val="18"/>
                <w:szCs w:val="18"/>
              </w:rPr>
            </w:pPr>
            <w:r>
              <w:rPr>
                <w:rFonts w:ascii="宋体" w:hAnsi="宋体" w:cs="宋体" w:eastAsia="宋体" w:hint="default"/>
                <w:sz w:val="18"/>
                <w:szCs w:val="18"/>
              </w:rPr>
              <w:t>智慧环保系统解决方案</w:t>
            </w:r>
          </w:p>
        </w:tc>
        <w:tc>
          <w:tcPr>
            <w:tcW w:w="155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384,244,067.75</w:t>
            </w:r>
          </w:p>
        </w:tc>
        <w:tc>
          <w:tcPr>
            <w:tcW w:w="155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26.62%</w:t>
            </w:r>
          </w:p>
        </w:tc>
        <w:tc>
          <w:tcPr>
            <w:tcW w:w="15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298,679,084.86</w:t>
            </w:r>
          </w:p>
        </w:tc>
        <w:tc>
          <w:tcPr>
            <w:tcW w:w="155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26.96%</w:t>
            </w:r>
          </w:p>
        </w:tc>
        <w:tc>
          <w:tcPr>
            <w:tcW w:w="820"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28.65%</w:t>
            </w:r>
          </w:p>
        </w:tc>
      </w:tr>
      <w:tr>
        <w:trPr>
          <w:trHeight w:val="402" w:hRule="exact"/>
        </w:trPr>
        <w:tc>
          <w:tcPr>
            <w:tcW w:w="251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134"/>
              <w:jc w:val="right"/>
              <w:rPr>
                <w:rFonts w:ascii="宋体" w:hAnsi="宋体" w:cs="宋体" w:eastAsia="宋体" w:hint="default"/>
                <w:sz w:val="18"/>
                <w:szCs w:val="18"/>
              </w:rPr>
            </w:pPr>
            <w:r>
              <w:rPr>
                <w:rFonts w:ascii="宋体" w:hAnsi="宋体" w:cs="宋体" w:eastAsia="宋体" w:hint="default"/>
                <w:sz w:val="18"/>
                <w:szCs w:val="18"/>
              </w:rPr>
              <w:t>智慧市政系统解决方案</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469,266,219.90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32.49%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382,309,078.08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34.52%</w:t>
            </w:r>
          </w:p>
        </w:tc>
        <w:tc>
          <w:tcPr>
            <w:tcW w:w="8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22.75%</w:t>
            </w:r>
          </w:p>
        </w:tc>
      </w:tr>
      <w:tr>
        <w:trPr>
          <w:trHeight w:val="402" w:hRule="exact"/>
        </w:trPr>
        <w:tc>
          <w:tcPr>
            <w:tcW w:w="251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134"/>
              <w:jc w:val="right"/>
              <w:rPr>
                <w:rFonts w:ascii="宋体" w:hAnsi="宋体" w:cs="宋体" w:eastAsia="宋体" w:hint="default"/>
                <w:sz w:val="18"/>
                <w:szCs w:val="18"/>
              </w:rPr>
            </w:pPr>
            <w:r>
              <w:rPr>
                <w:rFonts w:ascii="宋体" w:hAnsi="宋体" w:cs="宋体" w:eastAsia="宋体" w:hint="default"/>
                <w:sz w:val="18"/>
                <w:szCs w:val="18"/>
              </w:rPr>
              <w:t>智慧安全系统解决方案</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263,608,404.40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18.25%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199,168,509.52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17.98%</w:t>
            </w:r>
          </w:p>
        </w:tc>
        <w:tc>
          <w:tcPr>
            <w:tcW w:w="8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32.35%</w:t>
            </w:r>
          </w:p>
        </w:tc>
      </w:tr>
      <w:tr>
        <w:trPr>
          <w:trHeight w:val="402" w:hRule="exact"/>
        </w:trPr>
        <w:tc>
          <w:tcPr>
            <w:tcW w:w="251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42,205,398.39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32,214,430.95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2.91%</w:t>
            </w:r>
          </w:p>
        </w:tc>
        <w:tc>
          <w:tcPr>
            <w:tcW w:w="8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31.01%</w:t>
            </w:r>
          </w:p>
        </w:tc>
      </w:tr>
      <w:tr>
        <w:trPr>
          <w:trHeight w:val="402" w:hRule="exact"/>
        </w:trPr>
        <w:tc>
          <w:tcPr>
            <w:tcW w:w="9568" w:type="dxa"/>
            <w:gridSpan w:val="6"/>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251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1,390,026,577.63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96.25%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1,068,123,641.09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96.43%</w:t>
            </w:r>
          </w:p>
        </w:tc>
        <w:tc>
          <w:tcPr>
            <w:tcW w:w="8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30.14%</w:t>
            </w:r>
          </w:p>
        </w:tc>
      </w:tr>
      <w:tr>
        <w:trPr>
          <w:trHeight w:val="412" w:hRule="exact"/>
        </w:trPr>
        <w:tc>
          <w:tcPr>
            <w:tcW w:w="2510"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5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54,152,512.28</w:t>
            </w:r>
          </w:p>
        </w:tc>
        <w:tc>
          <w:tcPr>
            <w:tcW w:w="15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3.75%</w:t>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39,595,606.86</w:t>
            </w:r>
          </w:p>
        </w:tc>
        <w:tc>
          <w:tcPr>
            <w:tcW w:w="15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3.57%</w:t>
            </w:r>
          </w:p>
        </w:tc>
        <w:tc>
          <w:tcPr>
            <w:tcW w:w="82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36.76%</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spacing w:line="348" w:lineRule="auto" w:before="44"/>
        <w:ind w:left="1133"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8"/>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1060" w:bottom="1160" w:left="0" w:right="0"/>
          <w:cols w:num="2" w:equalWidth="0">
            <w:col w:w="4195" w:space="4725"/>
            <w:col w:w="2990"/>
          </w:cols>
        </w:sectPr>
      </w:pPr>
    </w:p>
    <w:p>
      <w:pPr>
        <w:spacing w:line="240" w:lineRule="auto" w:before="13"/>
        <w:rPr>
          <w:rFonts w:ascii="宋体" w:hAnsi="宋体" w:cs="宋体" w:eastAsia="宋体" w:hint="default"/>
          <w:sz w:val="7"/>
          <w:szCs w:val="7"/>
        </w:rPr>
      </w:pPr>
    </w:p>
    <w:tbl>
      <w:tblPr>
        <w:tblW w:w="0" w:type="auto"/>
        <w:jc w:val="left"/>
        <w:tblInd w:w="1118" w:type="dxa"/>
        <w:tblLayout w:type="fixed"/>
        <w:tblCellMar>
          <w:top w:w="0" w:type="dxa"/>
          <w:left w:w="0" w:type="dxa"/>
          <w:bottom w:w="0" w:type="dxa"/>
          <w:right w:w="0" w:type="dxa"/>
        </w:tblCellMar>
        <w:tblLook w:val="01E0"/>
      </w:tblPr>
      <w:tblGrid>
        <w:gridCol w:w="2510"/>
        <w:gridCol w:w="1418"/>
        <w:gridCol w:w="1276"/>
        <w:gridCol w:w="709"/>
        <w:gridCol w:w="1276"/>
        <w:gridCol w:w="1276"/>
        <w:gridCol w:w="1108"/>
      </w:tblGrid>
      <w:tr>
        <w:trPr>
          <w:trHeight w:val="724" w:hRule="exact"/>
        </w:trPr>
        <w:tc>
          <w:tcPr>
            <w:tcW w:w="2510" w:type="dxa"/>
            <w:tcBorders>
              <w:top w:val="single" w:sz="12" w:space="0" w:color="000000"/>
              <w:left w:val="single" w:sz="12" w:space="0" w:color="000000"/>
              <w:bottom w:val="single" w:sz="4" w:space="0" w:color="000000"/>
              <w:right w:val="single" w:sz="4" w:space="0" w:color="000000"/>
            </w:tcBorders>
            <w:shd w:val="clear" w:color="auto" w:fill="D2D2D2"/>
          </w:tcPr>
          <w:p>
            <w:pPr/>
          </w:p>
        </w:tc>
        <w:tc>
          <w:tcPr>
            <w:tcW w:w="141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27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709"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毛利率</w:t>
            </w:r>
          </w:p>
        </w:tc>
        <w:tc>
          <w:tcPr>
            <w:tcW w:w="127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3" w:hanging="90"/>
              <w:jc w:val="left"/>
              <w:rPr>
                <w:rFonts w:ascii="宋体" w:hAnsi="宋体" w:cs="宋体" w:eastAsia="宋体" w:hint="default"/>
                <w:sz w:val="18"/>
                <w:szCs w:val="18"/>
              </w:rPr>
            </w:pPr>
            <w:r>
              <w:rPr>
                <w:rFonts w:ascii="宋体" w:hAnsi="宋体" w:cs="宋体" w:eastAsia="宋体" w:hint="default"/>
                <w:sz w:val="18"/>
                <w:szCs w:val="18"/>
              </w:rPr>
              <w:t>营业收入比上 年同期增减</w:t>
            </w:r>
          </w:p>
        </w:tc>
        <w:tc>
          <w:tcPr>
            <w:tcW w:w="127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营业成本比上 年同期增减</w:t>
            </w:r>
          </w:p>
        </w:tc>
        <w:tc>
          <w:tcPr>
            <w:tcW w:w="1108"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316" w:lineRule="auto" w:before="51"/>
              <w:ind w:left="98" w:right="89"/>
              <w:jc w:val="left"/>
              <w:rPr>
                <w:rFonts w:ascii="宋体" w:hAnsi="宋体" w:cs="宋体" w:eastAsia="宋体" w:hint="default"/>
                <w:sz w:val="18"/>
                <w:szCs w:val="18"/>
              </w:rPr>
            </w:pPr>
            <w:r>
              <w:rPr>
                <w:rFonts w:ascii="宋体" w:hAnsi="宋体" w:cs="宋体" w:eastAsia="宋体" w:hint="default"/>
                <w:sz w:val="18"/>
                <w:szCs w:val="18"/>
              </w:rPr>
              <w:t>毛利率比上 年同期增减</w:t>
            </w:r>
          </w:p>
        </w:tc>
      </w:tr>
      <w:tr>
        <w:trPr>
          <w:trHeight w:val="402" w:hRule="exact"/>
        </w:trPr>
        <w:tc>
          <w:tcPr>
            <w:tcW w:w="9572" w:type="dxa"/>
            <w:gridSpan w:val="7"/>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251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物联网行业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1,444,179,089.91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905,202,375.94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center"/>
              <w:rPr>
                <w:rFonts w:ascii="Times New Roman" w:hAnsi="Times New Roman" w:cs="Times New Roman" w:eastAsia="Times New Roman" w:hint="default"/>
                <w:sz w:val="18"/>
                <w:szCs w:val="18"/>
              </w:rPr>
            </w:pPr>
            <w:r>
              <w:rPr>
                <w:rFonts w:ascii="Times New Roman"/>
                <w:sz w:val="18"/>
              </w:rPr>
              <w:t>37.32%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30.37%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33.15%</w:t>
            </w:r>
          </w:p>
        </w:tc>
        <w:tc>
          <w:tcPr>
            <w:tcW w:w="110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-1.31%</w:t>
            </w:r>
          </w:p>
        </w:tc>
      </w:tr>
      <w:tr>
        <w:trPr>
          <w:trHeight w:val="402" w:hRule="exact"/>
        </w:trPr>
        <w:tc>
          <w:tcPr>
            <w:tcW w:w="9572" w:type="dxa"/>
            <w:gridSpan w:val="7"/>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251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传感器</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159,320,227.08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76,889,110.47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center"/>
              <w:rPr>
                <w:rFonts w:ascii="Times New Roman" w:hAnsi="Times New Roman" w:cs="Times New Roman" w:eastAsia="Times New Roman" w:hint="default"/>
                <w:sz w:val="18"/>
                <w:szCs w:val="18"/>
              </w:rPr>
            </w:pPr>
            <w:r>
              <w:rPr>
                <w:rFonts w:ascii="Times New Roman"/>
                <w:sz w:val="18"/>
              </w:rPr>
              <w:t>51.74%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63.58%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56.66%</w:t>
            </w:r>
          </w:p>
        </w:tc>
        <w:tc>
          <w:tcPr>
            <w:tcW w:w="110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2.13%</w:t>
            </w:r>
          </w:p>
        </w:tc>
      </w:tr>
      <w:tr>
        <w:trPr>
          <w:trHeight w:val="402" w:hRule="exact"/>
        </w:trPr>
        <w:tc>
          <w:tcPr>
            <w:tcW w:w="251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物联网综合解决方案</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1,242,653,464.44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803,475,596.98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center"/>
              <w:rPr>
                <w:rFonts w:ascii="Times New Roman" w:hAnsi="Times New Roman" w:cs="Times New Roman" w:eastAsia="Times New Roman" w:hint="default"/>
                <w:sz w:val="18"/>
                <w:szCs w:val="18"/>
              </w:rPr>
            </w:pPr>
            <w:r>
              <w:rPr>
                <w:rFonts w:ascii="Times New Roman"/>
                <w:sz w:val="18"/>
              </w:rPr>
              <w:t>35.34%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27.05%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30.34%</w:t>
            </w:r>
          </w:p>
        </w:tc>
        <w:tc>
          <w:tcPr>
            <w:tcW w:w="110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-1.64%</w:t>
            </w:r>
          </w:p>
        </w:tc>
      </w:tr>
      <w:tr>
        <w:trPr>
          <w:trHeight w:val="402" w:hRule="exact"/>
        </w:trPr>
        <w:tc>
          <w:tcPr>
            <w:tcW w:w="251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其中：物联网平台解决方案</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125,534,772.39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58,699,895.24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center"/>
              <w:rPr>
                <w:rFonts w:ascii="Times New Roman" w:hAnsi="Times New Roman" w:cs="Times New Roman" w:eastAsia="Times New Roman" w:hint="default"/>
                <w:sz w:val="18"/>
                <w:szCs w:val="18"/>
              </w:rPr>
            </w:pPr>
            <w:r>
              <w:rPr>
                <w:rFonts w:ascii="Times New Roman"/>
                <w:sz w:val="18"/>
              </w:rPr>
              <w:t>53.24%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28.16%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45.11%</w:t>
            </w:r>
          </w:p>
        </w:tc>
        <w:tc>
          <w:tcPr>
            <w:tcW w:w="110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-5.46%</w:t>
            </w:r>
          </w:p>
        </w:tc>
      </w:tr>
      <w:tr>
        <w:trPr>
          <w:trHeight w:val="402" w:hRule="exact"/>
        </w:trPr>
        <w:tc>
          <w:tcPr>
            <w:tcW w:w="251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134"/>
              <w:jc w:val="right"/>
              <w:rPr>
                <w:rFonts w:ascii="宋体" w:hAnsi="宋体" w:cs="宋体" w:eastAsia="宋体" w:hint="default"/>
                <w:sz w:val="18"/>
                <w:szCs w:val="18"/>
              </w:rPr>
            </w:pPr>
            <w:r>
              <w:rPr>
                <w:rFonts w:ascii="宋体" w:hAnsi="宋体" w:cs="宋体" w:eastAsia="宋体" w:hint="default"/>
                <w:sz w:val="18"/>
                <w:szCs w:val="18"/>
              </w:rPr>
              <w:t>智慧环保系统解决方案</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384,244,067.75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259,556,322.87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center"/>
              <w:rPr>
                <w:rFonts w:ascii="Times New Roman" w:hAnsi="Times New Roman" w:cs="Times New Roman" w:eastAsia="Times New Roman" w:hint="default"/>
                <w:sz w:val="18"/>
                <w:szCs w:val="18"/>
              </w:rPr>
            </w:pPr>
            <w:r>
              <w:rPr>
                <w:rFonts w:ascii="Times New Roman"/>
                <w:sz w:val="18"/>
              </w:rPr>
              <w:t>32.45%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28.65%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38.46%</w:t>
            </w:r>
          </w:p>
        </w:tc>
        <w:tc>
          <w:tcPr>
            <w:tcW w:w="110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-4.79%</w:t>
            </w:r>
          </w:p>
        </w:tc>
      </w:tr>
      <w:tr>
        <w:trPr>
          <w:trHeight w:val="402" w:hRule="exact"/>
        </w:trPr>
        <w:tc>
          <w:tcPr>
            <w:tcW w:w="251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134"/>
              <w:jc w:val="right"/>
              <w:rPr>
                <w:rFonts w:ascii="宋体" w:hAnsi="宋体" w:cs="宋体" w:eastAsia="宋体" w:hint="default"/>
                <w:sz w:val="18"/>
                <w:szCs w:val="18"/>
              </w:rPr>
            </w:pPr>
            <w:r>
              <w:rPr>
                <w:rFonts w:ascii="宋体" w:hAnsi="宋体" w:cs="宋体" w:eastAsia="宋体" w:hint="default"/>
                <w:sz w:val="18"/>
                <w:szCs w:val="18"/>
              </w:rPr>
              <w:t>智慧市政系统解决方案</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469,266,219.90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356,044,332.99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center"/>
              <w:rPr>
                <w:rFonts w:ascii="Times New Roman" w:hAnsi="Times New Roman" w:cs="Times New Roman" w:eastAsia="Times New Roman" w:hint="default"/>
                <w:sz w:val="18"/>
                <w:szCs w:val="18"/>
              </w:rPr>
            </w:pPr>
            <w:r>
              <w:rPr>
                <w:rFonts w:ascii="Times New Roman"/>
                <w:sz w:val="18"/>
              </w:rPr>
              <w:t>24.13%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22.75%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23.61%</w:t>
            </w:r>
          </w:p>
        </w:tc>
        <w:tc>
          <w:tcPr>
            <w:tcW w:w="110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-0.53%</w:t>
            </w:r>
          </w:p>
        </w:tc>
      </w:tr>
      <w:tr>
        <w:trPr>
          <w:trHeight w:val="402" w:hRule="exact"/>
        </w:trPr>
        <w:tc>
          <w:tcPr>
            <w:tcW w:w="251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134"/>
              <w:jc w:val="right"/>
              <w:rPr>
                <w:rFonts w:ascii="宋体" w:hAnsi="宋体" w:cs="宋体" w:eastAsia="宋体" w:hint="default"/>
                <w:sz w:val="18"/>
                <w:szCs w:val="18"/>
              </w:rPr>
            </w:pPr>
            <w:r>
              <w:rPr>
                <w:rFonts w:ascii="宋体" w:hAnsi="宋体" w:cs="宋体" w:eastAsia="宋体" w:hint="default"/>
                <w:sz w:val="18"/>
                <w:szCs w:val="18"/>
              </w:rPr>
              <w:t>智慧安全系统解决方案</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263,608,404.40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129,175,045.88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center"/>
              <w:rPr>
                <w:rFonts w:ascii="Times New Roman" w:hAnsi="Times New Roman" w:cs="Times New Roman" w:eastAsia="Times New Roman" w:hint="default"/>
                <w:sz w:val="18"/>
                <w:szCs w:val="18"/>
              </w:rPr>
            </w:pPr>
            <w:r>
              <w:rPr>
                <w:rFonts w:ascii="Times New Roman"/>
                <w:sz w:val="18"/>
              </w:rPr>
              <w:t>51.00%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32.35%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28.54%</w:t>
            </w:r>
          </w:p>
        </w:tc>
        <w:tc>
          <w:tcPr>
            <w:tcW w:w="110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1.46%</w:t>
            </w:r>
          </w:p>
        </w:tc>
      </w:tr>
      <w:tr>
        <w:trPr>
          <w:trHeight w:val="402" w:hRule="exact"/>
        </w:trPr>
        <w:tc>
          <w:tcPr>
            <w:tcW w:w="9572" w:type="dxa"/>
            <w:gridSpan w:val="7"/>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12" w:hRule="exact"/>
        </w:trPr>
        <w:tc>
          <w:tcPr>
            <w:tcW w:w="2510"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4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1,390,026,577.63</w:t>
            </w:r>
          </w:p>
        </w:tc>
        <w:tc>
          <w:tcPr>
            <w:tcW w:w="12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875,223,639.41</w:t>
            </w:r>
          </w:p>
        </w:tc>
        <w:tc>
          <w:tcPr>
            <w:tcW w:w="7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left="98" w:right="0"/>
              <w:jc w:val="center"/>
              <w:rPr>
                <w:rFonts w:ascii="Times New Roman" w:hAnsi="Times New Roman" w:cs="Times New Roman" w:eastAsia="Times New Roman" w:hint="default"/>
                <w:sz w:val="18"/>
                <w:szCs w:val="18"/>
              </w:rPr>
            </w:pPr>
            <w:r>
              <w:rPr>
                <w:rFonts w:ascii="Times New Roman"/>
                <w:sz w:val="18"/>
              </w:rPr>
              <w:t>37.04%</w:t>
            </w:r>
          </w:p>
        </w:tc>
        <w:tc>
          <w:tcPr>
            <w:tcW w:w="12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30.14%</w:t>
            </w:r>
          </w:p>
        </w:tc>
        <w:tc>
          <w:tcPr>
            <w:tcW w:w="12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33.45%</w:t>
            </w:r>
          </w:p>
        </w:tc>
        <w:tc>
          <w:tcPr>
            <w:tcW w:w="110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-1.56%</w:t>
            </w:r>
          </w:p>
        </w:tc>
      </w:tr>
    </w:tbl>
    <w:p>
      <w:pPr>
        <w:spacing w:before="51"/>
        <w:ind w:left="1134" w:right="0" w:firstLine="0"/>
        <w:jc w:val="both"/>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年按报告期末口径调整后的主营业务数据</w:t>
      </w:r>
    </w:p>
    <w:p>
      <w:pPr>
        <w:spacing w:before="102"/>
        <w:ind w:left="113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690" w:lineRule="exact" w:before="30"/>
        <w:ind w:left="1553" w:right="0" w:hanging="420"/>
        <w:jc w:val="left"/>
        <w:rPr>
          <w:rFonts w:ascii="宋体" w:hAnsi="宋体" w:cs="宋体" w:eastAsia="宋体" w:hint="default"/>
          <w:sz w:val="21"/>
          <w:szCs w:val="21"/>
        </w:rPr>
      </w:pPr>
      <w:bookmarkStart w:name="（3） 营业收入构成情况的补充说明" w:id="30"/>
      <w:bookmarkEnd w:id="3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营业收入构成情况的补充说明</w:t>
      </w:r>
      <w:r>
        <w:rPr>
          <w:rFonts w:ascii="宋体" w:hAnsi="宋体" w:cs="宋体" w:eastAsia="宋体" w:hint="default"/>
          <w:b/>
          <w:bCs/>
          <w:w w:val="99"/>
          <w:sz w:val="21"/>
          <w:szCs w:val="21"/>
        </w:rPr>
        <w:t> </w:t>
      </w:r>
      <w:r>
        <w:rPr>
          <w:rFonts w:ascii="宋体" w:hAnsi="宋体" w:cs="宋体" w:eastAsia="宋体" w:hint="default"/>
          <w:spacing w:val="-1"/>
          <w:sz w:val="21"/>
          <w:szCs w:val="21"/>
        </w:rPr>
        <w:t>报告期内，为便于投资者更清晰理解公司产品大类及业务形态，并保持财务数据的可比性，公司对上</w:t>
      </w:r>
    </w:p>
    <w:p>
      <w:pPr>
        <w:pStyle w:val="BodyText"/>
        <w:spacing w:line="408" w:lineRule="auto" w:before="85"/>
        <w:ind w:right="1129"/>
        <w:jc w:val="both"/>
      </w:pPr>
      <w:r>
        <w:rPr>
          <w:spacing w:val="3"/>
        </w:rPr>
        <w:t>述营业收入构成情况的上年同期“分产品”中原“智慧城市综合解决方案”更名为“物联网综合解决方</w:t>
      </w:r>
      <w:r>
        <w:rPr>
          <w:spacing w:val="-74"/>
        </w:rPr>
        <w:t> </w:t>
      </w:r>
      <w:r>
        <w:rPr>
          <w:spacing w:val="-74"/>
        </w:rPr>
      </w:r>
      <w:r>
        <w:rPr>
          <w:spacing w:val="-1"/>
        </w:rPr>
        <w:t>案”；其中“工业安全监测解决方案”调整进入本期“物联网综合解决方案”产品类别中，并更名为“智</w:t>
      </w:r>
      <w:r>
        <w:rPr>
          <w:spacing w:val="-83"/>
        </w:rPr>
        <w:t> </w:t>
      </w:r>
      <w:r>
        <w:rPr>
          <w:spacing w:val="-83"/>
        </w:rPr>
      </w:r>
      <w:r>
        <w:rPr/>
        <w:t>慧安全系统解决方案”，财务数据统计口径不发生变化。</w:t>
      </w:r>
    </w:p>
    <w:p>
      <w:pPr>
        <w:spacing w:after="0" w:line="408" w:lineRule="auto"/>
        <w:jc w:val="both"/>
        <w:sectPr>
          <w:type w:val="continuous"/>
          <w:pgSz w:w="11910" w:h="16840"/>
          <w:pgMar w:top="1060" w:bottom="1160" w:left="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4）公司实物销售收入是否大于劳务收入" w:id="31"/>
      <w:bookmarkEnd w:id="31"/>
      <w:r>
        <w:rPr>
          <w:b w:val="0"/>
          <w:bCs w:val="0"/>
        </w:rPr>
      </w:r>
      <w:r>
        <w:rPr/>
        <w:t>（</w:t>
      </w:r>
      <w:r>
        <w:rPr>
          <w:rFonts w:ascii="Times New Roman" w:hAnsi="Times New Roman" w:cs="Times New Roman" w:eastAsia="Times New Roman" w:hint="default"/>
        </w:rPr>
        <w:t>4</w:t>
      </w:r>
      <w:r>
        <w:rPr/>
        <w:t>）公司实物销售收入是否大于劳务收入</w:t>
      </w:r>
      <w:r>
        <w:rPr>
          <w:b w:val="0"/>
          <w:bCs w:val="0"/>
        </w:rPr>
      </w:r>
    </w:p>
    <w:p>
      <w:pPr>
        <w:spacing w:line="240" w:lineRule="auto" w:before="8"/>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5）公司已签订的重大销售合同截至本报告期的履行情况" w:id="32"/>
      <w:bookmarkEnd w:id="32"/>
      <w:r>
        <w:rPr>
          <w:b w:val="0"/>
          <w:bCs w:val="0"/>
        </w:rPr>
      </w:r>
      <w:r>
        <w:rPr/>
        <w:t>（</w:t>
      </w:r>
      <w:r>
        <w:rPr>
          <w:rFonts w:ascii="Times New Roman" w:hAnsi="Times New Roman" w:cs="Times New Roman" w:eastAsia="Times New Roman" w:hint="default"/>
        </w:rPr>
        <w:t>5</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6）营业成本构成" w:id="33"/>
      <w:bookmarkEnd w:id="33"/>
      <w:r>
        <w:rPr>
          <w:b w:val="0"/>
          <w:bCs w:val="0"/>
        </w:rPr>
      </w:r>
      <w:r>
        <w:rPr/>
        <w:t>（</w:t>
      </w:r>
      <w:r>
        <w:rPr>
          <w:rFonts w:ascii="Times New Roman" w:hAnsi="Times New Roman" w:cs="Times New Roman" w:eastAsia="Times New Roman" w:hint="default"/>
        </w:rPr>
        <w:t>6</w:t>
      </w:r>
      <w:r>
        <w:rPr/>
        <w:t>）营业成本构成</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spacing w:line="360" w:lineRule="auto" w:before="44"/>
        <w:ind w:left="1134" w:right="-20" w:firstLine="0"/>
        <w:jc w:val="left"/>
        <w:rPr>
          <w:rFonts w:ascii="宋体" w:hAnsi="宋体" w:cs="宋体" w:eastAsia="宋体" w:hint="default"/>
          <w:sz w:val="18"/>
          <w:szCs w:val="18"/>
        </w:rPr>
      </w:pPr>
      <w:r>
        <w:rPr>
          <w:rFonts w:ascii="宋体" w:hAnsi="宋体" w:cs="宋体" w:eastAsia="宋体" w:hint="default"/>
          <w:sz w:val="18"/>
          <w:szCs w:val="18"/>
        </w:rPr>
        <w:t>行业分类 行业分类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1060" w:bottom="1160" w:left="0" w:right="0"/>
          <w:cols w:num="2" w:equalWidth="0">
            <w:col w:w="1855" w:space="7065"/>
            <w:col w:w="2990"/>
          </w:cols>
        </w:sectPr>
      </w:pPr>
    </w:p>
    <w:p>
      <w:pPr>
        <w:spacing w:line="240" w:lineRule="auto" w:before="13"/>
        <w:rPr>
          <w:rFonts w:ascii="宋体" w:hAnsi="宋体" w:cs="宋体" w:eastAsia="宋体" w:hint="default"/>
          <w:sz w:val="7"/>
          <w:szCs w:val="7"/>
        </w:rPr>
      </w:pPr>
    </w:p>
    <w:tbl>
      <w:tblPr>
        <w:tblW w:w="0" w:type="auto"/>
        <w:jc w:val="left"/>
        <w:tblInd w:w="1118" w:type="dxa"/>
        <w:tblLayout w:type="fixed"/>
        <w:tblCellMar>
          <w:top w:w="0" w:type="dxa"/>
          <w:left w:w="0" w:type="dxa"/>
          <w:bottom w:w="0" w:type="dxa"/>
          <w:right w:w="0" w:type="dxa"/>
        </w:tblCellMar>
        <w:tblLook w:val="01E0"/>
      </w:tblPr>
      <w:tblGrid>
        <w:gridCol w:w="1370"/>
        <w:gridCol w:w="1367"/>
        <w:gridCol w:w="1367"/>
        <w:gridCol w:w="1367"/>
        <w:gridCol w:w="1368"/>
        <w:gridCol w:w="1367"/>
        <w:gridCol w:w="1366"/>
      </w:tblGrid>
      <w:tr>
        <w:trPr>
          <w:trHeight w:val="412" w:hRule="exact"/>
        </w:trPr>
        <w:tc>
          <w:tcPr>
            <w:tcW w:w="1370" w:type="dxa"/>
            <w:vMerge w:val="restart"/>
            <w:tcBorders>
              <w:top w:val="single" w:sz="12" w:space="0" w:color="000000"/>
              <w:left w:val="single" w:sz="12"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6" w:type="dxa"/>
            <w:vMerge w:val="restart"/>
            <w:tcBorders>
              <w:top w:val="single" w:sz="12" w:space="0" w:color="000000"/>
              <w:left w:val="single" w:sz="4" w:space="0" w:color="000000"/>
              <w:right w:val="single" w:sz="12"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12"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6" w:type="dxa"/>
            <w:vMerge/>
            <w:tcBorders>
              <w:left w:val="single" w:sz="4" w:space="0" w:color="000000"/>
              <w:bottom w:val="single" w:sz="4" w:space="0" w:color="000000"/>
              <w:right w:val="single" w:sz="12" w:space="0" w:color="000000"/>
            </w:tcBorders>
            <w:shd w:val="clear" w:color="auto" w:fill="D2D2D2"/>
          </w:tcPr>
          <w:p>
            <w:pPr/>
          </w:p>
        </w:tc>
      </w:tr>
      <w:tr>
        <w:trPr>
          <w:trHeight w:val="402" w:hRule="exact"/>
        </w:trPr>
        <w:tc>
          <w:tcPr>
            <w:tcW w:w="137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物联网行业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472,533,341.96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346,711,881.30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36.29%</w:t>
            </w:r>
          </w:p>
        </w:tc>
      </w:tr>
      <w:tr>
        <w:trPr>
          <w:trHeight w:val="402" w:hRule="exact"/>
        </w:trPr>
        <w:tc>
          <w:tcPr>
            <w:tcW w:w="137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物联网行业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109,698,987.13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124,345,736.86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18.29%</w:t>
            </w:r>
          </w:p>
        </w:tc>
        <w:tc>
          <w:tcPr>
            <w:tcW w:w="136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2"/>
                <w:sz w:val="18"/>
              </w:rPr>
              <w:t>-11.78%</w:t>
            </w:r>
          </w:p>
        </w:tc>
      </w:tr>
      <w:tr>
        <w:trPr>
          <w:trHeight w:val="412" w:hRule="exact"/>
        </w:trPr>
        <w:tc>
          <w:tcPr>
            <w:tcW w:w="1370"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物联网行业</w:t>
            </w:r>
          </w:p>
        </w:tc>
        <w:tc>
          <w:tcPr>
            <w:tcW w:w="136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劳务成本</w:t>
            </w:r>
          </w:p>
        </w:tc>
        <w:tc>
          <w:tcPr>
            <w:tcW w:w="136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322,970,046.85</w:t>
            </w:r>
          </w:p>
        </w:tc>
        <w:tc>
          <w:tcPr>
            <w:tcW w:w="136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35.68%</w:t>
            </w:r>
          </w:p>
        </w:tc>
        <w:tc>
          <w:tcPr>
            <w:tcW w:w="13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208,790,655.55</w:t>
            </w:r>
          </w:p>
        </w:tc>
        <w:tc>
          <w:tcPr>
            <w:tcW w:w="136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30.71%</w:t>
            </w:r>
          </w:p>
        </w:tc>
        <w:tc>
          <w:tcPr>
            <w:tcW w:w="136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54.69%</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240" w:lineRule="auto" w:before="11"/>
        <w:rPr>
          <w:rFonts w:ascii="宋体" w:hAnsi="宋体" w:cs="宋体" w:eastAsia="宋体" w:hint="default"/>
          <w:sz w:val="26"/>
          <w:szCs w:val="26"/>
        </w:rPr>
      </w:pPr>
    </w:p>
    <w:p>
      <w:pPr>
        <w:pStyle w:val="Heading4"/>
        <w:spacing w:line="240" w:lineRule="auto"/>
        <w:ind w:left="1134" w:right="0"/>
        <w:jc w:val="left"/>
        <w:rPr>
          <w:b w:val="0"/>
          <w:bCs w:val="0"/>
        </w:rPr>
      </w:pPr>
      <w:bookmarkStart w:name="（7）报告期内合并范围是否发生变动" w:id="34"/>
      <w:bookmarkEnd w:id="34"/>
      <w:r>
        <w:rPr>
          <w:b w:val="0"/>
          <w:bCs w:val="0"/>
        </w:rPr>
      </w:r>
      <w:r>
        <w:rPr/>
        <w:t>（</w:t>
      </w:r>
      <w:r>
        <w:rPr>
          <w:rFonts w:ascii="Times New Roman" w:hAnsi="Times New Roman" w:cs="Times New Roman" w:eastAsia="Times New Roman" w:hint="default"/>
        </w:rPr>
        <w:t>7</w:t>
      </w:r>
      <w:r>
        <w:rPr/>
        <w:t>）报告期内合并范围是否发生变动</w:t>
      </w:r>
      <w:r>
        <w:rPr>
          <w:b w:val="0"/>
          <w:bCs w:val="0"/>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8）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8</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9）主要销售客户和主要供应商情况" w:id="36"/>
      <w:bookmarkEnd w:id="36"/>
      <w:r>
        <w:rPr>
          <w:b w:val="0"/>
          <w:bCs w:val="0"/>
        </w:rPr>
      </w:r>
      <w:r>
        <w:rPr/>
        <w:t>（</w:t>
      </w:r>
      <w:r>
        <w:rPr>
          <w:rFonts w:ascii="Times New Roman" w:hAnsi="Times New Roman" w:cs="Times New Roman" w:eastAsia="Times New Roman" w:hint="default"/>
        </w:rPr>
        <w:t>9</w:t>
      </w:r>
      <w:r>
        <w:rPr/>
        <w:t>）主要销售客户和主要供应商情况</w:t>
      </w:r>
      <w:r>
        <w:rPr>
          <w:b w:val="0"/>
          <w:bCs w:val="0"/>
        </w:rPr>
      </w:r>
    </w:p>
    <w:p>
      <w:pPr>
        <w:spacing w:line="240" w:lineRule="auto" w:before="8"/>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1"/>
        <w:rPr>
          <w:rFonts w:ascii="宋体" w:hAnsi="宋体" w:cs="宋体" w:eastAsia="宋体" w:hint="default"/>
          <w:sz w:val="8"/>
          <w:szCs w:val="8"/>
        </w:rPr>
      </w:pPr>
    </w:p>
    <w:tbl>
      <w:tblPr>
        <w:tblW w:w="0" w:type="auto"/>
        <w:jc w:val="left"/>
        <w:tblInd w:w="1118" w:type="dxa"/>
        <w:tblLayout w:type="fixed"/>
        <w:tblCellMar>
          <w:top w:w="0" w:type="dxa"/>
          <w:left w:w="0" w:type="dxa"/>
          <w:bottom w:w="0" w:type="dxa"/>
          <w:right w:w="0" w:type="dxa"/>
        </w:tblCellMar>
        <w:tblLook w:val="01E0"/>
      </w:tblPr>
      <w:tblGrid>
        <w:gridCol w:w="4679"/>
        <w:gridCol w:w="4890"/>
      </w:tblGrid>
      <w:tr>
        <w:trPr>
          <w:trHeight w:val="412" w:hRule="exact"/>
        </w:trPr>
        <w:tc>
          <w:tcPr>
            <w:tcW w:w="4679"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4890"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118,082,338.78</w:t>
            </w:r>
          </w:p>
        </w:tc>
      </w:tr>
      <w:tr>
        <w:trPr>
          <w:trHeight w:val="402" w:hRule="exact"/>
        </w:trPr>
        <w:tc>
          <w:tcPr>
            <w:tcW w:w="467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489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8.18%</w:t>
            </w:r>
          </w:p>
        </w:tc>
      </w:tr>
      <w:tr>
        <w:trPr>
          <w:trHeight w:val="412" w:hRule="exact"/>
        </w:trPr>
        <w:tc>
          <w:tcPr>
            <w:tcW w:w="4679"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489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0"/>
        <w:rPr>
          <w:rFonts w:ascii="宋体" w:hAnsi="宋体" w:cs="宋体" w:eastAsia="宋体" w:hint="default"/>
          <w:sz w:val="7"/>
          <w:szCs w:val="7"/>
        </w:rPr>
      </w:pPr>
    </w:p>
    <w:tbl>
      <w:tblPr>
        <w:tblW w:w="0" w:type="auto"/>
        <w:jc w:val="left"/>
        <w:tblInd w:w="1118" w:type="dxa"/>
        <w:tblLayout w:type="fixed"/>
        <w:tblCellMar>
          <w:top w:w="0" w:type="dxa"/>
          <w:left w:w="0" w:type="dxa"/>
          <w:bottom w:w="0" w:type="dxa"/>
          <w:right w:w="0" w:type="dxa"/>
        </w:tblCellMar>
        <w:tblLook w:val="01E0"/>
      </w:tblPr>
      <w:tblGrid>
        <w:gridCol w:w="791"/>
        <w:gridCol w:w="3313"/>
        <w:gridCol w:w="2322"/>
        <w:gridCol w:w="3143"/>
      </w:tblGrid>
      <w:tr>
        <w:trPr>
          <w:trHeight w:val="412" w:hRule="exact"/>
        </w:trPr>
        <w:tc>
          <w:tcPr>
            <w:tcW w:w="791"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32,028,534.51</w:t>
            </w:r>
          </w:p>
        </w:tc>
        <w:tc>
          <w:tcPr>
            <w:tcW w:w="314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2.22%</w:t>
            </w:r>
          </w:p>
        </w:tc>
      </w:tr>
      <w:tr>
        <w:trPr>
          <w:trHeight w:val="402" w:hRule="exact"/>
        </w:trPr>
        <w:tc>
          <w:tcPr>
            <w:tcW w:w="79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25,656,488.85</w:t>
            </w:r>
          </w:p>
        </w:tc>
        <w:tc>
          <w:tcPr>
            <w:tcW w:w="314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1.78%</w:t>
            </w:r>
          </w:p>
        </w:tc>
      </w:tr>
      <w:tr>
        <w:trPr>
          <w:trHeight w:val="402" w:hRule="exact"/>
        </w:trPr>
        <w:tc>
          <w:tcPr>
            <w:tcW w:w="79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22,703,800.29</w:t>
            </w:r>
          </w:p>
        </w:tc>
        <w:tc>
          <w:tcPr>
            <w:tcW w:w="314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1.57%</w:t>
            </w:r>
          </w:p>
        </w:tc>
      </w:tr>
      <w:tr>
        <w:trPr>
          <w:trHeight w:val="412" w:hRule="exact"/>
        </w:trPr>
        <w:tc>
          <w:tcPr>
            <w:tcW w:w="791"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12"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18,932,831.37</w:t>
            </w:r>
          </w:p>
        </w:tc>
        <w:tc>
          <w:tcPr>
            <w:tcW w:w="314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1.31%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18" w:type="dxa"/>
        <w:tblLayout w:type="fixed"/>
        <w:tblCellMar>
          <w:top w:w="0" w:type="dxa"/>
          <w:left w:w="0" w:type="dxa"/>
          <w:bottom w:w="0" w:type="dxa"/>
          <w:right w:w="0" w:type="dxa"/>
        </w:tblCellMar>
        <w:tblLook w:val="01E0"/>
      </w:tblPr>
      <w:tblGrid>
        <w:gridCol w:w="791"/>
        <w:gridCol w:w="3313"/>
        <w:gridCol w:w="2322"/>
        <w:gridCol w:w="3143"/>
      </w:tblGrid>
      <w:tr>
        <w:trPr>
          <w:trHeight w:val="412" w:hRule="exact"/>
        </w:trPr>
        <w:tc>
          <w:tcPr>
            <w:tcW w:w="791"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12"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18,760,683.76</w:t>
            </w:r>
          </w:p>
        </w:tc>
        <w:tc>
          <w:tcPr>
            <w:tcW w:w="3143"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1.30%</w:t>
            </w:r>
          </w:p>
        </w:tc>
      </w:tr>
      <w:tr>
        <w:trPr>
          <w:trHeight w:val="412" w:hRule="exact"/>
        </w:trPr>
        <w:tc>
          <w:tcPr>
            <w:tcW w:w="791"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118,082,338.78</w:t>
            </w:r>
          </w:p>
        </w:tc>
        <w:tc>
          <w:tcPr>
            <w:tcW w:w="314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8.18%</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40" w:lineRule="auto" w:before="116"/>
        <w:ind w:left="1133" w:right="9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公司主要供应商情况</w:t>
      </w:r>
    </w:p>
    <w:p>
      <w:pPr>
        <w:spacing w:line="240" w:lineRule="auto" w:before="3"/>
        <w:rPr>
          <w:rFonts w:ascii="宋体" w:hAnsi="宋体" w:cs="宋体" w:eastAsia="宋体" w:hint="default"/>
          <w:sz w:val="2"/>
          <w:szCs w:val="2"/>
        </w:rPr>
      </w:pPr>
    </w:p>
    <w:tbl>
      <w:tblPr>
        <w:tblW w:w="0" w:type="auto"/>
        <w:jc w:val="left"/>
        <w:tblInd w:w="1118" w:type="dxa"/>
        <w:tblLayout w:type="fixed"/>
        <w:tblCellMar>
          <w:top w:w="0" w:type="dxa"/>
          <w:left w:w="0" w:type="dxa"/>
          <w:bottom w:w="0" w:type="dxa"/>
          <w:right w:w="0" w:type="dxa"/>
        </w:tblCellMar>
        <w:tblLook w:val="01E0"/>
      </w:tblPr>
      <w:tblGrid>
        <w:gridCol w:w="4679"/>
        <w:gridCol w:w="4890"/>
      </w:tblGrid>
      <w:tr>
        <w:trPr>
          <w:trHeight w:val="412" w:hRule="exact"/>
        </w:trPr>
        <w:tc>
          <w:tcPr>
            <w:tcW w:w="4679"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4890"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187,588,206.99</w:t>
            </w:r>
          </w:p>
        </w:tc>
      </w:tr>
      <w:tr>
        <w:trPr>
          <w:trHeight w:val="402" w:hRule="exact"/>
        </w:trPr>
        <w:tc>
          <w:tcPr>
            <w:tcW w:w="467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489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15.90%</w:t>
            </w:r>
          </w:p>
        </w:tc>
      </w:tr>
      <w:tr>
        <w:trPr>
          <w:trHeight w:val="412" w:hRule="exact"/>
        </w:trPr>
        <w:tc>
          <w:tcPr>
            <w:tcW w:w="4679"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前五名供应商采购额中关联方采购额占年度采购总额比例</w:t>
            </w:r>
          </w:p>
        </w:tc>
        <w:tc>
          <w:tcPr>
            <w:tcW w:w="489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2.88%</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12"/>
        <w:rPr>
          <w:rFonts w:ascii="宋体" w:hAnsi="宋体" w:cs="宋体" w:eastAsia="宋体" w:hint="default"/>
          <w:sz w:val="6"/>
          <w:szCs w:val="6"/>
        </w:rPr>
      </w:pPr>
    </w:p>
    <w:tbl>
      <w:tblPr>
        <w:tblW w:w="0" w:type="auto"/>
        <w:jc w:val="left"/>
        <w:tblInd w:w="1125" w:type="dxa"/>
        <w:tblLayout w:type="fixed"/>
        <w:tblCellMar>
          <w:top w:w="0" w:type="dxa"/>
          <w:left w:w="0" w:type="dxa"/>
          <w:bottom w:w="0" w:type="dxa"/>
          <w:right w:w="0" w:type="dxa"/>
        </w:tblCellMar>
        <w:tblLook w:val="01E0"/>
      </w:tblPr>
      <w:tblGrid>
        <w:gridCol w:w="918"/>
        <w:gridCol w:w="3180"/>
        <w:gridCol w:w="2322"/>
        <w:gridCol w:w="3143"/>
      </w:tblGrid>
      <w:tr>
        <w:trPr>
          <w:trHeight w:val="412" w:hRule="exact"/>
        </w:trPr>
        <w:tc>
          <w:tcPr>
            <w:tcW w:w="91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26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91"/>
              <w:ind w:right="5"/>
              <w:jc w:val="center"/>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82,962,180.13</w:t>
            </w:r>
          </w:p>
        </w:tc>
        <w:tc>
          <w:tcPr>
            <w:tcW w:w="314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7.03%</w:t>
            </w:r>
          </w:p>
        </w:tc>
      </w:tr>
      <w:tr>
        <w:trPr>
          <w:trHeight w:val="402" w:hRule="exact"/>
        </w:trPr>
        <w:tc>
          <w:tcPr>
            <w:tcW w:w="9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91"/>
              <w:ind w:right="5"/>
              <w:jc w:val="center"/>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33,933,267.00</w:t>
            </w:r>
          </w:p>
        </w:tc>
        <w:tc>
          <w:tcPr>
            <w:tcW w:w="314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2.88%</w:t>
            </w:r>
          </w:p>
        </w:tc>
      </w:tr>
      <w:tr>
        <w:trPr>
          <w:trHeight w:val="402" w:hRule="exact"/>
        </w:trPr>
        <w:tc>
          <w:tcPr>
            <w:tcW w:w="9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91"/>
              <w:ind w:right="5"/>
              <w:jc w:val="center"/>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32,499,336.12</w:t>
            </w:r>
          </w:p>
        </w:tc>
        <w:tc>
          <w:tcPr>
            <w:tcW w:w="314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2.75%</w:t>
            </w:r>
          </w:p>
        </w:tc>
      </w:tr>
      <w:tr>
        <w:trPr>
          <w:trHeight w:val="402" w:hRule="exact"/>
        </w:trPr>
        <w:tc>
          <w:tcPr>
            <w:tcW w:w="9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91"/>
              <w:ind w:right="5"/>
              <w:jc w:val="center"/>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24,235,294.12</w:t>
            </w:r>
          </w:p>
        </w:tc>
        <w:tc>
          <w:tcPr>
            <w:tcW w:w="314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2.05%</w:t>
            </w:r>
          </w:p>
        </w:tc>
      </w:tr>
      <w:tr>
        <w:trPr>
          <w:trHeight w:val="402" w:hRule="exact"/>
        </w:trPr>
        <w:tc>
          <w:tcPr>
            <w:tcW w:w="9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91"/>
              <w:ind w:right="5"/>
              <w:jc w:val="center"/>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13,958,129.62</w:t>
            </w:r>
          </w:p>
        </w:tc>
        <w:tc>
          <w:tcPr>
            <w:tcW w:w="314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1.18%</w:t>
            </w:r>
          </w:p>
        </w:tc>
      </w:tr>
      <w:tr>
        <w:trPr>
          <w:trHeight w:val="412" w:hRule="exact"/>
        </w:trPr>
        <w:tc>
          <w:tcPr>
            <w:tcW w:w="91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12"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187,588,206.99</w:t>
            </w:r>
          </w:p>
        </w:tc>
        <w:tc>
          <w:tcPr>
            <w:tcW w:w="314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15.90%</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before="117"/>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18" w:type="dxa"/>
        <w:tblLayout w:type="fixed"/>
        <w:tblCellMar>
          <w:top w:w="0" w:type="dxa"/>
          <w:left w:w="0" w:type="dxa"/>
          <w:bottom w:w="0" w:type="dxa"/>
          <w:right w:w="0" w:type="dxa"/>
        </w:tblCellMar>
        <w:tblLook w:val="01E0"/>
      </w:tblPr>
      <w:tblGrid>
        <w:gridCol w:w="1124"/>
        <w:gridCol w:w="1571"/>
        <w:gridCol w:w="1418"/>
        <w:gridCol w:w="1134"/>
        <w:gridCol w:w="4322"/>
      </w:tblGrid>
      <w:tr>
        <w:trPr>
          <w:trHeight w:val="412" w:hRule="exact"/>
        </w:trPr>
        <w:tc>
          <w:tcPr>
            <w:tcW w:w="1124" w:type="dxa"/>
            <w:tcBorders>
              <w:top w:val="single" w:sz="12" w:space="0" w:color="000000"/>
              <w:left w:val="single" w:sz="12" w:space="0" w:color="000000"/>
              <w:bottom w:val="single" w:sz="4" w:space="0" w:color="000000"/>
              <w:right w:val="single" w:sz="4" w:space="0" w:color="000000"/>
            </w:tcBorders>
            <w:shd w:val="clear" w:color="auto" w:fill="D2D2D2"/>
          </w:tcPr>
          <w:p>
            <w:pPr/>
          </w:p>
        </w:tc>
        <w:tc>
          <w:tcPr>
            <w:tcW w:w="157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3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4322"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12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101,328,998.76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75,612,769.61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34.01%</w:t>
            </w:r>
          </w:p>
        </w:tc>
        <w:tc>
          <w:tcPr>
            <w:tcW w:w="432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主要系人员工资、差旅费等随业务规模扩大增加所致。</w:t>
            </w:r>
          </w:p>
        </w:tc>
      </w:tr>
      <w:tr>
        <w:trPr>
          <w:trHeight w:val="402" w:hRule="exact"/>
        </w:trPr>
        <w:tc>
          <w:tcPr>
            <w:tcW w:w="112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239,466,692.72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199,416,557.25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20.08%</w:t>
            </w:r>
          </w:p>
        </w:tc>
        <w:tc>
          <w:tcPr>
            <w:tcW w:w="4322" w:type="dxa"/>
            <w:tcBorders>
              <w:top w:val="single" w:sz="4" w:space="0" w:color="000000"/>
              <w:left w:val="single" w:sz="4" w:space="0" w:color="000000"/>
              <w:bottom w:val="single" w:sz="4" w:space="0" w:color="000000"/>
              <w:right w:val="single" w:sz="12" w:space="0" w:color="000000"/>
            </w:tcBorders>
          </w:tcPr>
          <w:p>
            <w:pPr/>
          </w:p>
        </w:tc>
      </w:tr>
      <w:tr>
        <w:trPr>
          <w:trHeight w:val="412" w:hRule="exact"/>
        </w:trPr>
        <w:tc>
          <w:tcPr>
            <w:tcW w:w="1124"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571" w:type="dxa"/>
            <w:tcBorders>
              <w:top w:val="single" w:sz="4" w:space="0" w:color="000000"/>
              <w:left w:val="single" w:sz="13" w:space="0" w:color="D2D2D2"/>
              <w:bottom w:val="single" w:sz="12"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44,761,483.87</w:t>
            </w:r>
          </w:p>
        </w:tc>
        <w:tc>
          <w:tcPr>
            <w:tcW w:w="14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34,069,918.27</w:t>
            </w:r>
          </w:p>
        </w:tc>
        <w:tc>
          <w:tcPr>
            <w:tcW w:w="11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31.38%</w:t>
            </w:r>
          </w:p>
        </w:tc>
        <w:tc>
          <w:tcPr>
            <w:tcW w:w="432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主要系公司借款规模扩大所致。</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113" w:type="dxa"/>
        <w:tblLayout w:type="fixed"/>
        <w:tblCellMar>
          <w:top w:w="0" w:type="dxa"/>
          <w:left w:w="0" w:type="dxa"/>
          <w:bottom w:w="0" w:type="dxa"/>
          <w:right w:w="0" w:type="dxa"/>
        </w:tblCellMar>
        <w:tblLook w:val="01E0"/>
      </w:tblPr>
      <w:tblGrid>
        <w:gridCol w:w="459"/>
        <w:gridCol w:w="3470"/>
        <w:gridCol w:w="992"/>
        <w:gridCol w:w="2127"/>
        <w:gridCol w:w="2591"/>
      </w:tblGrid>
      <w:tr>
        <w:trPr>
          <w:trHeight w:val="352" w:hRule="exact"/>
        </w:trPr>
        <w:tc>
          <w:tcPr>
            <w:tcW w:w="459" w:type="dxa"/>
            <w:tcBorders>
              <w:top w:val="single" w:sz="12" w:space="0" w:color="000000"/>
              <w:left w:val="single" w:sz="12" w:space="0" w:color="000000"/>
              <w:bottom w:val="single" w:sz="4" w:space="0" w:color="000000"/>
              <w:right w:val="single" w:sz="4" w:space="0" w:color="000000"/>
            </w:tcBorders>
            <w:shd w:val="clear" w:color="auto" w:fill="BEBEBE"/>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470" w:type="dxa"/>
            <w:tcBorders>
              <w:top w:val="single" w:sz="12"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992" w:type="dxa"/>
            <w:tcBorders>
              <w:top w:val="single" w:sz="12"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进展情况</w:t>
            </w:r>
          </w:p>
        </w:tc>
        <w:tc>
          <w:tcPr>
            <w:tcW w:w="2127" w:type="dxa"/>
            <w:tcBorders>
              <w:top w:val="single" w:sz="12"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20"/>
              <w:ind w:left="517" w:right="0"/>
              <w:jc w:val="left"/>
              <w:rPr>
                <w:rFonts w:ascii="宋体" w:hAnsi="宋体" w:cs="宋体" w:eastAsia="宋体" w:hint="default"/>
                <w:sz w:val="18"/>
                <w:szCs w:val="18"/>
              </w:rPr>
            </w:pPr>
            <w:r>
              <w:rPr>
                <w:rFonts w:ascii="宋体" w:hAnsi="宋体" w:cs="宋体" w:eastAsia="宋体" w:hint="default"/>
                <w:sz w:val="18"/>
                <w:szCs w:val="18"/>
              </w:rPr>
              <w:t>拟达到的目标</w:t>
            </w:r>
          </w:p>
        </w:tc>
        <w:tc>
          <w:tcPr>
            <w:tcW w:w="2591" w:type="dxa"/>
            <w:tcBorders>
              <w:top w:val="single" w:sz="12" w:space="0" w:color="000000"/>
              <w:left w:val="single" w:sz="4" w:space="0" w:color="000000"/>
              <w:bottom w:val="single" w:sz="4" w:space="0" w:color="000000"/>
              <w:right w:val="single" w:sz="12" w:space="0" w:color="000000"/>
            </w:tcBorders>
            <w:shd w:val="clear" w:color="auto" w:fill="BEBEBE"/>
          </w:tcPr>
          <w:p>
            <w:pPr>
              <w:pStyle w:val="TableParagraph"/>
              <w:spacing w:line="240" w:lineRule="auto" w:before="20"/>
              <w:ind w:left="10" w:right="0"/>
              <w:jc w:val="center"/>
              <w:rPr>
                <w:rFonts w:ascii="宋体" w:hAnsi="宋体" w:cs="宋体" w:eastAsia="宋体" w:hint="default"/>
                <w:sz w:val="18"/>
                <w:szCs w:val="18"/>
              </w:rPr>
            </w:pPr>
            <w:r>
              <w:rPr>
                <w:rFonts w:ascii="宋体" w:hAnsi="宋体" w:cs="宋体" w:eastAsia="宋体" w:hint="default"/>
                <w:sz w:val="18"/>
                <w:szCs w:val="18"/>
              </w:rPr>
              <w:t>完成情况</w:t>
            </w:r>
          </w:p>
        </w:tc>
      </w:tr>
      <w:tr>
        <w:trPr>
          <w:trHeight w:val="343" w:hRule="exact"/>
        </w:trPr>
        <w:tc>
          <w:tcPr>
            <w:tcW w:w="4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w:t>
            </w:r>
          </w:p>
        </w:tc>
        <w:tc>
          <w:tcPr>
            <w:tcW w:w="3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基于双光程双补偿技术的红外型气体探测器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完成</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月完成样机</w:t>
            </w:r>
          </w:p>
        </w:tc>
        <w:tc>
          <w:tcPr>
            <w:tcW w:w="25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完成</w:t>
            </w:r>
          </w:p>
        </w:tc>
      </w:tr>
      <w:tr>
        <w:trPr>
          <w:trHeight w:val="342" w:hRule="exact"/>
        </w:trPr>
        <w:tc>
          <w:tcPr>
            <w:tcW w:w="4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w:t>
            </w:r>
          </w:p>
        </w:tc>
        <w:tc>
          <w:tcPr>
            <w:tcW w:w="3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健康看护灯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完成</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月可批量生产</w:t>
            </w:r>
          </w:p>
        </w:tc>
        <w:tc>
          <w:tcPr>
            <w:tcW w:w="25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完成</w:t>
            </w:r>
          </w:p>
        </w:tc>
      </w:tr>
      <w:tr>
        <w:trPr>
          <w:trHeight w:val="342" w:hRule="exact"/>
        </w:trPr>
        <w:tc>
          <w:tcPr>
            <w:tcW w:w="4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3</w:t>
            </w:r>
          </w:p>
        </w:tc>
        <w:tc>
          <w:tcPr>
            <w:tcW w:w="3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基于无线广域网的物联网传感器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完成</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月完成正式样机</w:t>
            </w:r>
          </w:p>
        </w:tc>
        <w:tc>
          <w:tcPr>
            <w:tcW w:w="25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已完成正式样机</w:t>
            </w:r>
          </w:p>
        </w:tc>
      </w:tr>
      <w:tr>
        <w:trPr>
          <w:trHeight w:val="342" w:hRule="exact"/>
        </w:trPr>
        <w:tc>
          <w:tcPr>
            <w:tcW w:w="4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4</w:t>
            </w:r>
          </w:p>
        </w:tc>
        <w:tc>
          <w:tcPr>
            <w:tcW w:w="3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EAI</w:t>
            </w:r>
            <w:r>
              <w:rPr>
                <w:rFonts w:ascii="Times New Roman"/>
                <w:spacing w:val="-1"/>
                <w:sz w:val="18"/>
              </w:rPr>
              <w:t> </w:t>
            </w:r>
            <w:r>
              <w:rPr>
                <w:rFonts w:ascii="Times New Roman"/>
                <w:sz w:val="18"/>
              </w:rPr>
              <w:t>Portal</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完成</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月可正式使用</w:t>
            </w:r>
          </w:p>
        </w:tc>
        <w:tc>
          <w:tcPr>
            <w:tcW w:w="25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完成</w:t>
            </w:r>
          </w:p>
        </w:tc>
      </w:tr>
      <w:tr>
        <w:trPr>
          <w:trHeight w:val="342" w:hRule="exact"/>
        </w:trPr>
        <w:tc>
          <w:tcPr>
            <w:tcW w:w="4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5</w:t>
            </w:r>
          </w:p>
        </w:tc>
        <w:tc>
          <w:tcPr>
            <w:tcW w:w="3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全量程</w:t>
            </w:r>
            <w:r>
              <w:rPr>
                <w:rFonts w:ascii="Times New Roman" w:hAnsi="Times New Roman" w:cs="Times New Roman" w:eastAsia="Times New Roman" w:hint="default"/>
                <w:sz w:val="18"/>
                <w:szCs w:val="18"/>
              </w:rPr>
              <w:t>-</w:t>
            </w:r>
            <w:r>
              <w:rPr>
                <w:rFonts w:ascii="宋体" w:hAnsi="宋体" w:cs="宋体" w:eastAsia="宋体" w:hint="default"/>
                <w:sz w:val="18"/>
                <w:szCs w:val="18"/>
              </w:rPr>
              <w:t>乙烷辨识仪</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完成</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月完成正式样机</w:t>
            </w:r>
          </w:p>
        </w:tc>
        <w:tc>
          <w:tcPr>
            <w:tcW w:w="25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已完成正式样机</w:t>
            </w:r>
          </w:p>
        </w:tc>
      </w:tr>
      <w:tr>
        <w:trPr>
          <w:trHeight w:val="352" w:hRule="exact"/>
        </w:trPr>
        <w:tc>
          <w:tcPr>
            <w:tcW w:w="459"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6</w:t>
            </w:r>
          </w:p>
        </w:tc>
        <w:tc>
          <w:tcPr>
            <w:tcW w:w="347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智能传感器</w:t>
            </w:r>
            <w:r>
              <w:rPr>
                <w:rFonts w:ascii="Times New Roman" w:hAnsi="Times New Roman" w:cs="Times New Roman" w:eastAsia="Times New Roman" w:hint="default"/>
                <w:sz w:val="18"/>
                <w:szCs w:val="18"/>
              </w:rPr>
              <w:t>-</w:t>
            </w:r>
            <w:r>
              <w:rPr>
                <w:rFonts w:ascii="宋体" w:hAnsi="宋体" w:cs="宋体" w:eastAsia="宋体" w:hint="default"/>
                <w:sz w:val="18"/>
                <w:szCs w:val="18"/>
              </w:rPr>
              <w:t>数字式热释电传感器</w:t>
            </w:r>
          </w:p>
        </w:tc>
        <w:tc>
          <w:tcPr>
            <w:tcW w:w="9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验证</w:t>
            </w:r>
          </w:p>
        </w:tc>
        <w:tc>
          <w:tcPr>
            <w:tcW w:w="212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月完成正式样机</w:t>
            </w:r>
          </w:p>
        </w:tc>
        <w:tc>
          <w:tcPr>
            <w:tcW w:w="259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小批量验证中</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13" w:type="dxa"/>
        <w:tblLayout w:type="fixed"/>
        <w:tblCellMar>
          <w:top w:w="0" w:type="dxa"/>
          <w:left w:w="0" w:type="dxa"/>
          <w:bottom w:w="0" w:type="dxa"/>
          <w:right w:w="0" w:type="dxa"/>
        </w:tblCellMar>
        <w:tblLook w:val="01E0"/>
      </w:tblPr>
      <w:tblGrid>
        <w:gridCol w:w="459"/>
        <w:gridCol w:w="3470"/>
        <w:gridCol w:w="992"/>
        <w:gridCol w:w="2127"/>
        <w:gridCol w:w="2591"/>
      </w:tblGrid>
      <w:tr>
        <w:trPr>
          <w:trHeight w:val="352" w:hRule="exact"/>
        </w:trPr>
        <w:tc>
          <w:tcPr>
            <w:tcW w:w="459"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7</w:t>
            </w:r>
          </w:p>
        </w:tc>
        <w:tc>
          <w:tcPr>
            <w:tcW w:w="347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应用管控一体化平台</w:t>
            </w:r>
          </w:p>
        </w:tc>
        <w:tc>
          <w:tcPr>
            <w:tcW w:w="99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验证</w:t>
            </w:r>
          </w:p>
        </w:tc>
        <w:tc>
          <w:tcPr>
            <w:tcW w:w="212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月平台可正式使用</w:t>
            </w:r>
          </w:p>
        </w:tc>
        <w:tc>
          <w:tcPr>
            <w:tcW w:w="2591"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平台基本搭建完毕，正在试运行</w:t>
            </w:r>
          </w:p>
        </w:tc>
      </w:tr>
      <w:tr>
        <w:trPr>
          <w:trHeight w:val="342" w:hRule="exact"/>
        </w:trPr>
        <w:tc>
          <w:tcPr>
            <w:tcW w:w="4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8</w:t>
            </w:r>
          </w:p>
        </w:tc>
        <w:tc>
          <w:tcPr>
            <w:tcW w:w="3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智能网关平台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设计开发</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月完成正式样机</w:t>
            </w:r>
          </w:p>
        </w:tc>
        <w:tc>
          <w:tcPr>
            <w:tcW w:w="25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设计开发进行中</w:t>
            </w:r>
          </w:p>
        </w:tc>
      </w:tr>
      <w:tr>
        <w:trPr>
          <w:trHeight w:val="654" w:hRule="exact"/>
        </w:trPr>
        <w:tc>
          <w:tcPr>
            <w:tcW w:w="4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9</w:t>
            </w:r>
          </w:p>
        </w:tc>
        <w:tc>
          <w:tcPr>
            <w:tcW w:w="34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7"/>
              <w:jc w:val="left"/>
              <w:rPr>
                <w:rFonts w:ascii="宋体" w:hAnsi="宋体" w:cs="宋体" w:eastAsia="宋体" w:hint="default"/>
                <w:sz w:val="18"/>
                <w:szCs w:val="18"/>
              </w:rPr>
            </w:pPr>
            <w:r>
              <w:rPr>
                <w:rFonts w:ascii="宋体" w:hAnsi="宋体" w:cs="宋体" w:eastAsia="宋体" w:hint="default"/>
                <w:sz w:val="18"/>
                <w:szCs w:val="18"/>
              </w:rPr>
              <w:t>基于光电集成式微纳气体传感器阵列与组网</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的大气污染监测系统研究</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设计开发</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月完成验收</w:t>
            </w:r>
          </w:p>
        </w:tc>
        <w:tc>
          <w:tcPr>
            <w:tcW w:w="25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设计开发进行中</w:t>
            </w:r>
          </w:p>
        </w:tc>
      </w:tr>
      <w:tr>
        <w:trPr>
          <w:trHeight w:val="342" w:hRule="exact"/>
        </w:trPr>
        <w:tc>
          <w:tcPr>
            <w:tcW w:w="4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10</w:t>
            </w:r>
          </w:p>
        </w:tc>
        <w:tc>
          <w:tcPr>
            <w:tcW w:w="3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工业互联网云平台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设计开发</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月可正式使用</w:t>
            </w:r>
          </w:p>
        </w:tc>
        <w:tc>
          <w:tcPr>
            <w:tcW w:w="25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设计开发进行中</w:t>
            </w:r>
          </w:p>
        </w:tc>
      </w:tr>
      <w:tr>
        <w:trPr>
          <w:trHeight w:val="342" w:hRule="exact"/>
        </w:trPr>
        <w:tc>
          <w:tcPr>
            <w:tcW w:w="4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11</w:t>
            </w:r>
          </w:p>
        </w:tc>
        <w:tc>
          <w:tcPr>
            <w:tcW w:w="3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基于物联网平台的云营收平台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设计开发</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月可正式使用</w:t>
            </w:r>
          </w:p>
        </w:tc>
        <w:tc>
          <w:tcPr>
            <w:tcW w:w="25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设计开发进行中</w:t>
            </w:r>
          </w:p>
        </w:tc>
      </w:tr>
      <w:tr>
        <w:trPr>
          <w:trHeight w:val="342" w:hRule="exact"/>
        </w:trPr>
        <w:tc>
          <w:tcPr>
            <w:tcW w:w="4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12</w:t>
            </w:r>
          </w:p>
        </w:tc>
        <w:tc>
          <w:tcPr>
            <w:tcW w:w="3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化工园区安环一体化监管平台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设计开发</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月可正式使用</w:t>
            </w:r>
          </w:p>
        </w:tc>
        <w:tc>
          <w:tcPr>
            <w:tcW w:w="25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设计开发进行中</w:t>
            </w:r>
          </w:p>
        </w:tc>
      </w:tr>
      <w:tr>
        <w:trPr>
          <w:trHeight w:val="342" w:hRule="exact"/>
        </w:trPr>
        <w:tc>
          <w:tcPr>
            <w:tcW w:w="4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13</w:t>
            </w:r>
          </w:p>
        </w:tc>
        <w:tc>
          <w:tcPr>
            <w:tcW w:w="3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荧光氧气体传感器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立项</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月可批量生产</w:t>
            </w:r>
          </w:p>
        </w:tc>
        <w:tc>
          <w:tcPr>
            <w:tcW w:w="25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已立项</w:t>
            </w:r>
          </w:p>
        </w:tc>
      </w:tr>
      <w:tr>
        <w:trPr>
          <w:trHeight w:val="342" w:hRule="exact"/>
        </w:trPr>
        <w:tc>
          <w:tcPr>
            <w:tcW w:w="4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14</w:t>
            </w:r>
          </w:p>
        </w:tc>
        <w:tc>
          <w:tcPr>
            <w:tcW w:w="3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基于物联网的高并发数据采集订阅子平台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立项</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月可正式使用</w:t>
            </w:r>
          </w:p>
        </w:tc>
        <w:tc>
          <w:tcPr>
            <w:tcW w:w="25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已立项</w:t>
            </w:r>
          </w:p>
        </w:tc>
      </w:tr>
      <w:tr>
        <w:trPr>
          <w:trHeight w:val="342" w:hRule="exact"/>
        </w:trPr>
        <w:tc>
          <w:tcPr>
            <w:tcW w:w="4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15</w:t>
            </w:r>
          </w:p>
        </w:tc>
        <w:tc>
          <w:tcPr>
            <w:tcW w:w="3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环境水质监测系统</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立项</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月完成验收</w:t>
            </w:r>
          </w:p>
        </w:tc>
        <w:tc>
          <w:tcPr>
            <w:tcW w:w="25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已立项</w:t>
            </w:r>
          </w:p>
        </w:tc>
      </w:tr>
      <w:tr>
        <w:trPr>
          <w:trHeight w:val="342" w:hRule="exact"/>
        </w:trPr>
        <w:tc>
          <w:tcPr>
            <w:tcW w:w="4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16</w:t>
            </w:r>
          </w:p>
        </w:tc>
        <w:tc>
          <w:tcPr>
            <w:tcW w:w="3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在线遥感式激光气体监测系统</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立项</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月完成验收</w:t>
            </w:r>
          </w:p>
        </w:tc>
        <w:tc>
          <w:tcPr>
            <w:tcW w:w="25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已立项</w:t>
            </w:r>
          </w:p>
        </w:tc>
      </w:tr>
      <w:tr>
        <w:trPr>
          <w:trHeight w:val="352" w:hRule="exact"/>
        </w:trPr>
        <w:tc>
          <w:tcPr>
            <w:tcW w:w="459"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17</w:t>
            </w:r>
          </w:p>
        </w:tc>
        <w:tc>
          <w:tcPr>
            <w:tcW w:w="347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综合污染防治管理平台</w:t>
            </w:r>
          </w:p>
        </w:tc>
        <w:tc>
          <w:tcPr>
            <w:tcW w:w="9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立项</w:t>
            </w:r>
          </w:p>
        </w:tc>
        <w:tc>
          <w:tcPr>
            <w:tcW w:w="212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月可正式使用</w:t>
            </w:r>
          </w:p>
        </w:tc>
        <w:tc>
          <w:tcPr>
            <w:tcW w:w="259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已立项</w:t>
            </w:r>
          </w:p>
        </w:tc>
      </w:tr>
    </w:tbl>
    <w:p>
      <w:pPr>
        <w:spacing w:line="240" w:lineRule="auto" w:before="5"/>
        <w:rPr>
          <w:rFonts w:ascii="宋体" w:hAnsi="宋体" w:cs="宋体" w:eastAsia="宋体" w:hint="default"/>
          <w:sz w:val="24"/>
          <w:szCs w:val="24"/>
        </w:rPr>
      </w:pPr>
    </w:p>
    <w:p>
      <w:pPr>
        <w:spacing w:before="44"/>
        <w:ind w:left="1134" w:right="0" w:firstLine="0"/>
        <w:jc w:val="left"/>
        <w:rPr>
          <w:rFonts w:ascii="宋体" w:hAnsi="宋体" w:cs="宋体" w:eastAsia="宋体" w:hint="default"/>
          <w:sz w:val="18"/>
          <w:szCs w:val="18"/>
        </w:rPr>
      </w:pPr>
      <w:r>
        <w:rPr>
          <w:rFonts w:ascii="宋体" w:hAnsi="宋体" w:cs="宋体" w:eastAsia="宋体" w:hint="default"/>
          <w:sz w:val="18"/>
          <w:szCs w:val="18"/>
        </w:rPr>
        <w:t>近三年公司研发投入金额及占营业收入的比例</w:t>
      </w:r>
    </w:p>
    <w:p>
      <w:pPr>
        <w:spacing w:line="240" w:lineRule="auto" w:before="13"/>
        <w:rPr>
          <w:rFonts w:ascii="宋体" w:hAnsi="宋体" w:cs="宋体" w:eastAsia="宋体" w:hint="default"/>
          <w:sz w:val="7"/>
          <w:szCs w:val="7"/>
        </w:rPr>
      </w:pPr>
    </w:p>
    <w:tbl>
      <w:tblPr>
        <w:tblW w:w="0" w:type="auto"/>
        <w:jc w:val="left"/>
        <w:tblInd w:w="1125" w:type="dxa"/>
        <w:tblLayout w:type="fixed"/>
        <w:tblCellMar>
          <w:top w:w="0" w:type="dxa"/>
          <w:left w:w="0" w:type="dxa"/>
          <w:bottom w:w="0" w:type="dxa"/>
          <w:right w:w="0" w:type="dxa"/>
        </w:tblCellMar>
        <w:tblLook w:val="01E0"/>
      </w:tblPr>
      <w:tblGrid>
        <w:gridCol w:w="2960"/>
        <w:gridCol w:w="1997"/>
        <w:gridCol w:w="2127"/>
        <w:gridCol w:w="2479"/>
      </w:tblGrid>
      <w:tr>
        <w:trPr>
          <w:trHeight w:val="412" w:hRule="exact"/>
        </w:trPr>
        <w:tc>
          <w:tcPr>
            <w:tcW w:w="2960" w:type="dxa"/>
            <w:tcBorders>
              <w:top w:val="single" w:sz="12" w:space="0" w:color="000000"/>
              <w:left w:val="single" w:sz="12" w:space="0" w:color="000000"/>
              <w:bottom w:val="single" w:sz="4" w:space="0" w:color="000000"/>
              <w:right w:val="single" w:sz="4" w:space="0" w:color="000000"/>
            </w:tcBorders>
            <w:shd w:val="clear" w:color="auto" w:fill="D2D2D2"/>
          </w:tcPr>
          <w:p>
            <w:pPr/>
          </w:p>
        </w:tc>
        <w:tc>
          <w:tcPr>
            <w:tcW w:w="1997"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27"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79"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96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520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361</w:t>
            </w:r>
          </w:p>
        </w:tc>
        <w:tc>
          <w:tcPr>
            <w:tcW w:w="247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234</w:t>
            </w:r>
          </w:p>
        </w:tc>
      </w:tr>
      <w:tr>
        <w:trPr>
          <w:trHeight w:val="402" w:hRule="exact"/>
        </w:trPr>
        <w:tc>
          <w:tcPr>
            <w:tcW w:w="296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25.97%</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20.69%</w:t>
            </w:r>
          </w:p>
        </w:tc>
        <w:tc>
          <w:tcPr>
            <w:tcW w:w="247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16.26%</w:t>
            </w:r>
          </w:p>
        </w:tc>
      </w:tr>
      <w:tr>
        <w:trPr>
          <w:trHeight w:val="402" w:hRule="exact"/>
        </w:trPr>
        <w:tc>
          <w:tcPr>
            <w:tcW w:w="296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91,097,376.27</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68,174,847.25</w:t>
            </w:r>
          </w:p>
        </w:tc>
        <w:tc>
          <w:tcPr>
            <w:tcW w:w="247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47,914,829.07</w:t>
            </w:r>
          </w:p>
        </w:tc>
      </w:tr>
      <w:tr>
        <w:trPr>
          <w:trHeight w:val="402" w:hRule="exact"/>
        </w:trPr>
        <w:tc>
          <w:tcPr>
            <w:tcW w:w="296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6.31%</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6.15%</w:t>
            </w:r>
          </w:p>
        </w:tc>
        <w:tc>
          <w:tcPr>
            <w:tcW w:w="247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6.42%</w:t>
            </w:r>
          </w:p>
        </w:tc>
      </w:tr>
      <w:tr>
        <w:trPr>
          <w:trHeight w:val="402" w:hRule="exact"/>
        </w:trPr>
        <w:tc>
          <w:tcPr>
            <w:tcW w:w="296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18,000.00</w:t>
            </w:r>
          </w:p>
        </w:tc>
        <w:tc>
          <w:tcPr>
            <w:tcW w:w="247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2,686.28</w:t>
            </w:r>
          </w:p>
        </w:tc>
      </w:tr>
      <w:tr>
        <w:trPr>
          <w:trHeight w:val="402" w:hRule="exact"/>
        </w:trPr>
        <w:tc>
          <w:tcPr>
            <w:tcW w:w="296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资本化研发支出占研发投入的比例</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0.03%</w:t>
            </w:r>
          </w:p>
        </w:tc>
        <w:tc>
          <w:tcPr>
            <w:tcW w:w="247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0.00%</w:t>
            </w:r>
          </w:p>
        </w:tc>
      </w:tr>
      <w:tr>
        <w:trPr>
          <w:trHeight w:val="412" w:hRule="exact"/>
        </w:trPr>
        <w:tc>
          <w:tcPr>
            <w:tcW w:w="2960"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资本化研发支出占当期净利润的比重</w:t>
            </w:r>
          </w:p>
        </w:tc>
        <w:tc>
          <w:tcPr>
            <w:tcW w:w="1997" w:type="dxa"/>
            <w:tcBorders>
              <w:top w:val="single" w:sz="4" w:space="0" w:color="000000"/>
              <w:left w:val="single" w:sz="13" w:space="0" w:color="D2D2D2"/>
              <w:bottom w:val="single" w:sz="12"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12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0.02%</w:t>
            </w:r>
          </w:p>
        </w:tc>
        <w:tc>
          <w:tcPr>
            <w:tcW w:w="247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338" w:lineRule="auto" w:before="117"/>
        <w:ind w:left="113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研发投入资本化率大幅变动的原因及其合理性说明</w:t>
      </w:r>
    </w:p>
    <w:p>
      <w:pPr>
        <w:spacing w:before="42"/>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5" w:type="dxa"/>
        <w:tblLayout w:type="fixed"/>
        <w:tblCellMar>
          <w:top w:w="0" w:type="dxa"/>
          <w:left w:w="0" w:type="dxa"/>
          <w:bottom w:w="0" w:type="dxa"/>
          <w:right w:w="0" w:type="dxa"/>
        </w:tblCellMar>
        <w:tblLook w:val="01E0"/>
      </w:tblPr>
      <w:tblGrid>
        <w:gridCol w:w="2677"/>
        <w:gridCol w:w="2421"/>
        <w:gridCol w:w="2268"/>
        <w:gridCol w:w="2195"/>
      </w:tblGrid>
      <w:tr>
        <w:trPr>
          <w:trHeight w:val="411" w:hRule="exact"/>
        </w:trPr>
        <w:tc>
          <w:tcPr>
            <w:tcW w:w="2677"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242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6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95"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1"/>
              <w:ind w:left="7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67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1,493,860,308.70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1,187,350,594.17</w:t>
            </w:r>
          </w:p>
        </w:tc>
        <w:tc>
          <w:tcPr>
            <w:tcW w:w="219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z w:val="18"/>
              </w:rPr>
              <w:t>25.81%</w:t>
            </w:r>
          </w:p>
        </w:tc>
      </w:tr>
      <w:tr>
        <w:trPr>
          <w:trHeight w:val="402" w:hRule="exact"/>
        </w:trPr>
        <w:tc>
          <w:tcPr>
            <w:tcW w:w="267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1,362,613,609.67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985,911,594.41</w:t>
            </w:r>
          </w:p>
        </w:tc>
        <w:tc>
          <w:tcPr>
            <w:tcW w:w="219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z w:val="18"/>
              </w:rPr>
              <w:t>38.21%</w:t>
            </w:r>
          </w:p>
        </w:tc>
      </w:tr>
      <w:tr>
        <w:trPr>
          <w:trHeight w:val="402" w:hRule="exact"/>
        </w:trPr>
        <w:tc>
          <w:tcPr>
            <w:tcW w:w="267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131,246,699.03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201,438,999.76</w:t>
            </w:r>
          </w:p>
        </w:tc>
        <w:tc>
          <w:tcPr>
            <w:tcW w:w="219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z w:val="18"/>
              </w:rPr>
              <w:t>-34.85%</w:t>
            </w:r>
          </w:p>
        </w:tc>
      </w:tr>
      <w:tr>
        <w:trPr>
          <w:trHeight w:val="402" w:hRule="exact"/>
        </w:trPr>
        <w:tc>
          <w:tcPr>
            <w:tcW w:w="267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6"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2,689,307,050.75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1,830,848,887.28</w:t>
            </w:r>
          </w:p>
        </w:tc>
        <w:tc>
          <w:tcPr>
            <w:tcW w:w="219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z w:val="18"/>
              </w:rPr>
              <w:t>46.89%</w:t>
            </w:r>
          </w:p>
        </w:tc>
      </w:tr>
      <w:tr>
        <w:trPr>
          <w:trHeight w:val="402" w:hRule="exact"/>
        </w:trPr>
        <w:tc>
          <w:tcPr>
            <w:tcW w:w="267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2,624,387,288.73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2,015,281,783.97</w:t>
            </w:r>
          </w:p>
        </w:tc>
        <w:tc>
          <w:tcPr>
            <w:tcW w:w="219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z w:val="18"/>
              </w:rPr>
              <w:t>30.22%</w:t>
            </w:r>
          </w:p>
        </w:tc>
      </w:tr>
      <w:tr>
        <w:trPr>
          <w:trHeight w:val="412" w:hRule="exact"/>
        </w:trPr>
        <w:tc>
          <w:tcPr>
            <w:tcW w:w="2677"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421" w:type="dxa"/>
            <w:tcBorders>
              <w:top w:val="single" w:sz="4" w:space="0" w:color="000000"/>
              <w:left w:val="single" w:sz="13" w:space="0" w:color="D2D2D2"/>
              <w:bottom w:val="single" w:sz="12"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64,919,762.02</w:t>
            </w:r>
          </w:p>
        </w:tc>
        <w:tc>
          <w:tcPr>
            <w:tcW w:w="22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-184,432,896.69</w:t>
            </w:r>
          </w:p>
        </w:tc>
        <w:tc>
          <w:tcPr>
            <w:tcW w:w="219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z w:val="18"/>
              </w:rPr>
              <w:t>135.20%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18" w:type="dxa"/>
        <w:tblLayout w:type="fixed"/>
        <w:tblCellMar>
          <w:top w:w="0" w:type="dxa"/>
          <w:left w:w="0" w:type="dxa"/>
          <w:bottom w:w="0" w:type="dxa"/>
          <w:right w:w="0" w:type="dxa"/>
        </w:tblCellMar>
        <w:tblLook w:val="01E0"/>
      </w:tblPr>
      <w:tblGrid>
        <w:gridCol w:w="2695"/>
        <w:gridCol w:w="2410"/>
        <w:gridCol w:w="2268"/>
        <w:gridCol w:w="2195"/>
      </w:tblGrid>
      <w:tr>
        <w:trPr>
          <w:trHeight w:val="412" w:hRule="exact"/>
        </w:trPr>
        <w:tc>
          <w:tcPr>
            <w:tcW w:w="2695"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1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553,410,871.91</w:t>
            </w:r>
          </w:p>
        </w:tc>
        <w:tc>
          <w:tcPr>
            <w:tcW w:w="22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777,297,840.25</w:t>
            </w:r>
          </w:p>
        </w:tc>
        <w:tc>
          <w:tcPr>
            <w:tcW w:w="2195"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-28.80%</w:t>
            </w:r>
          </w:p>
        </w:tc>
      </w:tr>
      <w:tr>
        <w:trPr>
          <w:trHeight w:val="402" w:hRule="exact"/>
        </w:trPr>
        <w:tc>
          <w:tcPr>
            <w:tcW w:w="269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604,208,175.09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671,577,066.37</w:t>
            </w:r>
          </w:p>
        </w:tc>
        <w:tc>
          <w:tcPr>
            <w:tcW w:w="219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-10.03%</w:t>
            </w:r>
          </w:p>
        </w:tc>
      </w:tr>
      <w:tr>
        <w:trPr>
          <w:trHeight w:val="402" w:hRule="exact"/>
        </w:trPr>
        <w:tc>
          <w:tcPr>
            <w:tcW w:w="269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-50,797,303.18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105,720,773.88</w:t>
            </w:r>
          </w:p>
        </w:tc>
        <w:tc>
          <w:tcPr>
            <w:tcW w:w="219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w w:val="95"/>
                <w:sz w:val="18"/>
              </w:rPr>
              <w:t>-148.05%</w:t>
            </w:r>
            <w:r>
              <w:rPr>
                <w:rFonts w:ascii="Times New Roman"/>
                <w:sz w:val="18"/>
              </w:rPr>
            </w:r>
          </w:p>
        </w:tc>
      </w:tr>
      <w:tr>
        <w:trPr>
          <w:trHeight w:val="413" w:hRule="exact"/>
        </w:trPr>
        <w:tc>
          <w:tcPr>
            <w:tcW w:w="2695"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144,616,750.81</w:t>
            </w:r>
          </w:p>
        </w:tc>
        <w:tc>
          <w:tcPr>
            <w:tcW w:w="22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123,329,783.10</w:t>
            </w:r>
          </w:p>
        </w:tc>
        <w:tc>
          <w:tcPr>
            <w:tcW w:w="219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17.26%</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before="116"/>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08" w:lineRule="auto" w:before="155"/>
        <w:ind w:right="1011" w:firstLine="420"/>
        <w:jc w:val="left"/>
      </w:pPr>
      <w:r>
        <w:rPr/>
        <w:t>经营活动产生的现金流量净额较上年同期减少</w:t>
      </w:r>
      <w:r>
        <w:rPr>
          <w:spacing w:val="-23"/>
        </w:rPr>
        <w:t> </w:t>
      </w:r>
      <w:r>
        <w:rPr>
          <w:rFonts w:ascii="宋体" w:hAnsi="宋体" w:cs="宋体" w:eastAsia="宋体" w:hint="default"/>
        </w:rPr>
        <w:t>34.85%</w:t>
      </w:r>
      <w:r>
        <w:rPr/>
        <w:t>，主要系公司本期收到以票据形式结算的货款、 各种经营性支出较上年同期增加所致。</w:t>
      </w:r>
    </w:p>
    <w:p>
      <w:pPr>
        <w:pStyle w:val="BodyText"/>
        <w:spacing w:line="408" w:lineRule="auto"/>
        <w:ind w:right="1117" w:firstLine="420"/>
        <w:jc w:val="left"/>
      </w:pPr>
      <w:r>
        <w:rPr/>
        <w:t>投资活动产生的现金流量净额较上年同期增长</w:t>
      </w:r>
      <w:r>
        <w:rPr>
          <w:spacing w:val="-24"/>
        </w:rPr>
        <w:t> </w:t>
      </w:r>
      <w:r>
        <w:rPr>
          <w:rFonts w:ascii="宋体" w:hAnsi="宋体" w:cs="宋体" w:eastAsia="宋体" w:hint="default"/>
        </w:rPr>
        <w:t>135.20%</w:t>
      </w:r>
      <w:r>
        <w:rPr/>
        <w:t>，主要系公司本期投资结构调整、投资收益较 上年同期增加所致。</w:t>
      </w:r>
    </w:p>
    <w:p>
      <w:pPr>
        <w:pStyle w:val="BodyText"/>
        <w:spacing w:line="408" w:lineRule="auto"/>
        <w:ind w:right="1117" w:firstLine="420"/>
        <w:jc w:val="left"/>
      </w:pPr>
      <w:r>
        <w:rPr/>
        <w:t>筹资活动产生的现金流量净额较上年同期较少</w:t>
      </w:r>
      <w:r>
        <w:rPr>
          <w:spacing w:val="-24"/>
        </w:rPr>
        <w:t> </w:t>
      </w:r>
      <w:r>
        <w:rPr>
          <w:rFonts w:ascii="宋体" w:hAnsi="宋体" w:cs="宋体" w:eastAsia="宋体" w:hint="default"/>
        </w:rPr>
        <w:t>148.05%</w:t>
      </w:r>
      <w:r>
        <w:rPr/>
        <w:t>，主要系公司本期新增的借款及其他筹资性流 入较上年同期减少所致。</w:t>
      </w:r>
    </w:p>
    <w:p>
      <w:pPr>
        <w:spacing w:before="34"/>
        <w:ind w:left="1133" w:right="0"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报告期内公司经营活动产生的现金净流量与本年度净利润存在重大差异的原因说明</w:t>
      </w:r>
    </w:p>
    <w:p>
      <w:pPr>
        <w:spacing w:before="116"/>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非主营业务情况" w:id="40"/>
      <w:bookmarkEnd w:id="40"/>
      <w:r>
        <w:rPr>
          <w:b w:val="0"/>
          <w:bCs w:val="0"/>
        </w:rPr>
      </w:r>
      <w:r>
        <w:rPr/>
        <w:t>三、非主营业务情况</w:t>
      </w:r>
      <w:r>
        <w:rPr>
          <w:b w:val="0"/>
          <w:bCs w:val="0"/>
        </w:rPr>
      </w:r>
    </w:p>
    <w:p>
      <w:pPr>
        <w:spacing w:line="240" w:lineRule="auto" w:before="3"/>
        <w:rPr>
          <w:rFonts w:ascii="宋体" w:hAnsi="宋体" w:cs="宋体" w:eastAsia="宋体" w:hint="default"/>
          <w:b/>
          <w:bCs/>
          <w:sz w:val="23"/>
          <w:szCs w:val="23"/>
        </w:rPr>
      </w:pPr>
    </w:p>
    <w:p>
      <w:pPr>
        <w:spacing w:before="44"/>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5" w:type="dxa"/>
        <w:tblLayout w:type="fixed"/>
        <w:tblCellMar>
          <w:top w:w="0" w:type="dxa"/>
          <w:left w:w="0" w:type="dxa"/>
          <w:bottom w:w="0" w:type="dxa"/>
          <w:right w:w="0" w:type="dxa"/>
        </w:tblCellMar>
        <w:tblLook w:val="01E0"/>
      </w:tblPr>
      <w:tblGrid>
        <w:gridCol w:w="1517"/>
        <w:gridCol w:w="1916"/>
        <w:gridCol w:w="1623"/>
        <w:gridCol w:w="2877"/>
        <w:gridCol w:w="1629"/>
      </w:tblGrid>
      <w:tr>
        <w:trPr>
          <w:trHeight w:val="412" w:hRule="exact"/>
        </w:trPr>
        <w:tc>
          <w:tcPr>
            <w:tcW w:w="1517" w:type="dxa"/>
            <w:tcBorders>
              <w:top w:val="single" w:sz="12" w:space="0" w:color="000000"/>
              <w:left w:val="single" w:sz="12" w:space="0" w:color="000000"/>
              <w:bottom w:val="single" w:sz="4" w:space="0" w:color="000000"/>
              <w:right w:val="single" w:sz="4" w:space="0" w:color="000000"/>
            </w:tcBorders>
            <w:shd w:val="clear" w:color="auto" w:fill="D2D2D2"/>
          </w:tcPr>
          <w:p>
            <w:pPr/>
          </w:p>
        </w:tc>
        <w:tc>
          <w:tcPr>
            <w:tcW w:w="191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877"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形成原因说明</w:t>
            </w:r>
          </w:p>
        </w:tc>
        <w:tc>
          <w:tcPr>
            <w:tcW w:w="1629"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1"/>
              <w:ind w:left="89"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2" w:hRule="exact"/>
        </w:trPr>
        <w:tc>
          <w:tcPr>
            <w:tcW w:w="151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24,548,997.37</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13.16%</w:t>
            </w:r>
          </w:p>
        </w:tc>
        <w:tc>
          <w:tcPr>
            <w:tcW w:w="2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7"/>
              <w:jc w:val="center"/>
              <w:rPr>
                <w:rFonts w:ascii="宋体" w:hAnsi="宋体" w:cs="宋体" w:eastAsia="宋体" w:hint="default"/>
                <w:sz w:val="18"/>
                <w:szCs w:val="18"/>
              </w:rPr>
            </w:pPr>
            <w:r>
              <w:rPr>
                <w:rFonts w:ascii="宋体" w:hAnsi="宋体" w:cs="宋体" w:eastAsia="宋体" w:hint="default"/>
                <w:sz w:val="18"/>
                <w:szCs w:val="18"/>
              </w:rPr>
              <w:t>权益法核算的投资收益和理财收益</w:t>
            </w:r>
          </w:p>
        </w:tc>
        <w:tc>
          <w:tcPr>
            <w:tcW w:w="162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2" w:hRule="exact"/>
        </w:trPr>
        <w:tc>
          <w:tcPr>
            <w:tcW w:w="1517"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62,450,161.88</w:t>
            </w:r>
          </w:p>
        </w:tc>
        <w:tc>
          <w:tcPr>
            <w:tcW w:w="162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33.47%</w:t>
            </w:r>
          </w:p>
        </w:tc>
        <w:tc>
          <w:tcPr>
            <w:tcW w:w="28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17"/>
              <w:jc w:val="center"/>
              <w:rPr>
                <w:rFonts w:ascii="宋体" w:hAnsi="宋体" w:cs="宋体" w:eastAsia="宋体" w:hint="default"/>
                <w:sz w:val="18"/>
                <w:szCs w:val="18"/>
              </w:rPr>
            </w:pPr>
            <w:r>
              <w:rPr>
                <w:rFonts w:ascii="宋体" w:hAnsi="宋体" w:cs="宋体" w:eastAsia="宋体" w:hint="default"/>
                <w:sz w:val="18"/>
                <w:szCs w:val="18"/>
              </w:rPr>
              <w:t>主要是与日常活动相关的政府补助</w:t>
            </w:r>
          </w:p>
        </w:tc>
        <w:tc>
          <w:tcPr>
            <w:tcW w:w="162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四、资产及负债状况" w:id="41"/>
      <w:bookmarkEnd w:id="41"/>
      <w:r>
        <w:rPr>
          <w:b w:val="0"/>
          <w:bCs w:val="0"/>
        </w:rPr>
      </w:r>
      <w:r>
        <w:rPr/>
        <w:t>四、资产及负债状况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5" w:type="dxa"/>
        <w:tblLayout w:type="fixed"/>
        <w:tblCellMar>
          <w:top w:w="0" w:type="dxa"/>
          <w:left w:w="0" w:type="dxa"/>
          <w:bottom w:w="0" w:type="dxa"/>
          <w:right w:w="0" w:type="dxa"/>
        </w:tblCellMar>
        <w:tblLook w:val="01E0"/>
      </w:tblPr>
      <w:tblGrid>
        <w:gridCol w:w="1351"/>
        <w:gridCol w:w="1479"/>
        <w:gridCol w:w="1276"/>
        <w:gridCol w:w="1418"/>
        <w:gridCol w:w="1274"/>
        <w:gridCol w:w="1134"/>
        <w:gridCol w:w="1630"/>
      </w:tblGrid>
      <w:tr>
        <w:trPr>
          <w:trHeight w:val="217" w:hRule="exact"/>
        </w:trPr>
        <w:tc>
          <w:tcPr>
            <w:tcW w:w="1351" w:type="dxa"/>
            <w:tcBorders>
              <w:top w:val="single" w:sz="12" w:space="0" w:color="000000"/>
              <w:left w:val="single" w:sz="12" w:space="0" w:color="000000"/>
              <w:bottom w:val="nil" w:sz="6" w:space="0" w:color="auto"/>
              <w:right w:val="single" w:sz="4" w:space="0" w:color="000000"/>
            </w:tcBorders>
            <w:shd w:val="clear" w:color="auto" w:fill="D2D2D2"/>
          </w:tcPr>
          <w:p>
            <w:pPr/>
          </w:p>
        </w:tc>
        <w:tc>
          <w:tcPr>
            <w:tcW w:w="2755" w:type="dxa"/>
            <w:gridSpan w:val="2"/>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693" w:type="dxa"/>
            <w:gridSpan w:val="2"/>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134" w:type="dxa"/>
            <w:tcBorders>
              <w:top w:val="single" w:sz="12" w:space="0" w:color="000000"/>
              <w:left w:val="single" w:sz="4" w:space="0" w:color="000000"/>
              <w:bottom w:val="nil" w:sz="6" w:space="0" w:color="auto"/>
              <w:right w:val="single" w:sz="4" w:space="0" w:color="000000"/>
            </w:tcBorders>
            <w:shd w:val="clear" w:color="auto" w:fill="D2D2D2"/>
          </w:tcPr>
          <w:p>
            <w:pPr/>
          </w:p>
        </w:tc>
        <w:tc>
          <w:tcPr>
            <w:tcW w:w="1630" w:type="dxa"/>
            <w:tcBorders>
              <w:top w:val="single" w:sz="12" w:space="0" w:color="000000"/>
              <w:left w:val="single" w:sz="4" w:space="0" w:color="000000"/>
              <w:bottom w:val="nil" w:sz="6" w:space="0" w:color="auto"/>
              <w:right w:val="single" w:sz="12" w:space="0" w:color="000000"/>
            </w:tcBorders>
            <w:shd w:val="clear" w:color="auto" w:fill="D2D2D2"/>
          </w:tcPr>
          <w:p>
            <w:pPr/>
          </w:p>
        </w:tc>
      </w:tr>
      <w:tr>
        <w:trPr>
          <w:trHeight w:val="191" w:hRule="exact"/>
        </w:trPr>
        <w:tc>
          <w:tcPr>
            <w:tcW w:w="1351" w:type="dxa"/>
            <w:vMerge w:val="restart"/>
            <w:tcBorders>
              <w:top w:val="nil" w:sz="6" w:space="0" w:color="auto"/>
              <w:left w:val="single" w:sz="12" w:space="0" w:color="000000"/>
              <w:right w:val="single" w:sz="4" w:space="0" w:color="000000"/>
            </w:tcBorders>
            <w:shd w:val="clear" w:color="auto" w:fill="D2D2D2"/>
          </w:tcPr>
          <w:p>
            <w:pPr/>
          </w:p>
        </w:tc>
        <w:tc>
          <w:tcPr>
            <w:tcW w:w="2755" w:type="dxa"/>
            <w:gridSpan w:val="2"/>
            <w:vMerge/>
            <w:tcBorders>
              <w:left w:val="single" w:sz="4" w:space="0" w:color="000000"/>
              <w:bottom w:val="single" w:sz="4" w:space="0" w:color="000000"/>
              <w:right w:val="single" w:sz="4" w:space="0" w:color="000000"/>
            </w:tcBorders>
            <w:shd w:val="clear" w:color="auto" w:fill="D2D2D2"/>
          </w:tcPr>
          <w:p>
            <w:pPr/>
          </w:p>
        </w:tc>
        <w:tc>
          <w:tcPr>
            <w:tcW w:w="2693" w:type="dxa"/>
            <w:gridSpan w:val="2"/>
            <w:vMerge/>
            <w:tcBorders>
              <w:left w:val="single" w:sz="4" w:space="0" w:color="000000"/>
              <w:bottom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1630" w:type="dxa"/>
            <w:vMerge w:val="restart"/>
            <w:tcBorders>
              <w:top w:val="nil" w:sz="6" w:space="0" w:color="auto"/>
              <w:left w:val="single" w:sz="4" w:space="0" w:color="000000"/>
              <w:right w:val="single" w:sz="12" w:space="0" w:color="000000"/>
            </w:tcBorders>
            <w:shd w:val="clear" w:color="auto" w:fill="D2D2D2"/>
          </w:tcPr>
          <w:p>
            <w:pPr>
              <w:pStyle w:val="TableParagraph"/>
              <w:spacing w:line="240" w:lineRule="auto" w:before="51"/>
              <w:ind w:left="269"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200" w:hRule="exact"/>
        </w:trPr>
        <w:tc>
          <w:tcPr>
            <w:tcW w:w="1351" w:type="dxa"/>
            <w:vMerge/>
            <w:tcBorders>
              <w:left w:val="single" w:sz="12" w:space="0" w:color="000000"/>
              <w:bottom w:val="nil" w:sz="6" w:space="0" w:color="auto"/>
              <w:right w:val="single" w:sz="4" w:space="0" w:color="000000"/>
            </w:tcBorders>
            <w:shd w:val="clear" w:color="auto" w:fill="D2D2D2"/>
          </w:tcPr>
          <w:p>
            <w:pPr/>
          </w:p>
        </w:tc>
        <w:tc>
          <w:tcPr>
            <w:tcW w:w="14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92"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92"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134" w:type="dxa"/>
            <w:vMerge/>
            <w:tcBorders>
              <w:left w:val="single" w:sz="4" w:space="0" w:color="000000"/>
              <w:bottom w:val="nil" w:sz="6" w:space="0" w:color="auto"/>
              <w:right w:val="single" w:sz="4" w:space="0" w:color="000000"/>
            </w:tcBorders>
            <w:shd w:val="clear" w:color="auto" w:fill="D2D2D2"/>
          </w:tcPr>
          <w:p>
            <w:pPr/>
          </w:p>
        </w:tc>
        <w:tc>
          <w:tcPr>
            <w:tcW w:w="1630" w:type="dxa"/>
            <w:vMerge/>
            <w:tcBorders>
              <w:left w:val="single" w:sz="4" w:space="0" w:color="000000"/>
              <w:bottom w:val="nil" w:sz="6" w:space="0" w:color="auto"/>
              <w:right w:val="single" w:sz="12" w:space="0" w:color="000000"/>
            </w:tcBorders>
            <w:shd w:val="clear" w:color="auto" w:fill="D2D2D2"/>
          </w:tcPr>
          <w:p>
            <w:pPr/>
          </w:p>
        </w:tc>
      </w:tr>
      <w:tr>
        <w:trPr>
          <w:trHeight w:val="206" w:hRule="exact"/>
        </w:trPr>
        <w:tc>
          <w:tcPr>
            <w:tcW w:w="1351" w:type="dxa"/>
            <w:tcBorders>
              <w:top w:val="nil" w:sz="6" w:space="0" w:color="auto"/>
              <w:left w:val="single" w:sz="12" w:space="0" w:color="000000"/>
              <w:bottom w:val="single" w:sz="4" w:space="0" w:color="000000"/>
              <w:right w:val="single" w:sz="4" w:space="0" w:color="000000"/>
            </w:tcBorders>
            <w:shd w:val="clear" w:color="auto" w:fill="D2D2D2"/>
          </w:tcPr>
          <w:p>
            <w:pPr/>
          </w:p>
        </w:tc>
        <w:tc>
          <w:tcPr>
            <w:tcW w:w="1479"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0" w:type="dxa"/>
            <w:tcBorders>
              <w:top w:val="nil" w:sz="6" w:space="0" w:color="auto"/>
              <w:left w:val="single" w:sz="4" w:space="0" w:color="000000"/>
              <w:bottom w:val="single" w:sz="4" w:space="0" w:color="000000"/>
              <w:right w:val="single" w:sz="12" w:space="0" w:color="000000"/>
            </w:tcBorders>
            <w:shd w:val="clear" w:color="auto" w:fill="D2D2D2"/>
          </w:tcPr>
          <w:p>
            <w:pPr/>
          </w:p>
        </w:tc>
      </w:tr>
      <w:tr>
        <w:trPr>
          <w:trHeight w:val="402" w:hRule="exact"/>
        </w:trPr>
        <w:tc>
          <w:tcPr>
            <w:tcW w:w="135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780,426,422.09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18.24%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636,178,165.90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16.90%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1.34%</w:t>
            </w:r>
          </w:p>
        </w:tc>
        <w:tc>
          <w:tcPr>
            <w:tcW w:w="1630"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135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497,426,792.06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11.62%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395,397,659.71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1.12%</w:t>
            </w:r>
          </w:p>
        </w:tc>
        <w:tc>
          <w:tcPr>
            <w:tcW w:w="1630"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135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343,106,145.18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256,922,471.72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w:t>
            </w:r>
          </w:p>
        </w:tc>
        <w:tc>
          <w:tcPr>
            <w:tcW w:w="1630"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135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4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181,443,650.37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184,198,514.99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-0.65%</w:t>
            </w:r>
          </w:p>
        </w:tc>
        <w:tc>
          <w:tcPr>
            <w:tcW w:w="1630"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135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4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84,828,813.09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79,780,512.52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-0.14%</w:t>
            </w:r>
          </w:p>
        </w:tc>
        <w:tc>
          <w:tcPr>
            <w:tcW w:w="1630" w:type="dxa"/>
            <w:tcBorders>
              <w:top w:val="single" w:sz="4" w:space="0" w:color="000000"/>
              <w:left w:val="single" w:sz="4" w:space="0" w:color="000000"/>
              <w:bottom w:val="single" w:sz="4" w:space="0" w:color="000000"/>
              <w:right w:val="single" w:sz="12" w:space="0" w:color="000000"/>
            </w:tcBorders>
          </w:tcPr>
          <w:p>
            <w:pPr/>
          </w:p>
        </w:tc>
      </w:tr>
      <w:tr>
        <w:trPr>
          <w:trHeight w:val="412" w:hRule="exact"/>
        </w:trPr>
        <w:tc>
          <w:tcPr>
            <w:tcW w:w="1351"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79" w:type="dxa"/>
            <w:tcBorders>
              <w:top w:val="single" w:sz="4" w:space="0" w:color="000000"/>
              <w:left w:val="single" w:sz="13" w:space="0" w:color="D2D2D2"/>
              <w:bottom w:val="single" w:sz="12"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799,922,706.75</w:t>
            </w:r>
          </w:p>
        </w:tc>
        <w:tc>
          <w:tcPr>
            <w:tcW w:w="12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18.69%</w:t>
            </w:r>
          </w:p>
        </w:tc>
        <w:tc>
          <w:tcPr>
            <w:tcW w:w="14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646,744,249.74</w:t>
            </w:r>
          </w:p>
        </w:tc>
        <w:tc>
          <w:tcPr>
            <w:tcW w:w="12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17.18%</w:t>
            </w:r>
          </w:p>
        </w:tc>
        <w:tc>
          <w:tcPr>
            <w:tcW w:w="11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1.51%</w:t>
            </w:r>
          </w:p>
        </w:tc>
        <w:tc>
          <w:tcPr>
            <w:tcW w:w="1630" w:type="dxa"/>
            <w:tcBorders>
              <w:top w:val="single" w:sz="4" w:space="0" w:color="000000"/>
              <w:left w:val="single" w:sz="4" w:space="0" w:color="000000"/>
              <w:bottom w:val="single" w:sz="12" w:space="0" w:color="000000"/>
              <w:right w:val="single" w:sz="12"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18" w:type="dxa"/>
        <w:tblLayout w:type="fixed"/>
        <w:tblCellMar>
          <w:top w:w="0" w:type="dxa"/>
          <w:left w:w="0" w:type="dxa"/>
          <w:bottom w:w="0" w:type="dxa"/>
          <w:right w:w="0" w:type="dxa"/>
        </w:tblCellMar>
        <w:tblLook w:val="01E0"/>
      </w:tblPr>
      <w:tblGrid>
        <w:gridCol w:w="1358"/>
        <w:gridCol w:w="1479"/>
        <w:gridCol w:w="1276"/>
        <w:gridCol w:w="1418"/>
        <w:gridCol w:w="1274"/>
        <w:gridCol w:w="1134"/>
        <w:gridCol w:w="1630"/>
      </w:tblGrid>
      <w:tr>
        <w:trPr>
          <w:trHeight w:val="412" w:hRule="exact"/>
        </w:trPr>
        <w:tc>
          <w:tcPr>
            <w:tcW w:w="135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79" w:type="dxa"/>
            <w:tcBorders>
              <w:top w:val="single" w:sz="12"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219,844,574.70</w:t>
            </w:r>
          </w:p>
        </w:tc>
        <w:tc>
          <w:tcPr>
            <w:tcW w:w="12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5.14%</w:t>
            </w:r>
          </w:p>
        </w:tc>
        <w:tc>
          <w:tcPr>
            <w:tcW w:w="14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108,275,993.04</w:t>
            </w:r>
          </w:p>
        </w:tc>
        <w:tc>
          <w:tcPr>
            <w:tcW w:w="127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2.88%</w:t>
            </w:r>
          </w:p>
        </w:tc>
        <w:tc>
          <w:tcPr>
            <w:tcW w:w="113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2.26%</w:t>
            </w:r>
          </w:p>
        </w:tc>
        <w:tc>
          <w:tcPr>
            <w:tcW w:w="1630" w:type="dxa"/>
            <w:tcBorders>
              <w:top w:val="single" w:sz="12" w:space="0" w:color="000000"/>
              <w:left w:val="single" w:sz="4" w:space="0" w:color="000000"/>
              <w:bottom w:val="single" w:sz="4" w:space="0" w:color="000000"/>
              <w:right w:val="single" w:sz="12" w:space="0" w:color="000000"/>
            </w:tcBorders>
          </w:tcPr>
          <w:p>
            <w:pPr/>
          </w:p>
        </w:tc>
      </w:tr>
      <w:tr>
        <w:trPr>
          <w:trHeight w:val="402" w:hRule="exact"/>
        </w:trPr>
        <w:tc>
          <w:tcPr>
            <w:tcW w:w="135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229,500,000.00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-4.63%</w:t>
            </w:r>
          </w:p>
        </w:tc>
        <w:tc>
          <w:tcPr>
            <w:tcW w:w="1630" w:type="dxa"/>
            <w:tcBorders>
              <w:top w:val="single" w:sz="4" w:space="0" w:color="000000"/>
              <w:left w:val="single" w:sz="4" w:space="0" w:color="000000"/>
              <w:bottom w:val="single" w:sz="4" w:space="0" w:color="000000"/>
              <w:right w:val="single" w:sz="12" w:space="0" w:color="000000"/>
            </w:tcBorders>
          </w:tcPr>
          <w:p>
            <w:pPr/>
          </w:p>
        </w:tc>
      </w:tr>
      <w:tr>
        <w:trPr>
          <w:trHeight w:val="412" w:hRule="exact"/>
        </w:trPr>
        <w:tc>
          <w:tcPr>
            <w:tcW w:w="135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479" w:type="dxa"/>
            <w:tcBorders>
              <w:top w:val="single" w:sz="4" w:space="0" w:color="000000"/>
              <w:left w:val="single" w:sz="13" w:space="0" w:color="D2D2D2"/>
              <w:bottom w:val="single" w:sz="12"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584,144,327.60</w:t>
            </w:r>
          </w:p>
        </w:tc>
        <w:tc>
          <w:tcPr>
            <w:tcW w:w="12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13.65%</w:t>
            </w:r>
          </w:p>
        </w:tc>
        <w:tc>
          <w:tcPr>
            <w:tcW w:w="14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352,090,000.00</w:t>
            </w:r>
          </w:p>
        </w:tc>
        <w:tc>
          <w:tcPr>
            <w:tcW w:w="12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9.35%</w:t>
            </w:r>
          </w:p>
        </w:tc>
        <w:tc>
          <w:tcPr>
            <w:tcW w:w="11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4.30%</w:t>
            </w:r>
          </w:p>
        </w:tc>
        <w:tc>
          <w:tcPr>
            <w:tcW w:w="1630" w:type="dxa"/>
            <w:tcBorders>
              <w:top w:val="single" w:sz="4" w:space="0" w:color="000000"/>
              <w:left w:val="single" w:sz="4" w:space="0" w:color="000000"/>
              <w:bottom w:val="single" w:sz="12" w:space="0" w:color="000000"/>
              <w:right w:val="single" w:sz="12"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5"/>
        <w:ind w:left="1134" w:right="0"/>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截至报告期末的资产权利受限情况" w:id="44"/>
      <w:bookmarkEnd w:id="44"/>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before="0"/>
        <w:ind w:left="1553" w:right="0"/>
        <w:jc w:val="left"/>
      </w:pPr>
      <w:r>
        <w:rPr/>
        <w:t>详见第十一节财务报告七、合并财务报表项目注释</w:t>
      </w:r>
      <w:r>
        <w:rPr>
          <w:spacing w:val="-54"/>
        </w:rPr>
        <w:t> </w:t>
      </w:r>
      <w:r>
        <w:rPr>
          <w:rFonts w:ascii="宋体" w:hAnsi="宋体" w:cs="宋体" w:eastAsia="宋体" w:hint="default"/>
        </w:rPr>
        <w:t>56</w:t>
      </w:r>
      <w:r>
        <w:rPr/>
        <w:t>、所有权或使用权受到限制的资产。</w:t>
      </w:r>
    </w:p>
    <w:p>
      <w:pPr>
        <w:spacing w:line="240" w:lineRule="auto" w:before="0"/>
        <w:rPr>
          <w:rFonts w:ascii="宋体" w:hAnsi="宋体" w:cs="宋体" w:eastAsia="宋体" w:hint="default"/>
          <w:sz w:val="20"/>
          <w:szCs w:val="20"/>
        </w:rPr>
      </w:pPr>
    </w:p>
    <w:p>
      <w:pPr>
        <w:pStyle w:val="Heading2"/>
        <w:spacing w:line="240" w:lineRule="auto" w:before="131"/>
        <w:ind w:right="0"/>
        <w:jc w:val="left"/>
        <w:rPr>
          <w:b w:val="0"/>
          <w:bCs w:val="0"/>
        </w:rPr>
      </w:pPr>
      <w:bookmarkStart w:name="五、投资状况分析" w:id="45"/>
      <w:bookmarkEnd w:id="45"/>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总体情况" w:id="46"/>
      <w:bookmarkEnd w:id="46"/>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118" w:type="dxa"/>
        <w:tblLayout w:type="fixed"/>
        <w:tblCellMar>
          <w:top w:w="0" w:type="dxa"/>
          <w:left w:w="0" w:type="dxa"/>
          <w:bottom w:w="0" w:type="dxa"/>
          <w:right w:w="0" w:type="dxa"/>
        </w:tblCellMar>
        <w:tblLook w:val="01E0"/>
      </w:tblPr>
      <w:tblGrid>
        <w:gridCol w:w="3191"/>
        <w:gridCol w:w="3190"/>
        <w:gridCol w:w="3189"/>
      </w:tblGrid>
      <w:tr>
        <w:trPr>
          <w:trHeight w:val="412" w:hRule="exact"/>
        </w:trPr>
        <w:tc>
          <w:tcPr>
            <w:tcW w:w="3191"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76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89"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12" w:hRule="exact"/>
        </w:trPr>
        <w:tc>
          <w:tcPr>
            <w:tcW w:w="3191"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91"/>
              <w:ind w:left="2022" w:right="0"/>
              <w:jc w:val="left"/>
              <w:rPr>
                <w:rFonts w:ascii="Times New Roman" w:hAnsi="Times New Roman" w:cs="Times New Roman" w:eastAsia="Times New Roman" w:hint="default"/>
                <w:sz w:val="18"/>
                <w:szCs w:val="18"/>
              </w:rPr>
            </w:pPr>
            <w:r>
              <w:rPr>
                <w:rFonts w:ascii="Times New Roman"/>
                <w:sz w:val="18"/>
              </w:rPr>
              <w:t>126,507,649.80</w:t>
            </w:r>
          </w:p>
        </w:tc>
        <w:tc>
          <w:tcPr>
            <w:tcW w:w="31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left="2039" w:right="0"/>
              <w:jc w:val="left"/>
              <w:rPr>
                <w:rFonts w:ascii="Times New Roman" w:hAnsi="Times New Roman" w:cs="Times New Roman" w:eastAsia="Times New Roman" w:hint="default"/>
                <w:sz w:val="18"/>
                <w:szCs w:val="18"/>
              </w:rPr>
            </w:pPr>
            <w:r>
              <w:rPr>
                <w:rFonts w:ascii="Times New Roman"/>
                <w:sz w:val="18"/>
              </w:rPr>
              <w:t>711,213,841.00</w:t>
            </w:r>
          </w:p>
        </w:tc>
        <w:tc>
          <w:tcPr>
            <w:tcW w:w="318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-82.21%</w:t>
            </w:r>
          </w:p>
        </w:tc>
      </w:tr>
    </w:tbl>
    <w:p>
      <w:pPr>
        <w:spacing w:line="240" w:lineRule="auto" w:before="3"/>
        <w:rPr>
          <w:rFonts w:ascii="宋体" w:hAnsi="宋体" w:cs="宋体" w:eastAsia="宋体" w:hint="default"/>
          <w:sz w:val="19"/>
          <w:szCs w:val="19"/>
        </w:rPr>
      </w:pPr>
    </w:p>
    <w:p>
      <w:pPr>
        <w:pStyle w:val="Heading4"/>
        <w:spacing w:line="240" w:lineRule="auto" w:before="35"/>
        <w:ind w:left="1134" w:right="0"/>
        <w:jc w:val="left"/>
        <w:rPr>
          <w:b w:val="0"/>
          <w:bCs w:val="0"/>
        </w:rPr>
      </w:pPr>
      <w:bookmarkStart w:name="2、报告期内获取的重大的股权投资情况" w:id="47"/>
      <w:bookmarkEnd w:id="47"/>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spacing w:before="44"/>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18" w:type="dxa"/>
        <w:tblLayout w:type="fixed"/>
        <w:tblCellMar>
          <w:top w:w="0" w:type="dxa"/>
          <w:left w:w="0" w:type="dxa"/>
          <w:bottom w:w="0" w:type="dxa"/>
          <w:right w:w="0" w:type="dxa"/>
        </w:tblCellMar>
        <w:tblLook w:val="01E0"/>
      </w:tblPr>
      <w:tblGrid>
        <w:gridCol w:w="695"/>
        <w:gridCol w:w="866"/>
        <w:gridCol w:w="568"/>
        <w:gridCol w:w="850"/>
        <w:gridCol w:w="566"/>
        <w:gridCol w:w="426"/>
        <w:gridCol w:w="566"/>
        <w:gridCol w:w="568"/>
        <w:gridCol w:w="566"/>
        <w:gridCol w:w="568"/>
        <w:gridCol w:w="851"/>
        <w:gridCol w:w="566"/>
        <w:gridCol w:w="851"/>
        <w:gridCol w:w="1059"/>
      </w:tblGrid>
      <w:tr>
        <w:trPr>
          <w:trHeight w:val="1035" w:hRule="exact"/>
        </w:trPr>
        <w:tc>
          <w:tcPr>
            <w:tcW w:w="695"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1"/>
              <w:ind w:left="62" w:right="70"/>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86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56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8" w:right="97"/>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85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9" w:right="0"/>
              <w:jc w:val="left"/>
              <w:rPr>
                <w:rFonts w:ascii="宋体" w:hAnsi="宋体" w:cs="宋体" w:eastAsia="宋体" w:hint="default"/>
                <w:sz w:val="18"/>
                <w:szCs w:val="18"/>
              </w:rPr>
            </w:pPr>
            <w:r>
              <w:rPr>
                <w:rFonts w:ascii="宋体" w:hAnsi="宋体" w:cs="宋体" w:eastAsia="宋体" w:hint="default"/>
                <w:sz w:val="18"/>
                <w:szCs w:val="18"/>
              </w:rPr>
              <w:t>投资金额</w:t>
            </w:r>
          </w:p>
        </w:tc>
        <w:tc>
          <w:tcPr>
            <w:tcW w:w="56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42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7" w:right="27"/>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56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88" w:right="96" w:hanging="90"/>
              <w:jc w:val="left"/>
              <w:rPr>
                <w:rFonts w:ascii="宋体" w:hAnsi="宋体" w:cs="宋体" w:eastAsia="宋体" w:hint="default"/>
                <w:sz w:val="18"/>
                <w:szCs w:val="18"/>
              </w:rPr>
            </w:pPr>
            <w:r>
              <w:rPr>
                <w:rFonts w:ascii="宋体" w:hAnsi="宋体" w:cs="宋体" w:eastAsia="宋体" w:hint="default"/>
                <w:sz w:val="18"/>
                <w:szCs w:val="18"/>
              </w:rPr>
              <w:t>合作 方</w:t>
            </w:r>
          </w:p>
        </w:tc>
        <w:tc>
          <w:tcPr>
            <w:tcW w:w="56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8" w:right="97"/>
              <w:jc w:val="left"/>
              <w:rPr>
                <w:rFonts w:ascii="宋体" w:hAnsi="宋体" w:cs="宋体" w:eastAsia="宋体" w:hint="default"/>
                <w:sz w:val="18"/>
                <w:szCs w:val="18"/>
              </w:rPr>
            </w:pPr>
            <w:r>
              <w:rPr>
                <w:rFonts w:ascii="宋体" w:hAnsi="宋体" w:cs="宋体" w:eastAsia="宋体" w:hint="default"/>
                <w:sz w:val="18"/>
                <w:szCs w:val="18"/>
              </w:rPr>
              <w:t>投资 期限</w:t>
            </w:r>
          </w:p>
        </w:tc>
        <w:tc>
          <w:tcPr>
            <w:tcW w:w="56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产品 类型</w:t>
            </w:r>
          </w:p>
        </w:tc>
        <w:tc>
          <w:tcPr>
            <w:tcW w:w="56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8" w:right="97"/>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85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0" w:right="59" w:hanging="180"/>
              <w:jc w:val="left"/>
              <w:rPr>
                <w:rFonts w:ascii="宋体" w:hAnsi="宋体" w:cs="宋体" w:eastAsia="宋体" w:hint="default"/>
                <w:sz w:val="18"/>
                <w:szCs w:val="18"/>
              </w:rPr>
            </w:pPr>
            <w:r>
              <w:rPr>
                <w:rFonts w:ascii="宋体" w:hAnsi="宋体" w:cs="宋体" w:eastAsia="宋体" w:hint="default"/>
                <w:sz w:val="18"/>
                <w:szCs w:val="18"/>
              </w:rPr>
              <w:t>本期投资 盈亏</w:t>
            </w:r>
          </w:p>
        </w:tc>
        <w:tc>
          <w:tcPr>
            <w:tcW w:w="56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是否 涉诉</w:t>
            </w:r>
          </w:p>
        </w:tc>
        <w:tc>
          <w:tcPr>
            <w:tcW w:w="85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披露日期</w:t>
            </w:r>
          </w:p>
          <w:p>
            <w:pPr>
              <w:pStyle w:val="TableParagraph"/>
              <w:spacing w:line="240" w:lineRule="auto" w:before="76"/>
              <w:ind w:left="60"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1059"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44" w:right="11" w:hanging="322"/>
              <w:jc w:val="left"/>
              <w:rPr>
                <w:rFonts w:ascii="宋体" w:hAnsi="宋体" w:cs="宋体" w:eastAsia="宋体" w:hint="default"/>
                <w:sz w:val="18"/>
                <w:szCs w:val="18"/>
              </w:rPr>
            </w:pPr>
            <w:r>
              <w:rPr>
                <w:rFonts w:ascii="宋体" w:hAnsi="宋体" w:cs="宋体" w:eastAsia="宋体" w:hint="default"/>
                <w:spacing w:val="-13"/>
                <w:sz w:val="18"/>
                <w:szCs w:val="18"/>
              </w:rPr>
              <w:t>披露索引（如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w:t>
            </w:r>
          </w:p>
        </w:tc>
      </w:tr>
      <w:tr>
        <w:trPr>
          <w:trHeight w:val="1805" w:hRule="exact"/>
        </w:trPr>
        <w:tc>
          <w:tcPr>
            <w:tcW w:w="69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3" w:right="119"/>
              <w:jc w:val="left"/>
              <w:rPr>
                <w:rFonts w:ascii="宋体" w:hAnsi="宋体" w:cs="宋体" w:eastAsia="宋体" w:hint="default"/>
                <w:sz w:val="18"/>
                <w:szCs w:val="18"/>
              </w:rPr>
            </w:pPr>
            <w:r>
              <w:rPr>
                <w:rFonts w:ascii="宋体" w:hAnsi="宋体" w:cs="宋体" w:eastAsia="宋体" w:hint="default"/>
                <w:sz w:val="18"/>
                <w:szCs w:val="18"/>
              </w:rPr>
              <w:t>雪城软 件</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316" w:lineRule="auto"/>
              <w:ind w:left="23" w:right="-8"/>
              <w:jc w:val="both"/>
              <w:rPr>
                <w:rFonts w:ascii="宋体" w:hAnsi="宋体" w:cs="宋体" w:eastAsia="宋体" w:hint="default"/>
                <w:sz w:val="18"/>
                <w:szCs w:val="18"/>
              </w:rPr>
            </w:pPr>
            <w:r>
              <w:rPr>
                <w:rFonts w:ascii="宋体" w:hAnsi="宋体" w:cs="宋体" w:eastAsia="宋体" w:hint="default"/>
                <w:spacing w:val="22"/>
                <w:sz w:val="18"/>
                <w:szCs w:val="18"/>
              </w:rPr>
              <w:t>环保信息</w:t>
            </w:r>
            <w:r>
              <w:rPr>
                <w:rFonts w:ascii="宋体" w:hAnsi="宋体" w:cs="宋体" w:eastAsia="宋体" w:hint="default"/>
                <w:spacing w:val="-88"/>
                <w:sz w:val="18"/>
                <w:szCs w:val="18"/>
              </w:rPr>
              <w:t> </w:t>
            </w:r>
            <w:r>
              <w:rPr>
                <w:rFonts w:ascii="宋体" w:hAnsi="宋体" w:cs="宋体" w:eastAsia="宋体" w:hint="default"/>
                <w:spacing w:val="22"/>
                <w:sz w:val="18"/>
                <w:szCs w:val="18"/>
              </w:rPr>
              <w:t>化软件研</w:t>
            </w:r>
            <w:r>
              <w:rPr>
                <w:rFonts w:ascii="宋体" w:hAnsi="宋体" w:cs="宋体" w:eastAsia="宋体" w:hint="default"/>
                <w:spacing w:val="-88"/>
                <w:sz w:val="18"/>
                <w:szCs w:val="18"/>
              </w:rPr>
              <w:t> </w:t>
            </w:r>
            <w:r>
              <w:rPr>
                <w:rFonts w:ascii="宋体" w:hAnsi="宋体" w:cs="宋体" w:eastAsia="宋体" w:hint="default"/>
                <w:spacing w:val="22"/>
                <w:sz w:val="18"/>
                <w:szCs w:val="18"/>
              </w:rPr>
              <w:t>发和数据</w:t>
            </w:r>
            <w:r>
              <w:rPr>
                <w:rFonts w:ascii="宋体" w:hAnsi="宋体" w:cs="宋体" w:eastAsia="宋体" w:hint="default"/>
                <w:spacing w:val="-88"/>
                <w:sz w:val="18"/>
                <w:szCs w:val="18"/>
              </w:rPr>
              <w:t> </w:t>
            </w:r>
            <w:r>
              <w:rPr>
                <w:rFonts w:ascii="宋体" w:hAnsi="宋体" w:cs="宋体" w:eastAsia="宋体" w:hint="default"/>
                <w:sz w:val="18"/>
                <w:szCs w:val="18"/>
              </w:rPr>
              <w:t>采集服务</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收购</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19,528,70</w:t>
            </w:r>
          </w:p>
          <w:p>
            <w:pPr>
              <w:pStyle w:val="TableParagraph"/>
              <w:spacing w:line="240" w:lineRule="auto" w:before="105"/>
              <w:ind w:left="502" w:right="0"/>
              <w:jc w:val="lef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 w:right="2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88" w:right="96" w:hanging="90"/>
              <w:jc w:val="left"/>
              <w:rPr>
                <w:rFonts w:ascii="宋体" w:hAnsi="宋体" w:cs="宋体" w:eastAsia="宋体" w:hint="default"/>
                <w:sz w:val="18"/>
                <w:szCs w:val="18"/>
              </w:rPr>
            </w:pPr>
            <w:r>
              <w:rPr>
                <w:rFonts w:ascii="宋体" w:hAnsi="宋体" w:cs="宋体" w:eastAsia="宋体" w:hint="default"/>
                <w:sz w:val="18"/>
                <w:szCs w:val="18"/>
              </w:rPr>
              <w:t>施晓 雯</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长期</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88" w:right="96" w:hanging="90"/>
              <w:jc w:val="left"/>
              <w:rPr>
                <w:rFonts w:ascii="宋体" w:hAnsi="宋体" w:cs="宋体" w:eastAsia="宋体" w:hint="default"/>
                <w:sz w:val="18"/>
                <w:szCs w:val="18"/>
              </w:rPr>
            </w:pPr>
            <w:r>
              <w:rPr>
                <w:rFonts w:ascii="宋体" w:hAnsi="宋体" w:cs="宋体" w:eastAsia="宋体" w:hint="default"/>
                <w:sz w:val="18"/>
                <w:szCs w:val="18"/>
              </w:rPr>
              <w:t>不适 用</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88" w:right="97" w:hanging="90"/>
              <w:jc w:val="left"/>
              <w:rPr>
                <w:rFonts w:ascii="宋体" w:hAnsi="宋体" w:cs="宋体" w:eastAsia="宋体" w:hint="default"/>
                <w:sz w:val="18"/>
                <w:szCs w:val="18"/>
              </w:rPr>
            </w:pPr>
            <w:r>
              <w:rPr>
                <w:rFonts w:ascii="宋体" w:hAnsi="宋体" w:cs="宋体" w:eastAsia="宋体" w:hint="default"/>
                <w:sz w:val="18"/>
                <w:szCs w:val="18"/>
              </w:rPr>
              <w:t>不适 用</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2,188,580.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24</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9" w:type="dxa"/>
            <w:tcBorders>
              <w:top w:val="single" w:sz="4" w:space="0" w:color="000000"/>
              <w:left w:val="single" w:sz="4" w:space="0" w:color="000000"/>
              <w:bottom w:val="single" w:sz="4" w:space="0" w:color="000000"/>
              <w:right w:val="single" w:sz="12" w:space="0" w:color="000000"/>
            </w:tcBorders>
          </w:tcPr>
          <w:p>
            <w:pPr>
              <w:pStyle w:val="TableParagraph"/>
              <w:spacing w:line="336" w:lineRule="auto" w:before="129"/>
              <w:ind w:left="22" w:right="83"/>
              <w:jc w:val="both"/>
              <w:rPr>
                <w:rFonts w:ascii="宋体" w:hAnsi="宋体" w:cs="宋体" w:eastAsia="宋体" w:hint="default"/>
                <w:sz w:val="18"/>
                <w:szCs w:val="18"/>
              </w:rPr>
            </w:pPr>
            <w:r>
              <w:rPr>
                <w:rFonts w:ascii="宋体" w:hAnsi="宋体" w:cs="宋体" w:eastAsia="宋体" w:hint="default"/>
                <w:sz w:val="18"/>
                <w:szCs w:val="18"/>
              </w:rPr>
              <w:t>巨潮资讯网 </w:t>
            </w:r>
            <w:r>
              <w:rPr>
                <w:rFonts w:ascii="Times New Roman" w:hAnsi="Times New Roman" w:cs="Times New Roman" w:eastAsia="Times New Roman" w:hint="default"/>
                <w:sz w:val="18"/>
                <w:szCs w:val="18"/>
              </w:rPr>
              <w:t>www.cninfo. com.cn,</w:t>
            </w:r>
            <w:r>
              <w:rPr>
                <w:rFonts w:ascii="宋体" w:hAnsi="宋体" w:cs="宋体" w:eastAsia="宋体" w:hint="default"/>
                <w:sz w:val="18"/>
                <w:szCs w:val="18"/>
              </w:rPr>
              <w:t>公告</w:t>
            </w:r>
          </w:p>
          <w:p>
            <w:pPr>
              <w:pStyle w:val="TableParagraph"/>
              <w:spacing w:line="219" w:lineRule="exact"/>
              <w:ind w:left="22" w:right="0"/>
              <w:jc w:val="both"/>
              <w:rPr>
                <w:rFonts w:ascii="宋体" w:hAnsi="宋体" w:cs="宋体" w:eastAsia="宋体" w:hint="default"/>
                <w:sz w:val="18"/>
                <w:szCs w:val="18"/>
              </w:rPr>
            </w:pPr>
            <w:r>
              <w:rPr>
                <w:rFonts w:ascii="宋体" w:hAnsi="宋体" w:cs="宋体" w:eastAsia="宋体" w:hint="default"/>
                <w:sz w:val="18"/>
                <w:szCs w:val="18"/>
              </w:rPr>
              <w:t>编号为</w:t>
            </w:r>
          </w:p>
          <w:p>
            <w:pPr>
              <w:pStyle w:val="TableParagraph"/>
              <w:spacing w:line="240" w:lineRule="auto" w:before="117"/>
              <w:ind w:left="22" w:right="0"/>
              <w:jc w:val="both"/>
              <w:rPr>
                <w:rFonts w:ascii="Times New Roman" w:hAnsi="Times New Roman" w:cs="Times New Roman" w:eastAsia="Times New Roman" w:hint="default"/>
                <w:sz w:val="18"/>
                <w:szCs w:val="18"/>
              </w:rPr>
            </w:pPr>
            <w:r>
              <w:rPr>
                <w:rFonts w:ascii="Times New Roman"/>
                <w:sz w:val="18"/>
              </w:rPr>
              <w:t>2017-069</w:t>
            </w:r>
          </w:p>
        </w:tc>
      </w:tr>
      <w:tr>
        <w:trPr>
          <w:trHeight w:val="874" w:hRule="exact"/>
        </w:trPr>
        <w:tc>
          <w:tcPr>
            <w:tcW w:w="695"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6"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19,528,70</w:t>
            </w:r>
          </w:p>
          <w:p>
            <w:pPr>
              <w:pStyle w:val="TableParagraph"/>
              <w:spacing w:line="240" w:lineRule="auto" w:before="105"/>
              <w:ind w:left="502" w:right="0"/>
              <w:jc w:val="lef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426"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single" w:sz="12" w:space="0" w:color="000000"/>
              <w:right w:val="single" w:sz="4" w:space="0" w:color="000000"/>
            </w:tcBorders>
          </w:tcPr>
          <w:p>
            <w:pPr>
              <w:pStyle w:val="TableParagraph"/>
              <w:spacing w:line="316" w:lineRule="auto" w:before="127"/>
              <w:ind w:left="353" w:right="23" w:hanging="180"/>
              <w:jc w:val="left"/>
              <w:rPr>
                <w:rFonts w:ascii="宋体" w:hAnsi="宋体" w:cs="宋体" w:eastAsia="宋体" w:hint="default"/>
                <w:sz w:val="18"/>
                <w:szCs w:val="18"/>
              </w:rPr>
            </w:pPr>
            <w:r>
              <w:rPr>
                <w:rFonts w:ascii="宋体" w:hAnsi="宋体" w:cs="宋体" w:eastAsia="宋体" w:hint="default"/>
                <w:sz w:val="18"/>
                <w:szCs w:val="18"/>
              </w:rPr>
              <w:t>不适 用</w:t>
            </w:r>
          </w:p>
        </w:tc>
        <w:tc>
          <w:tcPr>
            <w:tcW w:w="8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2,188,580.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24</w:t>
            </w:r>
          </w:p>
        </w:tc>
        <w:tc>
          <w:tcPr>
            <w:tcW w:w="566"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059" w:type="dxa"/>
            <w:tcBorders>
              <w:top w:val="single" w:sz="4" w:space="0" w:color="000000"/>
              <w:left w:val="single" w:sz="4" w:space="0" w:color="000000"/>
              <w:bottom w:val="single" w:sz="12" w:space="0" w:color="000000"/>
              <w:right w:val="single" w:sz="12"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3、报告期内正在进行的重大的非股权投资情况" w:id="48"/>
      <w:bookmarkEnd w:id="48"/>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3"/>
        <w:rPr>
          <w:rFonts w:ascii="宋体" w:hAnsi="宋体" w:cs="宋体" w:eastAsia="宋体" w:hint="default"/>
          <w:b/>
          <w:bCs/>
          <w:sz w:val="23"/>
          <w:szCs w:val="23"/>
        </w:rPr>
      </w:pPr>
    </w:p>
    <w:p>
      <w:pPr>
        <w:spacing w:before="44"/>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18" w:type="dxa"/>
        <w:tblLayout w:type="fixed"/>
        <w:tblCellMar>
          <w:top w:w="0" w:type="dxa"/>
          <w:left w:w="0" w:type="dxa"/>
          <w:bottom w:w="0" w:type="dxa"/>
          <w:right w:w="0" w:type="dxa"/>
        </w:tblCellMar>
        <w:tblLook w:val="01E0"/>
      </w:tblPr>
      <w:tblGrid>
        <w:gridCol w:w="710"/>
        <w:gridCol w:w="566"/>
        <w:gridCol w:w="709"/>
        <w:gridCol w:w="709"/>
        <w:gridCol w:w="850"/>
        <w:gridCol w:w="993"/>
        <w:gridCol w:w="568"/>
        <w:gridCol w:w="566"/>
        <w:gridCol w:w="568"/>
        <w:gridCol w:w="993"/>
        <w:gridCol w:w="1036"/>
        <w:gridCol w:w="652"/>
        <w:gridCol w:w="651"/>
      </w:tblGrid>
      <w:tr>
        <w:trPr>
          <w:trHeight w:val="1036" w:hRule="exact"/>
        </w:trPr>
        <w:tc>
          <w:tcPr>
            <w:tcW w:w="710"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9" w:right="78"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56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709"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0" w:right="77"/>
              <w:jc w:val="both"/>
              <w:rPr>
                <w:rFonts w:ascii="宋体" w:hAnsi="宋体" w:cs="宋体" w:eastAsia="宋体" w:hint="default"/>
                <w:sz w:val="18"/>
                <w:szCs w:val="18"/>
              </w:rPr>
            </w:pPr>
            <w:r>
              <w:rPr>
                <w:rFonts w:ascii="宋体" w:hAnsi="宋体" w:cs="宋体" w:eastAsia="宋体" w:hint="default"/>
                <w:sz w:val="18"/>
                <w:szCs w:val="18"/>
              </w:rPr>
              <w:t>是否为 固定资 产投资</w:t>
            </w:r>
          </w:p>
        </w:tc>
        <w:tc>
          <w:tcPr>
            <w:tcW w:w="709"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9" w:right="78"/>
              <w:jc w:val="both"/>
              <w:rPr>
                <w:rFonts w:ascii="宋体" w:hAnsi="宋体" w:cs="宋体" w:eastAsia="宋体" w:hint="default"/>
                <w:sz w:val="18"/>
                <w:szCs w:val="18"/>
              </w:rPr>
            </w:pPr>
            <w:r>
              <w:rPr>
                <w:rFonts w:ascii="宋体" w:hAnsi="宋体" w:cs="宋体" w:eastAsia="宋体" w:hint="default"/>
                <w:sz w:val="18"/>
                <w:szCs w:val="18"/>
              </w:rPr>
              <w:t>投资项 目涉及 行业</w:t>
            </w:r>
          </w:p>
        </w:tc>
        <w:tc>
          <w:tcPr>
            <w:tcW w:w="85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9" w:right="59"/>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99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2" w:right="39"/>
              <w:jc w:val="both"/>
              <w:rPr>
                <w:rFonts w:ascii="宋体" w:hAnsi="宋体" w:cs="宋体" w:eastAsia="宋体" w:hint="default"/>
                <w:sz w:val="18"/>
                <w:szCs w:val="18"/>
              </w:rPr>
            </w:pPr>
            <w:r>
              <w:rPr>
                <w:rFonts w:ascii="宋体" w:hAnsi="宋体" w:cs="宋体" w:eastAsia="宋体" w:hint="default"/>
                <w:sz w:val="18"/>
                <w:szCs w:val="18"/>
              </w:rPr>
              <w:t>截至报告期 末累计实际 投入金额</w:t>
            </w:r>
          </w:p>
        </w:tc>
        <w:tc>
          <w:tcPr>
            <w:tcW w:w="56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8" w:right="97"/>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56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项目 进度</w:t>
            </w:r>
          </w:p>
        </w:tc>
        <w:tc>
          <w:tcPr>
            <w:tcW w:w="56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8" w:right="97"/>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99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0" w:right="40"/>
              <w:jc w:val="center"/>
              <w:rPr>
                <w:rFonts w:ascii="宋体" w:hAnsi="宋体" w:cs="宋体" w:eastAsia="宋体" w:hint="default"/>
                <w:sz w:val="18"/>
                <w:szCs w:val="18"/>
              </w:rPr>
            </w:pPr>
            <w:r>
              <w:rPr>
                <w:rFonts w:ascii="宋体" w:hAnsi="宋体" w:cs="宋体" w:eastAsia="宋体" w:hint="default"/>
                <w:sz w:val="18"/>
                <w:szCs w:val="18"/>
              </w:rPr>
              <w:t>截止报告期 末累计实现 的收益</w:t>
            </w:r>
          </w:p>
        </w:tc>
        <w:tc>
          <w:tcPr>
            <w:tcW w:w="103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2" w:right="61"/>
              <w:jc w:val="both"/>
              <w:rPr>
                <w:rFonts w:ascii="宋体" w:hAnsi="宋体" w:cs="宋体" w:eastAsia="宋体" w:hint="default"/>
                <w:sz w:val="18"/>
                <w:szCs w:val="18"/>
              </w:rPr>
            </w:pPr>
            <w:r>
              <w:rPr>
                <w:rFonts w:ascii="宋体" w:hAnsi="宋体" w:cs="宋体" w:eastAsia="宋体" w:hint="default"/>
                <w:sz w:val="18"/>
                <w:szCs w:val="18"/>
              </w:rPr>
              <w:t>未达到计划 进度和预计 收益的原因</w:t>
            </w:r>
          </w:p>
        </w:tc>
        <w:tc>
          <w:tcPr>
            <w:tcW w:w="652"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0" w:right="49"/>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51"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316" w:lineRule="auto" w:before="51"/>
              <w:ind w:left="50" w:right="38"/>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2898" w:hRule="exact"/>
        </w:trPr>
        <w:tc>
          <w:tcPr>
            <w:tcW w:w="710" w:type="dxa"/>
            <w:tcBorders>
              <w:top w:val="single" w:sz="4" w:space="0" w:color="000000"/>
              <w:left w:val="single" w:sz="12" w:space="0" w:color="000000"/>
              <w:bottom w:val="single" w:sz="4" w:space="0" w:color="000000"/>
              <w:right w:val="single" w:sz="9"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3" w:right="-39"/>
              <w:jc w:val="both"/>
              <w:rPr>
                <w:rFonts w:ascii="宋体" w:hAnsi="宋体" w:cs="宋体" w:eastAsia="宋体" w:hint="default"/>
                <w:sz w:val="18"/>
                <w:szCs w:val="18"/>
              </w:rPr>
            </w:pPr>
            <w:r>
              <w:rPr>
                <w:rFonts w:ascii="宋体" w:hAnsi="宋体" w:cs="宋体" w:eastAsia="宋体" w:hint="default"/>
                <w:spacing w:val="37"/>
                <w:sz w:val="18"/>
                <w:szCs w:val="18"/>
              </w:rPr>
              <w:t>郑州高</w:t>
            </w:r>
            <w:r>
              <w:rPr>
                <w:rFonts w:ascii="宋体" w:hAnsi="宋体" w:cs="宋体" w:eastAsia="宋体" w:hint="default"/>
                <w:spacing w:val="-34"/>
                <w:sz w:val="18"/>
                <w:szCs w:val="18"/>
              </w:rPr>
              <w:t> </w:t>
            </w:r>
            <w:r>
              <w:rPr>
                <w:rFonts w:ascii="宋体" w:hAnsi="宋体" w:cs="宋体" w:eastAsia="宋体" w:hint="default"/>
                <w:spacing w:val="37"/>
                <w:sz w:val="18"/>
                <w:szCs w:val="18"/>
              </w:rPr>
              <w:t>新第二</w:t>
            </w:r>
            <w:r>
              <w:rPr>
                <w:rFonts w:ascii="宋体" w:hAnsi="宋体" w:cs="宋体" w:eastAsia="宋体" w:hint="default"/>
                <w:spacing w:val="-34"/>
                <w:sz w:val="18"/>
                <w:szCs w:val="18"/>
              </w:rPr>
              <w:t> </w:t>
            </w:r>
            <w:r>
              <w:rPr>
                <w:rFonts w:ascii="宋体" w:hAnsi="宋体" w:cs="宋体" w:eastAsia="宋体" w:hint="default"/>
                <w:spacing w:val="37"/>
                <w:sz w:val="18"/>
                <w:szCs w:val="18"/>
              </w:rPr>
              <w:t>水厂工</w:t>
            </w:r>
            <w:r>
              <w:rPr>
                <w:rFonts w:ascii="宋体" w:hAnsi="宋体" w:cs="宋体" w:eastAsia="宋体" w:hint="default"/>
                <w:spacing w:val="-34"/>
                <w:sz w:val="18"/>
                <w:szCs w:val="18"/>
              </w:rPr>
              <w:t> </w:t>
            </w:r>
            <w:r>
              <w:rPr>
                <w:rFonts w:ascii="宋体" w:hAnsi="宋体" w:cs="宋体" w:eastAsia="宋体" w:hint="default"/>
                <w:sz w:val="18"/>
                <w:szCs w:val="18"/>
              </w:rPr>
              <w:t>程项目</w:t>
            </w:r>
          </w:p>
        </w:tc>
        <w:tc>
          <w:tcPr>
            <w:tcW w:w="566" w:type="dxa"/>
            <w:tcBorders>
              <w:top w:val="single" w:sz="4" w:space="0" w:color="000000"/>
              <w:left w:val="single" w:sz="9" w:space="0" w:color="FFFFFF"/>
              <w:bottom w:val="single" w:sz="4" w:space="0" w:color="000000"/>
              <w:right w:val="single" w:sz="4" w:space="0" w:color="000000"/>
            </w:tcBorders>
          </w:tcPr>
          <w:p>
            <w:pPr>
              <w:pStyle w:val="TableParagraph"/>
              <w:spacing w:line="1248" w:lineRule="exact"/>
              <w:ind w:left="-7" w:right="-51"/>
              <w:jc w:val="left"/>
              <w:rPr>
                <w:rFonts w:ascii="宋体" w:hAnsi="宋体" w:cs="宋体" w:eastAsia="宋体" w:hint="default"/>
                <w:sz w:val="20"/>
                <w:szCs w:val="20"/>
              </w:rPr>
            </w:pPr>
            <w:r>
              <w:rPr>
                <w:rFonts w:ascii="宋体" w:hAnsi="宋体" w:cs="宋体" w:eastAsia="宋体" w:hint="default"/>
                <w:position w:val="-24"/>
                <w:sz w:val="20"/>
                <w:szCs w:val="20"/>
              </w:rPr>
              <w:pict>
                <v:group style="width:27.85pt;height:62.45pt;mso-position-horizontal-relative:char;mso-position-vertical-relative:line" coordorigin="0,0" coordsize="557,1249">
                  <v:group style="position:absolute;left:0;top:0;width:557;height:1249" coordorigin="0,0" coordsize="557,1249">
                    <v:shape style="position:absolute;left:0;top:0;width:557;height:1249" coordorigin="0,0" coordsize="557,1249" path="m0,1248l557,1248,557,0,0,0,0,1248xe" filled="true" fillcolor="#ffffff" stroked="false">
                      <v:path arrowok="t"/>
                      <v:fill type="solid"/>
                    </v:shape>
                  </v:group>
                </v:group>
              </w:pict>
            </w:r>
            <w:r>
              <w:rPr>
                <w:rFonts w:ascii="宋体" w:hAnsi="宋体" w:cs="宋体" w:eastAsia="宋体" w:hint="default"/>
                <w:position w:val="-24"/>
                <w:sz w:val="20"/>
                <w:szCs w:val="20"/>
              </w:rPr>
            </w:r>
          </w:p>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自建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6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59" w:right="78" w:hanging="180"/>
              <w:jc w:val="left"/>
              <w:rPr>
                <w:rFonts w:ascii="宋体" w:hAnsi="宋体" w:cs="宋体" w:eastAsia="宋体" w:hint="default"/>
                <w:sz w:val="18"/>
                <w:szCs w:val="18"/>
              </w:rPr>
            </w:pPr>
            <w:r>
              <w:rPr>
                <w:rFonts w:ascii="宋体" w:hAnsi="宋体" w:cs="宋体" w:eastAsia="宋体" w:hint="default"/>
                <w:sz w:val="18"/>
                <w:szCs w:val="18"/>
              </w:rPr>
              <w:t>公用事 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73,345,90</w:t>
            </w:r>
          </w:p>
          <w:p>
            <w:pPr>
              <w:pStyle w:val="TableParagraph"/>
              <w:spacing w:line="240" w:lineRule="auto" w:before="105"/>
              <w:ind w:left="502" w:right="0"/>
              <w:jc w:val="left"/>
              <w:rPr>
                <w:rFonts w:ascii="Times New Roman" w:hAnsi="Times New Roman" w:cs="Times New Roman" w:eastAsia="Times New Roman" w:hint="default"/>
                <w:sz w:val="18"/>
                <w:szCs w:val="18"/>
              </w:rPr>
            </w:pPr>
            <w:r>
              <w:rPr>
                <w:rFonts w:ascii="Times New Roman"/>
                <w:sz w:val="18"/>
              </w:rPr>
              <w:t>9.77</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73,345,909.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77</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98" w:right="97"/>
              <w:jc w:val="both"/>
              <w:rPr>
                <w:rFonts w:ascii="宋体" w:hAnsi="宋体" w:cs="宋体" w:eastAsia="宋体" w:hint="default"/>
                <w:sz w:val="18"/>
                <w:szCs w:val="18"/>
              </w:rPr>
            </w:pPr>
            <w:r>
              <w:rPr>
                <w:rFonts w:ascii="宋体" w:hAnsi="宋体" w:cs="宋体" w:eastAsia="宋体" w:hint="default"/>
                <w:sz w:val="18"/>
                <w:szCs w:val="18"/>
              </w:rPr>
              <w:t>自筹 资金 及其 他方 式</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188" w:right="97" w:hanging="90"/>
              <w:jc w:val="left"/>
              <w:rPr>
                <w:rFonts w:ascii="宋体" w:hAnsi="宋体" w:cs="宋体" w:eastAsia="宋体" w:hint="default"/>
                <w:sz w:val="18"/>
                <w:szCs w:val="18"/>
              </w:rPr>
            </w:pPr>
            <w:r>
              <w:rPr>
                <w:rFonts w:ascii="宋体" w:hAnsi="宋体" w:cs="宋体" w:eastAsia="宋体" w:hint="default"/>
                <w:sz w:val="18"/>
                <w:szCs w:val="18"/>
              </w:rPr>
              <w:t>不适 用</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4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51" w:type="dxa"/>
            <w:tcBorders>
              <w:top w:val="single" w:sz="4" w:space="0" w:color="000000"/>
              <w:left w:val="single" w:sz="4" w:space="0" w:color="000000"/>
              <w:bottom w:val="single" w:sz="4" w:space="0" w:color="000000"/>
              <w:right w:val="single" w:sz="12" w:space="0" w:color="000000"/>
            </w:tcBorders>
          </w:tcPr>
          <w:p>
            <w:pPr>
              <w:pStyle w:val="TableParagraph"/>
              <w:spacing w:line="338" w:lineRule="auto" w:before="51"/>
              <w:ind w:left="22" w:right="14"/>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 讯网 </w:t>
            </w:r>
            <w:r>
              <w:rPr>
                <w:rFonts w:ascii="Times New Roman" w:hAnsi="Times New Roman" w:cs="Times New Roman" w:eastAsia="Times New Roman" w:hint="default"/>
                <w:spacing w:val="-3"/>
                <w:sz w:val="18"/>
                <w:szCs w:val="18"/>
              </w:rPr>
              <w:t>www.cn</w:t>
            </w:r>
          </w:p>
          <w:p>
            <w:pPr>
              <w:pStyle w:val="TableParagraph"/>
              <w:spacing w:line="312" w:lineRule="auto" w:before="23"/>
              <w:ind w:left="22" w:right="25"/>
              <w:jc w:val="left"/>
              <w:rPr>
                <w:rFonts w:ascii="宋体" w:hAnsi="宋体" w:cs="宋体" w:eastAsia="宋体" w:hint="default"/>
                <w:sz w:val="18"/>
                <w:szCs w:val="18"/>
              </w:rPr>
            </w:pPr>
            <w:r>
              <w:rPr>
                <w:rFonts w:ascii="Times New Roman" w:hAnsi="Times New Roman" w:cs="Times New Roman" w:eastAsia="Times New Roman" w:hint="default"/>
                <w:sz w:val="18"/>
                <w:szCs w:val="18"/>
              </w:rPr>
              <w:t>info.co</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m.cn,</w:t>
            </w:r>
            <w:r>
              <w:rPr>
                <w:rFonts w:ascii="宋体" w:hAnsi="宋体" w:cs="宋体" w:eastAsia="宋体" w:hint="default"/>
                <w:sz w:val="18"/>
                <w:szCs w:val="18"/>
              </w:rPr>
              <w:t>公</w:t>
            </w:r>
            <w:r>
              <w:rPr>
                <w:rFonts w:ascii="宋体" w:hAnsi="宋体" w:cs="宋体" w:eastAsia="宋体" w:hint="default"/>
                <w:w w:val="99"/>
                <w:sz w:val="18"/>
                <w:szCs w:val="18"/>
              </w:rPr>
              <w:t> </w:t>
            </w:r>
            <w:r>
              <w:rPr>
                <w:rFonts w:ascii="宋体" w:hAnsi="宋体" w:cs="宋体" w:eastAsia="宋体" w:hint="default"/>
                <w:sz w:val="18"/>
                <w:szCs w:val="18"/>
              </w:rPr>
              <w:t>告编号</w:t>
            </w:r>
            <w:r>
              <w:rPr>
                <w:rFonts w:ascii="宋体" w:hAnsi="宋体" w:cs="宋体" w:eastAsia="宋体" w:hint="default"/>
                <w:w w:val="99"/>
                <w:sz w:val="18"/>
                <w:szCs w:val="18"/>
              </w:rPr>
              <w:t> </w:t>
            </w:r>
            <w:r>
              <w:rPr>
                <w:rFonts w:ascii="宋体" w:hAnsi="宋体" w:cs="宋体" w:eastAsia="宋体" w:hint="default"/>
                <w:sz w:val="18"/>
                <w:szCs w:val="18"/>
              </w:rPr>
              <w:t>为</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sz w:val="18"/>
              </w:rPr>
              <w:t>2017-0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08</w:t>
            </w:r>
          </w:p>
        </w:tc>
      </w:tr>
      <w:tr>
        <w:trPr>
          <w:trHeight w:val="724" w:hRule="exact"/>
        </w:trPr>
        <w:tc>
          <w:tcPr>
            <w:tcW w:w="710"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66"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left="97" w:right="0"/>
              <w:jc w:val="left"/>
              <w:rPr>
                <w:rFonts w:ascii="Times New Roman" w:hAnsi="Times New Roman" w:cs="Times New Roman" w:eastAsia="Times New Roman" w:hint="default"/>
                <w:sz w:val="18"/>
                <w:szCs w:val="18"/>
              </w:rPr>
            </w:pPr>
            <w:r>
              <w:rPr>
                <w:rFonts w:ascii="Times New Roman"/>
                <w:sz w:val="18"/>
              </w:rPr>
              <w:t>73,345,90</w:t>
            </w:r>
          </w:p>
          <w:p>
            <w:pPr>
              <w:pStyle w:val="TableParagraph"/>
              <w:spacing w:line="240" w:lineRule="auto" w:before="105"/>
              <w:ind w:left="502" w:right="0"/>
              <w:jc w:val="left"/>
              <w:rPr>
                <w:rFonts w:ascii="Times New Roman" w:hAnsi="Times New Roman" w:cs="Times New Roman" w:eastAsia="Times New Roman" w:hint="default"/>
                <w:sz w:val="18"/>
                <w:szCs w:val="18"/>
              </w:rPr>
            </w:pPr>
            <w:r>
              <w:rPr>
                <w:rFonts w:ascii="Times New Roman"/>
                <w:sz w:val="18"/>
              </w:rPr>
              <w:t>9.77</w:t>
            </w:r>
          </w:p>
        </w:tc>
        <w:tc>
          <w:tcPr>
            <w:tcW w:w="9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73,345,909.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77</w:t>
            </w:r>
          </w:p>
        </w:tc>
        <w:tc>
          <w:tcPr>
            <w:tcW w:w="568"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single" w:sz="12" w:space="0" w:color="000000"/>
              <w:right w:val="single" w:sz="4" w:space="0" w:color="000000"/>
            </w:tcBorders>
          </w:tcPr>
          <w:p>
            <w:pPr>
              <w:pStyle w:val="TableParagraph"/>
              <w:spacing w:line="316" w:lineRule="auto" w:before="51"/>
              <w:ind w:left="188" w:right="97" w:hanging="90"/>
              <w:jc w:val="left"/>
              <w:rPr>
                <w:rFonts w:ascii="宋体" w:hAnsi="宋体" w:cs="宋体" w:eastAsia="宋体" w:hint="default"/>
                <w:sz w:val="18"/>
                <w:szCs w:val="18"/>
              </w:rPr>
            </w:pPr>
            <w:r>
              <w:rPr>
                <w:rFonts w:ascii="宋体" w:hAnsi="宋体" w:cs="宋体" w:eastAsia="宋体" w:hint="default"/>
                <w:sz w:val="18"/>
                <w:szCs w:val="18"/>
              </w:rPr>
              <w:t>不适 用</w:t>
            </w:r>
          </w:p>
        </w:tc>
        <w:tc>
          <w:tcPr>
            <w:tcW w:w="9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036"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2" w:right="0"/>
              <w:jc w:val="left"/>
              <w:rPr>
                <w:rFonts w:ascii="Times New Roman" w:hAnsi="Times New Roman" w:cs="Times New Roman" w:eastAsia="Times New Roman" w:hint="default"/>
                <w:sz w:val="18"/>
                <w:szCs w:val="18"/>
              </w:rPr>
            </w:pPr>
            <w:r>
              <w:rPr>
                <w:rFonts w:ascii="Times New Roman"/>
                <w:sz w:val="18"/>
              </w:rPr>
              <w:t>--</w:t>
            </w:r>
          </w:p>
        </w:tc>
        <w:tc>
          <w:tcPr>
            <w:tcW w:w="652"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51" w:type="dxa"/>
            <w:tcBorders>
              <w:top w:val="single" w:sz="4" w:space="0" w:color="000000"/>
              <w:left w:val="single" w:sz="4" w:space="0" w:color="000000"/>
              <w:bottom w:val="single" w:sz="12" w:space="0" w:color="000000"/>
              <w:right w:val="single" w:sz="12"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r>
        <w:rPr/>
        <w:pict>
          <v:group style="position:absolute;margin-left:92.419998pt;margin-top:-112.166336pt;width:27.85pt;height:62.4pt;mso-position-horizontal-relative:page;mso-position-vertical-relative:paragraph;z-index:-971680" coordorigin="1848,-2243" coordsize="557,1248">
            <v:shape style="position:absolute;left:1848;top:-2243;width:557;height:1248" coordorigin="1848,-2243" coordsize="557,1248" path="m1848,-995l2405,-995,2405,-2243,1848,-2243,1848,-995xe" filled="true" fillcolor="#ffffff" stroked="false">
              <v:path arrowok="t"/>
              <v:fill type="solid"/>
            </v:shape>
            <w10:wrap type="none"/>
          </v:group>
        </w:pict>
      </w:r>
      <w:bookmarkStart w:name="4、以公允价值计量的金融资产" w:id="49"/>
      <w:bookmarkEnd w:id="49"/>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5、募集资金使用情况" w:id="50"/>
      <w:bookmarkEnd w:id="50"/>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13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公司报告期无募集资金使用情况。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六、重大资产和股权出售" w:id="51"/>
      <w:bookmarkEnd w:id="51"/>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出售重大资产情况" w:id="52"/>
      <w:bookmarkEnd w:id="52"/>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13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公司报告期未出售重大资产。</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bookmarkStart w:name="2、出售重大股权情况" w:id="53"/>
      <w:bookmarkEnd w:id="53"/>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七、主要控股参股公司分析" w:id="54"/>
      <w:bookmarkEnd w:id="54"/>
      <w:r>
        <w:rPr>
          <w:b w:val="0"/>
          <w:bCs w:val="0"/>
        </w:rPr>
      </w:r>
      <w:r>
        <w:rPr/>
        <w:t>七、主要控股参股公司分析</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6"/>
          <w:szCs w:val="1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18" w:type="dxa"/>
        <w:tblLayout w:type="fixed"/>
        <w:tblCellMar>
          <w:top w:w="0" w:type="dxa"/>
          <w:left w:w="0" w:type="dxa"/>
          <w:bottom w:w="0" w:type="dxa"/>
          <w:right w:w="0" w:type="dxa"/>
        </w:tblCellMar>
        <w:tblLook w:val="01E0"/>
      </w:tblPr>
      <w:tblGrid>
        <w:gridCol w:w="809"/>
        <w:gridCol w:w="851"/>
        <w:gridCol w:w="1276"/>
        <w:gridCol w:w="993"/>
        <w:gridCol w:w="1417"/>
        <w:gridCol w:w="894"/>
        <w:gridCol w:w="1134"/>
        <w:gridCol w:w="1091"/>
        <w:gridCol w:w="1105"/>
      </w:tblGrid>
      <w:tr>
        <w:trPr>
          <w:trHeight w:val="412" w:hRule="exact"/>
        </w:trPr>
        <w:tc>
          <w:tcPr>
            <w:tcW w:w="809"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right="39"/>
              <w:jc w:val="right"/>
              <w:rPr>
                <w:rFonts w:ascii="宋体" w:hAnsi="宋体" w:cs="宋体" w:eastAsia="宋体" w:hint="default"/>
                <w:sz w:val="18"/>
                <w:szCs w:val="18"/>
              </w:rPr>
            </w:pPr>
            <w:r>
              <w:rPr>
                <w:rFonts w:ascii="宋体" w:hAnsi="宋体" w:cs="宋体" w:eastAsia="宋体" w:hint="default"/>
                <w:sz w:val="18"/>
                <w:szCs w:val="18"/>
              </w:rPr>
              <w:t>公司名称</w:t>
            </w:r>
          </w:p>
        </w:tc>
        <w:tc>
          <w:tcPr>
            <w:tcW w:w="85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27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99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417"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89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13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9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105"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1026" w:hRule="exact"/>
        </w:trPr>
        <w:tc>
          <w:tcPr>
            <w:tcW w:w="80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53"/>
              <w:jc w:val="right"/>
              <w:rPr>
                <w:rFonts w:ascii="宋体" w:hAnsi="宋体" w:cs="宋体" w:eastAsia="宋体" w:hint="default"/>
                <w:sz w:val="18"/>
                <w:szCs w:val="18"/>
              </w:rPr>
            </w:pPr>
            <w:r>
              <w:rPr>
                <w:rFonts w:ascii="宋体" w:hAnsi="宋体" w:cs="宋体" w:eastAsia="宋体" w:hint="default"/>
                <w:sz w:val="18"/>
                <w:szCs w:val="18"/>
              </w:rPr>
              <w:t>汉威公用</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城市基础设施 </w:t>
            </w:r>
            <w:r>
              <w:rPr>
                <w:rFonts w:ascii="宋体" w:hAnsi="宋体" w:cs="宋体" w:eastAsia="宋体" w:hint="default"/>
                <w:spacing w:val="-6"/>
                <w:sz w:val="18"/>
                <w:szCs w:val="18"/>
              </w:rPr>
              <w:t>建设、工程设计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及施工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1,185,322,590.41</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588,004,37</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6.97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243,876,937.1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59,404,739.43</w:t>
            </w:r>
          </w:p>
        </w:tc>
        <w:tc>
          <w:tcPr>
            <w:tcW w:w="110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45,629,435.64</w:t>
            </w:r>
          </w:p>
        </w:tc>
      </w:tr>
      <w:tr>
        <w:trPr>
          <w:trHeight w:val="714" w:hRule="exact"/>
        </w:trPr>
        <w:tc>
          <w:tcPr>
            <w:tcW w:w="80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3"/>
              <w:jc w:val="right"/>
              <w:rPr>
                <w:rFonts w:ascii="宋体" w:hAnsi="宋体" w:cs="宋体" w:eastAsia="宋体" w:hint="default"/>
                <w:sz w:val="18"/>
                <w:szCs w:val="18"/>
              </w:rPr>
            </w:pPr>
            <w:r>
              <w:rPr>
                <w:rFonts w:ascii="宋体" w:hAnsi="宋体" w:cs="宋体" w:eastAsia="宋体" w:hint="default"/>
                <w:sz w:val="18"/>
                <w:szCs w:val="18"/>
              </w:rPr>
              <w:t>炜盛科技</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传感器</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149,966,530.25</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116,292,74</w:t>
            </w:r>
          </w:p>
          <w:p>
            <w:pPr>
              <w:pStyle w:val="TableParagraph"/>
              <w:spacing w:line="240" w:lineRule="auto" w:before="105"/>
              <w:ind w:left="553" w:right="0"/>
              <w:jc w:val="left"/>
              <w:rPr>
                <w:rFonts w:ascii="Times New Roman" w:hAnsi="Times New Roman" w:cs="Times New Roman" w:eastAsia="Times New Roman" w:hint="default"/>
                <w:sz w:val="18"/>
                <w:szCs w:val="18"/>
              </w:rPr>
            </w:pPr>
            <w:r>
              <w:rPr>
                <w:rFonts w:ascii="Times New Roman"/>
                <w:sz w:val="18"/>
              </w:rPr>
              <w:t>2.11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175,169,526.2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50,173,886.86</w:t>
            </w:r>
          </w:p>
        </w:tc>
        <w:tc>
          <w:tcPr>
            <w:tcW w:w="110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44,419,333.12</w:t>
            </w:r>
          </w:p>
        </w:tc>
      </w:tr>
      <w:tr>
        <w:trPr>
          <w:trHeight w:val="714" w:hRule="exact"/>
        </w:trPr>
        <w:tc>
          <w:tcPr>
            <w:tcW w:w="80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3"/>
              <w:jc w:val="right"/>
              <w:rPr>
                <w:rFonts w:ascii="宋体" w:hAnsi="宋体" w:cs="宋体" w:eastAsia="宋体" w:hint="default"/>
                <w:sz w:val="18"/>
                <w:szCs w:val="18"/>
              </w:rPr>
            </w:pPr>
            <w:r>
              <w:rPr>
                <w:rFonts w:ascii="宋体" w:hAnsi="宋体" w:cs="宋体" w:eastAsia="宋体" w:hint="default"/>
                <w:sz w:val="18"/>
                <w:szCs w:val="18"/>
              </w:rPr>
              <w:t>嘉园环保</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6"/>
                <w:sz w:val="18"/>
                <w:szCs w:val="18"/>
              </w:rPr>
              <w:t>环境工程、市政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工程</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710,226,430.22</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349,217,99</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0.55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308,359,669.7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43,814,524.45</w:t>
            </w:r>
          </w:p>
        </w:tc>
        <w:tc>
          <w:tcPr>
            <w:tcW w:w="110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 w:right="0"/>
              <w:jc w:val="center"/>
              <w:rPr>
                <w:rFonts w:ascii="Times New Roman" w:hAnsi="Times New Roman" w:cs="Times New Roman" w:eastAsia="Times New Roman" w:hint="default"/>
                <w:sz w:val="18"/>
                <w:szCs w:val="18"/>
              </w:rPr>
            </w:pPr>
            <w:r>
              <w:rPr>
                <w:rFonts w:ascii="Times New Roman"/>
                <w:sz w:val="18"/>
              </w:rPr>
              <w:t>40,711,761.83</w:t>
            </w:r>
          </w:p>
        </w:tc>
      </w:tr>
      <w:tr>
        <w:trPr>
          <w:trHeight w:val="1036" w:hRule="exact"/>
        </w:trPr>
        <w:tc>
          <w:tcPr>
            <w:tcW w:w="809"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53"/>
              <w:jc w:val="right"/>
              <w:rPr>
                <w:rFonts w:ascii="宋体" w:hAnsi="宋体" w:cs="宋体" w:eastAsia="宋体" w:hint="default"/>
                <w:sz w:val="18"/>
                <w:szCs w:val="18"/>
              </w:rPr>
            </w:pPr>
            <w:r>
              <w:rPr>
                <w:rFonts w:ascii="宋体" w:hAnsi="宋体" w:cs="宋体" w:eastAsia="宋体" w:hint="default"/>
                <w:sz w:val="18"/>
                <w:szCs w:val="18"/>
              </w:rPr>
              <w:t>汉威智源</w:t>
            </w:r>
          </w:p>
        </w:tc>
        <w:tc>
          <w:tcPr>
            <w:tcW w:w="8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276" w:type="dxa"/>
            <w:tcBorders>
              <w:top w:val="single" w:sz="4" w:space="0" w:color="000000"/>
              <w:left w:val="single" w:sz="4" w:space="0" w:color="000000"/>
              <w:bottom w:val="single" w:sz="12"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城市基础设施 </w:t>
            </w:r>
            <w:r>
              <w:rPr>
                <w:rFonts w:ascii="宋体" w:hAnsi="宋体" w:cs="宋体" w:eastAsia="宋体" w:hint="default"/>
                <w:spacing w:val="-6"/>
                <w:sz w:val="18"/>
                <w:szCs w:val="18"/>
              </w:rPr>
              <w:t>建设、工程设计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及施工</w:t>
            </w:r>
          </w:p>
        </w:tc>
        <w:tc>
          <w:tcPr>
            <w:tcW w:w="9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100,000,000</w:t>
            </w:r>
          </w:p>
        </w:tc>
        <w:tc>
          <w:tcPr>
            <w:tcW w:w="14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1,254,568,751.84</w:t>
            </w:r>
          </w:p>
        </w:tc>
        <w:tc>
          <w:tcPr>
            <w:tcW w:w="8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473,121,35</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8.02</w:t>
            </w:r>
          </w:p>
        </w:tc>
        <w:tc>
          <w:tcPr>
            <w:tcW w:w="11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193,810,010.5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39,338,452.42</w:t>
            </w:r>
          </w:p>
        </w:tc>
        <w:tc>
          <w:tcPr>
            <w:tcW w:w="110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30,016,866.95</w:t>
            </w:r>
          </w:p>
        </w:tc>
      </w:tr>
    </w:tbl>
    <w:p>
      <w:pPr>
        <w:spacing w:before="51"/>
        <w:ind w:left="1134" w:right="0" w:firstLine="0"/>
        <w:jc w:val="both"/>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line="340" w:lineRule="auto" w:before="116"/>
        <w:ind w:left="1133" w:right="85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主要控股参股公司情况说明</w:t>
      </w:r>
    </w:p>
    <w:p>
      <w:pPr>
        <w:pStyle w:val="BodyText"/>
        <w:spacing w:line="240" w:lineRule="auto" w:before="92"/>
        <w:ind w:left="1553" w:right="0"/>
        <w:jc w:val="left"/>
      </w:pPr>
      <w:r>
        <w:rPr>
          <w:rFonts w:ascii="宋体" w:hAnsi="宋体" w:cs="宋体" w:eastAsia="宋体" w:hint="default"/>
        </w:rPr>
        <w:t>1</w:t>
      </w:r>
      <w:r>
        <w:rPr/>
        <w:t>、郑州炜盛电子科技有限公司</w:t>
      </w:r>
    </w:p>
    <w:p>
      <w:pPr>
        <w:spacing w:line="240" w:lineRule="auto" w:before="10"/>
        <w:rPr>
          <w:rFonts w:ascii="宋体" w:hAnsi="宋体" w:cs="宋体" w:eastAsia="宋体" w:hint="default"/>
          <w:sz w:val="14"/>
          <w:szCs w:val="14"/>
        </w:rPr>
      </w:pPr>
    </w:p>
    <w:p>
      <w:pPr>
        <w:pStyle w:val="BodyText"/>
        <w:spacing w:line="240" w:lineRule="auto" w:before="0"/>
        <w:ind w:left="1553" w:right="0"/>
        <w:jc w:val="left"/>
      </w:pPr>
      <w:r>
        <w:rPr/>
        <w:t>炜盛科技为公司的全资子公司，注册资本</w:t>
      </w:r>
      <w:r>
        <w:rPr>
          <w:spacing w:val="-65"/>
        </w:rPr>
        <w:t> </w:t>
      </w:r>
      <w:r>
        <w:rPr>
          <w:rFonts w:ascii="宋体" w:hAnsi="宋体" w:cs="宋体" w:eastAsia="宋体" w:hint="default"/>
        </w:rPr>
        <w:t>5,000</w:t>
      </w:r>
      <w:r>
        <w:rPr>
          <w:rFonts w:ascii="宋体" w:hAnsi="宋体" w:cs="宋体" w:eastAsia="宋体" w:hint="default"/>
          <w:spacing w:val="-65"/>
        </w:rPr>
        <w:t> </w:t>
      </w:r>
      <w:r>
        <w:rPr/>
        <w:t>万元。法定代表人：陈凌飞。公司住所：郑州高新技</w:t>
      </w:r>
    </w:p>
    <w:p>
      <w:pPr>
        <w:spacing w:line="240" w:lineRule="auto" w:before="10"/>
        <w:rPr>
          <w:rFonts w:ascii="宋体" w:hAnsi="宋体" w:cs="宋体" w:eastAsia="宋体" w:hint="default"/>
          <w:sz w:val="14"/>
          <w:szCs w:val="14"/>
        </w:rPr>
      </w:pPr>
    </w:p>
    <w:p>
      <w:pPr>
        <w:pStyle w:val="BodyText"/>
        <w:spacing w:line="408" w:lineRule="auto" w:before="0"/>
        <w:ind w:right="1132"/>
        <w:jc w:val="both"/>
      </w:pPr>
      <w:r>
        <w:rPr/>
        <w:t>术开发区金梭路</w:t>
      </w:r>
      <w:r>
        <w:rPr>
          <w:spacing w:val="-65"/>
        </w:rPr>
        <w:t> </w:t>
      </w:r>
      <w:r>
        <w:rPr>
          <w:rFonts w:ascii="宋体" w:hAnsi="宋体" w:cs="宋体" w:eastAsia="宋体" w:hint="default"/>
        </w:rPr>
        <w:t>299</w:t>
      </w:r>
      <w:r>
        <w:rPr>
          <w:rFonts w:ascii="宋体" w:hAnsi="宋体" w:cs="宋体" w:eastAsia="宋体" w:hint="default"/>
          <w:spacing w:val="-65"/>
        </w:rPr>
        <w:t> </w:t>
      </w:r>
      <w:r>
        <w:rPr/>
        <w:t>号。主要经营范围：气敏元件、传感器、检测控制仪表、电子产品的开发、生产、销 售；提供技术转让、技术服务、技术咨询；进出口贸易。</w:t>
      </w:r>
    </w:p>
    <w:p>
      <w:pPr>
        <w:pStyle w:val="BodyText"/>
        <w:spacing w:line="408" w:lineRule="auto"/>
        <w:ind w:left="1553" w:right="2149"/>
        <w:jc w:val="left"/>
      </w:pPr>
      <w:r>
        <w:rPr/>
        <w:t>经审计，炜盛科技</w:t>
      </w:r>
      <w:r>
        <w:rPr>
          <w:spacing w:val="-53"/>
        </w:rPr>
        <w:t> </w:t>
      </w:r>
      <w:r>
        <w:rPr>
          <w:rFonts w:ascii="宋体" w:hAnsi="宋体" w:cs="宋体" w:eastAsia="宋体" w:hint="default"/>
        </w:rPr>
        <w:t>2017</w:t>
      </w:r>
      <w:r>
        <w:rPr>
          <w:rFonts w:ascii="宋体" w:hAnsi="宋体" w:cs="宋体" w:eastAsia="宋体" w:hint="default"/>
          <w:spacing w:val="-55"/>
        </w:rPr>
        <w:t> </w:t>
      </w:r>
      <w:r>
        <w:rPr/>
        <w:t>年度实现营业收入</w:t>
      </w:r>
      <w:r>
        <w:rPr>
          <w:spacing w:val="-53"/>
        </w:rPr>
        <w:t> </w:t>
      </w:r>
      <w:r>
        <w:rPr>
          <w:rFonts w:ascii="宋体" w:hAnsi="宋体" w:cs="宋体" w:eastAsia="宋体" w:hint="default"/>
        </w:rPr>
        <w:t>17,516.95</w:t>
      </w:r>
      <w:r>
        <w:rPr>
          <w:rFonts w:ascii="宋体" w:hAnsi="宋体" w:cs="宋体" w:eastAsia="宋体" w:hint="default"/>
          <w:spacing w:val="-53"/>
        </w:rPr>
        <w:t> </w:t>
      </w:r>
      <w:r>
        <w:rPr/>
        <w:t>万元，实现净利润</w:t>
      </w:r>
      <w:r>
        <w:rPr>
          <w:spacing w:val="-53"/>
        </w:rPr>
        <w:t> </w:t>
      </w:r>
      <w:r>
        <w:rPr>
          <w:rFonts w:ascii="宋体" w:hAnsi="宋体" w:cs="宋体" w:eastAsia="宋体" w:hint="default"/>
        </w:rPr>
        <w:t>4,441.93</w:t>
      </w:r>
      <w:r>
        <w:rPr>
          <w:rFonts w:ascii="宋体" w:hAnsi="宋体" w:cs="宋体" w:eastAsia="宋体" w:hint="default"/>
          <w:spacing w:val="-54"/>
        </w:rPr>
        <w:t> </w:t>
      </w:r>
      <w:r>
        <w:rPr/>
        <w:t>万元。 </w:t>
      </w:r>
      <w:r>
        <w:rPr>
          <w:rFonts w:ascii="宋体" w:hAnsi="宋体" w:cs="宋体" w:eastAsia="宋体" w:hint="default"/>
        </w:rPr>
        <w:t>2</w:t>
      </w:r>
      <w:r>
        <w:rPr/>
        <w:t>、嘉园环保有限公司</w:t>
      </w:r>
    </w:p>
    <w:p>
      <w:pPr>
        <w:pStyle w:val="BodyText"/>
        <w:spacing w:line="408" w:lineRule="auto"/>
        <w:ind w:right="1131" w:firstLine="420"/>
        <w:jc w:val="both"/>
      </w:pPr>
      <w:r>
        <w:rPr/>
        <w:t>嘉园环保为公司的控股子公司，注册资本 </w:t>
      </w:r>
      <w:r>
        <w:rPr>
          <w:rFonts w:ascii="宋体" w:hAnsi="宋体" w:cs="宋体" w:eastAsia="宋体" w:hint="default"/>
        </w:rPr>
        <w:t>10,000</w:t>
      </w:r>
      <w:r>
        <w:rPr>
          <w:rFonts w:ascii="宋体" w:hAnsi="宋体" w:cs="宋体" w:eastAsia="宋体" w:hint="default"/>
          <w:spacing w:val="-24"/>
        </w:rPr>
        <w:t> </w:t>
      </w:r>
      <w:r>
        <w:rPr/>
        <w:t>万元。法定代表人：张潇君。公司住所：福州市鼓 楼区软件大道</w:t>
      </w:r>
      <w:r>
        <w:rPr>
          <w:spacing w:val="-50"/>
        </w:rPr>
        <w:t> </w:t>
      </w:r>
      <w:r>
        <w:rPr>
          <w:rFonts w:ascii="宋体" w:hAnsi="宋体" w:cs="宋体" w:eastAsia="宋体" w:hint="default"/>
        </w:rPr>
        <w:t>89</w:t>
      </w:r>
      <w:r>
        <w:rPr>
          <w:rFonts w:ascii="宋体" w:hAnsi="宋体" w:cs="宋体" w:eastAsia="宋体" w:hint="default"/>
          <w:spacing w:val="-49"/>
        </w:rPr>
        <w:t> </w:t>
      </w:r>
      <w:r>
        <w:rPr/>
        <w:t>号福州软件园</w:t>
      </w:r>
      <w:r>
        <w:rPr>
          <w:spacing w:val="-50"/>
        </w:rPr>
        <w:t> </w:t>
      </w:r>
      <w:r>
        <w:rPr>
          <w:rFonts w:ascii="宋体" w:hAnsi="宋体" w:cs="宋体" w:eastAsia="宋体" w:hint="default"/>
        </w:rPr>
        <w:t>C</w:t>
      </w:r>
      <w:r>
        <w:rPr>
          <w:rFonts w:ascii="宋体" w:hAnsi="宋体" w:cs="宋体" w:eastAsia="宋体" w:hint="default"/>
          <w:spacing w:val="-49"/>
        </w:rPr>
        <w:t> </w:t>
      </w:r>
      <w:r>
        <w:rPr/>
        <w:t>区</w:t>
      </w:r>
      <w:r>
        <w:rPr>
          <w:spacing w:val="-50"/>
        </w:rPr>
        <w:t> </w:t>
      </w:r>
      <w:r>
        <w:rPr>
          <w:rFonts w:ascii="宋体" w:hAnsi="宋体" w:cs="宋体" w:eastAsia="宋体" w:hint="default"/>
        </w:rPr>
        <w:t>27</w:t>
      </w:r>
      <w:r>
        <w:rPr>
          <w:rFonts w:ascii="宋体" w:hAnsi="宋体" w:cs="宋体" w:eastAsia="宋体" w:hint="default"/>
          <w:spacing w:val="-49"/>
        </w:rPr>
        <w:t> </w:t>
      </w:r>
      <w:r>
        <w:rPr/>
        <w:t>号楼。公司持股比例为</w:t>
      </w:r>
      <w:r>
        <w:rPr>
          <w:spacing w:val="-50"/>
        </w:rPr>
        <w:t> </w:t>
      </w:r>
      <w:r>
        <w:rPr>
          <w:rFonts w:ascii="宋体" w:hAnsi="宋体" w:cs="宋体" w:eastAsia="宋体" w:hint="default"/>
        </w:rPr>
        <w:t>80%</w:t>
      </w:r>
      <w:r>
        <w:rPr/>
        <w:t>。主要经营范围：环境工程与市政工程 </w:t>
      </w:r>
      <w:r>
        <w:rPr>
          <w:spacing w:val="-1"/>
        </w:rPr>
        <w:t>的咨询、设计、施工、总承包、运营；房屋建筑工程的设计、施工、总承包；环保设备、材料及机电设备</w:t>
      </w:r>
      <w:r>
        <w:rPr>
          <w:spacing w:val="-86"/>
        </w:rPr>
        <w:t> </w:t>
      </w:r>
      <w:r>
        <w:rPr>
          <w:spacing w:val="-86"/>
        </w:rPr>
      </w:r>
      <w:r>
        <w:rPr>
          <w:spacing w:val="-6"/>
        </w:rPr>
        <w:t>的研发、制造、销售、安装；环保软件开发、销售；环保技术服务；自营和代理各类商品和技术的进出口、</w:t>
      </w:r>
      <w:r>
        <w:rPr>
          <w:spacing w:val="-59"/>
        </w:rPr>
        <w:t> </w:t>
      </w:r>
      <w:r>
        <w:rPr>
          <w:spacing w:val="-59"/>
        </w:rPr>
      </w:r>
      <w:r>
        <w:rPr/>
        <w:t>但国家限定公司经营或禁止进出口的商品和技术除外。</w:t>
      </w:r>
    </w:p>
    <w:p>
      <w:pPr>
        <w:pStyle w:val="BodyText"/>
        <w:spacing w:line="408" w:lineRule="auto"/>
        <w:ind w:left="1553" w:right="2148"/>
        <w:jc w:val="left"/>
      </w:pPr>
      <w:r>
        <w:rPr/>
        <w:t>经审计，嘉园环保</w:t>
      </w:r>
      <w:r>
        <w:rPr>
          <w:spacing w:val="-53"/>
        </w:rPr>
        <w:t> </w:t>
      </w:r>
      <w:r>
        <w:rPr>
          <w:rFonts w:ascii="宋体" w:hAnsi="宋体" w:cs="宋体" w:eastAsia="宋体" w:hint="default"/>
        </w:rPr>
        <w:t>2017</w:t>
      </w:r>
      <w:r>
        <w:rPr>
          <w:rFonts w:ascii="宋体" w:hAnsi="宋体" w:cs="宋体" w:eastAsia="宋体" w:hint="default"/>
          <w:spacing w:val="-55"/>
        </w:rPr>
        <w:t> </w:t>
      </w:r>
      <w:r>
        <w:rPr/>
        <w:t>年度实现营业收入</w:t>
      </w:r>
      <w:r>
        <w:rPr>
          <w:spacing w:val="-53"/>
        </w:rPr>
        <w:t> </w:t>
      </w:r>
      <w:r>
        <w:rPr>
          <w:rFonts w:ascii="宋体" w:hAnsi="宋体" w:cs="宋体" w:eastAsia="宋体" w:hint="default"/>
        </w:rPr>
        <w:t>30,835.97</w:t>
      </w:r>
      <w:r>
        <w:rPr>
          <w:rFonts w:ascii="宋体" w:hAnsi="宋体" w:cs="宋体" w:eastAsia="宋体" w:hint="default"/>
          <w:spacing w:val="-53"/>
        </w:rPr>
        <w:t> </w:t>
      </w:r>
      <w:r>
        <w:rPr/>
        <w:t>万元，实现净利润</w:t>
      </w:r>
      <w:r>
        <w:rPr>
          <w:spacing w:val="-53"/>
        </w:rPr>
        <w:t> </w:t>
      </w:r>
      <w:r>
        <w:rPr>
          <w:rFonts w:ascii="宋体" w:hAnsi="宋体" w:cs="宋体" w:eastAsia="宋体" w:hint="default"/>
        </w:rPr>
        <w:t>4,071.18</w:t>
      </w:r>
      <w:r>
        <w:rPr>
          <w:rFonts w:ascii="宋体" w:hAnsi="宋体" w:cs="宋体" w:eastAsia="宋体" w:hint="default"/>
          <w:spacing w:val="-53"/>
        </w:rPr>
        <w:t> </w:t>
      </w:r>
      <w:r>
        <w:rPr/>
        <w:t>万元。 </w:t>
      </w:r>
      <w:r>
        <w:rPr>
          <w:rFonts w:ascii="宋体" w:hAnsi="宋体" w:cs="宋体" w:eastAsia="宋体" w:hint="default"/>
        </w:rPr>
        <w:t>3</w:t>
      </w:r>
      <w:r>
        <w:rPr/>
        <w:t>、郑州汉威公用事业科技有限公司</w:t>
      </w:r>
    </w:p>
    <w:p>
      <w:pPr>
        <w:pStyle w:val="BodyText"/>
        <w:spacing w:line="240" w:lineRule="auto"/>
        <w:ind w:left="1553" w:right="0"/>
        <w:jc w:val="left"/>
      </w:pPr>
      <w:r>
        <w:rPr/>
        <w:t>汉威公用为公司的控股子公司，注册资本 </w:t>
      </w:r>
      <w:r>
        <w:rPr>
          <w:rFonts w:ascii="宋体" w:hAnsi="宋体" w:cs="宋体" w:eastAsia="宋体" w:hint="default"/>
        </w:rPr>
        <w:t>10,000</w:t>
      </w:r>
      <w:r>
        <w:rPr>
          <w:rFonts w:ascii="宋体" w:hAnsi="宋体" w:cs="宋体" w:eastAsia="宋体" w:hint="default"/>
          <w:spacing w:val="-24"/>
        </w:rPr>
        <w:t> </w:t>
      </w:r>
      <w:r>
        <w:rPr/>
        <w:t>万元。法定代表人：周震。公司住所：郑州市高新</w:t>
      </w:r>
    </w:p>
    <w:p>
      <w:pPr>
        <w:spacing w:line="240" w:lineRule="auto" w:before="10"/>
        <w:rPr>
          <w:rFonts w:ascii="宋体" w:hAnsi="宋体" w:cs="宋体" w:eastAsia="宋体" w:hint="default"/>
          <w:sz w:val="14"/>
          <w:szCs w:val="14"/>
        </w:rPr>
      </w:pPr>
    </w:p>
    <w:p>
      <w:pPr>
        <w:pStyle w:val="BodyText"/>
        <w:spacing w:line="408" w:lineRule="auto" w:before="0"/>
        <w:ind w:right="1129"/>
        <w:jc w:val="both"/>
      </w:pPr>
      <w:r>
        <w:rPr/>
        <w:t>区雪松路</w:t>
      </w:r>
      <w:r>
        <w:rPr>
          <w:spacing w:val="-50"/>
        </w:rPr>
        <w:t> </w:t>
      </w:r>
      <w:r>
        <w:rPr>
          <w:rFonts w:ascii="宋体" w:hAnsi="宋体" w:cs="宋体" w:eastAsia="宋体" w:hint="default"/>
        </w:rPr>
        <w:t>169</w:t>
      </w:r>
      <w:r>
        <w:rPr>
          <w:rFonts w:ascii="宋体" w:hAnsi="宋体" w:cs="宋体" w:eastAsia="宋体" w:hint="default"/>
          <w:spacing w:val="-50"/>
        </w:rPr>
        <w:t> </w:t>
      </w:r>
      <w:r>
        <w:rPr/>
        <w:t>号</w:t>
      </w:r>
      <w:r>
        <w:rPr>
          <w:spacing w:val="-52"/>
        </w:rPr>
        <w:t> </w:t>
      </w:r>
      <w:r>
        <w:rPr>
          <w:rFonts w:ascii="宋体" w:hAnsi="宋体" w:cs="宋体" w:eastAsia="宋体" w:hint="default"/>
        </w:rPr>
        <w:t>4</w:t>
      </w:r>
      <w:r>
        <w:rPr>
          <w:rFonts w:ascii="宋体" w:hAnsi="宋体" w:cs="宋体" w:eastAsia="宋体" w:hint="default"/>
          <w:spacing w:val="-50"/>
        </w:rPr>
        <w:t> </w:t>
      </w:r>
      <w:r>
        <w:rPr/>
        <w:t>号楼</w:t>
      </w:r>
      <w:r>
        <w:rPr>
          <w:spacing w:val="-52"/>
        </w:rPr>
        <w:t> </w:t>
      </w:r>
      <w:r>
        <w:rPr>
          <w:rFonts w:ascii="宋体" w:hAnsi="宋体" w:cs="宋体" w:eastAsia="宋体" w:hint="default"/>
        </w:rPr>
        <w:t>3</w:t>
      </w:r>
      <w:r>
        <w:rPr>
          <w:rFonts w:ascii="宋体" w:hAnsi="宋体" w:cs="宋体" w:eastAsia="宋体" w:hint="default"/>
          <w:spacing w:val="-51"/>
        </w:rPr>
        <w:t> </w:t>
      </w:r>
      <w:r>
        <w:rPr/>
        <w:t>层</w:t>
      </w:r>
      <w:r>
        <w:rPr>
          <w:spacing w:val="-51"/>
        </w:rPr>
        <w:t> </w:t>
      </w:r>
      <w:r>
        <w:rPr>
          <w:rFonts w:ascii="宋体" w:hAnsi="宋体" w:cs="宋体" w:eastAsia="宋体" w:hint="default"/>
        </w:rPr>
        <w:t>301</w:t>
      </w:r>
      <w:r>
        <w:rPr>
          <w:rFonts w:ascii="宋体" w:hAnsi="宋体" w:cs="宋体" w:eastAsia="宋体" w:hint="default"/>
          <w:spacing w:val="-50"/>
        </w:rPr>
        <w:t> </w:t>
      </w:r>
      <w:r>
        <w:rPr>
          <w:spacing w:val="-6"/>
        </w:rPr>
        <w:t>室。公司持股比例为</w:t>
      </w:r>
      <w:r>
        <w:rPr>
          <w:spacing w:val="-50"/>
        </w:rPr>
        <w:t> </w:t>
      </w:r>
      <w:r>
        <w:rPr>
          <w:rFonts w:ascii="宋体" w:hAnsi="宋体" w:cs="宋体" w:eastAsia="宋体" w:hint="default"/>
          <w:spacing w:val="-6"/>
        </w:rPr>
        <w:t>65%</w:t>
      </w:r>
      <w:r>
        <w:rPr>
          <w:spacing w:val="-6"/>
        </w:rPr>
        <w:t>。主要经营范围：城市基础设施建设、工程设计、</w:t>
      </w:r>
      <w:r>
        <w:rPr/>
        <w:t> </w:t>
      </w:r>
      <w:r>
        <w:rPr>
          <w:spacing w:val="-1"/>
        </w:rPr>
        <w:t>工程施工、设备安装、维修服务；市政公用事业的建设、管理及相关软件开发、系统集成、运维服务；市</w:t>
      </w:r>
      <w:r>
        <w:rPr>
          <w:spacing w:val="-85"/>
        </w:rPr>
        <w:t> </w:t>
      </w:r>
      <w:r>
        <w:rPr>
          <w:spacing w:val="-85"/>
        </w:rPr>
      </w:r>
      <w:r>
        <w:rPr/>
        <w:t>政公用设施的新建、改建、维护及运营管理。</w:t>
      </w:r>
    </w:p>
    <w:p>
      <w:pPr>
        <w:pStyle w:val="BodyText"/>
        <w:spacing w:line="408" w:lineRule="auto"/>
        <w:ind w:right="1131" w:firstLine="420"/>
        <w:jc w:val="both"/>
      </w:pPr>
      <w:r>
        <w:rPr/>
        <w:t>汉威公用为公司通过 </w:t>
      </w:r>
      <w:r>
        <w:rPr>
          <w:rFonts w:ascii="宋体" w:hAnsi="宋体" w:cs="宋体" w:eastAsia="宋体" w:hint="default"/>
        </w:rPr>
        <w:t>PPP </w:t>
      </w:r>
      <w:r>
        <w:rPr/>
        <w:t>模式投资设立的控股子公司，经审计，汉威公用 </w:t>
      </w:r>
      <w:r>
        <w:rPr>
          <w:rFonts w:ascii="宋体" w:hAnsi="宋体" w:cs="宋体" w:eastAsia="宋体" w:hint="default"/>
        </w:rPr>
        <w:t>2017</w:t>
      </w:r>
      <w:r>
        <w:rPr>
          <w:rFonts w:ascii="宋体" w:hAnsi="宋体" w:cs="宋体" w:eastAsia="宋体" w:hint="default"/>
          <w:spacing w:val="76"/>
        </w:rPr>
        <w:t> </w:t>
      </w:r>
      <w:r>
        <w:rPr/>
        <w:t>年度实现营业收入 </w:t>
      </w:r>
      <w:r>
        <w:rPr>
          <w:rFonts w:ascii="宋体" w:hAnsi="宋体" w:cs="宋体" w:eastAsia="宋体" w:hint="default"/>
        </w:rPr>
        <w:t>24,387.69</w:t>
      </w:r>
      <w:r>
        <w:rPr>
          <w:rFonts w:ascii="宋体" w:hAnsi="宋体" w:cs="宋体" w:eastAsia="宋体" w:hint="default"/>
          <w:spacing w:val="-53"/>
        </w:rPr>
        <w:t> </w:t>
      </w:r>
      <w:r>
        <w:rPr/>
        <w:t>万元，实现净利润</w:t>
      </w:r>
      <w:r>
        <w:rPr>
          <w:spacing w:val="-54"/>
        </w:rPr>
        <w:t> </w:t>
      </w:r>
      <w:r>
        <w:rPr>
          <w:rFonts w:ascii="宋体" w:hAnsi="宋体" w:cs="宋体" w:eastAsia="宋体" w:hint="default"/>
        </w:rPr>
        <w:t>4,562.94</w:t>
      </w:r>
      <w:r>
        <w:rPr>
          <w:rFonts w:ascii="宋体" w:hAnsi="宋体" w:cs="宋体" w:eastAsia="宋体" w:hint="default"/>
          <w:spacing w:val="-54"/>
        </w:rPr>
        <w:t> </w:t>
      </w:r>
      <w:r>
        <w:rPr/>
        <w:t>万元。</w:t>
      </w:r>
    </w:p>
    <w:p>
      <w:pPr>
        <w:spacing w:after="0" w:line="408"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240" w:lineRule="auto" w:before="174"/>
        <w:ind w:left="1553" w:right="0"/>
        <w:jc w:val="left"/>
      </w:pPr>
      <w:r>
        <w:rPr>
          <w:rFonts w:ascii="宋体" w:hAnsi="宋体" w:cs="宋体" w:eastAsia="宋体" w:hint="default"/>
        </w:rPr>
        <w:t>4</w:t>
      </w:r>
      <w:r>
        <w:rPr/>
        <w:t>、郑州汉威智源科技有限公司</w:t>
      </w:r>
    </w:p>
    <w:p>
      <w:pPr>
        <w:spacing w:line="240" w:lineRule="auto" w:before="10"/>
        <w:rPr>
          <w:rFonts w:ascii="宋体" w:hAnsi="宋体" w:cs="宋体" w:eastAsia="宋体" w:hint="default"/>
          <w:sz w:val="14"/>
          <w:szCs w:val="14"/>
        </w:rPr>
      </w:pPr>
    </w:p>
    <w:p>
      <w:pPr>
        <w:pStyle w:val="BodyText"/>
        <w:spacing w:line="240" w:lineRule="auto" w:before="0"/>
        <w:ind w:left="1553" w:right="0"/>
        <w:jc w:val="left"/>
      </w:pPr>
      <w:r>
        <w:rPr/>
        <w:t>汉威智源为公司的控股子公司，注册资本 </w:t>
      </w:r>
      <w:r>
        <w:rPr>
          <w:rFonts w:ascii="宋体" w:hAnsi="宋体" w:cs="宋体" w:eastAsia="宋体" w:hint="default"/>
        </w:rPr>
        <w:t>10,000</w:t>
      </w:r>
      <w:r>
        <w:rPr>
          <w:rFonts w:ascii="宋体" w:hAnsi="宋体" w:cs="宋体" w:eastAsia="宋体" w:hint="default"/>
          <w:spacing w:val="-24"/>
        </w:rPr>
        <w:t> </w:t>
      </w:r>
      <w:r>
        <w:rPr/>
        <w:t>万元。法定代表人：赵金领。公司住所：郑州高新</w:t>
      </w:r>
    </w:p>
    <w:p>
      <w:pPr>
        <w:spacing w:line="240" w:lineRule="auto" w:before="10"/>
        <w:rPr>
          <w:rFonts w:ascii="宋体" w:hAnsi="宋体" w:cs="宋体" w:eastAsia="宋体" w:hint="default"/>
          <w:sz w:val="14"/>
          <w:szCs w:val="14"/>
        </w:rPr>
      </w:pPr>
    </w:p>
    <w:p>
      <w:pPr>
        <w:pStyle w:val="BodyText"/>
        <w:spacing w:line="408" w:lineRule="auto" w:before="0"/>
        <w:ind w:left="1134" w:right="1131"/>
        <w:jc w:val="both"/>
      </w:pPr>
      <w:r>
        <w:rPr/>
        <w:t>技术产业开发区雪松路</w:t>
      </w:r>
      <w:r>
        <w:rPr>
          <w:spacing w:val="-50"/>
        </w:rPr>
        <w:t> </w:t>
      </w:r>
      <w:r>
        <w:rPr>
          <w:rFonts w:ascii="宋体" w:hAnsi="宋体" w:cs="宋体" w:eastAsia="宋体" w:hint="default"/>
        </w:rPr>
        <w:t>169</w:t>
      </w:r>
      <w:r>
        <w:rPr>
          <w:rFonts w:ascii="宋体" w:hAnsi="宋体" w:cs="宋体" w:eastAsia="宋体" w:hint="default"/>
          <w:spacing w:val="-49"/>
        </w:rPr>
        <w:t> </w:t>
      </w:r>
      <w:r>
        <w:rPr/>
        <w:t>号</w:t>
      </w:r>
      <w:r>
        <w:rPr>
          <w:spacing w:val="-50"/>
        </w:rPr>
        <w:t> </w:t>
      </w:r>
      <w:r>
        <w:rPr>
          <w:rFonts w:ascii="宋体" w:hAnsi="宋体" w:cs="宋体" w:eastAsia="宋体" w:hint="default"/>
        </w:rPr>
        <w:t>4</w:t>
      </w:r>
      <w:r>
        <w:rPr>
          <w:rFonts w:ascii="宋体" w:hAnsi="宋体" w:cs="宋体" w:eastAsia="宋体" w:hint="default"/>
          <w:spacing w:val="-49"/>
        </w:rPr>
        <w:t> </w:t>
      </w:r>
      <w:r>
        <w:rPr/>
        <w:t>号楼</w:t>
      </w:r>
      <w:r>
        <w:rPr>
          <w:spacing w:val="-50"/>
        </w:rPr>
        <w:t> </w:t>
      </w:r>
      <w:r>
        <w:rPr>
          <w:rFonts w:ascii="宋体" w:hAnsi="宋体" w:cs="宋体" w:eastAsia="宋体" w:hint="default"/>
        </w:rPr>
        <w:t>303</w:t>
      </w:r>
      <w:r>
        <w:rPr>
          <w:rFonts w:ascii="宋体" w:hAnsi="宋体" w:cs="宋体" w:eastAsia="宋体" w:hint="default"/>
          <w:spacing w:val="-49"/>
        </w:rPr>
        <w:t> </w:t>
      </w:r>
      <w:r>
        <w:rPr/>
        <w:t>室。公司持股比例为</w:t>
      </w:r>
      <w:r>
        <w:rPr>
          <w:spacing w:val="-50"/>
        </w:rPr>
        <w:t> </w:t>
      </w:r>
      <w:r>
        <w:rPr>
          <w:rFonts w:ascii="宋体" w:hAnsi="宋体" w:cs="宋体" w:eastAsia="宋体" w:hint="default"/>
        </w:rPr>
        <w:t>65%</w:t>
      </w:r>
      <w:r>
        <w:rPr/>
        <w:t>。主要经营范围：城市供热设施的建设 及运营；热力工程承包；市政工程承包；销售：热力器材、电气设备。</w:t>
      </w:r>
    </w:p>
    <w:p>
      <w:pPr>
        <w:pStyle w:val="BodyText"/>
        <w:spacing w:line="408" w:lineRule="auto"/>
        <w:ind w:right="1122" w:firstLine="420"/>
        <w:jc w:val="left"/>
      </w:pPr>
      <w:r>
        <w:rPr/>
        <w:t>汉威智源为公司通过 </w:t>
      </w:r>
      <w:r>
        <w:rPr>
          <w:rFonts w:ascii="宋体" w:hAnsi="宋体" w:cs="宋体" w:eastAsia="宋体" w:hint="default"/>
        </w:rPr>
        <w:t>PPP </w:t>
      </w:r>
      <w:r>
        <w:rPr/>
        <w:t>模式投资设立的控股子公司，经审计，汉威智源 </w:t>
      </w:r>
      <w:r>
        <w:rPr>
          <w:rFonts w:ascii="宋体" w:hAnsi="宋体" w:cs="宋体" w:eastAsia="宋体" w:hint="default"/>
        </w:rPr>
        <w:t>2017</w:t>
      </w:r>
      <w:r>
        <w:rPr>
          <w:rFonts w:ascii="宋体" w:hAnsi="宋体" w:cs="宋体" w:eastAsia="宋体" w:hint="default"/>
          <w:spacing w:val="76"/>
        </w:rPr>
        <w:t> </w:t>
      </w:r>
      <w:r>
        <w:rPr/>
        <w:t>年度实现营业收入 </w:t>
      </w:r>
      <w:r>
        <w:rPr>
          <w:rFonts w:ascii="宋体" w:hAnsi="宋体" w:cs="宋体" w:eastAsia="宋体" w:hint="default"/>
        </w:rPr>
        <w:t>19,381.00</w:t>
      </w:r>
      <w:r>
        <w:rPr>
          <w:rFonts w:ascii="宋体" w:hAnsi="宋体" w:cs="宋体" w:eastAsia="宋体" w:hint="default"/>
          <w:spacing w:val="-53"/>
        </w:rPr>
        <w:t> </w:t>
      </w:r>
      <w:r>
        <w:rPr/>
        <w:t>万元，实现净利润</w:t>
      </w:r>
      <w:r>
        <w:rPr>
          <w:spacing w:val="-54"/>
        </w:rPr>
        <w:t> </w:t>
      </w:r>
      <w:r>
        <w:rPr>
          <w:rFonts w:ascii="宋体" w:hAnsi="宋体" w:cs="宋体" w:eastAsia="宋体" w:hint="default"/>
        </w:rPr>
        <w:t>3,001.69</w:t>
      </w:r>
      <w:r>
        <w:rPr>
          <w:rFonts w:ascii="宋体" w:hAnsi="宋体" w:cs="宋体" w:eastAsia="宋体" w:hint="default"/>
          <w:spacing w:val="-54"/>
        </w:rPr>
        <w:t> </w:t>
      </w:r>
      <w:r>
        <w:rPr/>
        <w:t>万元。</w:t>
      </w:r>
    </w:p>
    <w:p>
      <w:pPr>
        <w:spacing w:line="240" w:lineRule="auto" w:before="11"/>
        <w:rPr>
          <w:rFonts w:ascii="宋体" w:hAnsi="宋体" w:cs="宋体" w:eastAsia="宋体" w:hint="default"/>
          <w:sz w:val="18"/>
          <w:szCs w:val="18"/>
        </w:rPr>
      </w:pPr>
    </w:p>
    <w:p>
      <w:pPr>
        <w:pStyle w:val="Heading2"/>
        <w:spacing w:line="240" w:lineRule="auto"/>
        <w:ind w:right="0"/>
        <w:jc w:val="both"/>
        <w:rPr>
          <w:b w:val="0"/>
          <w:bCs w:val="0"/>
        </w:rPr>
      </w:pPr>
      <w:bookmarkStart w:name="八、公司控制的结构化主体情况" w:id="55"/>
      <w:bookmarkEnd w:id="55"/>
      <w:r>
        <w:rPr>
          <w:b w:val="0"/>
          <w:bCs w:val="0"/>
        </w:rPr>
      </w:r>
      <w:r>
        <w:rPr/>
        <w:t>八、公司控制的结构化主体情况</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九、公司未来发展的展望" w:id="56"/>
      <w:bookmarkEnd w:id="56"/>
      <w:r>
        <w:rPr>
          <w:b w:val="0"/>
          <w:bCs w:val="0"/>
        </w:rPr>
      </w:r>
      <w:r>
        <w:rPr/>
        <w:t>九、公司未来发展的展望</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0" w:firstLine="420"/>
        <w:jc w:val="left"/>
      </w:pPr>
      <w:r>
        <w:rPr/>
        <w:t>近几年来，从大的形势和机遇来看，国家大力推动供给侧改革，已经初显成效，总体经济形势向好。 </w:t>
      </w:r>
      <w:r>
        <w:rPr>
          <w:spacing w:val="-7"/>
        </w:rPr>
        <w:t>纵观各行业发展情况，行业集中度大幅提高，细分行业龙头效应突出，已进入到强者恒强的时代。</w:t>
      </w:r>
      <w:r>
        <w:rPr>
          <w:rFonts w:ascii="宋体" w:hAnsi="宋体" w:cs="宋体" w:eastAsia="宋体" w:hint="default"/>
          <w:spacing w:val="-7"/>
        </w:rPr>
        <w:t>2017</w:t>
      </w:r>
      <w:r>
        <w:rPr>
          <w:rFonts w:ascii="宋体" w:hAnsi="宋体" w:cs="宋体" w:eastAsia="宋体" w:hint="default"/>
          <w:spacing w:val="-35"/>
        </w:rPr>
        <w:t> </w:t>
      </w:r>
      <w:r>
        <w:rPr/>
        <w:t>年，</w:t>
      </w:r>
      <w:r>
        <w:rPr>
          <w:spacing w:val="-76"/>
        </w:rPr>
        <w:t> </w:t>
      </w:r>
      <w:r>
        <w:rPr/>
        <w:t>党的十九大提出“数字中国、智慧社会”给行业指明了发展的道路，开放、共创、共享及平台化思维已成</w:t>
      </w:r>
      <w:r>
        <w:rPr/>
        <w:t> 为业界趋势。</w:t>
      </w:r>
    </w:p>
    <w:p>
      <w:pPr>
        <w:pStyle w:val="BodyText"/>
        <w:spacing w:line="408" w:lineRule="auto"/>
        <w:ind w:right="1131" w:firstLine="420"/>
        <w:jc w:val="both"/>
      </w:pPr>
      <w:r>
        <w:rPr/>
        <w:t>汉威科技深耕物联网行业 </w:t>
      </w:r>
      <w:r>
        <w:rPr>
          <w:rFonts w:ascii="宋体" w:hAnsi="宋体" w:cs="宋体" w:eastAsia="宋体" w:hint="default"/>
        </w:rPr>
        <w:t>20</w:t>
      </w:r>
      <w:r>
        <w:rPr>
          <w:rFonts w:ascii="宋体" w:hAnsi="宋体" w:cs="宋体" w:eastAsia="宋体" w:hint="default"/>
          <w:spacing w:val="-22"/>
        </w:rPr>
        <w:t> </w:t>
      </w:r>
      <w:r>
        <w:rPr/>
        <w:t>年，经过多年布局和夯实，构建了较为完整、成熟的物联网产业生态平 </w:t>
      </w:r>
      <w:r>
        <w:rPr>
          <w:spacing w:val="-1"/>
        </w:rPr>
        <w:t>台，在传感器、智慧城市、智慧环保等业务领域具备核心技术优势及广阔市场前景。公司深入贯彻落实党</w:t>
      </w:r>
      <w:r>
        <w:rPr>
          <w:spacing w:val="-86"/>
        </w:rPr>
        <w:t> </w:t>
      </w:r>
      <w:r>
        <w:rPr>
          <w:spacing w:val="-86"/>
        </w:rPr>
      </w:r>
      <w:r>
        <w:rPr>
          <w:spacing w:val="-2"/>
        </w:rPr>
        <w:t>的十九大会议精神、</w:t>
      </w:r>
      <w:r>
        <w:rPr>
          <w:rFonts w:ascii="宋体" w:hAnsi="宋体" w:cs="宋体" w:eastAsia="宋体" w:hint="default"/>
          <w:spacing w:val="-2"/>
        </w:rPr>
        <w:t>2018</w:t>
      </w:r>
      <w:r>
        <w:rPr>
          <w:rFonts w:ascii="宋体" w:hAnsi="宋体" w:cs="宋体" w:eastAsia="宋体" w:hint="default"/>
          <w:spacing w:val="-42"/>
        </w:rPr>
        <w:t> </w:t>
      </w:r>
      <w:r>
        <w:rPr>
          <w:spacing w:val="-2"/>
        </w:rPr>
        <w:t>年中央经济工作会议精神，在省、市发展战略指导下，未来将继续以“成为领先</w:t>
      </w:r>
      <w:r>
        <w:rPr>
          <w:spacing w:val="-102"/>
        </w:rPr>
        <w:t> </w:t>
      </w:r>
      <w:r>
        <w:rPr>
          <w:spacing w:val="-102"/>
        </w:rPr>
      </w:r>
      <w:r>
        <w:rPr>
          <w:spacing w:val="-1"/>
        </w:rPr>
        <w:t>的物联网解决方案提供商、服务商”为战略目标，聚焦主航道和优势领域，巩固和扩大各细分行业领先优</w:t>
      </w:r>
      <w:r>
        <w:rPr>
          <w:spacing w:val="-84"/>
        </w:rPr>
        <w:t> </w:t>
      </w:r>
      <w:r>
        <w:rPr>
          <w:spacing w:val="-84"/>
        </w:rPr>
      </w:r>
      <w:r>
        <w:rPr/>
        <w:t>势，把握新机遇，打造物联网行业龙头地位。</w:t>
      </w:r>
    </w:p>
    <w:p>
      <w:pPr>
        <w:pStyle w:val="BodyText"/>
        <w:spacing w:line="408" w:lineRule="auto"/>
        <w:ind w:left="1554" w:right="0"/>
        <w:jc w:val="left"/>
      </w:pPr>
      <w:r>
        <w:rPr/>
        <w:t>（一）加快产业生态圈建设，厚植物联网领先优势 近年来，汉威科技先人一步以传感器为核心构建的物联网产业生态圈，以及正在加速落地的大数据、</w:t>
      </w:r>
    </w:p>
    <w:p>
      <w:pPr>
        <w:pStyle w:val="BodyText"/>
        <w:spacing w:line="408" w:lineRule="auto"/>
        <w:ind w:left="1134" w:right="1132"/>
        <w:jc w:val="both"/>
      </w:pPr>
      <w:r>
        <w:rPr>
          <w:spacing w:val="-2"/>
        </w:rPr>
        <w:t>云计算在各业务领域的应用，是公司的核心竞争优势。</w:t>
      </w:r>
      <w:r>
        <w:rPr>
          <w:rFonts w:ascii="宋体" w:hAnsi="宋体" w:cs="宋体" w:eastAsia="宋体" w:hint="default"/>
          <w:spacing w:val="-2"/>
        </w:rPr>
        <w:t>2018</w:t>
      </w:r>
      <w:r>
        <w:rPr>
          <w:rFonts w:ascii="宋体" w:hAnsi="宋体" w:cs="宋体" w:eastAsia="宋体" w:hint="default"/>
          <w:spacing w:val="-38"/>
        </w:rPr>
        <w:t> </w:t>
      </w:r>
      <w:r>
        <w:rPr>
          <w:spacing w:val="-2"/>
        </w:rPr>
        <w:t>年，公司将继续保持并扩大该优势，实现各业</w:t>
      </w:r>
      <w:r>
        <w:rPr>
          <w:spacing w:val="-103"/>
        </w:rPr>
        <w:t> </w:t>
      </w:r>
      <w:r>
        <w:rPr>
          <w:spacing w:val="-103"/>
        </w:rPr>
      </w:r>
      <w:r>
        <w:rPr/>
        <w:t>务板块在细分行业领域的巩固与提升，在打造物联网行业龙头过程中始终占据主动。</w:t>
      </w:r>
    </w:p>
    <w:p>
      <w:pPr>
        <w:pStyle w:val="BodyText"/>
        <w:spacing w:line="408" w:lineRule="auto"/>
        <w:ind w:left="1553" w:right="1118"/>
        <w:jc w:val="left"/>
      </w:pPr>
      <w:r>
        <w:rPr>
          <w:rFonts w:ascii="宋体" w:hAnsi="宋体" w:cs="宋体" w:eastAsia="宋体" w:hint="default"/>
        </w:rPr>
        <w:t>1</w:t>
      </w:r>
      <w:r>
        <w:rPr/>
        <w:t>、传感器 </w:t>
      </w:r>
      <w:r>
        <w:rPr>
          <w:spacing w:val="-1"/>
        </w:rPr>
        <w:t>传感器是公司旗下最具成长性和价值的核心业务，为进一步巩固国内气体传感器龙头地位，扩大国际</w:t>
      </w:r>
    </w:p>
    <w:p>
      <w:pPr>
        <w:pStyle w:val="BodyText"/>
        <w:spacing w:line="408" w:lineRule="auto"/>
        <w:ind w:right="1130"/>
        <w:jc w:val="both"/>
      </w:pPr>
      <w:r>
        <w:rPr>
          <w:spacing w:val="-1"/>
        </w:rPr>
        <w:t>影响力，炜盛科技将重点实现</w:t>
      </w:r>
      <w:r>
        <w:rPr>
          <w:spacing w:val="-45"/>
        </w:rPr>
        <w:t> </w:t>
      </w:r>
      <w:r>
        <w:rPr>
          <w:rFonts w:ascii="宋体" w:hAnsi="宋体" w:cs="宋体" w:eastAsia="宋体" w:hint="default"/>
          <w:spacing w:val="-2"/>
        </w:rPr>
        <w:t>MEMS</w:t>
      </w:r>
      <w:r>
        <w:rPr>
          <w:spacing w:val="-2"/>
        </w:rPr>
        <w:t>、化学、红外传感器技术突破，保持国际领先水平。其次，公司将加快</w:t>
      </w:r>
      <w:r>
        <w:rPr/>
        <w:t> 光电传感器产业化进度，持续拓展高端产品。再次，公司将快速推进 </w:t>
      </w:r>
      <w:r>
        <w:rPr>
          <w:rFonts w:ascii="宋体" w:hAnsi="宋体" w:cs="宋体" w:eastAsia="宋体" w:hint="default"/>
        </w:rPr>
        <w:t>MEMS</w:t>
      </w:r>
      <w:r>
        <w:rPr>
          <w:rFonts w:ascii="宋体" w:hAnsi="宋体" w:cs="宋体" w:eastAsia="宋体" w:hint="default"/>
          <w:spacing w:val="-24"/>
        </w:rPr>
        <w:t> </w:t>
      </w:r>
      <w:r>
        <w:rPr/>
        <w:t>气体传感器产业化、市场化， 最终构建气体、光学、</w:t>
      </w:r>
      <w:r>
        <w:rPr>
          <w:rFonts w:ascii="宋体" w:hAnsi="宋体" w:cs="宋体" w:eastAsia="宋体" w:hint="default"/>
        </w:rPr>
        <w:t>MEMS</w:t>
      </w:r>
      <w:r>
        <w:rPr>
          <w:rFonts w:ascii="宋体" w:hAnsi="宋体" w:cs="宋体" w:eastAsia="宋体" w:hint="default"/>
          <w:spacing w:val="-55"/>
        </w:rPr>
        <w:t> </w:t>
      </w:r>
      <w:r>
        <w:rPr/>
        <w:t>等产品体系，完善产品构架。</w:t>
      </w:r>
    </w:p>
    <w:p>
      <w:pPr>
        <w:pStyle w:val="BodyText"/>
        <w:spacing w:line="240" w:lineRule="auto"/>
        <w:ind w:left="1554" w:right="0"/>
        <w:jc w:val="left"/>
      </w:pPr>
      <w:r>
        <w:rPr>
          <w:rFonts w:ascii="宋体" w:hAnsi="宋体" w:cs="宋体" w:eastAsia="宋体" w:hint="default"/>
        </w:rPr>
        <w:t>2</w:t>
      </w:r>
      <w:r>
        <w:rPr/>
        <w:t>、物联网综合解决方案</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left="1553" w:right="1116"/>
        <w:jc w:val="left"/>
      </w:pPr>
      <w:r>
        <w:rPr/>
        <w:t>（</w:t>
      </w:r>
      <w:r>
        <w:rPr>
          <w:rFonts w:ascii="宋体" w:hAnsi="宋体" w:cs="宋体" w:eastAsia="宋体" w:hint="default"/>
        </w:rPr>
        <w:t>1</w:t>
      </w:r>
      <w:r>
        <w:rPr/>
        <w:t>）物联网平台解决方案 根据物联网的技术路线图，应用服务层是物联网产业链条中业绩释放的关键。公司从 </w:t>
      </w:r>
      <w:r>
        <w:rPr>
          <w:rFonts w:ascii="宋体" w:hAnsi="宋体" w:cs="宋体" w:eastAsia="宋体" w:hint="default"/>
        </w:rPr>
        <w:t>2014</w:t>
      </w:r>
      <w:r>
        <w:rPr>
          <w:rFonts w:ascii="宋体" w:hAnsi="宋体" w:cs="宋体" w:eastAsia="宋体" w:hint="default"/>
          <w:spacing w:val="-23"/>
        </w:rPr>
        <w:t> </w:t>
      </w:r>
      <w:r>
        <w:rPr/>
        <w:t>年开始，</w:t>
      </w:r>
    </w:p>
    <w:p>
      <w:pPr>
        <w:pStyle w:val="BodyText"/>
        <w:spacing w:line="408" w:lineRule="auto"/>
        <w:ind w:right="0"/>
        <w:jc w:val="left"/>
      </w:pPr>
      <w:r>
        <w:rPr/>
        <w:t>通过重大资产重组、股权收购等方式在物联网应用平台的布局中进行了多次并购卡位。截至目前，汉威科 技基于感知、数据传输、</w:t>
      </w:r>
      <w:r>
        <w:rPr>
          <w:rFonts w:ascii="宋体" w:hAnsi="宋体" w:cs="宋体" w:eastAsia="宋体" w:hint="default"/>
        </w:rPr>
        <w:t>GIS</w:t>
      </w:r>
      <w:r>
        <w:rPr/>
        <w:t>、云数据等技术，向行业客户提供智慧市政地下管网监管平台、智慧市政管</w:t>
      </w:r>
      <w:r>
        <w:rPr>
          <w:spacing w:val="-33"/>
        </w:rPr>
        <w:t> </w:t>
      </w:r>
      <w:r>
        <w:rPr>
          <w:spacing w:val="-33"/>
        </w:rPr>
      </w:r>
      <w:r>
        <w:rPr/>
        <w:t>控一体化平台、智慧燃气信息化管理平台、智慧供水物联网平台、智慧供热物联网平台等项目解决方案，</w:t>
      </w:r>
      <w:r>
        <w:rPr>
          <w:spacing w:val="-35"/>
        </w:rPr>
        <w:t> </w:t>
      </w:r>
      <w:r>
        <w:rPr>
          <w:spacing w:val="-35"/>
        </w:rPr>
      </w:r>
      <w:r>
        <w:rPr/>
        <w:t>物联网生态布局已趋于完善。</w:t>
      </w:r>
    </w:p>
    <w:p>
      <w:pPr>
        <w:pStyle w:val="BodyText"/>
        <w:spacing w:line="408" w:lineRule="auto"/>
        <w:ind w:right="1130" w:firstLine="420"/>
        <w:jc w:val="both"/>
      </w:pPr>
      <w:r>
        <w:rPr>
          <w:rFonts w:ascii="宋体" w:hAnsi="宋体" w:cs="宋体" w:eastAsia="宋体" w:hint="default"/>
        </w:rPr>
        <w:t>2018</w:t>
      </w:r>
      <w:r>
        <w:rPr>
          <w:rFonts w:ascii="宋体" w:hAnsi="宋体" w:cs="宋体" w:eastAsia="宋体" w:hint="default"/>
          <w:spacing w:val="-48"/>
        </w:rPr>
        <w:t> </w:t>
      </w:r>
      <w:r>
        <w:rPr>
          <w:spacing w:val="-2"/>
        </w:rPr>
        <w:t>年，公司物联网平台解决方案（或“工业互联网平台解决方案”）的进一步营销与推广将成为重</w:t>
      </w:r>
      <w:r>
        <w:rPr/>
        <w:t> </w:t>
      </w:r>
      <w:r>
        <w:rPr>
          <w:spacing w:val="-1"/>
        </w:rPr>
        <w:t>点工作。一方面，公司将积极探索、打造多样化的产品模式、合作创新模式。将硬件、技术、数据进行拆</w:t>
      </w:r>
      <w:r>
        <w:rPr>
          <w:spacing w:val="-85"/>
        </w:rPr>
        <w:t> </w:t>
      </w:r>
      <w:r>
        <w:rPr>
          <w:spacing w:val="-85"/>
        </w:rPr>
      </w:r>
      <w:r>
        <w:rPr>
          <w:spacing w:val="-1"/>
        </w:rPr>
        <w:t>分，为细分应用领域提供标准化、可复制的模组。同时，以县级市、地级市、城区行政区作为深度挖掘的</w:t>
      </w:r>
      <w:r>
        <w:rPr>
          <w:spacing w:val="-83"/>
        </w:rPr>
        <w:t> </w:t>
      </w:r>
      <w:r>
        <w:rPr>
          <w:spacing w:val="-83"/>
        </w:rPr>
      </w:r>
      <w:r>
        <w:rPr/>
        <w:t>市场，通过轻量模块式的产品思维进一步扩大市场空间。</w:t>
      </w:r>
    </w:p>
    <w:p>
      <w:pPr>
        <w:pStyle w:val="BodyText"/>
        <w:spacing w:line="408" w:lineRule="auto"/>
        <w:ind w:left="1134" w:right="1130" w:firstLine="420"/>
        <w:jc w:val="both"/>
      </w:pPr>
      <w:r>
        <w:rPr>
          <w:spacing w:val="-1"/>
        </w:rPr>
        <w:t>另一方面，公司将所有模块化的解决方案进行统一汇总和包装，以智慧城市运营部门为主导，搜集政</w:t>
      </w:r>
      <w:r>
        <w:rPr/>
        <w:t> </w:t>
      </w:r>
      <w:r>
        <w:rPr>
          <w:spacing w:val="-1"/>
        </w:rPr>
        <w:t>企类的客户资源、客户需求，提高市场敏感度，实现快速化的营销与传播，再由对应业务板块的市场部门</w:t>
      </w:r>
      <w:r>
        <w:rPr>
          <w:spacing w:val="-86"/>
        </w:rPr>
        <w:t> </w:t>
      </w:r>
      <w:r>
        <w:rPr>
          <w:spacing w:val="-86"/>
        </w:rPr>
      </w:r>
      <w:r>
        <w:rPr/>
        <w:t>重点攻克。其中，畅威物联受益于“煤改气”政策，借助于 </w:t>
      </w:r>
      <w:r>
        <w:rPr>
          <w:rFonts w:ascii="宋体" w:hAnsi="宋体" w:cs="宋体" w:eastAsia="宋体" w:hint="default"/>
        </w:rPr>
        <w:t>20</w:t>
      </w:r>
      <w:r>
        <w:rPr>
          <w:rFonts w:ascii="宋体" w:hAnsi="宋体" w:cs="宋体" w:eastAsia="宋体" w:hint="default"/>
          <w:spacing w:val="-25"/>
        </w:rPr>
        <w:t> </w:t>
      </w:r>
      <w:r>
        <w:rPr/>
        <w:t>年燃气行业经验优势，将致力于从天然气 </w:t>
      </w:r>
      <w:r>
        <w:rPr>
          <w:spacing w:val="-1"/>
        </w:rPr>
        <w:t>源头到末端的管网运营及安全伴随的智慧化业务，通过挖掘数据为用户提升运营价值，提供安全运营的决</w:t>
      </w:r>
      <w:r>
        <w:rPr>
          <w:spacing w:val="-81"/>
        </w:rPr>
        <w:t> </w:t>
      </w:r>
      <w:r>
        <w:rPr>
          <w:spacing w:val="-81"/>
        </w:rPr>
      </w:r>
      <w:r>
        <w:rPr>
          <w:spacing w:val="-7"/>
        </w:rPr>
        <w:t>策；沈阳金建将加快开展 </w:t>
      </w:r>
      <w:r>
        <w:rPr>
          <w:rFonts w:ascii="宋体" w:hAnsi="宋体" w:cs="宋体" w:eastAsia="宋体" w:hint="default"/>
        </w:rPr>
        <w:t>GIS</w:t>
      </w:r>
      <w:r>
        <w:rPr>
          <w:rFonts w:ascii="宋体" w:hAnsi="宋体" w:cs="宋体" w:eastAsia="宋体" w:hint="default"/>
          <w:spacing w:val="-84"/>
        </w:rPr>
        <w:t> </w:t>
      </w:r>
      <w:r>
        <w:rPr>
          <w:spacing w:val="-5"/>
        </w:rPr>
        <w:t>系统实用化研究，以市政相关行业为重点业务方向，抓住国家二次供水改造、</w:t>
      </w:r>
      <w:r>
        <w:rPr/>
        <w:t> </w:t>
      </w:r>
      <w:r>
        <w:rPr>
          <w:spacing w:val="-1"/>
        </w:rPr>
        <w:t>海绵城市建设、城市内河黑臭水体治理等行业需求热点，进行全面布局；鞍山易兴将继续保持燃气市场稳</w:t>
      </w:r>
      <w:r>
        <w:rPr>
          <w:spacing w:val="-83"/>
        </w:rPr>
        <w:t> </w:t>
      </w:r>
      <w:r>
        <w:rPr>
          <w:spacing w:val="-83"/>
        </w:rPr>
      </w:r>
      <w:r>
        <w:rPr>
          <w:spacing w:val="-1"/>
        </w:rPr>
        <w:t>步增长，实现智慧市政综合监管系统及排水防涝指挥调度系统的全面研发、升级，力争实现项目落地；北</w:t>
      </w:r>
      <w:r>
        <w:rPr>
          <w:spacing w:val="-85"/>
        </w:rPr>
        <w:t> </w:t>
      </w:r>
      <w:r>
        <w:rPr>
          <w:spacing w:val="-85"/>
        </w:rPr>
      </w:r>
      <w:r>
        <w:rPr/>
        <w:t>京智威将继续开拓具有行业领先优势的智慧水务一体化解决方案市场，加快复制推广速度。</w:t>
      </w:r>
    </w:p>
    <w:p>
      <w:pPr>
        <w:pStyle w:val="BodyText"/>
        <w:spacing w:line="408" w:lineRule="auto"/>
        <w:ind w:left="1554" w:right="0"/>
        <w:jc w:val="left"/>
      </w:pPr>
      <w:r>
        <w:rPr/>
        <w:t>（</w:t>
      </w:r>
      <w:r>
        <w:rPr>
          <w:rFonts w:ascii="宋体" w:hAnsi="宋体" w:cs="宋体" w:eastAsia="宋体" w:hint="default"/>
        </w:rPr>
        <w:t>2</w:t>
      </w:r>
      <w:r>
        <w:rPr/>
        <w:t>）智慧市政系统解决方案 公司将进一步凭借成熟的智慧水务、智慧热力示范标杆效应，提升高新供水、高新热力的管理成效。</w:t>
      </w:r>
    </w:p>
    <w:p>
      <w:pPr>
        <w:pStyle w:val="BodyText"/>
        <w:spacing w:line="408" w:lineRule="auto"/>
        <w:ind w:left="1134" w:right="0"/>
        <w:jc w:val="left"/>
      </w:pPr>
      <w:r>
        <w:rPr>
          <w:spacing w:val="-1"/>
        </w:rPr>
        <w:t>加快高新第二水厂建设步伐，提高产能，扩大收益。同时，公司将积极运用互联网思维，探索、创新商业</w:t>
      </w:r>
      <w:r>
        <w:rPr>
          <w:spacing w:val="-83"/>
        </w:rPr>
        <w:t> </w:t>
      </w:r>
      <w:r>
        <w:rPr>
          <w:spacing w:val="-83"/>
        </w:rPr>
      </w:r>
      <w:r>
        <w:rPr/>
        <w:t>模式，打造智慧公用综合服务平台。</w:t>
      </w:r>
    </w:p>
    <w:p>
      <w:pPr>
        <w:pStyle w:val="BodyText"/>
        <w:spacing w:line="240" w:lineRule="auto"/>
        <w:ind w:left="1554" w:right="0"/>
        <w:jc w:val="left"/>
      </w:pPr>
      <w:r>
        <w:rPr/>
        <w:t>（</w:t>
      </w:r>
      <w:r>
        <w:rPr>
          <w:rFonts w:ascii="宋体" w:hAnsi="宋体" w:cs="宋体" w:eastAsia="宋体" w:hint="default"/>
        </w:rPr>
        <w:t>3</w:t>
      </w:r>
      <w:r>
        <w:rPr/>
        <w:t>）智慧环保系统解决方案</w:t>
      </w:r>
    </w:p>
    <w:p>
      <w:pPr>
        <w:spacing w:line="240" w:lineRule="auto" w:before="10"/>
        <w:rPr>
          <w:rFonts w:ascii="宋体" w:hAnsi="宋体" w:cs="宋体" w:eastAsia="宋体" w:hint="default"/>
          <w:sz w:val="14"/>
          <w:szCs w:val="14"/>
        </w:rPr>
      </w:pPr>
    </w:p>
    <w:p>
      <w:pPr>
        <w:pStyle w:val="BodyText"/>
        <w:spacing w:line="408" w:lineRule="auto" w:before="0"/>
        <w:ind w:right="1035" w:firstLine="420"/>
        <w:jc w:val="left"/>
        <w:rPr>
          <w:rFonts w:ascii="宋体" w:hAnsi="宋体" w:cs="宋体" w:eastAsia="宋体" w:hint="default"/>
        </w:rPr>
      </w:pPr>
      <w:r>
        <w:rPr/>
        <w:t>公司智慧环保事业群经过多年布局，已形成“第三方检测</w:t>
      </w:r>
      <w:r>
        <w:rPr>
          <w:rFonts w:ascii="宋体" w:hAnsi="宋体" w:cs="宋体" w:eastAsia="宋体" w:hint="default"/>
        </w:rPr>
        <w:t>-</w:t>
      </w:r>
      <w:r>
        <w:rPr/>
        <w:t>在线监测</w:t>
      </w:r>
      <w:r>
        <w:rPr>
          <w:rFonts w:ascii="宋体" w:hAnsi="宋体" w:cs="宋体" w:eastAsia="宋体" w:hint="default"/>
        </w:rPr>
        <w:t>-</w:t>
      </w:r>
      <w:r>
        <w:rPr/>
        <w:t>废气废水处理</w:t>
      </w:r>
      <w:r>
        <w:rPr>
          <w:rFonts w:ascii="宋体" w:hAnsi="宋体" w:cs="宋体" w:eastAsia="宋体" w:hint="default"/>
        </w:rPr>
        <w:t>-</w:t>
      </w:r>
      <w:r>
        <w:rPr/>
        <w:t>智慧环保系统运 维”闭环业务生态，并以“成为技术领先的大中型智慧环保解决方案综合服务商”为目标，进一步开拓全 国市场。第三方检测方面，德析检测将继续巩固环境监测、公共卫生业务领域优势，积极布局涉水产品、</w:t>
      </w:r>
      <w:r>
        <w:rPr>
          <w:spacing w:val="-35"/>
        </w:rPr>
        <w:t> </w:t>
      </w:r>
      <w:r>
        <w:rPr>
          <w:spacing w:val="-35"/>
        </w:rPr>
      </w:r>
      <w:r>
        <w:rPr/>
        <w:t>放射卫生、计量校准等业务领域。在线监测方面，雪城软件将在智慧环保平台、大气污染防治综合管理平</w:t>
      </w:r>
      <w:r>
        <w:rPr/>
        <w:t> 台、城市天眼监控系统、化工园区安环一体化平台、生态环境监测大数据平台、机动车尾气遥感监测系统 的研发、完善与市场销售等领域形成进一步突破，业务发展面向全国。治理方面，嘉园环保将巩固并扩大 渗滤液处理市场的占有率，加大汽车、涂料废气处理等热点行业的布局力度，加快转轮</w:t>
      </w:r>
      <w:r>
        <w:rPr>
          <w:rFonts w:ascii="宋体" w:hAnsi="宋体" w:cs="宋体" w:eastAsia="宋体" w:hint="default"/>
        </w:rPr>
        <w:t>-RTO</w:t>
      </w:r>
      <w:r>
        <w:rPr/>
        <w:t>、大风量</w:t>
      </w:r>
      <w:r>
        <w:rPr>
          <w:spacing w:val="-23"/>
        </w:rPr>
        <w:t> </w:t>
      </w:r>
      <w:r>
        <w:rPr>
          <w:rFonts w:ascii="宋体" w:hAnsi="宋体" w:cs="宋体" w:eastAsia="宋体" w:hint="default"/>
        </w:rPr>
        <w:t>RTO</w:t>
      </w:r>
    </w:p>
    <w:p>
      <w:pPr>
        <w:spacing w:after="0" w:line="408" w:lineRule="auto"/>
        <w:jc w:val="left"/>
        <w:rPr>
          <w:rFonts w:ascii="宋体" w:hAnsi="宋体" w:cs="宋体" w:eastAsia="宋体" w:hint="default"/>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right="1131"/>
        <w:jc w:val="both"/>
      </w:pPr>
      <w:r>
        <w:rPr>
          <w:spacing w:val="-1"/>
        </w:rPr>
        <w:t>的技术推广速度。同时，公司将完善智慧环保平台建设，通过物联网手段实现远程监控、运营、管理，实</w:t>
      </w:r>
      <w:r>
        <w:rPr>
          <w:spacing w:val="-83"/>
        </w:rPr>
        <w:t> </w:t>
      </w:r>
      <w:r>
        <w:rPr>
          <w:spacing w:val="-83"/>
        </w:rPr>
      </w:r>
      <w:r>
        <w:rPr/>
        <w:t>现项目公司提质增效。</w:t>
      </w:r>
    </w:p>
    <w:p>
      <w:pPr>
        <w:pStyle w:val="BodyText"/>
        <w:spacing w:line="408" w:lineRule="auto"/>
        <w:ind w:left="1553" w:right="0"/>
        <w:jc w:val="left"/>
      </w:pPr>
      <w:r>
        <w:rPr/>
        <w:t>（</w:t>
      </w:r>
      <w:r>
        <w:rPr>
          <w:rFonts w:ascii="宋体" w:hAnsi="宋体" w:cs="宋体" w:eastAsia="宋体" w:hint="default"/>
        </w:rPr>
        <w:t>4</w:t>
      </w:r>
      <w:r>
        <w:rPr/>
        <w:t>）智慧安全系统解决方案 智慧安全事业群致力于为行业客户及城市政府端提供“物联网</w:t>
      </w:r>
      <w:r>
        <w:rPr>
          <w:rFonts w:ascii="宋体" w:hAnsi="宋体" w:cs="宋体" w:eastAsia="宋体" w:hint="default"/>
        </w:rPr>
        <w:t>+</w:t>
      </w:r>
      <w:r>
        <w:rPr/>
        <w:t>安全生产”的整体解决方案，实现安</w:t>
      </w:r>
    </w:p>
    <w:p>
      <w:pPr>
        <w:pStyle w:val="BodyText"/>
        <w:spacing w:line="408" w:lineRule="auto"/>
        <w:ind w:right="1131"/>
        <w:jc w:val="both"/>
      </w:pPr>
      <w:r>
        <w:rPr>
          <w:spacing w:val="-1"/>
        </w:rPr>
        <w:t>全生产信息化及城市安全发展的目标。未来将继续夯实并扩大行业领先优势，完成地下管廊探测器立项开</w:t>
      </w:r>
      <w:r>
        <w:rPr>
          <w:spacing w:val="-81"/>
        </w:rPr>
        <w:t> </w:t>
      </w:r>
      <w:r>
        <w:rPr>
          <w:spacing w:val="-81"/>
        </w:rPr>
      </w:r>
      <w:r>
        <w:rPr>
          <w:spacing w:val="-1"/>
        </w:rPr>
        <w:t>发、在线监测监控系统与便携式产品互联互通集成开发等重大项目，充分借助自身传感器核心优势和安全</w:t>
      </w:r>
      <w:r>
        <w:rPr>
          <w:spacing w:val="-81"/>
        </w:rPr>
        <w:t> </w:t>
      </w:r>
      <w:r>
        <w:rPr>
          <w:spacing w:val="-81"/>
        </w:rPr>
      </w:r>
      <w:r>
        <w:rPr/>
        <w:t>生产信息化系统综合解决方案的能力，加大市场开拓力度，进一步拉伸产业链条。</w:t>
      </w:r>
    </w:p>
    <w:p>
      <w:pPr>
        <w:pStyle w:val="BodyText"/>
        <w:spacing w:line="408" w:lineRule="auto"/>
        <w:ind w:left="1553" w:right="0"/>
        <w:jc w:val="left"/>
      </w:pPr>
      <w:r>
        <w:rPr>
          <w:rFonts w:ascii="宋体" w:hAnsi="宋体" w:cs="宋体" w:eastAsia="宋体" w:hint="default"/>
        </w:rPr>
        <w:t>3</w:t>
      </w:r>
      <w:r>
        <w:rPr/>
        <w:t>、居家智能与健康 北京威果将继续探明消费类电子业务方向，加快业务布局，在不断完善空气质量“检测</w:t>
      </w:r>
      <w:r>
        <w:rPr>
          <w:rFonts w:ascii="宋体" w:hAnsi="宋体" w:cs="宋体" w:eastAsia="宋体" w:hint="default"/>
        </w:rPr>
        <w:t>+</w:t>
      </w:r>
      <w:r>
        <w:rPr/>
        <w:t>方案”的基</w:t>
      </w:r>
    </w:p>
    <w:p>
      <w:pPr>
        <w:pStyle w:val="BodyText"/>
        <w:spacing w:line="408" w:lineRule="auto"/>
        <w:ind w:left="1134" w:right="1130"/>
        <w:jc w:val="both"/>
      </w:pPr>
      <w:r>
        <w:rPr/>
        <w:t>础上，积极关注 </w:t>
      </w:r>
      <w:r>
        <w:rPr>
          <w:rFonts w:ascii="宋体" w:hAnsi="宋体" w:cs="宋体" w:eastAsia="宋体" w:hint="default"/>
        </w:rPr>
        <w:t>3C</w:t>
      </w:r>
      <w:r>
        <w:rPr>
          <w:rFonts w:ascii="宋体" w:hAnsi="宋体" w:cs="宋体" w:eastAsia="宋体" w:hint="default"/>
          <w:spacing w:val="-23"/>
        </w:rPr>
        <w:t> </w:t>
      </w:r>
      <w:r>
        <w:rPr/>
        <w:t>数码、净水、安防楼宇自控等领域。同时，北京威果将增加线上业务端口，丰富电子 商务平台、跨境贸易 </w:t>
      </w:r>
      <w:r>
        <w:rPr>
          <w:rFonts w:ascii="宋体" w:hAnsi="宋体" w:cs="宋体" w:eastAsia="宋体" w:hint="default"/>
        </w:rPr>
        <w:t>2C</w:t>
      </w:r>
      <w:r>
        <w:rPr>
          <w:rFonts w:ascii="宋体" w:hAnsi="宋体" w:cs="宋体" w:eastAsia="宋体" w:hint="default"/>
          <w:spacing w:val="-22"/>
        </w:rPr>
        <w:t> </w:t>
      </w:r>
      <w:r>
        <w:rPr/>
        <w:t>平台，并完善线下业务平台，在扩大单品销售的基础上，适时将销售重点由单品 转向系统方案。</w:t>
      </w:r>
    </w:p>
    <w:p>
      <w:pPr>
        <w:pStyle w:val="BodyText"/>
        <w:spacing w:line="408" w:lineRule="auto"/>
        <w:ind w:left="1554" w:right="1117"/>
        <w:jc w:val="left"/>
        <w:rPr>
          <w:rFonts w:ascii="宋体" w:hAnsi="宋体" w:cs="宋体" w:eastAsia="宋体" w:hint="default"/>
        </w:rPr>
      </w:pPr>
      <w:r>
        <w:rPr/>
        <w:t>（二）提升创新牵引力 </w:t>
      </w:r>
      <w:r>
        <w:rPr>
          <w:spacing w:val="-5"/>
        </w:rPr>
        <w:t>创新是企业发展的第一动力。保持高质量发展、打造物联网行业龙头需要创新引擎的带动和引领。</w:t>
      </w:r>
      <w:r>
        <w:rPr>
          <w:rFonts w:ascii="宋体" w:hAnsi="宋体" w:cs="宋体" w:eastAsia="宋体" w:hint="default"/>
          <w:spacing w:val="-5"/>
        </w:rPr>
        <w:t>2018</w:t>
      </w:r>
    </w:p>
    <w:p>
      <w:pPr>
        <w:pStyle w:val="BodyText"/>
        <w:spacing w:line="408" w:lineRule="auto"/>
        <w:ind w:right="1133"/>
        <w:jc w:val="both"/>
      </w:pPr>
      <w:r>
        <w:rPr>
          <w:spacing w:val="-1"/>
        </w:rPr>
        <w:t>年，公司将在拓宽创新格局、加快重大项目落地、加强横向产业合作等方面不断努力，进一步提升创新的</w:t>
      </w:r>
      <w:r>
        <w:rPr>
          <w:spacing w:val="-86"/>
        </w:rPr>
        <w:t> </w:t>
      </w:r>
      <w:r>
        <w:rPr>
          <w:spacing w:val="-86"/>
        </w:rPr>
      </w:r>
      <w:r>
        <w:rPr/>
        <w:t>牵引力、驱动力。</w:t>
      </w:r>
    </w:p>
    <w:p>
      <w:pPr>
        <w:pStyle w:val="BodyText"/>
        <w:spacing w:line="408" w:lineRule="auto"/>
        <w:ind w:right="1032" w:firstLine="420"/>
        <w:jc w:val="both"/>
      </w:pPr>
      <w:r>
        <w:rPr>
          <w:rFonts w:ascii="宋体" w:hAnsi="宋体" w:cs="宋体" w:eastAsia="宋体" w:hint="default"/>
        </w:rPr>
        <w:t>1</w:t>
      </w:r>
      <w:r>
        <w:rPr/>
        <w:t>、继续拓宽创新格局。公司将加大力度探索水质、超声、消费类电子等应用领域和方向，拓展云计 算、</w:t>
      </w:r>
      <w:r>
        <w:rPr>
          <w:rFonts w:ascii="宋体" w:hAnsi="宋体" w:cs="宋体" w:eastAsia="宋体" w:hint="default"/>
        </w:rPr>
        <w:t>MEMS</w:t>
      </w:r>
      <w:r>
        <w:rPr>
          <w:rFonts w:ascii="宋体" w:hAnsi="宋体" w:cs="宋体" w:eastAsia="宋体" w:hint="default"/>
          <w:spacing w:val="-8"/>
        </w:rPr>
        <w:t> </w:t>
      </w:r>
      <w:r>
        <w:rPr>
          <w:spacing w:val="-4"/>
        </w:rPr>
        <w:t>等新领域，向硬件智能化、可视化、云化（消费类电子）、</w:t>
      </w:r>
      <w:r>
        <w:rPr>
          <w:rFonts w:ascii="宋体" w:hAnsi="宋体" w:cs="宋体" w:eastAsia="宋体" w:hint="default"/>
          <w:spacing w:val="-4"/>
        </w:rPr>
        <w:t>BIM</w:t>
      </w:r>
      <w:r>
        <w:rPr>
          <w:rFonts w:ascii="宋体" w:hAnsi="宋体" w:cs="宋体" w:eastAsia="宋体" w:hint="default"/>
          <w:spacing w:val="-9"/>
        </w:rPr>
        <w:t> </w:t>
      </w:r>
      <w:r>
        <w:rPr/>
        <w:t>等新方向做技术延伸。同时，公</w:t>
      </w:r>
      <w:r>
        <w:rPr>
          <w:spacing w:val="-103"/>
        </w:rPr>
        <w:t> </w:t>
      </w:r>
      <w:r>
        <w:rPr/>
        <w:t>司将快速推进水质光学检测、汽车尾气遥测系统、声学等平台的搭建，拓展在水质检测行业的市场布局。</w:t>
      </w:r>
    </w:p>
    <w:p>
      <w:pPr>
        <w:pStyle w:val="BodyText"/>
        <w:spacing w:line="408" w:lineRule="auto"/>
        <w:ind w:left="1134" w:right="1133" w:firstLine="420"/>
        <w:jc w:val="both"/>
      </w:pPr>
      <w:r>
        <w:rPr>
          <w:rFonts w:ascii="宋体" w:hAnsi="宋体" w:cs="宋体" w:eastAsia="宋体" w:hint="default"/>
        </w:rPr>
        <w:t>2</w:t>
      </w:r>
      <w:r>
        <w:rPr/>
        <w:t>、加快推进重大项目。公司将完成智能制造试点项目并通过国家验收；加快平安社区、智慧小区、 </w:t>
      </w:r>
      <w:r>
        <w:rPr>
          <w:spacing w:val="-1"/>
        </w:rPr>
        <w:t>智慧园区、智慧消防、智慧高新等重点项目案例的落地，尽快形成标杆示范效应，为后续复制推广打好基</w:t>
      </w:r>
      <w:r>
        <w:rPr>
          <w:spacing w:val="-86"/>
        </w:rPr>
        <w:t> </w:t>
      </w:r>
      <w:r>
        <w:rPr>
          <w:spacing w:val="-86"/>
        </w:rPr>
      </w:r>
      <w:r>
        <w:rPr/>
        <w:t>础；加快推动国家“互联网+”项目顺利实施。</w:t>
      </w:r>
    </w:p>
    <w:p>
      <w:pPr>
        <w:pStyle w:val="BodyText"/>
        <w:spacing w:line="408" w:lineRule="auto"/>
        <w:ind w:right="1131" w:firstLine="420"/>
        <w:jc w:val="both"/>
      </w:pPr>
      <w:r>
        <w:rPr>
          <w:rFonts w:ascii="宋体" w:hAnsi="宋体" w:cs="宋体" w:eastAsia="宋体" w:hint="default"/>
        </w:rPr>
        <w:t>3</w:t>
      </w:r>
      <w:r>
        <w:rPr/>
        <w:t>、加快物联网生态平台建设。公司将逐步实现传感器、仪器仪表、智能终端的数据接入，加强行业 </w:t>
      </w:r>
      <w:r>
        <w:rPr>
          <w:spacing w:val="-1"/>
        </w:rPr>
        <w:t>用户需求调研及分析，开展对外数据服务，逐步打造从终端到连接管理到解决方案再到数据服务的物联网</w:t>
      </w:r>
      <w:r>
        <w:rPr>
          <w:spacing w:val="-81"/>
        </w:rPr>
        <w:t> </w:t>
      </w:r>
      <w:r>
        <w:rPr>
          <w:spacing w:val="-81"/>
        </w:rPr>
      </w:r>
      <w:r>
        <w:rPr/>
        <w:t>生态体系。</w:t>
      </w:r>
    </w:p>
    <w:p>
      <w:pPr>
        <w:pStyle w:val="BodyText"/>
        <w:spacing w:line="408" w:lineRule="auto"/>
        <w:ind w:left="1134" w:right="1141" w:firstLine="420"/>
        <w:jc w:val="both"/>
      </w:pPr>
      <w:r>
        <w:rPr>
          <w:rFonts w:ascii="宋体" w:hAnsi="宋体" w:cs="宋体" w:eastAsia="宋体" w:hint="default"/>
        </w:rPr>
        <w:t>4</w:t>
      </w:r>
      <w:r>
        <w:rPr/>
        <w:t>、加强横向产业合作。公司将进一步加强与重点企业在行业新技术和产业新课题研究领域的战略合 作，推动产业合作向合作研发、联合设计、市场营销、品牌培育等高端环节延伸，提升行业地位。</w:t>
      </w:r>
    </w:p>
    <w:p>
      <w:pPr>
        <w:pStyle w:val="BodyText"/>
        <w:spacing w:line="240" w:lineRule="auto"/>
        <w:ind w:left="1553" w:right="0"/>
        <w:jc w:val="left"/>
      </w:pPr>
      <w:r>
        <w:rPr/>
        <w:t>（三）夯实公司集团化管理</w:t>
      </w:r>
    </w:p>
    <w:p>
      <w:pPr>
        <w:spacing w:line="240" w:lineRule="auto" w:before="10"/>
        <w:rPr>
          <w:rFonts w:ascii="宋体" w:hAnsi="宋体" w:cs="宋体" w:eastAsia="宋体" w:hint="default"/>
          <w:sz w:val="14"/>
          <w:szCs w:val="14"/>
        </w:rPr>
      </w:pPr>
    </w:p>
    <w:p>
      <w:pPr>
        <w:pStyle w:val="BodyText"/>
        <w:spacing w:line="408" w:lineRule="auto" w:before="0"/>
        <w:ind w:right="1129" w:firstLine="420"/>
        <w:jc w:val="both"/>
      </w:pPr>
      <w:r>
        <w:rPr>
          <w:rFonts w:ascii="宋体" w:hAnsi="宋体" w:cs="宋体" w:eastAsia="宋体" w:hint="default"/>
        </w:rPr>
        <w:t>2018</w:t>
      </w:r>
      <w:r>
        <w:rPr>
          <w:rFonts w:ascii="宋体" w:hAnsi="宋体" w:cs="宋体" w:eastAsia="宋体" w:hint="default"/>
          <w:spacing w:val="-45"/>
        </w:rPr>
        <w:t> </w:t>
      </w:r>
      <w:r>
        <w:rPr>
          <w:spacing w:val="-2"/>
        </w:rPr>
        <w:t>年，公司将继续围绕“统分结合、控放有度、权责清晰、规范科学、灵活高效”的管理目标，重</w:t>
      </w:r>
      <w:r>
        <w:rPr/>
        <w:t> </w:t>
      </w:r>
      <w:r>
        <w:rPr>
          <w:spacing w:val="-1"/>
        </w:rPr>
        <w:t>点开展组织体系、监督体系建设，优化和完善税务筹划、资金管理、风险防控，进一步夯实集团化管理的</w:t>
      </w:r>
    </w:p>
    <w:p>
      <w:pPr>
        <w:spacing w:after="0" w:line="408"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left="1553" w:right="0" w:hanging="420"/>
        <w:jc w:val="left"/>
      </w:pPr>
      <w:r>
        <w:rPr/>
        <w:t>基础，提高企业运营效率。 </w:t>
      </w:r>
      <w:r>
        <w:rPr>
          <w:spacing w:val="-1"/>
        </w:rPr>
        <w:t>在优化体制机制方面，公司将在持续延伸管理触角、加强制度落实的基础上，把重点由建立公司基础</w:t>
      </w:r>
    </w:p>
    <w:p>
      <w:pPr>
        <w:pStyle w:val="BodyText"/>
        <w:spacing w:line="408" w:lineRule="auto"/>
        <w:ind w:right="0"/>
        <w:jc w:val="left"/>
      </w:pPr>
      <w:r>
        <w:rPr/>
        <w:t>管理体系，转到分类施策、精准发力，指导基层单位建立细化制度体系上来。通过积极指导和帮扶基层单 位进行子系统的完善和细化，促进基层子集团、经营实体对公司顶层设计的跟进和落实，保证公司制度、</w:t>
      </w:r>
      <w:r>
        <w:rPr>
          <w:spacing w:val="-35"/>
        </w:rPr>
        <w:t> </w:t>
      </w:r>
      <w:r>
        <w:rPr>
          <w:spacing w:val="-35"/>
        </w:rPr>
      </w:r>
      <w:r>
        <w:rPr/>
        <w:t>决策落地不走样、不衰减。同时，以“精简高效”为原则，大力推动机关组织的精简与优化，减少冗余低</w:t>
      </w:r>
      <w:r>
        <w:rPr/>
        <w:t> 效，深化财务委派制，扩大财务负责人实质委派的范围，</w:t>
      </w:r>
      <w:r>
        <w:rPr>
          <w:rFonts w:ascii="宋体" w:hAnsi="宋体" w:cs="宋体" w:eastAsia="宋体" w:hint="default"/>
        </w:rPr>
        <w:t>2018</w:t>
      </w:r>
      <w:r>
        <w:rPr>
          <w:rFonts w:ascii="宋体" w:hAnsi="宋体" w:cs="宋体" w:eastAsia="宋体" w:hint="default"/>
          <w:spacing w:val="-55"/>
        </w:rPr>
        <w:t> </w:t>
      </w:r>
      <w:r>
        <w:rPr/>
        <w:t>年力争覆盖全公司。</w:t>
      </w:r>
    </w:p>
    <w:p>
      <w:pPr>
        <w:pStyle w:val="BodyText"/>
        <w:spacing w:line="240" w:lineRule="auto"/>
        <w:ind w:left="1553" w:right="0"/>
        <w:jc w:val="left"/>
      </w:pPr>
      <w:r>
        <w:rPr/>
        <w:t>（四）加强团队建设</w:t>
      </w:r>
    </w:p>
    <w:p>
      <w:pPr>
        <w:spacing w:line="240" w:lineRule="auto" w:before="10"/>
        <w:rPr>
          <w:rFonts w:ascii="宋体" w:hAnsi="宋体" w:cs="宋体" w:eastAsia="宋体" w:hint="default"/>
          <w:sz w:val="14"/>
          <w:szCs w:val="14"/>
        </w:rPr>
      </w:pPr>
    </w:p>
    <w:p>
      <w:pPr>
        <w:pStyle w:val="BodyText"/>
        <w:spacing w:line="408" w:lineRule="auto" w:before="0"/>
        <w:ind w:right="1024" w:firstLine="420"/>
        <w:jc w:val="left"/>
      </w:pPr>
      <w:r>
        <w:rPr>
          <w:rFonts w:ascii="宋体" w:hAnsi="宋体" w:cs="宋体" w:eastAsia="宋体" w:hint="default"/>
        </w:rPr>
        <w:t>2018</w:t>
      </w:r>
      <w:r>
        <w:rPr>
          <w:rFonts w:ascii="宋体" w:hAnsi="宋体" w:cs="宋体" w:eastAsia="宋体" w:hint="default"/>
          <w:spacing w:val="-76"/>
        </w:rPr>
        <w:t> </w:t>
      </w:r>
      <w:r>
        <w:rPr/>
        <w:t>年，公司将坚持“夯实基础、着眼发展、立足培养、优化结构、提高人效”的原则，通过加强干 部管理、员工培训、高端人才引进、完善识人、用人、留人的管理机制等四个方面，构建公司与人才同创 </w:t>
      </w:r>
      <w:r>
        <w:rPr>
          <w:spacing w:val="-3"/>
        </w:rPr>
        <w:t>共赢的管理机制，为优秀人才提供充分施展才能的平台，打造富有创新精神和奋斗精神的高素质人才队伍，</w:t>
      </w:r>
      <w:r>
        <w:rPr>
          <w:spacing w:val="-92"/>
        </w:rPr>
        <w:t> </w:t>
      </w:r>
      <w:r>
        <w:rPr>
          <w:spacing w:val="-92"/>
        </w:rPr>
      </w:r>
      <w:r>
        <w:rPr/>
        <w:t>为公司整体战略提供全面的人才支撑。</w:t>
      </w:r>
    </w:p>
    <w:p>
      <w:pPr>
        <w:pStyle w:val="BodyText"/>
        <w:spacing w:line="240" w:lineRule="auto"/>
        <w:ind w:left="1553" w:right="0"/>
        <w:jc w:val="left"/>
      </w:pPr>
      <w:r>
        <w:rPr/>
        <w:t>（五）加强企业文化建设</w:t>
      </w:r>
    </w:p>
    <w:p>
      <w:pPr>
        <w:spacing w:line="240" w:lineRule="auto" w:before="10"/>
        <w:rPr>
          <w:rFonts w:ascii="宋体" w:hAnsi="宋体" w:cs="宋体" w:eastAsia="宋体" w:hint="default"/>
          <w:sz w:val="14"/>
          <w:szCs w:val="14"/>
        </w:rPr>
      </w:pPr>
    </w:p>
    <w:p>
      <w:pPr>
        <w:pStyle w:val="BodyText"/>
        <w:spacing w:line="408" w:lineRule="auto" w:before="0"/>
        <w:ind w:right="1131" w:firstLine="420"/>
        <w:jc w:val="both"/>
      </w:pPr>
      <w:r>
        <w:rPr>
          <w:rFonts w:ascii="宋体" w:hAnsi="宋体" w:cs="宋体" w:eastAsia="宋体" w:hint="default"/>
        </w:rPr>
        <w:t>2018</w:t>
      </w:r>
      <w:r>
        <w:rPr>
          <w:rFonts w:ascii="宋体" w:hAnsi="宋体" w:cs="宋体" w:eastAsia="宋体" w:hint="default"/>
          <w:spacing w:val="-25"/>
        </w:rPr>
        <w:t> </w:t>
      </w:r>
      <w:r>
        <w:rPr/>
        <w:t>年，公司将携手国内顶尖的咨询公司</w:t>
      </w:r>
      <w:r>
        <w:rPr>
          <w:rFonts w:ascii="宋体" w:hAnsi="宋体" w:cs="宋体" w:eastAsia="宋体" w:hint="default"/>
        </w:rPr>
        <w:t>-</w:t>
      </w:r>
      <w:r>
        <w:rPr/>
        <w:t>北京华夏基石企业管理咨询有限公司开展企业文化建设项 </w:t>
      </w:r>
      <w:r>
        <w:rPr>
          <w:spacing w:val="-1"/>
        </w:rPr>
        <w:t>目，通过对企业文化进行重新梳理提炼以及对基础价值观和核心价值观体系进行持续构建，为公司未来更</w:t>
      </w:r>
      <w:r>
        <w:rPr>
          <w:spacing w:val="-81"/>
        </w:rPr>
        <w:t> </w:t>
      </w:r>
      <w:r>
        <w:rPr>
          <w:spacing w:val="-81"/>
        </w:rPr>
      </w:r>
      <w:r>
        <w:rPr/>
        <w:t>快更好更高的发展奠定坚实的文化基础。</w:t>
      </w:r>
    </w:p>
    <w:p>
      <w:pPr>
        <w:pStyle w:val="BodyText"/>
        <w:spacing w:line="408" w:lineRule="auto"/>
        <w:ind w:right="1131" w:firstLine="420"/>
        <w:jc w:val="both"/>
      </w:pPr>
      <w:r>
        <w:rPr>
          <w:spacing w:val="-1"/>
        </w:rPr>
        <w:t>经过近二十年的发展，汉威科技已经成为国内传感器、物联网领域的翘楚。未来，以“万物感知、万</w:t>
      </w:r>
      <w:r>
        <w:rPr/>
        <w:t> </w:t>
      </w:r>
      <w:r>
        <w:rPr>
          <w:spacing w:val="-1"/>
        </w:rPr>
        <w:t>物互联、万物智能”为特征的智能社会即将来临，汉威科技立足于打造长青基业，将继续保持行业领先优</w:t>
      </w:r>
      <w:r>
        <w:rPr>
          <w:spacing w:val="-84"/>
        </w:rPr>
        <w:t> </w:t>
      </w:r>
      <w:r>
        <w:rPr>
          <w:spacing w:val="-84"/>
        </w:rPr>
      </w:r>
      <w:r>
        <w:rPr>
          <w:spacing w:val="-1"/>
        </w:rPr>
        <w:t>势，抓住新的机遇，迎接新的挑战，厚积薄发，向打造物联网行业龙头目标不断迈进，为新时代的跨越式</w:t>
      </w:r>
      <w:r>
        <w:rPr>
          <w:spacing w:val="-83"/>
        </w:rPr>
        <w:t> </w:t>
      </w:r>
      <w:r>
        <w:rPr>
          <w:spacing w:val="-83"/>
        </w:rPr>
      </w:r>
      <w:r>
        <w:rPr/>
        <w:t>发展而不懈奋斗！</w:t>
      </w:r>
    </w:p>
    <w:p>
      <w:pPr>
        <w:pStyle w:val="BodyText"/>
        <w:spacing w:line="408" w:lineRule="auto"/>
        <w:ind w:left="1554" w:right="7287"/>
        <w:jc w:val="left"/>
      </w:pPr>
      <w:r>
        <w:rPr/>
        <w:t>（六）风险提示 </w:t>
      </w:r>
      <w:r>
        <w:rPr>
          <w:rFonts w:ascii="宋体" w:hAnsi="宋体" w:cs="宋体" w:eastAsia="宋体" w:hint="default"/>
        </w:rPr>
        <w:t>1</w:t>
      </w:r>
      <w:r>
        <w:rPr/>
        <w:t>、行业竞争加剧带来的市场风险</w:t>
      </w:r>
    </w:p>
    <w:p>
      <w:pPr>
        <w:pStyle w:val="BodyText"/>
        <w:spacing w:line="408" w:lineRule="auto"/>
        <w:ind w:left="1134" w:right="1130" w:firstLine="420"/>
        <w:jc w:val="both"/>
      </w:pPr>
      <w:r>
        <w:rPr>
          <w:spacing w:val="-1"/>
        </w:rPr>
        <w:t>中国经济进入龙头经济时代，而物联网行业市场竞争日趋激烈，智慧城市、智慧环保逐渐成为资本追</w:t>
      </w:r>
      <w:r>
        <w:rPr/>
        <w:t> </w:t>
      </w:r>
      <w:r>
        <w:rPr>
          <w:spacing w:val="-1"/>
        </w:rPr>
        <w:t>逐的行业领域，市场机会增加的同时，新的竞争对手也会依靠产品与服务升级等方式争夺物联网产业链各</w:t>
      </w:r>
      <w:r>
        <w:rPr>
          <w:spacing w:val="-81"/>
        </w:rPr>
        <w:t> </w:t>
      </w:r>
      <w:r>
        <w:rPr>
          <w:spacing w:val="-81"/>
        </w:rPr>
      </w:r>
      <w:r>
        <w:rPr>
          <w:spacing w:val="-1"/>
        </w:rPr>
        <w:t>细分领域市场份额，对现有的市场格局构成压力。所谓大者恒大，强者恒强。谁能成为行业龙头，谁就能</w:t>
      </w:r>
      <w:r>
        <w:rPr>
          <w:spacing w:val="-83"/>
        </w:rPr>
        <w:t> </w:t>
      </w:r>
      <w:r>
        <w:rPr>
          <w:spacing w:val="-83"/>
        </w:rPr>
      </w:r>
      <w:r>
        <w:rPr>
          <w:spacing w:val="-1"/>
        </w:rPr>
        <w:t>获取更多的资源，形成竞争壁垒。如果未来公司不能在技术创新、市场开拓、服务客户等方面进一步增强</w:t>
      </w:r>
      <w:r>
        <w:rPr>
          <w:spacing w:val="-86"/>
        </w:rPr>
        <w:t> </w:t>
      </w:r>
      <w:r>
        <w:rPr>
          <w:spacing w:val="-86"/>
        </w:rPr>
      </w:r>
      <w:r>
        <w:rPr>
          <w:spacing w:val="-1"/>
        </w:rPr>
        <w:t>实力，保持行业领先地位，公司将受行业分化的影响丧失领先优势。为此，公司将不断加强研发投入，巩</w:t>
      </w:r>
      <w:r>
        <w:rPr>
          <w:spacing w:val="-83"/>
        </w:rPr>
        <w:t> </w:t>
      </w:r>
      <w:r>
        <w:rPr>
          <w:spacing w:val="-83"/>
        </w:rPr>
      </w:r>
      <w:r>
        <w:rPr>
          <w:spacing w:val="-1"/>
        </w:rPr>
        <w:t>固传感器核心优势，不断完善物联网产业生态平台，加强行业解决方案的适用性。同时，提高大客户公关</w:t>
      </w:r>
      <w:r>
        <w:rPr>
          <w:spacing w:val="-86"/>
        </w:rPr>
        <w:t> </w:t>
      </w:r>
      <w:r>
        <w:rPr>
          <w:spacing w:val="-86"/>
        </w:rPr>
      </w:r>
      <w:r>
        <w:rPr/>
        <w:t>能力，创新业务合作模式，提升客户粘性，增强获得项目订单的竞争实力，早日成为物联网行业龙头。</w:t>
      </w:r>
    </w:p>
    <w:p>
      <w:pPr>
        <w:pStyle w:val="BodyText"/>
        <w:spacing w:line="408" w:lineRule="auto"/>
        <w:ind w:left="1553" w:right="0"/>
        <w:jc w:val="left"/>
      </w:pPr>
      <w:r>
        <w:rPr>
          <w:rFonts w:ascii="宋体" w:hAnsi="宋体" w:cs="宋体" w:eastAsia="宋体" w:hint="default"/>
        </w:rPr>
        <w:t>2</w:t>
      </w:r>
      <w:r>
        <w:rPr/>
        <w:t>、技术创新迭代能力不足的风险 </w:t>
      </w:r>
      <w:r>
        <w:rPr>
          <w:spacing w:val="-1"/>
        </w:rPr>
        <w:t>技术的创新是企业发展的不竭动力。在物联网行业快速发展的时代，物联网技术的创新迭代将成为打</w:t>
      </w:r>
    </w:p>
    <w:p>
      <w:pPr>
        <w:spacing w:after="0" w:line="408"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right="0"/>
        <w:jc w:val="left"/>
      </w:pPr>
      <w:r>
        <w:rPr/>
        <w:t>造物联网行业龙头的核心，若公司研发不紧跟行业发展大潮，将面临技术落后的风险。公司在打造领先的 物联网平台解决方案过程中，具有软硬件核心的自主知识产权。特别是在传感技术的创新迭代领域，始终 强化技术研发创新的能力，在气体传感器细分领域已成为国内龙头，并在国际市场居于前三地位。未来，</w:t>
      </w:r>
      <w:r>
        <w:rPr>
          <w:spacing w:val="-35"/>
        </w:rPr>
        <w:t> </w:t>
      </w:r>
      <w:r>
        <w:rPr>
          <w:spacing w:val="-35"/>
        </w:rPr>
      </w:r>
      <w:r>
        <w:rPr/>
        <w:t>公司将继续加大各项研发资源的投入，同时继续实施并购战略，在国内外寻求先进的技术标的，进一步加</w:t>
      </w:r>
      <w:r>
        <w:rPr/>
        <w:t> 强并保持行业技术领先的优势。</w:t>
      </w:r>
    </w:p>
    <w:p>
      <w:pPr>
        <w:pStyle w:val="BodyText"/>
        <w:spacing w:line="408" w:lineRule="auto"/>
        <w:ind w:left="1554" w:right="0"/>
        <w:jc w:val="left"/>
      </w:pPr>
      <w:r>
        <w:rPr>
          <w:rFonts w:ascii="宋体" w:hAnsi="宋体" w:cs="宋体" w:eastAsia="宋体" w:hint="default"/>
        </w:rPr>
        <w:t>3</w:t>
      </w:r>
      <w:r>
        <w:rPr/>
        <w:t>、企业规模扩大带来的管理风险 </w:t>
      </w:r>
      <w:r>
        <w:rPr>
          <w:spacing w:val="-1"/>
        </w:rPr>
        <w:t>公司近几年来通过坚持“内生增长</w:t>
      </w:r>
      <w:r>
        <w:rPr>
          <w:rFonts w:ascii="宋体" w:hAnsi="宋体" w:cs="宋体" w:eastAsia="宋体" w:hint="default"/>
          <w:spacing w:val="-1"/>
        </w:rPr>
        <w:t>+</w:t>
      </w:r>
      <w:r>
        <w:rPr>
          <w:spacing w:val="-1"/>
        </w:rPr>
        <w:t>外延并购”的战略途径，构建了较为完整的物联网产业生态集团。</w:t>
      </w:r>
    </w:p>
    <w:p>
      <w:pPr>
        <w:pStyle w:val="BodyText"/>
        <w:spacing w:line="408" w:lineRule="auto"/>
        <w:ind w:right="1131"/>
        <w:jc w:val="both"/>
      </w:pPr>
      <w:r>
        <w:rPr>
          <w:spacing w:val="-1"/>
        </w:rPr>
        <w:t>目前，公司已经拥有二十余家全资及控股子公司，地理区域横跨全国，业务涉及五大应用板块，客户和服</w:t>
      </w:r>
      <w:r>
        <w:rPr>
          <w:spacing w:val="-86"/>
        </w:rPr>
        <w:t> </w:t>
      </w:r>
      <w:r>
        <w:rPr>
          <w:spacing w:val="-86"/>
        </w:rPr>
      </w:r>
      <w:r>
        <w:rPr>
          <w:spacing w:val="-1"/>
        </w:rPr>
        <w:t>务领域更加广泛，这对公司集团化管控能力提出较高需求。原有的管理架构和流程可能无法完全适应业务</w:t>
      </w:r>
      <w:r>
        <w:rPr>
          <w:spacing w:val="-81"/>
        </w:rPr>
        <w:t> </w:t>
      </w:r>
      <w:r>
        <w:rPr>
          <w:spacing w:val="-81"/>
        </w:rPr>
      </w:r>
      <w:r>
        <w:rPr>
          <w:spacing w:val="-1"/>
        </w:rPr>
        <w:t>扩大带来的变化，公司需要对各项资源的配备和管理流程进行调整。为此，公司将进一步完善集团化管控</w:t>
      </w:r>
      <w:r>
        <w:rPr>
          <w:spacing w:val="-83"/>
        </w:rPr>
        <w:t> </w:t>
      </w:r>
      <w:r>
        <w:rPr>
          <w:spacing w:val="-83"/>
        </w:rPr>
      </w:r>
      <w:r>
        <w:rPr>
          <w:spacing w:val="-1"/>
        </w:rPr>
        <w:t>制度，进一步夯实集团化管理的基础，增进各子公司之间的业务协同，真正形成融合统一的物联网产业集</w:t>
      </w:r>
      <w:r>
        <w:rPr>
          <w:spacing w:val="-83"/>
        </w:rPr>
        <w:t> </w:t>
      </w:r>
      <w:r>
        <w:rPr>
          <w:spacing w:val="-83"/>
        </w:rPr>
      </w:r>
      <w:r>
        <w:rPr/>
        <w:t>团。</w:t>
      </w:r>
    </w:p>
    <w:p>
      <w:pPr>
        <w:spacing w:line="240" w:lineRule="auto" w:before="11"/>
        <w:rPr>
          <w:rFonts w:ascii="宋体" w:hAnsi="宋体" w:cs="宋体" w:eastAsia="宋体" w:hint="default"/>
          <w:sz w:val="18"/>
          <w:szCs w:val="18"/>
        </w:rPr>
      </w:pPr>
    </w:p>
    <w:p>
      <w:pPr>
        <w:pStyle w:val="Heading2"/>
        <w:spacing w:line="240" w:lineRule="auto"/>
        <w:ind w:left="1134" w:right="0"/>
        <w:jc w:val="left"/>
        <w:rPr>
          <w:b w:val="0"/>
          <w:bCs w:val="0"/>
        </w:rPr>
      </w:pPr>
      <w:bookmarkStart w:name="十、接待调研、沟通、采访等活动登记表" w:id="57"/>
      <w:bookmarkEnd w:id="57"/>
      <w:r>
        <w:rPr>
          <w:b w:val="0"/>
          <w:bCs w:val="0"/>
        </w:rPr>
      </w:r>
      <w:r>
        <w:rPr/>
        <w:t>十、接待调研、沟通、采访等活动登记表</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报告期内接待调研、沟通、采访等活动登记表" w:id="58"/>
      <w:bookmarkEnd w:id="58"/>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118" w:type="dxa"/>
        <w:tblLayout w:type="fixed"/>
        <w:tblCellMar>
          <w:top w:w="0" w:type="dxa"/>
          <w:left w:w="0" w:type="dxa"/>
          <w:bottom w:w="0" w:type="dxa"/>
          <w:right w:w="0" w:type="dxa"/>
        </w:tblCellMar>
        <w:tblLook w:val="01E0"/>
      </w:tblPr>
      <w:tblGrid>
        <w:gridCol w:w="2179"/>
        <w:gridCol w:w="2177"/>
        <w:gridCol w:w="2177"/>
        <w:gridCol w:w="3037"/>
      </w:tblGrid>
      <w:tr>
        <w:trPr>
          <w:trHeight w:val="412" w:hRule="exact"/>
        </w:trPr>
        <w:tc>
          <w:tcPr>
            <w:tcW w:w="2179"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714"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1"/>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2" w:hRule="exact"/>
        </w:trPr>
        <w:tc>
          <w:tcPr>
            <w:tcW w:w="21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0"/>
                <w:sz w:val="18"/>
                <w:szCs w:val="18"/>
              </w:rPr>
              <w:t> </w:t>
            </w:r>
            <w:hyperlink r:id="rId11">
              <w:r>
                <w:rPr>
                  <w:rFonts w:ascii="Times New Roman" w:hAnsi="Times New Roman" w:cs="Times New Roman" w:eastAsia="Times New Roman" w:hint="default"/>
                  <w:sz w:val="18"/>
                  <w:szCs w:val="18"/>
                </w:rPr>
                <w:t>www.cninfo.com.cn</w:t>
              </w:r>
            </w:hyperlink>
          </w:p>
        </w:tc>
      </w:tr>
      <w:tr>
        <w:trPr>
          <w:trHeight w:val="402" w:hRule="exact"/>
        </w:trPr>
        <w:tc>
          <w:tcPr>
            <w:tcW w:w="21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0"/>
                <w:sz w:val="18"/>
                <w:szCs w:val="18"/>
              </w:rPr>
              <w:t> </w:t>
            </w:r>
            <w:hyperlink r:id="rId11">
              <w:r>
                <w:rPr>
                  <w:rFonts w:ascii="Times New Roman" w:hAnsi="Times New Roman" w:cs="Times New Roman" w:eastAsia="Times New Roman" w:hint="default"/>
                  <w:sz w:val="18"/>
                  <w:szCs w:val="18"/>
                </w:rPr>
                <w:t>www.cninfo.com.cn</w:t>
              </w:r>
            </w:hyperlink>
          </w:p>
        </w:tc>
      </w:tr>
      <w:tr>
        <w:trPr>
          <w:trHeight w:val="402" w:hRule="exact"/>
        </w:trPr>
        <w:tc>
          <w:tcPr>
            <w:tcW w:w="21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0"/>
                <w:sz w:val="18"/>
                <w:szCs w:val="18"/>
              </w:rPr>
              <w:t> </w:t>
            </w:r>
            <w:hyperlink r:id="rId11">
              <w:r>
                <w:rPr>
                  <w:rFonts w:ascii="Times New Roman" w:hAnsi="Times New Roman" w:cs="Times New Roman" w:eastAsia="Times New Roman" w:hint="default"/>
                  <w:sz w:val="18"/>
                  <w:szCs w:val="18"/>
                </w:rPr>
                <w:t>www.cninfo.com.cn</w:t>
              </w:r>
            </w:hyperlink>
          </w:p>
        </w:tc>
      </w:tr>
      <w:tr>
        <w:trPr>
          <w:trHeight w:val="402" w:hRule="exact"/>
        </w:trPr>
        <w:tc>
          <w:tcPr>
            <w:tcW w:w="21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0"/>
                <w:sz w:val="18"/>
                <w:szCs w:val="18"/>
              </w:rPr>
              <w:t> </w:t>
            </w:r>
            <w:hyperlink r:id="rId11">
              <w:r>
                <w:rPr>
                  <w:rFonts w:ascii="Times New Roman" w:hAnsi="Times New Roman" w:cs="Times New Roman" w:eastAsia="Times New Roman" w:hint="default"/>
                  <w:sz w:val="18"/>
                  <w:szCs w:val="18"/>
                </w:rPr>
                <w:t>www.cninfo.com.cn</w:t>
              </w:r>
            </w:hyperlink>
          </w:p>
        </w:tc>
      </w:tr>
      <w:tr>
        <w:trPr>
          <w:trHeight w:val="402" w:hRule="exact"/>
        </w:trPr>
        <w:tc>
          <w:tcPr>
            <w:tcW w:w="21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0"/>
                <w:sz w:val="18"/>
                <w:szCs w:val="18"/>
              </w:rPr>
              <w:t> </w:t>
            </w:r>
            <w:hyperlink r:id="rId11">
              <w:r>
                <w:rPr>
                  <w:rFonts w:ascii="Times New Roman" w:hAnsi="Times New Roman" w:cs="Times New Roman" w:eastAsia="Times New Roman" w:hint="default"/>
                  <w:sz w:val="18"/>
                  <w:szCs w:val="18"/>
                </w:rPr>
                <w:t>www.cninfo.com.cn</w:t>
              </w:r>
            </w:hyperlink>
          </w:p>
        </w:tc>
      </w:tr>
      <w:tr>
        <w:trPr>
          <w:trHeight w:val="402" w:hRule="exact"/>
        </w:trPr>
        <w:tc>
          <w:tcPr>
            <w:tcW w:w="217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0"/>
                <w:sz w:val="18"/>
                <w:szCs w:val="18"/>
              </w:rPr>
              <w:t> </w:t>
            </w:r>
            <w:hyperlink r:id="rId11">
              <w:r>
                <w:rPr>
                  <w:rFonts w:ascii="Times New Roman" w:hAnsi="Times New Roman" w:cs="Times New Roman" w:eastAsia="Times New Roman" w:hint="default"/>
                  <w:sz w:val="18"/>
                  <w:szCs w:val="18"/>
                </w:rPr>
                <w:t>www.cninfo.com.cn</w:t>
              </w:r>
            </w:hyperlink>
          </w:p>
        </w:tc>
      </w:tr>
      <w:tr>
        <w:trPr>
          <w:trHeight w:val="412" w:hRule="exact"/>
        </w:trPr>
        <w:tc>
          <w:tcPr>
            <w:tcW w:w="2179"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0"/>
                <w:sz w:val="18"/>
                <w:szCs w:val="18"/>
              </w:rPr>
              <w:t> </w:t>
            </w:r>
            <w:hyperlink r:id="rId11">
              <w:r>
                <w:rPr>
                  <w:rFonts w:ascii="Times New Roman" w:hAnsi="Times New Roman" w:cs="Times New Roman" w:eastAsia="Times New Roman" w:hint="default"/>
                  <w:sz w:val="18"/>
                  <w:szCs w:val="18"/>
                </w:rPr>
                <w:t>www.cninfo.com.cn</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764"/>
        <w:jc w:val="center"/>
        <w:rPr>
          <w:b w:val="0"/>
          <w:bCs w:val="0"/>
        </w:rPr>
      </w:pPr>
      <w:bookmarkStart w:name="第五节 重要事项" w:id="59"/>
      <w:bookmarkEnd w:id="59"/>
      <w:r>
        <w:rPr>
          <w:b w:val="0"/>
          <w:bCs w:val="0"/>
        </w:rPr>
      </w:r>
      <w:bookmarkStart w:name="_bookmark4" w:id="60"/>
      <w:bookmarkEnd w:id="60"/>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1"/>
      <w:bookmarkEnd w:id="61"/>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before="117"/>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08" w:lineRule="auto" w:before="153"/>
        <w:ind w:right="1018" w:firstLine="420"/>
        <w:jc w:val="left"/>
      </w:pPr>
      <w:r>
        <w:rPr>
          <w:spacing w:val="-3"/>
        </w:rPr>
        <w:t>报告期内，公司严格按照相关利润分配政策和审议程序实施利润分配方案，分红标准和分红比例明确、</w:t>
      </w:r>
      <w:r>
        <w:rPr/>
        <w:t> 清晰，相关的决策程序和机制完备；相关议案经由公司董事会、监事会审议后提交股东大会审议，公司独 立董事发表了独立意见；并在分配方案审议通过后的 </w:t>
      </w:r>
      <w:r>
        <w:rPr>
          <w:rFonts w:ascii="宋体" w:hAnsi="宋体" w:cs="宋体" w:eastAsia="宋体" w:hint="default"/>
        </w:rPr>
        <w:t>2</w:t>
      </w:r>
      <w:r>
        <w:rPr>
          <w:rFonts w:ascii="宋体" w:hAnsi="宋体" w:cs="宋体" w:eastAsia="宋体" w:hint="default"/>
          <w:spacing w:val="-37"/>
        </w:rPr>
        <w:t> </w:t>
      </w:r>
      <w:r>
        <w:rPr/>
        <w:t>个月内进行了权益分派，保证了全体股东的利益。</w:t>
      </w:r>
    </w:p>
    <w:p>
      <w:pPr>
        <w:pStyle w:val="BodyText"/>
        <w:spacing w:line="240" w:lineRule="auto"/>
        <w:ind w:left="1554" w:right="0"/>
        <w:jc w:val="left"/>
        <w:rPr>
          <w:rFonts w:ascii="宋体" w:hAnsi="宋体" w:cs="宋体" w:eastAsia="宋体" w:hint="default"/>
        </w:rPr>
      </w:pPr>
      <w:r>
        <w:rPr>
          <w:rFonts w:ascii="宋体" w:hAnsi="宋体" w:cs="宋体" w:eastAsia="宋体" w:hint="default"/>
        </w:rPr>
        <w:t>2017</w:t>
      </w:r>
      <w:r>
        <w:rPr>
          <w:rFonts w:ascii="宋体" w:hAnsi="宋体" w:cs="宋体" w:eastAsia="宋体" w:hint="default"/>
          <w:spacing w:val="-55"/>
        </w:rPr>
        <w:t> </w:t>
      </w:r>
      <w:r>
        <w:rPr/>
        <w:t>年</w:t>
      </w:r>
      <w:r>
        <w:rPr>
          <w:spacing w:val="-56"/>
        </w:rPr>
        <w:t> </w:t>
      </w:r>
      <w:r>
        <w:rPr>
          <w:rFonts w:ascii="宋体" w:hAnsi="宋体" w:cs="宋体" w:eastAsia="宋体" w:hint="default"/>
        </w:rPr>
        <w:t>4</w:t>
      </w:r>
      <w:r>
        <w:rPr>
          <w:rFonts w:ascii="宋体" w:hAnsi="宋体" w:cs="宋体" w:eastAsia="宋体" w:hint="default"/>
          <w:spacing w:val="-56"/>
        </w:rPr>
        <w:t> </w:t>
      </w:r>
      <w:r>
        <w:rPr/>
        <w:t>月</w:t>
      </w:r>
      <w:r>
        <w:rPr>
          <w:spacing w:val="-57"/>
        </w:rPr>
        <w:t> </w:t>
      </w:r>
      <w:r>
        <w:rPr>
          <w:rFonts w:ascii="宋体" w:hAnsi="宋体" w:cs="宋体" w:eastAsia="宋体" w:hint="default"/>
        </w:rPr>
        <w:t>24</w:t>
      </w:r>
      <w:r>
        <w:rPr>
          <w:rFonts w:ascii="宋体" w:hAnsi="宋体" w:cs="宋体" w:eastAsia="宋体" w:hint="default"/>
          <w:spacing w:val="-55"/>
        </w:rPr>
        <w:t> </w:t>
      </w:r>
      <w:r>
        <w:rPr/>
        <w:t>日，公司第四届董事会第五次会议审议通过了</w:t>
      </w:r>
      <w:r>
        <w:rPr>
          <w:spacing w:val="-55"/>
        </w:rPr>
        <w:t> </w:t>
      </w:r>
      <w:r>
        <w:rPr>
          <w:rFonts w:ascii="宋体" w:hAnsi="宋体" w:cs="宋体" w:eastAsia="宋体" w:hint="default"/>
        </w:rPr>
        <w:t>2016</w:t>
      </w:r>
      <w:r>
        <w:rPr>
          <w:rFonts w:ascii="宋体" w:hAnsi="宋体" w:cs="宋体" w:eastAsia="宋体" w:hint="default"/>
          <w:spacing w:val="-56"/>
        </w:rPr>
        <w:t> </w:t>
      </w:r>
      <w:r>
        <w:rPr/>
        <w:t>年度利润分配方案，以</w:t>
      </w:r>
      <w:r>
        <w:rPr>
          <w:spacing w:val="-55"/>
        </w:rPr>
        <w:t> </w:t>
      </w:r>
      <w:r>
        <w:rPr>
          <w:rFonts w:ascii="宋体" w:hAnsi="宋体" w:cs="宋体" w:eastAsia="宋体" w:hint="default"/>
        </w:rPr>
        <w:t>2016</w:t>
      </w:r>
      <w:r>
        <w:rPr>
          <w:rFonts w:ascii="宋体" w:hAnsi="宋体" w:cs="宋体" w:eastAsia="宋体" w:hint="default"/>
          <w:spacing w:val="-57"/>
        </w:rPr>
        <w:t> </w:t>
      </w:r>
      <w:r>
        <w:rPr/>
        <w:t>年</w:t>
      </w:r>
      <w:r>
        <w:rPr>
          <w:spacing w:val="-56"/>
        </w:rPr>
        <w:t> </w:t>
      </w:r>
      <w:r>
        <w:rPr>
          <w:rFonts w:ascii="宋体" w:hAnsi="宋体" w:cs="宋体" w:eastAsia="宋体" w:hint="default"/>
        </w:rPr>
        <w:t>12</w:t>
      </w:r>
    </w:p>
    <w:p>
      <w:pPr>
        <w:spacing w:line="240" w:lineRule="auto" w:before="10"/>
        <w:rPr>
          <w:rFonts w:ascii="宋体" w:hAnsi="宋体" w:cs="宋体" w:eastAsia="宋体" w:hint="default"/>
          <w:sz w:val="14"/>
          <w:szCs w:val="14"/>
        </w:rPr>
      </w:pPr>
    </w:p>
    <w:p>
      <w:pPr>
        <w:pStyle w:val="BodyText"/>
        <w:spacing w:line="240" w:lineRule="auto" w:before="0"/>
        <w:ind w:right="0"/>
        <w:jc w:val="left"/>
      </w:pPr>
      <w:r>
        <w:rPr/>
        <w:t>月</w:t>
      </w:r>
      <w:r>
        <w:rPr>
          <w:spacing w:val="-53"/>
        </w:rPr>
        <w:t> </w:t>
      </w:r>
      <w:r>
        <w:rPr>
          <w:rFonts w:ascii="宋体" w:hAnsi="宋体" w:cs="宋体" w:eastAsia="宋体" w:hint="default"/>
          <w:spacing w:val="-1"/>
        </w:rPr>
        <w:t>3</w:t>
      </w:r>
      <w:r>
        <w:rPr>
          <w:rFonts w:ascii="宋体" w:hAnsi="宋体" w:cs="宋体" w:eastAsia="宋体" w:hint="default"/>
        </w:rPr>
        <w:t>1</w:t>
      </w:r>
      <w:r>
        <w:rPr>
          <w:rFonts w:ascii="宋体" w:hAnsi="宋体" w:cs="宋体" w:eastAsia="宋体" w:hint="default"/>
          <w:spacing w:val="-52"/>
        </w:rPr>
        <w:t> </w:t>
      </w:r>
      <w:r>
        <w:rPr/>
        <w:t>日总</w:t>
      </w:r>
      <w:r>
        <w:rPr>
          <w:spacing w:val="-2"/>
        </w:rPr>
        <w:t>股</w:t>
      </w:r>
      <w:r>
        <w:rPr/>
        <w:t>本</w:t>
      </w:r>
      <w:r>
        <w:rPr>
          <w:spacing w:val="-53"/>
        </w:rPr>
        <w:t> </w:t>
      </w:r>
      <w:r>
        <w:rPr>
          <w:rFonts w:ascii="宋体" w:hAnsi="宋体" w:cs="宋体" w:eastAsia="宋体" w:hint="default"/>
        </w:rPr>
        <w:t>293,022,806</w:t>
      </w:r>
      <w:r>
        <w:rPr>
          <w:rFonts w:ascii="宋体" w:hAnsi="宋体" w:cs="宋体" w:eastAsia="宋体" w:hint="default"/>
          <w:spacing w:val="-52"/>
        </w:rPr>
        <w:t> </w:t>
      </w:r>
      <w:r>
        <w:rPr/>
        <w:t>股为基</w:t>
      </w:r>
      <w:r>
        <w:rPr>
          <w:spacing w:val="-2"/>
        </w:rPr>
        <w:t>数</w:t>
      </w:r>
      <w:r>
        <w:rPr>
          <w:spacing w:val="-8"/>
        </w:rPr>
        <w:t>，</w:t>
      </w:r>
      <w:r>
        <w:rPr/>
        <w:t>向全体股东每</w:t>
      </w:r>
      <w:r>
        <w:rPr>
          <w:spacing w:val="-52"/>
        </w:rPr>
        <w:t> </w:t>
      </w:r>
      <w:r>
        <w:rPr>
          <w:rFonts w:ascii="宋体" w:hAnsi="宋体" w:cs="宋体" w:eastAsia="宋体" w:hint="default"/>
          <w:spacing w:val="-1"/>
        </w:rPr>
        <w:t>1</w:t>
      </w:r>
      <w:r>
        <w:rPr>
          <w:rFonts w:ascii="宋体" w:hAnsi="宋体" w:cs="宋体" w:eastAsia="宋体" w:hint="default"/>
        </w:rPr>
        <w:t>0</w:t>
      </w:r>
      <w:r>
        <w:rPr>
          <w:rFonts w:ascii="宋体" w:hAnsi="宋体" w:cs="宋体" w:eastAsia="宋体" w:hint="default"/>
          <w:spacing w:val="-52"/>
        </w:rPr>
        <w:t> </w:t>
      </w:r>
      <w:r>
        <w:rPr/>
        <w:t>股</w:t>
      </w:r>
      <w:r>
        <w:rPr>
          <w:spacing w:val="-2"/>
        </w:rPr>
        <w:t>派</w:t>
      </w:r>
      <w:r>
        <w:rPr/>
        <w:t>发现金红利</w:t>
      </w:r>
      <w:r>
        <w:rPr>
          <w:spacing w:val="-53"/>
        </w:rPr>
        <w:t> </w:t>
      </w:r>
      <w:r>
        <w:rPr>
          <w:rFonts w:ascii="宋体" w:hAnsi="宋体" w:cs="宋体" w:eastAsia="宋体" w:hint="default"/>
        </w:rPr>
        <w:t>0.35</w:t>
      </w:r>
      <w:r>
        <w:rPr>
          <w:rFonts w:ascii="宋体" w:hAnsi="宋体" w:cs="宋体" w:eastAsia="宋体" w:hint="default"/>
          <w:spacing w:val="-52"/>
        </w:rPr>
        <w:t> </w:t>
      </w:r>
      <w:r>
        <w:rPr>
          <w:spacing w:val="-8"/>
        </w:rPr>
        <w:t>元</w:t>
      </w:r>
      <w:r>
        <w:rPr/>
        <w:t>（含</w:t>
      </w:r>
      <w:r>
        <w:rPr>
          <w:spacing w:val="-2"/>
        </w:rPr>
        <w:t>税</w:t>
      </w:r>
      <w:r>
        <w:rPr>
          <w:spacing w:val="-105"/>
        </w:rPr>
        <w:t>）</w:t>
      </w:r>
      <w:r>
        <w:rPr>
          <w:spacing w:val="-8"/>
        </w:rPr>
        <w:t>，</w:t>
      </w:r>
      <w:r>
        <w:rPr/>
        <w:t>合计派</w:t>
      </w:r>
      <w:r>
        <w:rPr>
          <w:spacing w:val="-2"/>
        </w:rPr>
        <w:t>发</w:t>
      </w:r>
      <w:r>
        <w:rPr>
          <w:spacing w:val="1"/>
        </w:rPr>
        <w:t>现</w:t>
      </w:r>
      <w:r>
        <w:rPr/>
        <w:t>金</w:t>
      </w:r>
    </w:p>
    <w:p>
      <w:pPr>
        <w:spacing w:line="240" w:lineRule="auto" w:before="10"/>
        <w:rPr>
          <w:rFonts w:ascii="宋体" w:hAnsi="宋体" w:cs="宋体" w:eastAsia="宋体" w:hint="default"/>
          <w:sz w:val="14"/>
          <w:szCs w:val="14"/>
        </w:rPr>
      </w:pPr>
    </w:p>
    <w:p>
      <w:pPr>
        <w:pStyle w:val="BodyText"/>
        <w:spacing w:line="408" w:lineRule="auto" w:before="0"/>
        <w:ind w:right="1125"/>
        <w:jc w:val="left"/>
      </w:pPr>
      <w:r>
        <w:rPr>
          <w:rFonts w:ascii="宋体" w:hAnsi="宋体" w:cs="宋体" w:eastAsia="宋体" w:hint="default"/>
        </w:rPr>
        <w:t>10,255,798.21</w:t>
      </w:r>
      <w:r>
        <w:rPr>
          <w:rFonts w:ascii="宋体" w:hAnsi="宋体" w:cs="宋体" w:eastAsia="宋体" w:hint="default"/>
          <w:spacing w:val="-49"/>
        </w:rPr>
        <w:t> </w:t>
      </w:r>
      <w:r>
        <w:rPr/>
        <w:t>元，剩余未分配利润结转以后年度，并于</w:t>
      </w:r>
      <w:r>
        <w:rPr>
          <w:spacing w:val="-50"/>
        </w:rPr>
        <w:t> </w:t>
      </w:r>
      <w:r>
        <w:rPr>
          <w:rFonts w:ascii="宋体" w:hAnsi="宋体" w:cs="宋体" w:eastAsia="宋体" w:hint="default"/>
        </w:rPr>
        <w:t>2017</w:t>
      </w:r>
      <w:r>
        <w:rPr>
          <w:rFonts w:ascii="宋体" w:hAnsi="宋体" w:cs="宋体" w:eastAsia="宋体" w:hint="default"/>
          <w:spacing w:val="-50"/>
        </w:rPr>
        <w:t> </w:t>
      </w:r>
      <w:r>
        <w:rPr/>
        <w:t>年</w:t>
      </w:r>
      <w:r>
        <w:rPr>
          <w:spacing w:val="-51"/>
        </w:rPr>
        <w:t> </w:t>
      </w:r>
      <w:r>
        <w:rPr>
          <w:rFonts w:ascii="宋体" w:hAnsi="宋体" w:cs="宋体" w:eastAsia="宋体" w:hint="default"/>
        </w:rPr>
        <w:t>6</w:t>
      </w:r>
      <w:r>
        <w:rPr>
          <w:rFonts w:ascii="宋体" w:hAnsi="宋体" w:cs="宋体" w:eastAsia="宋体" w:hint="default"/>
          <w:spacing w:val="-51"/>
        </w:rPr>
        <w:t> </w:t>
      </w:r>
      <w:r>
        <w:rPr/>
        <w:t>月</w:t>
      </w:r>
      <w:r>
        <w:rPr>
          <w:spacing w:val="-51"/>
        </w:rPr>
        <w:t> </w:t>
      </w:r>
      <w:r>
        <w:rPr>
          <w:rFonts w:ascii="宋体" w:hAnsi="宋体" w:cs="宋体" w:eastAsia="宋体" w:hint="default"/>
        </w:rPr>
        <w:t>9</w:t>
      </w:r>
      <w:r>
        <w:rPr>
          <w:rFonts w:ascii="宋体" w:hAnsi="宋体" w:cs="宋体" w:eastAsia="宋体" w:hint="default"/>
          <w:spacing w:val="-49"/>
        </w:rPr>
        <w:t> </w:t>
      </w:r>
      <w:r>
        <w:rPr/>
        <w:t>日召开的</w:t>
      </w:r>
      <w:r>
        <w:rPr>
          <w:spacing w:val="-50"/>
        </w:rPr>
        <w:t> </w:t>
      </w:r>
      <w:r>
        <w:rPr>
          <w:rFonts w:ascii="宋体" w:hAnsi="宋体" w:cs="宋体" w:eastAsia="宋体" w:hint="default"/>
        </w:rPr>
        <w:t>2016</w:t>
      </w:r>
      <w:r>
        <w:rPr>
          <w:rFonts w:ascii="宋体" w:hAnsi="宋体" w:cs="宋体" w:eastAsia="宋体" w:hint="default"/>
          <w:spacing w:val="-51"/>
        </w:rPr>
        <w:t> </w:t>
      </w:r>
      <w:r>
        <w:rPr/>
        <w:t>年年度股东大会审 议通过。</w:t>
      </w:r>
    </w:p>
    <w:p>
      <w:pPr>
        <w:pStyle w:val="BodyText"/>
        <w:spacing w:line="240" w:lineRule="auto"/>
        <w:ind w:left="1554" w:right="0"/>
        <w:jc w:val="left"/>
      </w:pPr>
      <w:r>
        <w:rPr>
          <w:rFonts w:ascii="宋体" w:hAnsi="宋体" w:cs="宋体" w:eastAsia="宋体" w:hint="default"/>
        </w:rPr>
        <w:t>2017</w:t>
      </w:r>
      <w:r>
        <w:rPr>
          <w:rFonts w:ascii="宋体" w:hAnsi="宋体" w:cs="宋体" w:eastAsia="宋体" w:hint="default"/>
          <w:spacing w:val="-38"/>
        </w:rPr>
        <w:t> </w:t>
      </w:r>
      <w:r>
        <w:rPr/>
        <w:t>年</w:t>
      </w:r>
      <w:r>
        <w:rPr>
          <w:spacing w:val="-39"/>
        </w:rPr>
        <w:t> </w:t>
      </w:r>
      <w:r>
        <w:rPr>
          <w:rFonts w:ascii="宋体" w:hAnsi="宋体" w:cs="宋体" w:eastAsia="宋体" w:hint="default"/>
        </w:rPr>
        <w:t>7</w:t>
      </w:r>
      <w:r>
        <w:rPr>
          <w:rFonts w:ascii="宋体" w:hAnsi="宋体" w:cs="宋体" w:eastAsia="宋体" w:hint="default"/>
          <w:spacing w:val="-39"/>
        </w:rPr>
        <w:t> </w:t>
      </w:r>
      <w:r>
        <w:rPr/>
        <w:t>月</w:t>
      </w:r>
      <w:r>
        <w:rPr>
          <w:spacing w:val="-39"/>
        </w:rPr>
        <w:t> </w:t>
      </w:r>
      <w:r>
        <w:rPr>
          <w:rFonts w:ascii="宋体" w:hAnsi="宋体" w:cs="宋体" w:eastAsia="宋体" w:hint="default"/>
        </w:rPr>
        <w:t>24</w:t>
      </w:r>
      <w:r>
        <w:rPr>
          <w:rFonts w:ascii="宋体" w:hAnsi="宋体" w:cs="宋体" w:eastAsia="宋体" w:hint="default"/>
          <w:spacing w:val="-39"/>
        </w:rPr>
        <w:t> </w:t>
      </w:r>
      <w:r>
        <w:rPr/>
        <w:t>日，公</w:t>
      </w:r>
      <w:r>
        <w:rPr>
          <w:spacing w:val="-2"/>
        </w:rPr>
        <w:t>司</w:t>
      </w:r>
      <w:r>
        <w:rPr/>
        <w:t>在中国证监会指定信息披露网站刊登了《</w:t>
      </w:r>
      <w:r>
        <w:rPr>
          <w:rFonts w:ascii="宋体" w:hAnsi="宋体" w:cs="宋体" w:eastAsia="宋体" w:hint="default"/>
        </w:rPr>
        <w:t>2016</w:t>
      </w:r>
      <w:r>
        <w:rPr>
          <w:rFonts w:ascii="宋体" w:hAnsi="宋体" w:cs="宋体" w:eastAsia="宋体" w:hint="default"/>
          <w:spacing w:val="-39"/>
        </w:rPr>
        <w:t> </w:t>
      </w:r>
      <w:r>
        <w:rPr/>
        <w:t>年度权益分派实施公告</w:t>
      </w:r>
      <w:r>
        <w:rPr>
          <w:spacing w:val="-106"/>
        </w:rPr>
        <w:t>》</w:t>
      </w:r>
      <w:r>
        <w:rPr/>
        <w:t>，股</w:t>
      </w:r>
    </w:p>
    <w:p>
      <w:pPr>
        <w:spacing w:line="240" w:lineRule="auto" w:before="10"/>
        <w:rPr>
          <w:rFonts w:ascii="宋体" w:hAnsi="宋体" w:cs="宋体" w:eastAsia="宋体" w:hint="default"/>
          <w:sz w:val="14"/>
          <w:szCs w:val="14"/>
        </w:rPr>
      </w:pPr>
    </w:p>
    <w:p>
      <w:pPr>
        <w:pStyle w:val="BodyText"/>
        <w:spacing w:line="408" w:lineRule="auto" w:before="0"/>
        <w:ind w:left="1134" w:right="1129"/>
        <w:jc w:val="left"/>
      </w:pPr>
      <w:r>
        <w:rPr/>
        <w:t>权登记日为</w:t>
      </w:r>
      <w:r>
        <w:rPr>
          <w:spacing w:val="-52"/>
        </w:rPr>
        <w:t> </w:t>
      </w:r>
      <w:r>
        <w:rPr>
          <w:rFonts w:ascii="宋体" w:hAnsi="宋体" w:cs="宋体" w:eastAsia="宋体" w:hint="default"/>
        </w:rPr>
        <w:t>2017</w:t>
      </w:r>
      <w:r>
        <w:rPr>
          <w:rFonts w:ascii="宋体" w:hAnsi="宋体" w:cs="宋体" w:eastAsia="宋体" w:hint="default"/>
          <w:spacing w:val="-53"/>
        </w:rPr>
        <w:t> </w:t>
      </w:r>
      <w:r>
        <w:rPr/>
        <w:t>年</w:t>
      </w:r>
      <w:r>
        <w:rPr>
          <w:spacing w:val="-54"/>
        </w:rPr>
        <w:t> </w:t>
      </w:r>
      <w:r>
        <w:rPr>
          <w:rFonts w:ascii="宋体" w:hAnsi="宋体" w:cs="宋体" w:eastAsia="宋体" w:hint="default"/>
        </w:rPr>
        <w:t>7</w:t>
      </w:r>
      <w:r>
        <w:rPr>
          <w:rFonts w:ascii="宋体" w:hAnsi="宋体" w:cs="宋体" w:eastAsia="宋体" w:hint="default"/>
          <w:spacing w:val="-52"/>
        </w:rPr>
        <w:t> </w:t>
      </w:r>
      <w:r>
        <w:rPr/>
        <w:t>月</w:t>
      </w:r>
      <w:r>
        <w:rPr>
          <w:spacing w:val="-54"/>
        </w:rPr>
        <w:t> </w:t>
      </w:r>
      <w:r>
        <w:rPr>
          <w:rFonts w:ascii="宋体" w:hAnsi="宋体" w:cs="宋体" w:eastAsia="宋体" w:hint="default"/>
        </w:rPr>
        <w:t>28</w:t>
      </w:r>
      <w:r>
        <w:rPr>
          <w:rFonts w:ascii="宋体" w:hAnsi="宋体" w:cs="宋体" w:eastAsia="宋体" w:hint="default"/>
          <w:spacing w:val="-52"/>
        </w:rPr>
        <w:t> </w:t>
      </w:r>
      <w:r>
        <w:rPr>
          <w:spacing w:val="-4"/>
        </w:rPr>
        <w:t>日，除权除息日为</w:t>
      </w:r>
      <w:r>
        <w:rPr>
          <w:spacing w:val="-52"/>
        </w:rPr>
        <w:t> </w:t>
      </w:r>
      <w:r>
        <w:rPr>
          <w:rFonts w:ascii="宋体" w:hAnsi="宋体" w:cs="宋体" w:eastAsia="宋体" w:hint="default"/>
        </w:rPr>
        <w:t>2017</w:t>
      </w:r>
      <w:r>
        <w:rPr>
          <w:rFonts w:ascii="宋体" w:hAnsi="宋体" w:cs="宋体" w:eastAsia="宋体" w:hint="default"/>
          <w:spacing w:val="-54"/>
        </w:rPr>
        <w:t> </w:t>
      </w:r>
      <w:r>
        <w:rPr/>
        <w:t>年</w:t>
      </w:r>
      <w:r>
        <w:rPr>
          <w:spacing w:val="-53"/>
        </w:rPr>
        <w:t> </w:t>
      </w:r>
      <w:r>
        <w:rPr>
          <w:rFonts w:ascii="宋体" w:hAnsi="宋体" w:cs="宋体" w:eastAsia="宋体" w:hint="default"/>
        </w:rPr>
        <w:t>7</w:t>
      </w:r>
      <w:r>
        <w:rPr>
          <w:rFonts w:ascii="宋体" w:hAnsi="宋体" w:cs="宋体" w:eastAsia="宋体" w:hint="default"/>
          <w:spacing w:val="-52"/>
        </w:rPr>
        <w:t> </w:t>
      </w:r>
      <w:r>
        <w:rPr/>
        <w:t>月</w:t>
      </w:r>
      <w:r>
        <w:rPr>
          <w:spacing w:val="-54"/>
        </w:rPr>
        <w:t> </w:t>
      </w:r>
      <w:r>
        <w:rPr>
          <w:rFonts w:ascii="宋体" w:hAnsi="宋体" w:cs="宋体" w:eastAsia="宋体" w:hint="default"/>
        </w:rPr>
        <w:t>31</w:t>
      </w:r>
      <w:r>
        <w:rPr>
          <w:rFonts w:ascii="宋体" w:hAnsi="宋体" w:cs="宋体" w:eastAsia="宋体" w:hint="default"/>
          <w:spacing w:val="-52"/>
        </w:rPr>
        <w:t> </w:t>
      </w:r>
      <w:r>
        <w:rPr>
          <w:spacing w:val="-4"/>
        </w:rPr>
        <w:t>日。截至报告期末，</w:t>
      </w:r>
      <w:r>
        <w:rPr>
          <w:rFonts w:ascii="宋体" w:hAnsi="宋体" w:cs="宋体" w:eastAsia="宋体" w:hint="default"/>
          <w:spacing w:val="-4"/>
        </w:rPr>
        <w:t>2016</w:t>
      </w:r>
      <w:r>
        <w:rPr>
          <w:rFonts w:ascii="宋体" w:hAnsi="宋体" w:cs="宋体" w:eastAsia="宋体" w:hint="default"/>
          <w:spacing w:val="-54"/>
        </w:rPr>
        <w:t> </w:t>
      </w:r>
      <w:r>
        <w:rPr/>
        <w:t>年度权益分派已经 实施完成。</w:t>
      </w:r>
    </w:p>
    <w:tbl>
      <w:tblPr>
        <w:tblW w:w="0" w:type="auto"/>
        <w:jc w:val="left"/>
        <w:tblInd w:w="1125" w:type="dxa"/>
        <w:tblLayout w:type="fixed"/>
        <w:tblCellMar>
          <w:top w:w="0" w:type="dxa"/>
          <w:left w:w="0" w:type="dxa"/>
          <w:bottom w:w="0" w:type="dxa"/>
          <w:right w:w="0" w:type="dxa"/>
        </w:tblCellMar>
        <w:tblLook w:val="01E0"/>
      </w:tblPr>
      <w:tblGrid>
        <w:gridCol w:w="6362"/>
        <w:gridCol w:w="3200"/>
      </w:tblGrid>
      <w:tr>
        <w:trPr>
          <w:trHeight w:val="412" w:hRule="exact"/>
        </w:trPr>
        <w:tc>
          <w:tcPr>
            <w:tcW w:w="9562" w:type="dxa"/>
            <w:gridSpan w:val="2"/>
            <w:tcBorders>
              <w:top w:val="single" w:sz="12"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34"/>
              <w:ind w:right="4"/>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636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34"/>
              <w:ind w:left="6"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3200" w:type="dxa"/>
            <w:tcBorders>
              <w:top w:val="single" w:sz="4" w:space="0" w:color="000000"/>
              <w:left w:val="single" w:sz="10" w:space="0" w:color="D2D2D2"/>
              <w:bottom w:val="single" w:sz="4" w:space="0" w:color="000000"/>
              <w:right w:val="single" w:sz="12" w:space="0" w:color="000000"/>
            </w:tcBorders>
          </w:tcPr>
          <w:p>
            <w:pPr>
              <w:pStyle w:val="TableParagraph"/>
              <w:spacing w:line="240" w:lineRule="auto" w:before="34"/>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36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34"/>
              <w:ind w:left="6"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3200" w:type="dxa"/>
            <w:tcBorders>
              <w:top w:val="single" w:sz="4" w:space="0" w:color="000000"/>
              <w:left w:val="single" w:sz="10" w:space="0" w:color="D2D2D2"/>
              <w:bottom w:val="single" w:sz="4" w:space="0" w:color="000000"/>
              <w:right w:val="single" w:sz="12" w:space="0" w:color="000000"/>
            </w:tcBorders>
          </w:tcPr>
          <w:p>
            <w:pPr>
              <w:pStyle w:val="TableParagraph"/>
              <w:spacing w:line="240" w:lineRule="auto" w:before="34"/>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36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34"/>
              <w:ind w:left="6"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3200" w:type="dxa"/>
            <w:tcBorders>
              <w:top w:val="single" w:sz="4" w:space="0" w:color="000000"/>
              <w:left w:val="single" w:sz="10" w:space="0" w:color="D2D2D2"/>
              <w:bottom w:val="single" w:sz="4" w:space="0" w:color="000000"/>
              <w:right w:val="single" w:sz="12" w:space="0" w:color="000000"/>
            </w:tcBorders>
          </w:tcPr>
          <w:p>
            <w:pPr>
              <w:pStyle w:val="TableParagraph"/>
              <w:spacing w:line="240" w:lineRule="auto" w:before="34"/>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636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34"/>
              <w:ind w:left="6"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3200" w:type="dxa"/>
            <w:tcBorders>
              <w:top w:val="single" w:sz="4" w:space="0" w:color="000000"/>
              <w:left w:val="single" w:sz="10" w:space="0" w:color="D2D2D2"/>
              <w:bottom w:val="single" w:sz="4" w:space="0" w:color="000000"/>
              <w:right w:val="single" w:sz="12" w:space="0" w:color="000000"/>
            </w:tcBorders>
          </w:tcPr>
          <w:p>
            <w:pPr>
              <w:pStyle w:val="TableParagraph"/>
              <w:spacing w:line="240" w:lineRule="auto" w:before="34"/>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36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35"/>
              <w:ind w:left="6" w:right="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中小股东是否有充分表达意见和诉求的机会，其合法权益是否得到了充分保护：</w:t>
            </w:r>
          </w:p>
        </w:tc>
        <w:tc>
          <w:tcPr>
            <w:tcW w:w="3200" w:type="dxa"/>
            <w:tcBorders>
              <w:top w:val="single" w:sz="4" w:space="0" w:color="000000"/>
              <w:left w:val="single" w:sz="10" w:space="0" w:color="D2D2D2"/>
              <w:bottom w:val="single" w:sz="4" w:space="0" w:color="000000"/>
              <w:right w:val="single" w:sz="12" w:space="0" w:color="000000"/>
            </w:tcBorders>
          </w:tcPr>
          <w:p>
            <w:pPr>
              <w:pStyle w:val="TableParagraph"/>
              <w:spacing w:line="240" w:lineRule="auto" w:before="35"/>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12" w:hRule="exact"/>
        </w:trPr>
        <w:tc>
          <w:tcPr>
            <w:tcW w:w="6362"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35"/>
              <w:ind w:left="6"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3200" w:type="dxa"/>
            <w:tcBorders>
              <w:top w:val="single" w:sz="4" w:space="0" w:color="000000"/>
              <w:left w:val="single" w:sz="10" w:space="0" w:color="D2D2D2"/>
              <w:bottom w:val="single" w:sz="12" w:space="0" w:color="000000"/>
              <w:right w:val="single" w:sz="12" w:space="0" w:color="000000"/>
            </w:tcBorders>
          </w:tcPr>
          <w:p>
            <w:pPr>
              <w:pStyle w:val="TableParagraph"/>
              <w:spacing w:line="240" w:lineRule="auto" w:before="35"/>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34"/>
        <w:ind w:left="1134" w:right="0" w:firstLine="0"/>
        <w:jc w:val="left"/>
        <w:rPr>
          <w:rFonts w:ascii="宋体" w:hAnsi="宋体" w:cs="宋体" w:eastAsia="宋体" w:hint="default"/>
          <w:sz w:val="18"/>
          <w:szCs w:val="18"/>
        </w:rPr>
      </w:pPr>
      <w:r>
        <w:rPr>
          <w:rFonts w:ascii="宋体" w:hAnsi="宋体" w:cs="宋体" w:eastAsia="宋体" w:hint="default"/>
          <w:sz w:val="18"/>
          <w:szCs w:val="18"/>
        </w:rPr>
        <w:t>公司报告期利润分配预案及资本公积金转增股本预案与公司章程和分红管理办法等的相关规定一致</w:t>
      </w:r>
    </w:p>
    <w:p>
      <w:pPr>
        <w:spacing w:line="348" w:lineRule="auto" w:before="117"/>
        <w:ind w:left="1133" w:right="42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公司报告期利润分配预案及资本公积金转增股本预案符合公司章程等的相关规定。 本年度利润分配及资本公积金转增股本预案</w:t>
      </w:r>
    </w:p>
    <w:tbl>
      <w:tblPr>
        <w:tblW w:w="0" w:type="auto"/>
        <w:jc w:val="left"/>
        <w:tblInd w:w="1118" w:type="dxa"/>
        <w:tblLayout w:type="fixed"/>
        <w:tblCellMar>
          <w:top w:w="0" w:type="dxa"/>
          <w:left w:w="0" w:type="dxa"/>
          <w:bottom w:w="0" w:type="dxa"/>
          <w:right w:w="0" w:type="dxa"/>
        </w:tblCellMar>
        <w:tblLook w:val="01E0"/>
      </w:tblPr>
      <w:tblGrid>
        <w:gridCol w:w="3718"/>
        <w:gridCol w:w="5851"/>
      </w:tblGrid>
      <w:tr>
        <w:trPr>
          <w:trHeight w:val="412" w:hRule="exact"/>
        </w:trPr>
        <w:tc>
          <w:tcPr>
            <w:tcW w:w="371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1"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0.45</w:t>
            </w:r>
          </w:p>
        </w:tc>
      </w:tr>
      <w:tr>
        <w:trPr>
          <w:trHeight w:val="402" w:hRule="exact"/>
        </w:trPr>
        <w:tc>
          <w:tcPr>
            <w:tcW w:w="37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293,022,806</w:t>
            </w:r>
          </w:p>
        </w:tc>
      </w:tr>
      <w:tr>
        <w:trPr>
          <w:trHeight w:val="412" w:hRule="exact"/>
        </w:trPr>
        <w:tc>
          <w:tcPr>
            <w:tcW w:w="371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13,186,026.27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18" w:type="dxa"/>
        <w:tblLayout w:type="fixed"/>
        <w:tblCellMar>
          <w:top w:w="0" w:type="dxa"/>
          <w:left w:w="0" w:type="dxa"/>
          <w:bottom w:w="0" w:type="dxa"/>
          <w:right w:w="0" w:type="dxa"/>
        </w:tblCellMar>
        <w:tblLook w:val="01E0"/>
      </w:tblPr>
      <w:tblGrid>
        <w:gridCol w:w="3707"/>
        <w:gridCol w:w="5862"/>
      </w:tblGrid>
      <w:tr>
        <w:trPr>
          <w:trHeight w:val="412" w:hRule="exact"/>
        </w:trPr>
        <w:tc>
          <w:tcPr>
            <w:tcW w:w="3707"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2" w:type="dxa"/>
            <w:tcBorders>
              <w:top w:val="single" w:sz="12" w:space="0" w:color="000000"/>
              <w:left w:val="single" w:sz="13" w:space="0" w:color="D2D2D2"/>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231,954,456.16</w:t>
            </w:r>
          </w:p>
        </w:tc>
      </w:tr>
      <w:tr>
        <w:trPr>
          <w:trHeight w:val="402" w:hRule="exact"/>
        </w:trPr>
        <w:tc>
          <w:tcPr>
            <w:tcW w:w="370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2" w:type="dxa"/>
            <w:tcBorders>
              <w:top w:val="single" w:sz="4" w:space="0" w:color="000000"/>
              <w:left w:val="single" w:sz="13" w:space="0" w:color="D2D2D2"/>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9" w:type="dxa"/>
            <w:gridSpan w:val="2"/>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69" w:type="dxa"/>
            <w:gridSpan w:val="2"/>
            <w:tcBorders>
              <w:top w:val="single" w:sz="4" w:space="0" w:color="000000"/>
              <w:left w:val="single" w:sz="12" w:space="0" w:color="000000"/>
              <w:bottom w:val="single" w:sz="4" w:space="0" w:color="000000"/>
              <w:right w:val="single" w:sz="12"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2" w:hRule="exact"/>
        </w:trPr>
        <w:tc>
          <w:tcPr>
            <w:tcW w:w="9569" w:type="dxa"/>
            <w:gridSpan w:val="2"/>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51"/>
              <w:ind w:left="2879"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24" w:hRule="exact"/>
        </w:trPr>
        <w:tc>
          <w:tcPr>
            <w:tcW w:w="9569" w:type="dxa"/>
            <w:gridSpan w:val="2"/>
            <w:tcBorders>
              <w:top w:val="single" w:sz="4" w:space="0" w:color="000000"/>
              <w:left w:val="single" w:sz="12" w:space="0" w:color="000000"/>
              <w:bottom w:val="single" w:sz="12" w:space="0" w:color="000000"/>
              <w:right w:val="single" w:sz="12"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公司以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日总</w:t>
            </w:r>
            <w:r>
              <w:rPr>
                <w:rFonts w:ascii="宋体" w:hAnsi="宋体" w:cs="宋体" w:eastAsia="宋体" w:hint="default"/>
                <w:spacing w:val="1"/>
                <w:sz w:val="18"/>
                <w:szCs w:val="18"/>
              </w:rPr>
              <w:t>股</w:t>
            </w:r>
            <w:r>
              <w:rPr>
                <w:rFonts w:ascii="宋体" w:hAnsi="宋体" w:cs="宋体" w:eastAsia="宋体" w:hint="default"/>
                <w:sz w:val="18"/>
                <w:szCs w:val="18"/>
              </w:rPr>
              <w:t>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293,022,806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股为基数</w:t>
            </w:r>
            <w:r>
              <w:rPr>
                <w:rFonts w:ascii="宋体" w:hAnsi="宋体" w:cs="宋体" w:eastAsia="宋体" w:hint="default"/>
                <w:spacing w:val="-24"/>
                <w:sz w:val="18"/>
                <w:szCs w:val="18"/>
              </w:rPr>
              <w:t>，</w:t>
            </w:r>
            <w:r>
              <w:rPr>
                <w:rFonts w:ascii="宋体" w:hAnsi="宋体" w:cs="宋体" w:eastAsia="宋体" w:hint="default"/>
                <w:sz w:val="18"/>
                <w:szCs w:val="18"/>
              </w:rPr>
              <w:t>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股派发现金红利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0.45</w:t>
            </w:r>
            <w:r>
              <w:rPr>
                <w:rFonts w:ascii="Times New Roman" w:hAnsi="Times New Roman" w:cs="Times New Roman" w:eastAsia="Times New Roman" w:hint="default"/>
                <w:spacing w:val="-1"/>
                <w:sz w:val="18"/>
                <w:szCs w:val="18"/>
              </w:rPr>
              <w:t> </w:t>
            </w:r>
            <w:r>
              <w:rPr>
                <w:rFonts w:ascii="宋体" w:hAnsi="宋体" w:cs="宋体" w:eastAsia="宋体" w:hint="default"/>
                <w:spacing w:val="-24"/>
                <w:sz w:val="18"/>
                <w:szCs w:val="18"/>
              </w:rPr>
              <w:t>元</w:t>
            </w:r>
            <w:r>
              <w:rPr>
                <w:rFonts w:ascii="宋体" w:hAnsi="宋体" w:cs="宋体" w:eastAsia="宋体" w:hint="default"/>
                <w:sz w:val="18"/>
                <w:szCs w:val="18"/>
              </w:rPr>
              <w:t>（含税</w:t>
            </w:r>
            <w:r>
              <w:rPr>
                <w:rFonts w:ascii="宋体" w:hAnsi="宋体" w:cs="宋体" w:eastAsia="宋体" w:hint="default"/>
                <w:spacing w:val="-90"/>
                <w:sz w:val="18"/>
                <w:szCs w:val="18"/>
              </w:rPr>
              <w:t>）</w:t>
            </w:r>
            <w:r>
              <w:rPr>
                <w:rFonts w:ascii="宋体" w:hAnsi="宋体" w:cs="宋体" w:eastAsia="宋体" w:hint="default"/>
                <w:spacing w:val="-24"/>
                <w:sz w:val="18"/>
                <w:szCs w:val="18"/>
              </w:rPr>
              <w:t>，</w:t>
            </w:r>
            <w:r>
              <w:rPr>
                <w:rFonts w:ascii="宋体" w:hAnsi="宋体" w:cs="宋体" w:eastAsia="宋体" w:hint="default"/>
                <w:sz w:val="18"/>
                <w:szCs w:val="18"/>
              </w:rPr>
              <w:t>合计派发现金</w:t>
            </w:r>
          </w:p>
          <w:p>
            <w:pPr>
              <w:pStyle w:val="TableParagraph"/>
              <w:spacing w:line="240" w:lineRule="auto" w:before="63"/>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13,186,026.27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元。此方案尚需</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年年度股东大会审议通过。</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w:t>
      </w:r>
      <w:r>
        <w:rPr>
          <w:rFonts w:ascii="宋体" w:hAnsi="宋体" w:cs="宋体" w:eastAsia="宋体" w:hint="default"/>
          <w:sz w:val="18"/>
          <w:szCs w:val="18"/>
        </w:rPr>
        <w:t>包括本报告期）的普通股股利分配方案（预案</w:t>
      </w:r>
      <w:r>
        <w:rPr>
          <w:rFonts w:ascii="宋体" w:hAnsi="宋体" w:cs="宋体" w:eastAsia="宋体" w:hint="default"/>
          <w:spacing w:val="-90"/>
          <w:sz w:val="18"/>
          <w:szCs w:val="18"/>
        </w:rPr>
        <w:t>）</w:t>
      </w:r>
      <w:r>
        <w:rPr>
          <w:rFonts w:ascii="宋体" w:hAnsi="宋体" w:cs="宋体" w:eastAsia="宋体" w:hint="default"/>
          <w:sz w:val="18"/>
          <w:szCs w:val="18"/>
        </w:rPr>
        <w:t>、资本公积金转增股本方案（预案）情况</w:t>
      </w:r>
    </w:p>
    <w:p>
      <w:pPr>
        <w:pStyle w:val="BodyText"/>
        <w:spacing w:line="408" w:lineRule="auto" w:before="153"/>
        <w:ind w:left="1554" w:right="0"/>
        <w:jc w:val="left"/>
      </w:pPr>
      <w:r>
        <w:rPr>
          <w:rFonts w:ascii="宋体" w:hAnsi="宋体" w:cs="宋体" w:eastAsia="宋体" w:hint="default"/>
        </w:rPr>
        <w:t>1</w:t>
      </w:r>
      <w:r>
        <w:rPr/>
        <w:t>、</w:t>
      </w:r>
      <w:r>
        <w:rPr>
          <w:rFonts w:ascii="宋体" w:hAnsi="宋体" w:cs="宋体" w:eastAsia="宋体" w:hint="default"/>
        </w:rPr>
        <w:t>2017</w:t>
      </w:r>
      <w:r>
        <w:rPr>
          <w:rFonts w:ascii="宋体" w:hAnsi="宋体" w:cs="宋体" w:eastAsia="宋体" w:hint="default"/>
          <w:spacing w:val="-53"/>
        </w:rPr>
        <w:t> </w:t>
      </w:r>
      <w:r>
        <w:rPr/>
        <w:t>年度权益分派情况 结合公司实际情况，与全体股东分享公司成长的经营成果，根据《公司法》和《公司章程》的规定，</w:t>
      </w:r>
    </w:p>
    <w:p>
      <w:pPr>
        <w:pStyle w:val="BodyText"/>
        <w:spacing w:line="240" w:lineRule="auto"/>
        <w:ind w:left="1134" w:right="0"/>
        <w:jc w:val="left"/>
        <w:rPr>
          <w:rFonts w:ascii="宋体" w:hAnsi="宋体" w:cs="宋体" w:eastAsia="宋体" w:hint="default"/>
        </w:rPr>
      </w:pPr>
      <w:r>
        <w:rPr>
          <w:rFonts w:ascii="宋体" w:hAnsi="宋体" w:cs="宋体" w:eastAsia="宋体" w:hint="default"/>
        </w:rPr>
        <w:t>2018</w:t>
      </w:r>
      <w:r>
        <w:rPr>
          <w:rFonts w:ascii="宋体" w:hAnsi="宋体" w:cs="宋体" w:eastAsia="宋体" w:hint="default"/>
          <w:spacing w:val="-56"/>
        </w:rPr>
        <w:t> </w:t>
      </w:r>
      <w:r>
        <w:rPr/>
        <w:t>年</w:t>
      </w:r>
      <w:r>
        <w:rPr>
          <w:spacing w:val="-55"/>
        </w:rPr>
        <w:t> </w:t>
      </w:r>
      <w:r>
        <w:rPr>
          <w:rFonts w:ascii="宋体" w:hAnsi="宋体" w:cs="宋体" w:eastAsia="宋体" w:hint="default"/>
        </w:rPr>
        <w:t>3</w:t>
      </w:r>
      <w:r>
        <w:rPr>
          <w:rFonts w:ascii="宋体" w:hAnsi="宋体" w:cs="宋体" w:eastAsia="宋体" w:hint="default"/>
          <w:spacing w:val="-56"/>
        </w:rPr>
        <w:t> </w:t>
      </w:r>
      <w:r>
        <w:rPr/>
        <w:t>月</w:t>
      </w:r>
      <w:r>
        <w:rPr>
          <w:spacing w:val="-57"/>
        </w:rPr>
        <w:t> </w:t>
      </w:r>
      <w:r>
        <w:rPr>
          <w:rFonts w:ascii="宋体" w:hAnsi="宋体" w:cs="宋体" w:eastAsia="宋体" w:hint="default"/>
        </w:rPr>
        <w:t>22</w:t>
      </w:r>
      <w:r>
        <w:rPr>
          <w:rFonts w:ascii="宋体" w:hAnsi="宋体" w:cs="宋体" w:eastAsia="宋体" w:hint="default"/>
          <w:spacing w:val="-55"/>
        </w:rPr>
        <w:t> </w:t>
      </w:r>
      <w:r>
        <w:rPr/>
        <w:t>日，公司第四届董事会第十三次会议审议通过</w:t>
      </w:r>
      <w:r>
        <w:rPr>
          <w:spacing w:val="-55"/>
        </w:rPr>
        <w:t> </w:t>
      </w:r>
      <w:r>
        <w:rPr>
          <w:rFonts w:ascii="宋体" w:hAnsi="宋体" w:cs="宋体" w:eastAsia="宋体" w:hint="default"/>
        </w:rPr>
        <w:t>2017</w:t>
      </w:r>
      <w:r>
        <w:rPr>
          <w:rFonts w:ascii="宋体" w:hAnsi="宋体" w:cs="宋体" w:eastAsia="宋体" w:hint="default"/>
          <w:spacing w:val="-56"/>
        </w:rPr>
        <w:t> </w:t>
      </w:r>
      <w:r>
        <w:rPr/>
        <w:t>年度权益分派方案。公司以</w:t>
      </w:r>
      <w:r>
        <w:rPr>
          <w:spacing w:val="-55"/>
        </w:rPr>
        <w:t> </w:t>
      </w:r>
      <w:r>
        <w:rPr>
          <w:rFonts w:ascii="宋体" w:hAnsi="宋体" w:cs="宋体" w:eastAsia="宋体" w:hint="default"/>
        </w:rPr>
        <w:t>2017</w:t>
      </w:r>
      <w:r>
        <w:rPr>
          <w:rFonts w:ascii="宋体" w:hAnsi="宋体" w:cs="宋体" w:eastAsia="宋体" w:hint="default"/>
          <w:spacing w:val="-56"/>
        </w:rPr>
        <w:t> </w:t>
      </w:r>
      <w:r>
        <w:rPr/>
        <w:t>年</w:t>
      </w:r>
      <w:r>
        <w:rPr>
          <w:spacing w:val="-57"/>
        </w:rPr>
        <w:t> </w:t>
      </w:r>
      <w:r>
        <w:rPr>
          <w:rFonts w:ascii="宋体" w:hAnsi="宋体" w:cs="宋体" w:eastAsia="宋体" w:hint="default"/>
        </w:rPr>
        <w:t>12</w:t>
      </w:r>
    </w:p>
    <w:p>
      <w:pPr>
        <w:spacing w:line="240" w:lineRule="auto" w:before="10"/>
        <w:rPr>
          <w:rFonts w:ascii="宋体" w:hAnsi="宋体" w:cs="宋体" w:eastAsia="宋体" w:hint="default"/>
          <w:sz w:val="14"/>
          <w:szCs w:val="14"/>
        </w:rPr>
      </w:pPr>
    </w:p>
    <w:p>
      <w:pPr>
        <w:pStyle w:val="BodyText"/>
        <w:spacing w:line="240" w:lineRule="auto" w:before="0"/>
        <w:ind w:right="0"/>
        <w:jc w:val="left"/>
      </w:pPr>
      <w:r>
        <w:rPr/>
        <w:t>月</w:t>
      </w:r>
      <w:r>
        <w:rPr>
          <w:spacing w:val="-53"/>
        </w:rPr>
        <w:t> </w:t>
      </w:r>
      <w:r>
        <w:rPr>
          <w:rFonts w:ascii="宋体" w:hAnsi="宋体" w:cs="宋体" w:eastAsia="宋体" w:hint="default"/>
          <w:spacing w:val="-1"/>
        </w:rPr>
        <w:t>3</w:t>
      </w:r>
      <w:r>
        <w:rPr>
          <w:rFonts w:ascii="宋体" w:hAnsi="宋体" w:cs="宋体" w:eastAsia="宋体" w:hint="default"/>
        </w:rPr>
        <w:t>1</w:t>
      </w:r>
      <w:r>
        <w:rPr>
          <w:rFonts w:ascii="宋体" w:hAnsi="宋体" w:cs="宋体" w:eastAsia="宋体" w:hint="default"/>
          <w:spacing w:val="-52"/>
        </w:rPr>
        <w:t> </w:t>
      </w:r>
      <w:r>
        <w:rPr/>
        <w:t>日总</w:t>
      </w:r>
      <w:r>
        <w:rPr>
          <w:spacing w:val="-2"/>
        </w:rPr>
        <w:t>股</w:t>
      </w:r>
      <w:r>
        <w:rPr/>
        <w:t>本</w:t>
      </w:r>
      <w:r>
        <w:rPr>
          <w:spacing w:val="-53"/>
        </w:rPr>
        <w:t> </w:t>
      </w:r>
      <w:r>
        <w:rPr>
          <w:rFonts w:ascii="宋体" w:hAnsi="宋体" w:cs="宋体" w:eastAsia="宋体" w:hint="default"/>
        </w:rPr>
        <w:t>293,022,806</w:t>
      </w:r>
      <w:r>
        <w:rPr>
          <w:rFonts w:ascii="宋体" w:hAnsi="宋体" w:cs="宋体" w:eastAsia="宋体" w:hint="default"/>
          <w:spacing w:val="-52"/>
        </w:rPr>
        <w:t> </w:t>
      </w:r>
      <w:r>
        <w:rPr/>
        <w:t>股为基</w:t>
      </w:r>
      <w:r>
        <w:rPr>
          <w:spacing w:val="-2"/>
        </w:rPr>
        <w:t>数</w:t>
      </w:r>
      <w:r>
        <w:rPr>
          <w:spacing w:val="-8"/>
        </w:rPr>
        <w:t>，</w:t>
      </w:r>
      <w:r>
        <w:rPr/>
        <w:t>向全体股东每</w:t>
      </w:r>
      <w:r>
        <w:rPr>
          <w:spacing w:val="-52"/>
        </w:rPr>
        <w:t> </w:t>
      </w:r>
      <w:r>
        <w:rPr>
          <w:rFonts w:ascii="宋体" w:hAnsi="宋体" w:cs="宋体" w:eastAsia="宋体" w:hint="default"/>
          <w:spacing w:val="-1"/>
        </w:rPr>
        <w:t>1</w:t>
      </w:r>
      <w:r>
        <w:rPr>
          <w:rFonts w:ascii="宋体" w:hAnsi="宋体" w:cs="宋体" w:eastAsia="宋体" w:hint="default"/>
        </w:rPr>
        <w:t>0</w:t>
      </w:r>
      <w:r>
        <w:rPr>
          <w:rFonts w:ascii="宋体" w:hAnsi="宋体" w:cs="宋体" w:eastAsia="宋体" w:hint="default"/>
          <w:spacing w:val="-52"/>
        </w:rPr>
        <w:t> </w:t>
      </w:r>
      <w:r>
        <w:rPr/>
        <w:t>股</w:t>
      </w:r>
      <w:r>
        <w:rPr>
          <w:spacing w:val="-2"/>
        </w:rPr>
        <w:t>派</w:t>
      </w:r>
      <w:r>
        <w:rPr/>
        <w:t>发现金红利</w:t>
      </w:r>
      <w:r>
        <w:rPr>
          <w:spacing w:val="-53"/>
        </w:rPr>
        <w:t> </w:t>
      </w:r>
      <w:r>
        <w:rPr>
          <w:rFonts w:ascii="宋体" w:hAnsi="宋体" w:cs="宋体" w:eastAsia="宋体" w:hint="default"/>
        </w:rPr>
        <w:t>0.</w:t>
      </w:r>
      <w:r>
        <w:rPr>
          <w:rFonts w:ascii="宋体" w:hAnsi="宋体" w:cs="宋体" w:eastAsia="宋体" w:hint="default"/>
          <w:spacing w:val="-1"/>
        </w:rPr>
        <w:t>4</w:t>
      </w:r>
      <w:r>
        <w:rPr>
          <w:rFonts w:ascii="宋体" w:hAnsi="宋体" w:cs="宋体" w:eastAsia="宋体" w:hint="default"/>
        </w:rPr>
        <w:t>5</w:t>
      </w:r>
      <w:r>
        <w:rPr>
          <w:rFonts w:ascii="宋体" w:hAnsi="宋体" w:cs="宋体" w:eastAsia="宋体" w:hint="default"/>
          <w:spacing w:val="-52"/>
        </w:rPr>
        <w:t> </w:t>
      </w:r>
      <w:r>
        <w:rPr>
          <w:spacing w:val="-8"/>
        </w:rPr>
        <w:t>元</w:t>
      </w:r>
      <w:r>
        <w:rPr/>
        <w:t>（含</w:t>
      </w:r>
      <w:r>
        <w:rPr>
          <w:spacing w:val="-2"/>
        </w:rPr>
        <w:t>税</w:t>
      </w:r>
      <w:r>
        <w:rPr>
          <w:spacing w:val="-105"/>
        </w:rPr>
        <w:t>）</w:t>
      </w:r>
      <w:r>
        <w:rPr>
          <w:spacing w:val="-8"/>
        </w:rPr>
        <w:t>，</w:t>
      </w:r>
      <w:r>
        <w:rPr/>
        <w:t>合计派</w:t>
      </w:r>
      <w:r>
        <w:rPr>
          <w:spacing w:val="-2"/>
        </w:rPr>
        <w:t>发</w:t>
      </w:r>
      <w:r>
        <w:rPr>
          <w:spacing w:val="1"/>
        </w:rPr>
        <w:t>现</w:t>
      </w:r>
      <w:r>
        <w:rPr/>
        <w:t>金</w:t>
      </w:r>
    </w:p>
    <w:p>
      <w:pPr>
        <w:spacing w:line="240" w:lineRule="auto" w:before="10"/>
        <w:rPr>
          <w:rFonts w:ascii="宋体" w:hAnsi="宋体" w:cs="宋体" w:eastAsia="宋体" w:hint="default"/>
          <w:sz w:val="14"/>
          <w:szCs w:val="14"/>
        </w:rPr>
      </w:pPr>
    </w:p>
    <w:p>
      <w:pPr>
        <w:pStyle w:val="BodyText"/>
        <w:spacing w:line="240" w:lineRule="auto" w:before="0"/>
        <w:ind w:right="0"/>
        <w:jc w:val="left"/>
      </w:pPr>
      <w:r>
        <w:rPr>
          <w:rFonts w:ascii="宋体" w:hAnsi="宋体" w:cs="宋体" w:eastAsia="宋体" w:hint="default"/>
        </w:rPr>
        <w:t>13,186,026.27</w:t>
      </w:r>
      <w:r>
        <w:rPr>
          <w:rFonts w:ascii="宋体" w:hAnsi="宋体" w:cs="宋体" w:eastAsia="宋体" w:hint="default"/>
          <w:spacing w:val="-53"/>
        </w:rPr>
        <w:t> </w:t>
      </w:r>
      <w:r>
        <w:rPr/>
        <w:t>元。此方案尚需</w:t>
      </w:r>
      <w:r>
        <w:rPr>
          <w:spacing w:val="-54"/>
        </w:rPr>
        <w:t> </w:t>
      </w:r>
      <w:r>
        <w:rPr>
          <w:rFonts w:ascii="宋体" w:hAnsi="宋体" w:cs="宋体" w:eastAsia="宋体" w:hint="default"/>
        </w:rPr>
        <w:t>2017</w:t>
      </w:r>
      <w:r>
        <w:rPr>
          <w:rFonts w:ascii="宋体" w:hAnsi="宋体" w:cs="宋体" w:eastAsia="宋体" w:hint="default"/>
          <w:spacing w:val="-55"/>
        </w:rPr>
        <w:t> </w:t>
      </w:r>
      <w:r>
        <w:rPr/>
        <w:t>年年度股东大会审议通过。</w:t>
      </w:r>
    </w:p>
    <w:p>
      <w:pPr>
        <w:spacing w:line="240" w:lineRule="auto" w:before="10"/>
        <w:rPr>
          <w:rFonts w:ascii="宋体" w:hAnsi="宋体" w:cs="宋体" w:eastAsia="宋体" w:hint="default"/>
          <w:sz w:val="14"/>
          <w:szCs w:val="14"/>
        </w:rPr>
      </w:pPr>
    </w:p>
    <w:p>
      <w:pPr>
        <w:pStyle w:val="BodyText"/>
        <w:spacing w:line="240" w:lineRule="auto" w:before="0"/>
        <w:ind w:left="1553" w:right="0"/>
        <w:jc w:val="left"/>
      </w:pPr>
      <w:r>
        <w:rPr>
          <w:rFonts w:ascii="宋体" w:hAnsi="宋体" w:cs="宋体" w:eastAsia="宋体" w:hint="default"/>
        </w:rPr>
        <w:t>2</w:t>
      </w:r>
      <w:r>
        <w:rPr/>
        <w:t>、</w:t>
      </w:r>
      <w:r>
        <w:rPr>
          <w:rFonts w:ascii="宋体" w:hAnsi="宋体" w:cs="宋体" w:eastAsia="宋体" w:hint="default"/>
        </w:rPr>
        <w:t>2016</w:t>
      </w:r>
      <w:r>
        <w:rPr>
          <w:rFonts w:ascii="宋体" w:hAnsi="宋体" w:cs="宋体" w:eastAsia="宋体" w:hint="default"/>
          <w:spacing w:val="-54"/>
        </w:rPr>
        <w:t> </w:t>
      </w:r>
      <w:r>
        <w:rPr/>
        <w:t>年度权益分派情况</w:t>
      </w:r>
    </w:p>
    <w:p>
      <w:pPr>
        <w:spacing w:line="240" w:lineRule="auto" w:before="10"/>
        <w:rPr>
          <w:rFonts w:ascii="宋体" w:hAnsi="宋体" w:cs="宋体" w:eastAsia="宋体" w:hint="default"/>
          <w:sz w:val="14"/>
          <w:szCs w:val="14"/>
        </w:rPr>
      </w:pPr>
    </w:p>
    <w:p>
      <w:pPr>
        <w:pStyle w:val="BodyText"/>
        <w:spacing w:line="240" w:lineRule="auto" w:before="0"/>
        <w:ind w:left="1554" w:right="0"/>
        <w:jc w:val="left"/>
      </w:pPr>
      <w:r>
        <w:rPr>
          <w:rFonts w:ascii="宋体" w:hAnsi="宋体" w:cs="宋体" w:eastAsia="宋体" w:hint="default"/>
        </w:rPr>
        <w:t>2017</w:t>
      </w:r>
      <w:r>
        <w:rPr>
          <w:rFonts w:ascii="宋体" w:hAnsi="宋体" w:cs="宋体" w:eastAsia="宋体" w:hint="default"/>
          <w:spacing w:val="-42"/>
        </w:rPr>
        <w:t> </w:t>
      </w:r>
      <w:r>
        <w:rPr/>
        <w:t>年</w:t>
      </w:r>
      <w:r>
        <w:rPr>
          <w:spacing w:val="-44"/>
        </w:rPr>
        <w:t> </w:t>
      </w:r>
      <w:r>
        <w:rPr>
          <w:rFonts w:ascii="宋体" w:hAnsi="宋体" w:cs="宋体" w:eastAsia="宋体" w:hint="default"/>
        </w:rPr>
        <w:t>4</w:t>
      </w:r>
      <w:r>
        <w:rPr>
          <w:rFonts w:ascii="宋体" w:hAnsi="宋体" w:cs="宋体" w:eastAsia="宋体" w:hint="default"/>
          <w:spacing w:val="-43"/>
        </w:rPr>
        <w:t> </w:t>
      </w:r>
      <w:r>
        <w:rPr/>
        <w:t>月</w:t>
      </w:r>
      <w:r>
        <w:rPr>
          <w:spacing w:val="-44"/>
        </w:rPr>
        <w:t> </w:t>
      </w:r>
      <w:r>
        <w:rPr>
          <w:rFonts w:ascii="宋体" w:hAnsi="宋体" w:cs="宋体" w:eastAsia="宋体" w:hint="default"/>
        </w:rPr>
        <w:t>24</w:t>
      </w:r>
      <w:r>
        <w:rPr>
          <w:rFonts w:ascii="宋体" w:hAnsi="宋体" w:cs="宋体" w:eastAsia="宋体" w:hint="default"/>
          <w:spacing w:val="-43"/>
        </w:rPr>
        <w:t> </w:t>
      </w:r>
      <w:r>
        <w:rPr/>
        <w:t>日，公司第四届董事会第五次会议、</w:t>
      </w:r>
      <w:r>
        <w:rPr>
          <w:rFonts w:ascii="宋体" w:hAnsi="宋体" w:cs="宋体" w:eastAsia="宋体" w:hint="default"/>
        </w:rPr>
        <w:t>2016</w:t>
      </w:r>
      <w:r>
        <w:rPr>
          <w:rFonts w:ascii="宋体" w:hAnsi="宋体" w:cs="宋体" w:eastAsia="宋体" w:hint="default"/>
          <w:spacing w:val="-43"/>
        </w:rPr>
        <w:t> </w:t>
      </w:r>
      <w:r>
        <w:rPr/>
        <w:t>年年度股东大会审议通过</w:t>
      </w:r>
      <w:r>
        <w:rPr>
          <w:spacing w:val="-44"/>
        </w:rPr>
        <w:t> </w:t>
      </w:r>
      <w:r>
        <w:rPr>
          <w:rFonts w:ascii="宋体" w:hAnsi="宋体" w:cs="宋体" w:eastAsia="宋体" w:hint="default"/>
        </w:rPr>
        <w:t>2016</w:t>
      </w:r>
      <w:r>
        <w:rPr>
          <w:rFonts w:ascii="宋体" w:hAnsi="宋体" w:cs="宋体" w:eastAsia="宋体" w:hint="default"/>
          <w:spacing w:val="-43"/>
        </w:rPr>
        <w:t> </w:t>
      </w:r>
      <w:r>
        <w:rPr/>
        <w:t>年度权益分</w:t>
      </w:r>
    </w:p>
    <w:p>
      <w:pPr>
        <w:spacing w:line="240" w:lineRule="auto" w:before="10"/>
        <w:rPr>
          <w:rFonts w:ascii="宋体" w:hAnsi="宋体" w:cs="宋体" w:eastAsia="宋体" w:hint="default"/>
          <w:sz w:val="14"/>
          <w:szCs w:val="14"/>
        </w:rPr>
      </w:pPr>
    </w:p>
    <w:p>
      <w:pPr>
        <w:pStyle w:val="BodyText"/>
        <w:spacing w:line="240" w:lineRule="auto" w:before="0"/>
        <w:ind w:left="1134" w:right="0"/>
        <w:jc w:val="left"/>
        <w:rPr>
          <w:rFonts w:ascii="宋体" w:hAnsi="宋体" w:cs="宋体" w:eastAsia="宋体" w:hint="default"/>
        </w:rPr>
      </w:pPr>
      <w:r>
        <w:rPr>
          <w:spacing w:val="-6"/>
        </w:rPr>
        <w:t>派方案，公司以</w:t>
      </w:r>
      <w:r>
        <w:rPr>
          <w:spacing w:val="-52"/>
        </w:rPr>
        <w:t> </w:t>
      </w:r>
      <w:r>
        <w:rPr>
          <w:rFonts w:ascii="宋体" w:hAnsi="宋体" w:cs="宋体" w:eastAsia="宋体" w:hint="default"/>
        </w:rPr>
        <w:t>2016</w:t>
      </w:r>
      <w:r>
        <w:rPr>
          <w:rFonts w:ascii="宋体" w:hAnsi="宋体" w:cs="宋体" w:eastAsia="宋体" w:hint="default"/>
          <w:spacing w:val="-53"/>
        </w:rPr>
        <w:t> </w:t>
      </w:r>
      <w:r>
        <w:rPr/>
        <w:t>年</w:t>
      </w:r>
      <w:r>
        <w:rPr>
          <w:spacing w:val="-53"/>
        </w:rPr>
        <w:t> </w:t>
      </w:r>
      <w:r>
        <w:rPr>
          <w:rFonts w:ascii="宋体" w:hAnsi="宋体" w:cs="宋体" w:eastAsia="宋体" w:hint="default"/>
        </w:rPr>
        <w:t>12</w:t>
      </w:r>
      <w:r>
        <w:rPr>
          <w:rFonts w:ascii="宋体" w:hAnsi="宋体" w:cs="宋体" w:eastAsia="宋体" w:hint="default"/>
          <w:spacing w:val="-52"/>
        </w:rPr>
        <w:t> </w:t>
      </w:r>
      <w:r>
        <w:rPr/>
        <w:t>月</w:t>
      </w:r>
      <w:r>
        <w:rPr>
          <w:spacing w:val="-54"/>
        </w:rPr>
        <w:t> </w:t>
      </w:r>
      <w:r>
        <w:rPr>
          <w:rFonts w:ascii="宋体" w:hAnsi="宋体" w:cs="宋体" w:eastAsia="宋体" w:hint="default"/>
        </w:rPr>
        <w:t>31</w:t>
      </w:r>
      <w:r>
        <w:rPr>
          <w:rFonts w:ascii="宋体" w:hAnsi="宋体" w:cs="宋体" w:eastAsia="宋体" w:hint="default"/>
          <w:spacing w:val="-52"/>
        </w:rPr>
        <w:t> </w:t>
      </w:r>
      <w:r>
        <w:rPr/>
        <w:t>日总股本</w:t>
      </w:r>
      <w:r>
        <w:rPr>
          <w:spacing w:val="-52"/>
        </w:rPr>
        <w:t> </w:t>
      </w:r>
      <w:r>
        <w:rPr>
          <w:rFonts w:ascii="宋体" w:hAnsi="宋体" w:cs="宋体" w:eastAsia="宋体" w:hint="default"/>
        </w:rPr>
        <w:t>293,022,806</w:t>
      </w:r>
      <w:r>
        <w:rPr>
          <w:rFonts w:ascii="宋体" w:hAnsi="宋体" w:cs="宋体" w:eastAsia="宋体" w:hint="default"/>
          <w:spacing w:val="-52"/>
        </w:rPr>
        <w:t> </w:t>
      </w:r>
      <w:r>
        <w:rPr>
          <w:spacing w:val="-4"/>
        </w:rPr>
        <w:t>股为基数，向全体股东每</w:t>
      </w:r>
      <w:r>
        <w:rPr>
          <w:spacing w:val="-52"/>
        </w:rPr>
        <w:t> </w:t>
      </w:r>
      <w:r>
        <w:rPr>
          <w:rFonts w:ascii="宋体" w:hAnsi="宋体" w:cs="宋体" w:eastAsia="宋体" w:hint="default"/>
        </w:rPr>
        <w:t>10</w:t>
      </w:r>
      <w:r>
        <w:rPr>
          <w:rFonts w:ascii="宋体" w:hAnsi="宋体" w:cs="宋体" w:eastAsia="宋体" w:hint="default"/>
          <w:spacing w:val="-52"/>
        </w:rPr>
        <w:t> </w:t>
      </w:r>
      <w:r>
        <w:rPr/>
        <w:t>股派发现金红利</w:t>
      </w:r>
      <w:r>
        <w:rPr>
          <w:spacing w:val="-53"/>
        </w:rPr>
        <w:t> </w:t>
      </w:r>
      <w:r>
        <w:rPr>
          <w:rFonts w:ascii="宋体" w:hAnsi="宋体" w:cs="宋体" w:eastAsia="宋体" w:hint="default"/>
        </w:rPr>
        <w:t>0.35</w:t>
      </w:r>
    </w:p>
    <w:p>
      <w:pPr>
        <w:spacing w:line="240" w:lineRule="auto" w:before="10"/>
        <w:rPr>
          <w:rFonts w:ascii="宋体" w:hAnsi="宋体" w:cs="宋体" w:eastAsia="宋体" w:hint="default"/>
          <w:sz w:val="14"/>
          <w:szCs w:val="14"/>
        </w:rPr>
      </w:pPr>
    </w:p>
    <w:p>
      <w:pPr>
        <w:pStyle w:val="BodyText"/>
        <w:spacing w:line="408" w:lineRule="auto" w:before="0"/>
        <w:ind w:left="1554" w:right="3931" w:hanging="420"/>
        <w:jc w:val="left"/>
      </w:pPr>
      <w:r>
        <w:rPr>
          <w:spacing w:val="-9"/>
        </w:rPr>
        <w:t>元（含税），合计派发现金</w:t>
      </w:r>
      <w:r>
        <w:rPr>
          <w:spacing w:val="-46"/>
        </w:rPr>
        <w:t> </w:t>
      </w:r>
      <w:r>
        <w:rPr>
          <w:rFonts w:ascii="宋体" w:hAnsi="宋体" w:cs="宋体" w:eastAsia="宋体" w:hint="default"/>
        </w:rPr>
        <w:t>10,255,798.21</w:t>
      </w:r>
      <w:r>
        <w:rPr>
          <w:rFonts w:ascii="宋体" w:hAnsi="宋体" w:cs="宋体" w:eastAsia="宋体" w:hint="default"/>
          <w:spacing w:val="-46"/>
        </w:rPr>
        <w:t> </w:t>
      </w:r>
      <w:r>
        <w:rPr>
          <w:spacing w:val="-1"/>
        </w:rPr>
        <w:t>元，其余未分配利润结转下年。</w:t>
      </w:r>
      <w:r>
        <w:rPr/>
        <w:t> </w:t>
      </w:r>
      <w:r>
        <w:rPr>
          <w:rFonts w:ascii="宋体" w:hAnsi="宋体" w:cs="宋体" w:eastAsia="宋体" w:hint="default"/>
        </w:rPr>
        <w:t>3</w:t>
      </w:r>
      <w:r>
        <w:rPr/>
        <w:t>、</w:t>
      </w:r>
      <w:r>
        <w:rPr>
          <w:rFonts w:ascii="宋体" w:hAnsi="宋体" w:cs="宋体" w:eastAsia="宋体" w:hint="default"/>
        </w:rPr>
        <w:t>2015</w:t>
      </w:r>
      <w:r>
        <w:rPr>
          <w:rFonts w:ascii="宋体" w:hAnsi="宋体" w:cs="宋体" w:eastAsia="宋体" w:hint="default"/>
          <w:spacing w:val="-54"/>
        </w:rPr>
        <w:t> </w:t>
      </w:r>
      <w:r>
        <w:rPr/>
        <w:t>年度权益分派情况</w:t>
      </w:r>
    </w:p>
    <w:p>
      <w:pPr>
        <w:pStyle w:val="BodyText"/>
        <w:spacing w:line="240" w:lineRule="auto"/>
        <w:ind w:left="1554" w:right="0"/>
        <w:jc w:val="left"/>
      </w:pPr>
      <w:r>
        <w:rPr>
          <w:rFonts w:ascii="宋体" w:hAnsi="宋体" w:cs="宋体" w:eastAsia="宋体" w:hint="default"/>
        </w:rPr>
        <w:t>2016</w:t>
      </w:r>
      <w:r>
        <w:rPr>
          <w:rFonts w:ascii="宋体" w:hAnsi="宋体" w:cs="宋体" w:eastAsia="宋体" w:hint="default"/>
          <w:spacing w:val="-42"/>
        </w:rPr>
        <w:t> </w:t>
      </w:r>
      <w:r>
        <w:rPr/>
        <w:t>年</w:t>
      </w:r>
      <w:r>
        <w:rPr>
          <w:spacing w:val="-44"/>
        </w:rPr>
        <w:t> </w:t>
      </w:r>
      <w:r>
        <w:rPr>
          <w:rFonts w:ascii="宋体" w:hAnsi="宋体" w:cs="宋体" w:eastAsia="宋体" w:hint="default"/>
        </w:rPr>
        <w:t>3</w:t>
      </w:r>
      <w:r>
        <w:rPr>
          <w:rFonts w:ascii="宋体" w:hAnsi="宋体" w:cs="宋体" w:eastAsia="宋体" w:hint="default"/>
          <w:spacing w:val="-43"/>
        </w:rPr>
        <w:t> </w:t>
      </w:r>
      <w:r>
        <w:rPr/>
        <w:t>月</w:t>
      </w:r>
      <w:r>
        <w:rPr>
          <w:spacing w:val="-44"/>
        </w:rPr>
        <w:t> </w:t>
      </w:r>
      <w:r>
        <w:rPr>
          <w:rFonts w:ascii="宋体" w:hAnsi="宋体" w:cs="宋体" w:eastAsia="宋体" w:hint="default"/>
        </w:rPr>
        <w:t>28</w:t>
      </w:r>
      <w:r>
        <w:rPr>
          <w:rFonts w:ascii="宋体" w:hAnsi="宋体" w:cs="宋体" w:eastAsia="宋体" w:hint="default"/>
          <w:spacing w:val="-43"/>
        </w:rPr>
        <w:t> </w:t>
      </w:r>
      <w:r>
        <w:rPr/>
        <w:t>日，公司第三届董事会第二十次会议、</w:t>
      </w:r>
      <w:r>
        <w:rPr>
          <w:rFonts w:ascii="宋体" w:hAnsi="宋体" w:cs="宋体" w:eastAsia="宋体" w:hint="default"/>
        </w:rPr>
        <w:t>2015</w:t>
      </w:r>
      <w:r>
        <w:rPr>
          <w:rFonts w:ascii="宋体" w:hAnsi="宋体" w:cs="宋体" w:eastAsia="宋体" w:hint="default"/>
          <w:spacing w:val="-44"/>
        </w:rPr>
        <w:t> </w:t>
      </w:r>
      <w:r>
        <w:rPr/>
        <w:t>年年度股东大会审议通过</w:t>
      </w:r>
      <w:r>
        <w:rPr>
          <w:spacing w:val="-44"/>
        </w:rPr>
        <w:t> </w:t>
      </w:r>
      <w:r>
        <w:rPr>
          <w:rFonts w:ascii="宋体" w:hAnsi="宋体" w:cs="宋体" w:eastAsia="宋体" w:hint="default"/>
        </w:rPr>
        <w:t>2015</w:t>
      </w:r>
      <w:r>
        <w:rPr>
          <w:rFonts w:ascii="宋体" w:hAnsi="宋体" w:cs="宋体" w:eastAsia="宋体" w:hint="default"/>
          <w:spacing w:val="-43"/>
        </w:rPr>
        <w:t> </w:t>
      </w:r>
      <w:r>
        <w:rPr/>
        <w:t>年度权益</w:t>
      </w:r>
    </w:p>
    <w:p>
      <w:pPr>
        <w:spacing w:line="240" w:lineRule="auto" w:before="10"/>
        <w:rPr>
          <w:rFonts w:ascii="宋体" w:hAnsi="宋体" w:cs="宋体" w:eastAsia="宋体" w:hint="default"/>
          <w:sz w:val="14"/>
          <w:szCs w:val="14"/>
        </w:rPr>
      </w:pPr>
    </w:p>
    <w:p>
      <w:pPr>
        <w:pStyle w:val="BodyText"/>
        <w:spacing w:line="240" w:lineRule="auto" w:before="0"/>
        <w:ind w:right="0"/>
        <w:jc w:val="left"/>
        <w:rPr>
          <w:rFonts w:ascii="宋体" w:hAnsi="宋体" w:cs="宋体" w:eastAsia="宋体" w:hint="default"/>
        </w:rPr>
      </w:pPr>
      <w:r>
        <w:rPr/>
        <w:t>分派方案</w:t>
      </w:r>
      <w:r>
        <w:rPr>
          <w:spacing w:val="-91"/>
        </w:rPr>
        <w:t>，</w:t>
      </w:r>
      <w:r>
        <w:rPr/>
        <w:t>公司以</w:t>
      </w:r>
      <w:r>
        <w:rPr>
          <w:spacing w:val="-52"/>
        </w:rPr>
        <w:t> </w:t>
      </w:r>
      <w:r>
        <w:rPr>
          <w:rFonts w:ascii="宋体" w:hAnsi="宋体" w:cs="宋体" w:eastAsia="宋体" w:hint="default"/>
        </w:rPr>
        <w:t>2015</w:t>
      </w:r>
      <w:r>
        <w:rPr>
          <w:rFonts w:ascii="宋体" w:hAnsi="宋体" w:cs="宋体" w:eastAsia="宋体" w:hint="default"/>
          <w:spacing w:val="-53"/>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3"/>
        </w:rPr>
        <w:t> </w:t>
      </w:r>
      <w:r>
        <w:rPr>
          <w:rFonts w:ascii="宋体" w:hAnsi="宋体" w:cs="宋体" w:eastAsia="宋体" w:hint="default"/>
          <w:spacing w:val="-1"/>
        </w:rPr>
        <w:t>3</w:t>
      </w:r>
      <w:r>
        <w:rPr>
          <w:rFonts w:ascii="宋体" w:hAnsi="宋体" w:cs="宋体" w:eastAsia="宋体" w:hint="default"/>
        </w:rPr>
        <w:t>1</w:t>
      </w:r>
      <w:r>
        <w:rPr>
          <w:rFonts w:ascii="宋体" w:hAnsi="宋体" w:cs="宋体" w:eastAsia="宋体" w:hint="default"/>
          <w:spacing w:val="-52"/>
        </w:rPr>
        <w:t> </w:t>
      </w:r>
      <w:r>
        <w:rPr/>
        <w:t>日</w:t>
      </w:r>
      <w:r>
        <w:rPr>
          <w:spacing w:val="-2"/>
        </w:rPr>
        <w:t>总</w:t>
      </w:r>
      <w:r>
        <w:rPr/>
        <w:t>股本</w:t>
      </w:r>
      <w:r>
        <w:rPr>
          <w:spacing w:val="-52"/>
        </w:rPr>
        <w:t> </w:t>
      </w:r>
      <w:r>
        <w:rPr>
          <w:rFonts w:ascii="宋体" w:hAnsi="宋体" w:cs="宋体" w:eastAsia="宋体" w:hint="default"/>
        </w:rPr>
        <w:t>293,022,806</w:t>
      </w:r>
      <w:r>
        <w:rPr>
          <w:rFonts w:ascii="宋体" w:hAnsi="宋体" w:cs="宋体" w:eastAsia="宋体" w:hint="default"/>
          <w:spacing w:val="-52"/>
        </w:rPr>
        <w:t> </w:t>
      </w:r>
      <w:r>
        <w:rPr/>
        <w:t>股为</w:t>
      </w:r>
      <w:r>
        <w:rPr>
          <w:spacing w:val="-2"/>
        </w:rPr>
        <w:t>基</w:t>
      </w:r>
      <w:r>
        <w:rPr/>
        <w:t>数</w:t>
      </w:r>
      <w:r>
        <w:rPr>
          <w:spacing w:val="-91"/>
        </w:rPr>
        <w:t>，</w:t>
      </w:r>
      <w:r>
        <w:rPr/>
        <w:t>向全体股东每</w:t>
      </w:r>
      <w:r>
        <w:rPr>
          <w:spacing w:val="-52"/>
        </w:rPr>
        <w:t> </w:t>
      </w:r>
      <w:r>
        <w:rPr>
          <w:rFonts w:ascii="宋体" w:hAnsi="宋体" w:cs="宋体" w:eastAsia="宋体" w:hint="default"/>
          <w:spacing w:val="-1"/>
        </w:rPr>
        <w:t>1</w:t>
      </w:r>
      <w:r>
        <w:rPr>
          <w:rFonts w:ascii="宋体" w:hAnsi="宋体" w:cs="宋体" w:eastAsia="宋体" w:hint="default"/>
        </w:rPr>
        <w:t>0</w:t>
      </w:r>
      <w:r>
        <w:rPr>
          <w:rFonts w:ascii="宋体" w:hAnsi="宋体" w:cs="宋体" w:eastAsia="宋体" w:hint="default"/>
          <w:spacing w:val="-52"/>
        </w:rPr>
        <w:t> </w:t>
      </w:r>
      <w:r>
        <w:rPr/>
        <w:t>股</w:t>
      </w:r>
      <w:r>
        <w:rPr>
          <w:spacing w:val="-2"/>
        </w:rPr>
        <w:t>派</w:t>
      </w:r>
      <w:r>
        <w:rPr/>
        <w:t>发现金红利</w:t>
      </w:r>
      <w:r>
        <w:rPr>
          <w:spacing w:val="-53"/>
        </w:rPr>
        <w:t> </w:t>
      </w:r>
      <w:r>
        <w:rPr>
          <w:rFonts w:ascii="宋体" w:hAnsi="宋体" w:cs="宋体" w:eastAsia="宋体" w:hint="default"/>
        </w:rPr>
        <w:t>0</w:t>
      </w:r>
      <w:r>
        <w:rPr>
          <w:rFonts w:ascii="宋体" w:hAnsi="宋体" w:cs="宋体" w:eastAsia="宋体" w:hint="default"/>
          <w:spacing w:val="1"/>
        </w:rPr>
        <w:t>.</w:t>
      </w:r>
      <w:r>
        <w:rPr>
          <w:rFonts w:ascii="宋体" w:hAnsi="宋体" w:cs="宋体" w:eastAsia="宋体" w:hint="default"/>
        </w:rPr>
        <w:t>2</w:t>
      </w:r>
    </w:p>
    <w:p>
      <w:pPr>
        <w:spacing w:line="240" w:lineRule="auto" w:before="10"/>
        <w:rPr>
          <w:rFonts w:ascii="宋体" w:hAnsi="宋体" w:cs="宋体" w:eastAsia="宋体" w:hint="default"/>
          <w:sz w:val="14"/>
          <w:szCs w:val="14"/>
        </w:rPr>
      </w:pPr>
    </w:p>
    <w:p>
      <w:pPr>
        <w:pStyle w:val="BodyText"/>
        <w:spacing w:line="240" w:lineRule="auto" w:before="0"/>
        <w:ind w:left="1134" w:right="0"/>
        <w:jc w:val="left"/>
      </w:pPr>
      <w:r>
        <w:rPr/>
        <w:t>元（含税</w:t>
      </w:r>
      <w:r>
        <w:rPr>
          <w:spacing w:val="-105"/>
        </w:rPr>
        <w:t>）</w:t>
      </w:r>
      <w:r>
        <w:rPr>
          <w:spacing w:val="-2"/>
        </w:rPr>
        <w:t>，</w:t>
      </w:r>
      <w:r>
        <w:rPr/>
        <w:t>合计派发现金</w:t>
      </w:r>
      <w:r>
        <w:rPr>
          <w:spacing w:val="-52"/>
        </w:rPr>
        <w:t> </w:t>
      </w:r>
      <w:r>
        <w:rPr>
          <w:rFonts w:ascii="宋体" w:hAnsi="宋体" w:cs="宋体" w:eastAsia="宋体" w:hint="default"/>
        </w:rPr>
        <w:t>5,860,456.12</w:t>
      </w:r>
      <w:r>
        <w:rPr>
          <w:rFonts w:ascii="宋体" w:hAnsi="宋体" w:cs="宋体" w:eastAsia="宋体" w:hint="default"/>
          <w:spacing w:val="-52"/>
        </w:rPr>
        <w:t> </w:t>
      </w:r>
      <w:r>
        <w:rPr/>
        <w:t>元，其</w:t>
      </w:r>
      <w:r>
        <w:rPr>
          <w:spacing w:val="-2"/>
        </w:rPr>
        <w:t>余</w:t>
      </w:r>
      <w:r>
        <w:rPr/>
        <w:t>未分配利润结转下年。</w:t>
      </w:r>
    </w:p>
    <w:p>
      <w:pPr>
        <w:spacing w:line="240" w:lineRule="auto" w:before="6"/>
        <w:rPr>
          <w:rFonts w:ascii="宋体" w:hAnsi="宋体" w:cs="宋体" w:eastAsia="宋体" w:hint="default"/>
          <w:sz w:val="10"/>
          <w:szCs w:val="10"/>
        </w:rPr>
      </w:pPr>
    </w:p>
    <w:p>
      <w:pPr>
        <w:spacing w:before="44"/>
        <w:ind w:left="1134" w:right="0"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5" w:type="dxa"/>
        <w:tblLayout w:type="fixed"/>
        <w:tblCellMar>
          <w:top w:w="0" w:type="dxa"/>
          <w:left w:w="0" w:type="dxa"/>
          <w:bottom w:w="0" w:type="dxa"/>
          <w:right w:w="0" w:type="dxa"/>
        </w:tblCellMar>
        <w:tblLook w:val="01E0"/>
      </w:tblPr>
      <w:tblGrid>
        <w:gridCol w:w="834"/>
        <w:gridCol w:w="1288"/>
        <w:gridCol w:w="2409"/>
        <w:gridCol w:w="2553"/>
        <w:gridCol w:w="1276"/>
        <w:gridCol w:w="1202"/>
      </w:tblGrid>
      <w:tr>
        <w:trPr>
          <w:trHeight w:val="171" w:hRule="exact"/>
        </w:trPr>
        <w:tc>
          <w:tcPr>
            <w:tcW w:w="834" w:type="dxa"/>
            <w:tcBorders>
              <w:top w:val="single" w:sz="12" w:space="0" w:color="000000"/>
              <w:left w:val="single" w:sz="12" w:space="0" w:color="000000"/>
              <w:bottom w:val="nil" w:sz="6" w:space="0" w:color="auto"/>
              <w:right w:val="single" w:sz="4" w:space="0" w:color="000000"/>
            </w:tcBorders>
            <w:shd w:val="clear" w:color="auto" w:fill="D2D2D2"/>
          </w:tcPr>
          <w:p>
            <w:pPr/>
          </w:p>
        </w:tc>
        <w:tc>
          <w:tcPr>
            <w:tcW w:w="1288" w:type="dxa"/>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7"/>
              <w:ind w:left="9"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2409" w:type="dxa"/>
            <w:vMerge w:val="restart"/>
            <w:tcBorders>
              <w:top w:val="single" w:sz="12" w:space="0" w:color="000000"/>
              <w:left w:val="single" w:sz="4" w:space="0" w:color="000000"/>
              <w:right w:val="single" w:sz="4" w:space="0" w:color="000000"/>
            </w:tcBorders>
            <w:shd w:val="clear" w:color="auto" w:fill="D2D2D2"/>
          </w:tcPr>
          <w:p>
            <w:pPr>
              <w:pStyle w:val="TableParagraph"/>
              <w:spacing w:line="319" w:lineRule="auto" w:before="51"/>
              <w:ind w:left="118" w:right="28" w:hanging="90"/>
              <w:jc w:val="left"/>
              <w:rPr>
                <w:rFonts w:ascii="宋体" w:hAnsi="宋体" w:cs="宋体" w:eastAsia="宋体" w:hint="default"/>
                <w:sz w:val="18"/>
                <w:szCs w:val="18"/>
              </w:rPr>
            </w:pPr>
            <w:r>
              <w:rPr>
                <w:rFonts w:ascii="宋体" w:hAnsi="宋体" w:cs="宋体" w:eastAsia="宋体" w:hint="default"/>
                <w:sz w:val="18"/>
                <w:szCs w:val="18"/>
              </w:rPr>
              <w:t>分红年度合并报表中归属于上 市公司普通股股东的净利润</w:t>
            </w:r>
          </w:p>
        </w:tc>
        <w:tc>
          <w:tcPr>
            <w:tcW w:w="2553" w:type="dxa"/>
            <w:vMerge w:val="restart"/>
            <w:tcBorders>
              <w:top w:val="single" w:sz="12" w:space="0" w:color="000000"/>
              <w:left w:val="single" w:sz="4" w:space="0" w:color="000000"/>
              <w:right w:val="single" w:sz="4" w:space="0" w:color="000000"/>
            </w:tcBorders>
            <w:shd w:val="clear" w:color="auto" w:fill="D2D2D2"/>
          </w:tcPr>
          <w:p>
            <w:pPr>
              <w:pStyle w:val="TableParagraph"/>
              <w:spacing w:line="319" w:lineRule="auto" w:before="51"/>
              <w:ind w:left="190" w:right="100" w:hanging="90"/>
              <w:jc w:val="left"/>
              <w:rPr>
                <w:rFonts w:ascii="宋体" w:hAnsi="宋体" w:cs="宋体" w:eastAsia="宋体" w:hint="default"/>
                <w:sz w:val="18"/>
                <w:szCs w:val="18"/>
              </w:rPr>
            </w:pPr>
            <w:r>
              <w:rPr>
                <w:rFonts w:ascii="宋体" w:hAnsi="宋体" w:cs="宋体" w:eastAsia="宋体" w:hint="default"/>
                <w:sz w:val="18"/>
                <w:szCs w:val="18"/>
              </w:rPr>
              <w:t>占合并报表中归属于上市公司 普通股股东的净利润的比率</w:t>
            </w:r>
          </w:p>
        </w:tc>
        <w:tc>
          <w:tcPr>
            <w:tcW w:w="1276" w:type="dxa"/>
            <w:vMerge w:val="restart"/>
            <w:tcBorders>
              <w:top w:val="single" w:sz="12" w:space="0" w:color="000000"/>
              <w:left w:val="single" w:sz="4" w:space="0" w:color="000000"/>
              <w:right w:val="single" w:sz="4" w:space="0" w:color="000000"/>
            </w:tcBorders>
            <w:shd w:val="clear" w:color="auto" w:fill="D2D2D2"/>
          </w:tcPr>
          <w:p>
            <w:pPr>
              <w:pStyle w:val="TableParagraph"/>
              <w:spacing w:line="319" w:lineRule="auto" w:before="51"/>
              <w:ind w:left="92" w:right="91"/>
              <w:jc w:val="left"/>
              <w:rPr>
                <w:rFonts w:ascii="宋体" w:hAnsi="宋体" w:cs="宋体" w:eastAsia="宋体" w:hint="default"/>
                <w:sz w:val="18"/>
                <w:szCs w:val="18"/>
              </w:rPr>
            </w:pPr>
            <w:r>
              <w:rPr>
                <w:rFonts w:ascii="宋体" w:hAnsi="宋体" w:cs="宋体" w:eastAsia="宋体" w:hint="default"/>
                <w:sz w:val="18"/>
                <w:szCs w:val="18"/>
              </w:rPr>
              <w:t>以其他方式现 金分红的金额</w:t>
            </w:r>
          </w:p>
        </w:tc>
        <w:tc>
          <w:tcPr>
            <w:tcW w:w="1202" w:type="dxa"/>
            <w:vMerge w:val="restart"/>
            <w:tcBorders>
              <w:top w:val="single" w:sz="12" w:space="0" w:color="000000"/>
              <w:left w:val="single" w:sz="4" w:space="0" w:color="000000"/>
              <w:right w:val="single" w:sz="12" w:space="0" w:color="000000"/>
            </w:tcBorders>
            <w:shd w:val="clear" w:color="auto" w:fill="D2D2D2"/>
          </w:tcPr>
          <w:p>
            <w:pPr>
              <w:pStyle w:val="TableParagraph"/>
              <w:spacing w:line="319" w:lineRule="auto" w:before="51"/>
              <w:ind w:left="55" w:right="44"/>
              <w:jc w:val="left"/>
              <w:rPr>
                <w:rFonts w:ascii="宋体" w:hAnsi="宋体" w:cs="宋体" w:eastAsia="宋体" w:hint="default"/>
                <w:sz w:val="18"/>
                <w:szCs w:val="18"/>
              </w:rPr>
            </w:pPr>
            <w:r>
              <w:rPr>
                <w:rFonts w:ascii="宋体" w:hAnsi="宋体" w:cs="宋体" w:eastAsia="宋体" w:hint="default"/>
                <w:sz w:val="18"/>
                <w:szCs w:val="18"/>
              </w:rPr>
              <w:t>以其他方式现 金分红的比例</w:t>
            </w:r>
          </w:p>
        </w:tc>
      </w:tr>
      <w:tr>
        <w:trPr>
          <w:trHeight w:val="392" w:hRule="exact"/>
        </w:trPr>
        <w:tc>
          <w:tcPr>
            <w:tcW w:w="834" w:type="dxa"/>
            <w:tcBorders>
              <w:top w:val="nil" w:sz="6" w:space="0" w:color="auto"/>
              <w:left w:val="single" w:sz="12" w:space="0" w:color="000000"/>
              <w:bottom w:val="nil" w:sz="6" w:space="0" w:color="auto"/>
              <w:right w:val="single" w:sz="4" w:space="0" w:color="000000"/>
            </w:tcBorders>
            <w:shd w:val="clear" w:color="auto" w:fill="D2D2D2"/>
          </w:tcPr>
          <w:p>
            <w:pPr>
              <w:pStyle w:val="TableParagraph"/>
              <w:spacing w:line="240" w:lineRule="auto" w:before="51"/>
              <w:ind w:left="43"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288" w:type="dxa"/>
            <w:vMerge/>
            <w:tcBorders>
              <w:left w:val="single" w:sz="4" w:space="0" w:color="000000"/>
              <w:right w:val="single" w:sz="4" w:space="0" w:color="000000"/>
            </w:tcBorders>
            <w:shd w:val="clear" w:color="auto" w:fill="D2D2D2"/>
          </w:tcPr>
          <w:p>
            <w:pPr/>
          </w:p>
        </w:tc>
        <w:tc>
          <w:tcPr>
            <w:tcW w:w="2409" w:type="dxa"/>
            <w:vMerge/>
            <w:tcBorders>
              <w:left w:val="single" w:sz="4" w:space="0" w:color="000000"/>
              <w:right w:val="single" w:sz="4" w:space="0" w:color="000000"/>
            </w:tcBorders>
            <w:shd w:val="clear" w:color="auto" w:fill="D2D2D2"/>
          </w:tcPr>
          <w:p>
            <w:pPr/>
          </w:p>
        </w:tc>
        <w:tc>
          <w:tcPr>
            <w:tcW w:w="2553"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D2D2D2"/>
          </w:tcPr>
          <w:p>
            <w:pPr/>
          </w:p>
        </w:tc>
        <w:tc>
          <w:tcPr>
            <w:tcW w:w="1202" w:type="dxa"/>
            <w:vMerge/>
            <w:tcBorders>
              <w:left w:val="single" w:sz="4" w:space="0" w:color="000000"/>
              <w:right w:val="single" w:sz="12" w:space="0" w:color="000000"/>
            </w:tcBorders>
            <w:shd w:val="clear" w:color="auto" w:fill="D2D2D2"/>
          </w:tcPr>
          <w:p>
            <w:pPr/>
          </w:p>
        </w:tc>
      </w:tr>
      <w:tr>
        <w:trPr>
          <w:trHeight w:val="161" w:hRule="exact"/>
        </w:trPr>
        <w:tc>
          <w:tcPr>
            <w:tcW w:w="834" w:type="dxa"/>
            <w:tcBorders>
              <w:top w:val="nil" w:sz="6" w:space="0" w:color="auto"/>
              <w:left w:val="single" w:sz="12" w:space="0" w:color="000000"/>
              <w:bottom w:val="single" w:sz="4" w:space="0" w:color="000000"/>
              <w:right w:val="single" w:sz="4" w:space="0" w:color="000000"/>
            </w:tcBorders>
            <w:shd w:val="clear" w:color="auto" w:fill="D2D2D2"/>
          </w:tcPr>
          <w:p>
            <w:pPr/>
          </w:p>
        </w:tc>
        <w:tc>
          <w:tcPr>
            <w:tcW w:w="1288" w:type="dxa"/>
            <w:vMerge/>
            <w:tcBorders>
              <w:left w:val="single" w:sz="4" w:space="0" w:color="000000"/>
              <w:bottom w:val="single" w:sz="4" w:space="0" w:color="000000"/>
              <w:right w:val="single" w:sz="4" w:space="0" w:color="000000"/>
            </w:tcBorders>
            <w:shd w:val="clear" w:color="auto" w:fill="D2D2D2"/>
          </w:tcPr>
          <w:p>
            <w:pPr/>
          </w:p>
        </w:tc>
        <w:tc>
          <w:tcPr>
            <w:tcW w:w="2409" w:type="dxa"/>
            <w:vMerge/>
            <w:tcBorders>
              <w:left w:val="single" w:sz="4" w:space="0" w:color="000000"/>
              <w:bottom w:val="single" w:sz="4" w:space="0" w:color="000000"/>
              <w:right w:val="single" w:sz="4" w:space="0" w:color="000000"/>
            </w:tcBorders>
            <w:shd w:val="clear" w:color="auto" w:fill="D2D2D2"/>
          </w:tcPr>
          <w:p>
            <w:pPr/>
          </w:p>
        </w:tc>
        <w:tc>
          <w:tcPr>
            <w:tcW w:w="2553"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202" w:type="dxa"/>
            <w:vMerge/>
            <w:tcBorders>
              <w:left w:val="single" w:sz="4" w:space="0" w:color="000000"/>
              <w:bottom w:val="single" w:sz="4" w:space="0" w:color="000000"/>
              <w:right w:val="single" w:sz="12" w:space="0" w:color="000000"/>
            </w:tcBorders>
            <w:shd w:val="clear" w:color="auto" w:fill="D2D2D2"/>
          </w:tcPr>
          <w:p>
            <w:pPr/>
          </w:p>
        </w:tc>
      </w:tr>
      <w:tr>
        <w:trPr>
          <w:trHeight w:val="402" w:hRule="exact"/>
        </w:trPr>
        <w:tc>
          <w:tcPr>
            <w:tcW w:w="83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13,186,026.27</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110,320,925.94</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11.95%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2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83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10,255,798.21</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90,629,460.02</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11.32%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2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0.00%</w:t>
            </w:r>
          </w:p>
        </w:tc>
      </w:tr>
      <w:tr>
        <w:trPr>
          <w:trHeight w:val="412" w:hRule="exact"/>
        </w:trPr>
        <w:tc>
          <w:tcPr>
            <w:tcW w:w="834"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88" w:type="dxa"/>
            <w:tcBorders>
              <w:top w:val="single" w:sz="4" w:space="0" w:color="000000"/>
              <w:left w:val="single" w:sz="13" w:space="0" w:color="D2D2D2"/>
              <w:bottom w:val="single" w:sz="12"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5,860,456.12</w:t>
            </w:r>
          </w:p>
        </w:tc>
        <w:tc>
          <w:tcPr>
            <w:tcW w:w="24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78,646,513.40</w:t>
            </w:r>
          </w:p>
        </w:tc>
        <w:tc>
          <w:tcPr>
            <w:tcW w:w="255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7.45%</w:t>
            </w:r>
          </w:p>
        </w:tc>
        <w:tc>
          <w:tcPr>
            <w:tcW w:w="12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20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7"/>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二、承诺事项履行情况" w:id="62"/>
      <w:bookmarkEnd w:id="62"/>
      <w:r>
        <w:rPr>
          <w:b w:val="0"/>
          <w:bCs w:val="0"/>
        </w:rPr>
      </w:r>
      <w:r>
        <w:rPr/>
        <w:t>二、承诺事项履行情况</w:t>
      </w:r>
      <w:r>
        <w:rPr>
          <w:b w:val="0"/>
          <w:bCs w:val="0"/>
        </w:rPr>
      </w:r>
    </w:p>
    <w:p>
      <w:pPr>
        <w:spacing w:line="240" w:lineRule="auto" w:before="9"/>
        <w:rPr>
          <w:rFonts w:ascii="宋体" w:hAnsi="宋体" w:cs="宋体" w:eastAsia="宋体" w:hint="default"/>
          <w:b/>
          <w:bCs/>
          <w:sz w:val="24"/>
          <w:szCs w:val="24"/>
        </w:rPr>
      </w:pPr>
    </w:p>
    <w:p>
      <w:pPr>
        <w:pStyle w:val="Heading4"/>
        <w:spacing w:line="259" w:lineRule="auto"/>
        <w:ind w:right="0"/>
        <w:jc w:val="left"/>
        <w:rPr>
          <w:b w:val="0"/>
          <w:bCs w:val="0"/>
        </w:rPr>
      </w:pPr>
      <w:bookmarkStart w:name="1、公司实际控制人、股东、关联方、收购人以及公司等承诺相关方在报告期内履行完毕及" w:id="63"/>
      <w:bookmarkEnd w:id="63"/>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118" w:type="dxa"/>
        <w:tblLayout w:type="fixed"/>
        <w:tblCellMar>
          <w:top w:w="0" w:type="dxa"/>
          <w:left w:w="0" w:type="dxa"/>
          <w:bottom w:w="0" w:type="dxa"/>
          <w:right w:w="0" w:type="dxa"/>
        </w:tblCellMar>
        <w:tblLook w:val="01E0"/>
      </w:tblPr>
      <w:tblGrid>
        <w:gridCol w:w="2411"/>
        <w:gridCol w:w="1552"/>
        <w:gridCol w:w="859"/>
        <w:gridCol w:w="2268"/>
        <w:gridCol w:w="850"/>
        <w:gridCol w:w="851"/>
        <w:gridCol w:w="778"/>
      </w:tblGrid>
      <w:tr>
        <w:trPr>
          <w:trHeight w:val="411" w:hRule="exact"/>
        </w:trPr>
        <w:tc>
          <w:tcPr>
            <w:tcW w:w="2411"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552"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98"/>
              <w:jc w:val="right"/>
              <w:rPr>
                <w:rFonts w:ascii="宋体" w:hAnsi="宋体" w:cs="宋体" w:eastAsia="宋体" w:hint="default"/>
                <w:sz w:val="18"/>
                <w:szCs w:val="18"/>
              </w:rPr>
            </w:pPr>
            <w:r>
              <w:rPr>
                <w:rFonts w:ascii="宋体" w:hAnsi="宋体" w:cs="宋体" w:eastAsia="宋体" w:hint="default"/>
                <w:sz w:val="18"/>
                <w:szCs w:val="18"/>
              </w:rPr>
              <w:t>承诺方</w:t>
            </w:r>
          </w:p>
        </w:tc>
        <w:tc>
          <w:tcPr>
            <w:tcW w:w="859"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3"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226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5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5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778"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5082" w:hRule="exact"/>
        </w:trPr>
        <w:tc>
          <w:tcPr>
            <w:tcW w:w="2411" w:type="dxa"/>
            <w:vMerge w:val="restart"/>
            <w:tcBorders>
              <w:top w:val="single" w:sz="4" w:space="0" w:color="000000"/>
              <w:left w:val="single" w:sz="12" w:space="0" w:color="000000"/>
              <w:right w:val="single" w:sz="4" w:space="0" w:color="000000"/>
            </w:tcBorders>
            <w:shd w:val="clear" w:color="auto" w:fill="D2D2D2"/>
          </w:tcPr>
          <w:p>
            <w:pP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4" w:lineRule="auto" w:before="119"/>
              <w:ind w:left="23" w:right="76"/>
              <w:jc w:val="left"/>
              <w:rPr>
                <w:rFonts w:ascii="宋体" w:hAnsi="宋体" w:cs="宋体" w:eastAsia="宋体" w:hint="default"/>
                <w:sz w:val="18"/>
                <w:szCs w:val="18"/>
              </w:rPr>
            </w:pPr>
            <w:r>
              <w:rPr>
                <w:rFonts w:ascii="宋体" w:hAnsi="宋体" w:cs="宋体" w:eastAsia="宋体" w:hint="default"/>
                <w:sz w:val="18"/>
                <w:szCs w:val="18"/>
              </w:rPr>
              <w:t>陈泽枝</w:t>
            </w:r>
            <w:r>
              <w:rPr>
                <w:rFonts w:ascii="Times New Roman" w:hAnsi="Times New Roman" w:cs="Times New Roman" w:eastAsia="Times New Roman" w:hint="default"/>
                <w:sz w:val="18"/>
                <w:szCs w:val="18"/>
              </w:rPr>
              <w:t>;</w:t>
            </w:r>
            <w:r>
              <w:rPr>
                <w:rFonts w:ascii="宋体" w:hAnsi="宋体" w:cs="宋体" w:eastAsia="宋体" w:hint="default"/>
                <w:sz w:val="18"/>
                <w:szCs w:val="18"/>
              </w:rPr>
              <w:t>李泽清</w:t>
            </w:r>
            <w:r>
              <w:rPr>
                <w:rFonts w:ascii="Times New Roman" w:hAnsi="Times New Roman" w:cs="Times New Roman" w:eastAsia="Times New Roman" w:hint="default"/>
                <w:sz w:val="18"/>
                <w:szCs w:val="18"/>
              </w:rPr>
              <w:t>;</w:t>
            </w:r>
            <w:r>
              <w:rPr>
                <w:rFonts w:ascii="宋体" w:hAnsi="宋体" w:cs="宋体" w:eastAsia="宋体" w:hint="default"/>
                <w:sz w:val="18"/>
                <w:szCs w:val="18"/>
              </w:rPr>
              <w:t>高 孔兴</w:t>
            </w:r>
            <w:r>
              <w:rPr>
                <w:rFonts w:ascii="Times New Roman" w:hAnsi="Times New Roman" w:cs="Times New Roman" w:eastAsia="Times New Roman" w:hint="default"/>
                <w:sz w:val="18"/>
                <w:szCs w:val="18"/>
              </w:rPr>
              <w:t>;</w:t>
            </w:r>
            <w:r>
              <w:rPr>
                <w:rFonts w:ascii="宋体" w:hAnsi="宋体" w:cs="宋体" w:eastAsia="宋体" w:hint="default"/>
                <w:sz w:val="18"/>
                <w:szCs w:val="18"/>
              </w:rPr>
              <w:t>刘智良</w:t>
            </w:r>
            <w:r>
              <w:rPr>
                <w:rFonts w:ascii="Times New Roman" w:hAnsi="Times New Roman" w:cs="Times New Roman" w:eastAsia="Times New Roman" w:hint="default"/>
                <w:sz w:val="18"/>
                <w:szCs w:val="18"/>
              </w:rPr>
              <w:t>;</w:t>
            </w:r>
            <w:r>
              <w:rPr>
                <w:rFonts w:ascii="宋体" w:hAnsi="宋体" w:cs="宋体" w:eastAsia="宋体" w:hint="default"/>
                <w:sz w:val="18"/>
                <w:szCs w:val="18"/>
              </w:rPr>
              <w:t>黄开</w:t>
            </w:r>
            <w:r>
              <w:rPr>
                <w:rFonts w:ascii="宋体" w:hAnsi="宋体" w:cs="宋体" w:eastAsia="宋体" w:hint="default"/>
                <w:spacing w:val="-2"/>
                <w:sz w:val="18"/>
                <w:szCs w:val="18"/>
              </w:rPr>
              <w:t> </w:t>
            </w:r>
            <w:r>
              <w:rPr>
                <w:rFonts w:ascii="宋体" w:hAnsi="宋体" w:cs="宋体" w:eastAsia="宋体" w:hint="default"/>
                <w:sz w:val="18"/>
                <w:szCs w:val="18"/>
              </w:rPr>
              <w:t>坚</w:t>
            </w:r>
            <w:r>
              <w:rPr>
                <w:rFonts w:ascii="Times New Roman" w:hAnsi="Times New Roman" w:cs="Times New Roman" w:eastAsia="Times New Roman" w:hint="default"/>
                <w:sz w:val="18"/>
                <w:szCs w:val="18"/>
              </w:rPr>
              <w:t>;</w:t>
            </w:r>
            <w:r>
              <w:rPr>
                <w:rFonts w:ascii="宋体" w:hAnsi="宋体" w:cs="宋体" w:eastAsia="宋体" w:hint="default"/>
                <w:sz w:val="18"/>
                <w:szCs w:val="18"/>
              </w:rPr>
              <w:t>许金炉</w:t>
            </w:r>
            <w:r>
              <w:rPr>
                <w:rFonts w:ascii="Times New Roman" w:hAnsi="Times New Roman" w:cs="Times New Roman" w:eastAsia="Times New Roman" w:hint="default"/>
                <w:sz w:val="18"/>
                <w:szCs w:val="18"/>
              </w:rPr>
              <w:t>;</w:t>
            </w:r>
            <w:r>
              <w:rPr>
                <w:rFonts w:ascii="宋体" w:hAnsi="宋体" w:cs="宋体" w:eastAsia="宋体" w:hint="default"/>
                <w:sz w:val="18"/>
                <w:szCs w:val="18"/>
              </w:rPr>
              <w:t>芜湖华 顺置业投资有限责 任公司</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16" w:lineRule="auto"/>
              <w:ind w:left="22" w:right="104"/>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承诺通过</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年汉威电子重 大资产重组获得的上市公司 股份，自股份发行结束之日 起</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个月且第一年度利润补 偿承诺已经履行完毕后，所 持股份的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可以对外转 让；在第二年度利润承诺专 项审核报告公告且第一、二 年度利润补偿承诺已经履行 完毕后，所持股份增加解锁 比例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；在第三年度利润 承诺专项审核报告公告、确 定承诺期业绩补偿履行完毕 后，剩余部分解锁，在此之 后按中国证监会及证券交易 所的有关规定执行。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sz w:val="18"/>
              </w:rPr>
              <w:t>2017-04-2</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8</w:t>
            </w:r>
          </w:p>
        </w:tc>
        <w:tc>
          <w:tcPr>
            <w:tcW w:w="77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16" w:lineRule="auto"/>
              <w:ind w:left="22" w:right="13"/>
              <w:jc w:val="left"/>
              <w:rPr>
                <w:rFonts w:ascii="宋体" w:hAnsi="宋体" w:cs="宋体" w:eastAsia="宋体" w:hint="default"/>
                <w:sz w:val="18"/>
                <w:szCs w:val="18"/>
              </w:rPr>
            </w:pPr>
            <w:r>
              <w:rPr>
                <w:rFonts w:ascii="宋体" w:hAnsi="宋体" w:cs="宋体" w:eastAsia="宋体" w:hint="default"/>
                <w:sz w:val="18"/>
                <w:szCs w:val="18"/>
              </w:rPr>
              <w:t>承诺正在 履行中。</w:t>
            </w:r>
          </w:p>
        </w:tc>
      </w:tr>
      <w:tr>
        <w:trPr>
          <w:trHeight w:val="474" w:hRule="exact"/>
        </w:trPr>
        <w:tc>
          <w:tcPr>
            <w:tcW w:w="2411" w:type="dxa"/>
            <w:vMerge/>
            <w:tcBorders>
              <w:left w:val="single" w:sz="12" w:space="0" w:color="000000"/>
              <w:bottom w:val="nil" w:sz="6" w:space="0" w:color="auto"/>
              <w:right w:val="single" w:sz="4" w:space="0" w:color="000000"/>
            </w:tcBorders>
            <w:shd w:val="clear" w:color="auto" w:fill="D2D2D2"/>
          </w:tcPr>
          <w:p>
            <w:pPr/>
          </w:p>
        </w:tc>
        <w:tc>
          <w:tcPr>
            <w:tcW w:w="1552"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04" w:lineRule="auto"/>
              <w:ind w:left="17" w:right="76"/>
              <w:jc w:val="left"/>
              <w:rPr>
                <w:rFonts w:ascii="宋体" w:hAnsi="宋体" w:cs="宋体" w:eastAsia="宋体" w:hint="default"/>
                <w:sz w:val="18"/>
                <w:szCs w:val="18"/>
              </w:rPr>
            </w:pPr>
            <w:r>
              <w:rPr>
                <w:rFonts w:ascii="宋体" w:hAnsi="宋体" w:cs="宋体" w:eastAsia="宋体" w:hint="default"/>
                <w:sz w:val="18"/>
                <w:szCs w:val="18"/>
              </w:rPr>
              <w:t>陈泽枝</w:t>
            </w:r>
            <w:r>
              <w:rPr>
                <w:rFonts w:ascii="Times New Roman" w:hAnsi="Times New Roman" w:cs="Times New Roman" w:eastAsia="Times New Roman" w:hint="default"/>
                <w:sz w:val="18"/>
                <w:szCs w:val="18"/>
              </w:rPr>
              <w:t>;</w:t>
            </w:r>
            <w:r>
              <w:rPr>
                <w:rFonts w:ascii="宋体" w:hAnsi="宋体" w:cs="宋体" w:eastAsia="宋体" w:hint="default"/>
                <w:sz w:val="18"/>
                <w:szCs w:val="18"/>
              </w:rPr>
              <w:t>李泽清</w:t>
            </w:r>
            <w:r>
              <w:rPr>
                <w:rFonts w:ascii="Times New Roman" w:hAnsi="Times New Roman" w:cs="Times New Roman" w:eastAsia="Times New Roman" w:hint="default"/>
                <w:sz w:val="18"/>
                <w:szCs w:val="18"/>
              </w:rPr>
              <w:t>;</w:t>
            </w:r>
            <w:r>
              <w:rPr>
                <w:rFonts w:ascii="宋体" w:hAnsi="宋体" w:cs="宋体" w:eastAsia="宋体" w:hint="default"/>
                <w:sz w:val="18"/>
                <w:szCs w:val="18"/>
              </w:rPr>
              <w:t>高 孔兴</w:t>
            </w:r>
            <w:r>
              <w:rPr>
                <w:rFonts w:ascii="Times New Roman" w:hAnsi="Times New Roman" w:cs="Times New Roman" w:eastAsia="Times New Roman" w:hint="default"/>
                <w:sz w:val="18"/>
                <w:szCs w:val="18"/>
              </w:rPr>
              <w:t>;</w:t>
            </w:r>
            <w:r>
              <w:rPr>
                <w:rFonts w:ascii="宋体" w:hAnsi="宋体" w:cs="宋体" w:eastAsia="宋体" w:hint="default"/>
                <w:sz w:val="18"/>
                <w:szCs w:val="18"/>
              </w:rPr>
              <w:t>黄开坚</w:t>
            </w:r>
            <w:r>
              <w:rPr>
                <w:rFonts w:ascii="Times New Roman" w:hAnsi="Times New Roman" w:cs="Times New Roman" w:eastAsia="Times New Roman" w:hint="default"/>
                <w:sz w:val="18"/>
                <w:szCs w:val="18"/>
              </w:rPr>
              <w:t>;</w:t>
            </w:r>
            <w:r>
              <w:rPr>
                <w:rFonts w:ascii="宋体" w:hAnsi="宋体" w:cs="宋体" w:eastAsia="宋体" w:hint="default"/>
                <w:sz w:val="18"/>
                <w:szCs w:val="18"/>
              </w:rPr>
              <w:t>许金</w:t>
            </w:r>
            <w:r>
              <w:rPr>
                <w:rFonts w:ascii="宋体" w:hAnsi="宋体" w:cs="宋体" w:eastAsia="宋体" w:hint="default"/>
                <w:spacing w:val="-2"/>
                <w:sz w:val="18"/>
                <w:szCs w:val="18"/>
              </w:rPr>
              <w:t> </w:t>
            </w:r>
            <w:r>
              <w:rPr>
                <w:rFonts w:ascii="宋体" w:hAnsi="宋体" w:cs="宋体" w:eastAsia="宋体" w:hint="default"/>
                <w:sz w:val="18"/>
                <w:szCs w:val="18"/>
              </w:rPr>
              <w:t>炉</w:t>
            </w:r>
            <w:r>
              <w:rPr>
                <w:rFonts w:ascii="Times New Roman" w:hAnsi="Times New Roman" w:cs="Times New Roman" w:eastAsia="Times New Roman" w:hint="default"/>
                <w:sz w:val="18"/>
                <w:szCs w:val="18"/>
              </w:rPr>
              <w:t>;</w:t>
            </w:r>
            <w:r>
              <w:rPr>
                <w:rFonts w:ascii="宋体" w:hAnsi="宋体" w:cs="宋体" w:eastAsia="宋体" w:hint="default"/>
                <w:sz w:val="18"/>
                <w:szCs w:val="18"/>
              </w:rPr>
              <w:t>刘智良</w:t>
            </w:r>
            <w:r>
              <w:rPr>
                <w:rFonts w:ascii="Times New Roman" w:hAnsi="Times New Roman" w:cs="Times New Roman" w:eastAsia="Times New Roman" w:hint="default"/>
                <w:sz w:val="18"/>
                <w:szCs w:val="18"/>
              </w:rPr>
              <w:t>;</w:t>
            </w:r>
            <w:r>
              <w:rPr>
                <w:rFonts w:ascii="宋体" w:hAnsi="宋体" w:cs="宋体" w:eastAsia="宋体" w:hint="default"/>
                <w:sz w:val="18"/>
                <w:szCs w:val="18"/>
              </w:rPr>
              <w:t>芜湖华 顺置业投资有限责 任公司</w:t>
            </w:r>
          </w:p>
        </w:tc>
        <w:tc>
          <w:tcPr>
            <w:tcW w:w="8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2" w:right="104"/>
              <w:jc w:val="both"/>
              <w:rPr>
                <w:rFonts w:ascii="宋体" w:hAnsi="宋体" w:cs="宋体" w:eastAsia="宋体" w:hint="default"/>
                <w:sz w:val="18"/>
                <w:szCs w:val="18"/>
              </w:rPr>
            </w:pPr>
            <w:r>
              <w:rPr>
                <w:rFonts w:ascii="宋体" w:hAnsi="宋体" w:cs="宋体" w:eastAsia="宋体" w:hint="default"/>
                <w:sz w:val="18"/>
                <w:szCs w:val="18"/>
              </w:rPr>
              <w:t>业绩承诺 及补偿安 排</w:t>
            </w:r>
          </w:p>
        </w:tc>
        <w:tc>
          <w:tcPr>
            <w:tcW w:w="226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75"/>
              <w:jc w:val="both"/>
              <w:rPr>
                <w:rFonts w:ascii="Times New Roman" w:hAnsi="Times New Roman" w:cs="Times New Roman" w:eastAsia="Times New Roman" w:hint="default"/>
                <w:sz w:val="18"/>
                <w:szCs w:val="18"/>
              </w:rPr>
            </w:pPr>
            <w:r>
              <w:rPr>
                <w:rFonts w:ascii="宋体" w:hAnsi="宋体" w:cs="宋体" w:eastAsia="宋体" w:hint="default"/>
                <w:sz w:val="18"/>
                <w:szCs w:val="18"/>
              </w:rPr>
              <w:t>交易对方陈泽枝、李泽清、 高孔兴、芜湖华顺置业投资 有限责任公司、许金炉、刘 智良、黄开坚承诺：嘉园环 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2016</w:t>
            </w:r>
          </w:p>
          <w:p>
            <w:pPr>
              <w:pStyle w:val="TableParagraph"/>
              <w:spacing w:line="312" w:lineRule="auto"/>
              <w:ind w:left="22" w:right="21"/>
              <w:jc w:val="both"/>
              <w:rPr>
                <w:rFonts w:ascii="Times New Roman" w:hAnsi="Times New Roman" w:cs="Times New Roman" w:eastAsia="Times New Roman" w:hint="default"/>
                <w:sz w:val="18"/>
                <w:szCs w:val="18"/>
              </w:rPr>
            </w:pPr>
            <w:r>
              <w:rPr>
                <w:rFonts w:ascii="宋体" w:hAnsi="宋体" w:cs="宋体" w:eastAsia="宋体" w:hint="default"/>
                <w:sz w:val="18"/>
                <w:szCs w:val="18"/>
              </w:rPr>
              <w:t>年实现的扣除非经常性损益 前后归属于母公司所有者净 利润孰低数不低于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3,353.20 </w:t>
            </w:r>
            <w:r>
              <w:rPr>
                <w:rFonts w:ascii="宋体" w:hAnsi="宋体" w:cs="宋体" w:eastAsia="宋体" w:hint="default"/>
                <w:spacing w:val="-8"/>
                <w:sz w:val="18"/>
                <w:szCs w:val="18"/>
              </w:rPr>
              <w:t>万元、</w:t>
            </w:r>
            <w:r>
              <w:rPr>
                <w:rFonts w:ascii="Times New Roman" w:hAnsi="Times New Roman" w:cs="Times New Roman" w:eastAsia="Times New Roman" w:hint="default"/>
                <w:spacing w:val="-8"/>
                <w:sz w:val="18"/>
                <w:szCs w:val="18"/>
              </w:rPr>
              <w:t>4,289.34</w:t>
            </w:r>
            <w:r>
              <w:rPr>
                <w:rFonts w:ascii="Times New Roman" w:hAnsi="Times New Roman" w:cs="Times New Roman" w:eastAsia="Times New Roman" w:hint="default"/>
                <w:sz w:val="18"/>
                <w:szCs w:val="18"/>
              </w:rPr>
              <w:t> </w:t>
            </w:r>
            <w:r>
              <w:rPr>
                <w:rFonts w:ascii="宋体" w:hAnsi="宋体" w:cs="宋体" w:eastAsia="宋体" w:hint="default"/>
                <w:spacing w:val="-8"/>
                <w:sz w:val="18"/>
                <w:szCs w:val="18"/>
              </w:rPr>
              <w:t>万元、</w:t>
            </w:r>
            <w:r>
              <w:rPr>
                <w:rFonts w:ascii="Times New Roman" w:hAnsi="Times New Roman" w:cs="Times New Roman" w:eastAsia="Times New Roman" w:hint="default"/>
                <w:spacing w:val="-8"/>
                <w:sz w:val="18"/>
                <w:szCs w:val="18"/>
              </w:rPr>
              <w:t>5,252.41</w:t>
            </w:r>
          </w:p>
          <w:p>
            <w:pPr>
              <w:pStyle w:val="TableParagraph"/>
              <w:spacing w:line="319" w:lineRule="auto" w:before="3"/>
              <w:ind w:left="22" w:right="75"/>
              <w:jc w:val="both"/>
              <w:rPr>
                <w:rFonts w:ascii="宋体" w:hAnsi="宋体" w:cs="宋体" w:eastAsia="宋体" w:hint="default"/>
                <w:sz w:val="18"/>
                <w:szCs w:val="18"/>
              </w:rPr>
            </w:pPr>
            <w:r>
              <w:rPr>
                <w:rFonts w:ascii="宋体" w:hAnsi="宋体" w:cs="宋体" w:eastAsia="宋体" w:hint="default"/>
                <w:sz w:val="18"/>
                <w:szCs w:val="18"/>
              </w:rPr>
              <w:t>万元。如嘉园环保实际净利 润低于上述承诺金额，则由 上述交易对方按照《利润承 诺补偿协议》的约定负责向 上市公司进行补偿。</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2016-12-3</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1</w:t>
            </w:r>
          </w:p>
        </w:tc>
        <w:tc>
          <w:tcPr>
            <w:tcW w:w="778" w:type="dxa"/>
            <w:vMerge w:val="restart"/>
            <w:tcBorders>
              <w:top w:val="single" w:sz="4" w:space="0" w:color="000000"/>
              <w:left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3"/>
              <w:jc w:val="left"/>
              <w:rPr>
                <w:rFonts w:ascii="宋体" w:hAnsi="宋体" w:cs="宋体" w:eastAsia="宋体" w:hint="default"/>
                <w:sz w:val="18"/>
                <w:szCs w:val="18"/>
              </w:rPr>
            </w:pPr>
            <w:r>
              <w:rPr>
                <w:rFonts w:ascii="宋体" w:hAnsi="宋体" w:cs="宋体" w:eastAsia="宋体" w:hint="default"/>
                <w:sz w:val="18"/>
                <w:szCs w:val="18"/>
              </w:rPr>
              <w:t>截至报告 期末，上 述承诺人 已缴付部 分补偿 款，剩余 部分补偿 款正在积 极筹备 中。</w:t>
            </w:r>
          </w:p>
        </w:tc>
      </w:tr>
      <w:tr>
        <w:trPr>
          <w:trHeight w:val="391" w:hRule="exact"/>
        </w:trPr>
        <w:tc>
          <w:tcPr>
            <w:tcW w:w="2411" w:type="dxa"/>
            <w:tcBorders>
              <w:top w:val="nil" w:sz="6" w:space="0" w:color="auto"/>
              <w:left w:val="single" w:sz="12" w:space="0" w:color="000000"/>
              <w:bottom w:val="nil" w:sz="6" w:space="0" w:color="auto"/>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552" w:type="dxa"/>
            <w:vMerge/>
            <w:tcBorders>
              <w:left w:val="single" w:sz="9" w:space="0" w:color="D2D2D2"/>
              <w:right w:val="single" w:sz="4" w:space="0" w:color="000000"/>
            </w:tcBorders>
          </w:tcPr>
          <w:p>
            <w:pPr/>
          </w:p>
        </w:tc>
        <w:tc>
          <w:tcPr>
            <w:tcW w:w="859" w:type="dxa"/>
            <w:vMerge/>
            <w:tcBorders>
              <w:left w:val="single" w:sz="4" w:space="0" w:color="000000"/>
              <w:right w:val="single" w:sz="4" w:space="0" w:color="000000"/>
            </w:tcBorders>
          </w:tcPr>
          <w:p>
            <w:pPr/>
          </w:p>
        </w:tc>
        <w:tc>
          <w:tcPr>
            <w:tcW w:w="226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12" w:space="0" w:color="000000"/>
            </w:tcBorders>
          </w:tcPr>
          <w:p>
            <w:pPr/>
          </w:p>
        </w:tc>
      </w:tr>
      <w:tr>
        <w:trPr>
          <w:trHeight w:val="3593" w:hRule="exact"/>
        </w:trPr>
        <w:tc>
          <w:tcPr>
            <w:tcW w:w="2411" w:type="dxa"/>
            <w:vMerge w:val="restart"/>
            <w:tcBorders>
              <w:top w:val="nil" w:sz="6" w:space="0" w:color="auto"/>
              <w:left w:val="single" w:sz="12" w:space="0" w:color="000000"/>
              <w:right w:val="single" w:sz="4" w:space="0" w:color="000000"/>
            </w:tcBorders>
            <w:shd w:val="clear" w:color="auto" w:fill="D2D2D2"/>
          </w:tcPr>
          <w:p>
            <w:pPr/>
          </w:p>
        </w:tc>
        <w:tc>
          <w:tcPr>
            <w:tcW w:w="1552" w:type="dxa"/>
            <w:vMerge/>
            <w:tcBorders>
              <w:left w:val="single" w:sz="9" w:space="0" w:color="D2D2D2"/>
              <w:bottom w:val="single" w:sz="4" w:space="0" w:color="000000"/>
              <w:right w:val="single" w:sz="4" w:space="0" w:color="000000"/>
            </w:tcBorders>
          </w:tcPr>
          <w:p>
            <w:pPr/>
          </w:p>
        </w:tc>
        <w:tc>
          <w:tcPr>
            <w:tcW w:w="859" w:type="dxa"/>
            <w:vMerge/>
            <w:tcBorders>
              <w:left w:val="single" w:sz="4" w:space="0" w:color="000000"/>
              <w:bottom w:val="single" w:sz="4" w:space="0" w:color="000000"/>
              <w:right w:val="single" w:sz="4" w:space="0" w:color="000000"/>
            </w:tcBorders>
          </w:tcPr>
          <w:p>
            <w:pPr/>
          </w:p>
        </w:tc>
        <w:tc>
          <w:tcPr>
            <w:tcW w:w="2268"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12" w:space="0" w:color="000000"/>
            </w:tcBorders>
          </w:tcPr>
          <w:p>
            <w:pPr/>
          </w:p>
        </w:tc>
      </w:tr>
      <w:tr>
        <w:trPr>
          <w:trHeight w:val="1973" w:hRule="exact"/>
        </w:trPr>
        <w:tc>
          <w:tcPr>
            <w:tcW w:w="2411" w:type="dxa"/>
            <w:vMerge/>
            <w:tcBorders>
              <w:left w:val="single" w:sz="12" w:space="0" w:color="000000"/>
              <w:bottom w:val="single" w:sz="12" w:space="0" w:color="000000"/>
              <w:right w:val="single" w:sz="4" w:space="0" w:color="000000"/>
            </w:tcBorders>
            <w:shd w:val="clear" w:color="auto" w:fill="D2D2D2"/>
          </w:tcPr>
          <w:p>
            <w:pPr/>
          </w:p>
        </w:tc>
        <w:tc>
          <w:tcPr>
            <w:tcW w:w="155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67"/>
              <w:jc w:val="right"/>
              <w:rPr>
                <w:rFonts w:ascii="宋体" w:hAnsi="宋体" w:cs="宋体" w:eastAsia="宋体" w:hint="default"/>
                <w:sz w:val="18"/>
                <w:szCs w:val="18"/>
              </w:rPr>
            </w:pPr>
            <w:r>
              <w:rPr>
                <w:rFonts w:ascii="宋体" w:hAnsi="宋体" w:cs="宋体" w:eastAsia="宋体" w:hint="default"/>
                <w:sz w:val="18"/>
                <w:szCs w:val="18"/>
              </w:rPr>
              <w:t>任红军</w:t>
            </w:r>
            <w:r>
              <w:rPr>
                <w:rFonts w:ascii="Times New Roman" w:hAnsi="Times New Roman" w:cs="Times New Roman" w:eastAsia="Times New Roman" w:hint="default"/>
                <w:sz w:val="18"/>
                <w:szCs w:val="18"/>
              </w:rPr>
              <w:t>;</w:t>
            </w:r>
            <w:r>
              <w:rPr>
                <w:rFonts w:ascii="宋体" w:hAnsi="宋体" w:cs="宋体" w:eastAsia="宋体" w:hint="default"/>
                <w:sz w:val="18"/>
                <w:szCs w:val="18"/>
              </w:rPr>
              <w:t>钟超</w:t>
            </w:r>
          </w:p>
        </w:tc>
        <w:tc>
          <w:tcPr>
            <w:tcW w:w="859" w:type="dxa"/>
            <w:tcBorders>
              <w:top w:val="single" w:sz="4" w:space="0" w:color="000000"/>
              <w:left w:val="single" w:sz="4" w:space="0" w:color="000000"/>
              <w:bottom w:val="single" w:sz="12" w:space="0" w:color="000000"/>
              <w:right w:val="single" w:sz="4" w:space="0" w:color="000000"/>
            </w:tcBorders>
          </w:tcPr>
          <w:p>
            <w:pPr>
              <w:pStyle w:val="TableParagraph"/>
              <w:spacing w:line="319" w:lineRule="auto" w:before="51"/>
              <w:ind w:left="22" w:right="104"/>
              <w:jc w:val="both"/>
              <w:rPr>
                <w:rFonts w:ascii="宋体" w:hAnsi="宋体" w:cs="宋体" w:eastAsia="宋体" w:hint="default"/>
                <w:sz w:val="18"/>
                <w:szCs w:val="18"/>
              </w:rPr>
            </w:pPr>
            <w:r>
              <w:rPr>
                <w:rFonts w:ascii="宋体" w:hAnsi="宋体" w:cs="宋体" w:eastAsia="宋体" w:hint="default"/>
                <w:sz w:val="18"/>
                <w:szCs w:val="18"/>
              </w:rPr>
              <w:t>关于同业 竞争、关 联交易、 资金占用 方面的承 诺</w:t>
            </w:r>
          </w:p>
        </w:tc>
        <w:tc>
          <w:tcPr>
            <w:tcW w:w="2268" w:type="dxa"/>
            <w:tcBorders>
              <w:top w:val="single" w:sz="4" w:space="0" w:color="000000"/>
              <w:left w:val="single" w:sz="4" w:space="0" w:color="000000"/>
              <w:bottom w:val="single" w:sz="12" w:space="0" w:color="000000"/>
              <w:right w:val="single" w:sz="4" w:space="0" w:color="000000"/>
            </w:tcBorders>
          </w:tcPr>
          <w:p>
            <w:pPr>
              <w:pStyle w:val="TableParagraph"/>
              <w:spacing w:line="314" w:lineRule="auto" w:before="71"/>
              <w:ind w:left="22" w:right="75"/>
              <w:jc w:val="left"/>
              <w:rPr>
                <w:rFonts w:ascii="宋体" w:hAnsi="宋体" w:cs="宋体" w:eastAsia="宋体" w:hint="default"/>
                <w:sz w:val="18"/>
                <w:szCs w:val="18"/>
              </w:rPr>
            </w:pPr>
            <w:r>
              <w:rPr>
                <w:rFonts w:ascii="宋体" w:hAnsi="宋体" w:cs="宋体" w:eastAsia="宋体" w:hint="default"/>
                <w:sz w:val="18"/>
                <w:szCs w:val="18"/>
              </w:rPr>
              <w:t>为充分保护上市公司的利 益，作为汉威电子的控股股 东及实际控制人，任红军先 </w:t>
            </w:r>
            <w:r>
              <w:rPr>
                <w:rFonts w:ascii="宋体" w:hAnsi="宋体" w:cs="宋体" w:eastAsia="宋体" w:hint="default"/>
                <w:spacing w:val="-7"/>
                <w:sz w:val="18"/>
                <w:szCs w:val="18"/>
              </w:rPr>
              <w:t>生、钟超女士承诺：（</w:t>
            </w: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）将</w:t>
            </w:r>
            <w:r>
              <w:rPr>
                <w:rFonts w:ascii="宋体" w:hAnsi="宋体" w:cs="宋体" w:eastAsia="宋体" w:hint="default"/>
                <w:sz w:val="18"/>
                <w:szCs w:val="18"/>
              </w:rPr>
              <w:t> 采取有效措施尽量避免任红 军、钟超及其控制的其他子</w:t>
            </w:r>
          </w:p>
        </w:tc>
        <w:tc>
          <w:tcPr>
            <w:tcW w:w="8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2020-01-0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9</w:t>
            </w:r>
          </w:p>
        </w:tc>
        <w:tc>
          <w:tcPr>
            <w:tcW w:w="778" w:type="dxa"/>
            <w:tcBorders>
              <w:top w:val="single" w:sz="4" w:space="0" w:color="000000"/>
              <w:left w:val="single" w:sz="4" w:space="0" w:color="000000"/>
              <w:bottom w:val="single" w:sz="12" w:space="0" w:color="000000"/>
              <w:right w:val="single" w:sz="12" w:space="0" w:color="000000"/>
            </w:tcBorders>
          </w:tcPr>
          <w:p>
            <w:pPr>
              <w:pStyle w:val="TableParagraph"/>
              <w:spacing w:line="319" w:lineRule="auto" w:before="51"/>
              <w:ind w:left="22" w:right="13"/>
              <w:jc w:val="both"/>
              <w:rPr>
                <w:rFonts w:ascii="宋体" w:hAnsi="宋体" w:cs="宋体" w:eastAsia="宋体" w:hint="default"/>
                <w:sz w:val="18"/>
                <w:szCs w:val="18"/>
              </w:rPr>
            </w:pPr>
            <w:r>
              <w:rPr>
                <w:rFonts w:ascii="宋体" w:hAnsi="宋体" w:cs="宋体" w:eastAsia="宋体" w:hint="default"/>
                <w:sz w:val="18"/>
                <w:szCs w:val="18"/>
              </w:rPr>
              <w:t>截至报告 期末，上 述承诺人 均遵守了 所做的承 诺。</w:t>
            </w:r>
          </w:p>
        </w:tc>
      </w:tr>
    </w:tbl>
    <w:p>
      <w:pPr>
        <w:spacing w:after="0" w:line="319" w:lineRule="auto"/>
        <w:jc w:val="both"/>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33.222992pt;margin-top:73.499985pt;width:120.2pt;height:686.5pt;mso-position-horizontal-relative:page;mso-position-vertical-relative:page;z-index:-97163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14"/>
                      <w:szCs w:val="1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不直接或间接从事、</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118" w:type="dxa"/>
        <w:tblLayout w:type="fixed"/>
        <w:tblCellMar>
          <w:top w:w="0" w:type="dxa"/>
          <w:left w:w="0" w:type="dxa"/>
          <w:bottom w:w="0" w:type="dxa"/>
          <w:right w:w="0" w:type="dxa"/>
        </w:tblCellMar>
        <w:tblLook w:val="01E0"/>
      </w:tblPr>
      <w:tblGrid>
        <w:gridCol w:w="2411"/>
        <w:gridCol w:w="1552"/>
        <w:gridCol w:w="859"/>
        <w:gridCol w:w="2268"/>
        <w:gridCol w:w="850"/>
        <w:gridCol w:w="851"/>
        <w:gridCol w:w="778"/>
      </w:tblGrid>
      <w:tr>
        <w:trPr>
          <w:trHeight w:val="327" w:hRule="exact"/>
        </w:trPr>
        <w:tc>
          <w:tcPr>
            <w:tcW w:w="2411" w:type="dxa"/>
            <w:vMerge w:val="restart"/>
            <w:tcBorders>
              <w:top w:val="single" w:sz="12" w:space="0" w:color="000000"/>
              <w:left w:val="single" w:sz="12" w:space="0" w:color="000000"/>
              <w:right w:val="single" w:sz="4" w:space="0" w:color="000000"/>
            </w:tcBorders>
            <w:shd w:val="clear" w:color="auto" w:fill="D2D2D2"/>
          </w:tcPr>
          <w:p>
            <w:pPr/>
          </w:p>
        </w:tc>
        <w:tc>
          <w:tcPr>
            <w:tcW w:w="1552" w:type="dxa"/>
            <w:vMerge w:val="restart"/>
            <w:tcBorders>
              <w:top w:val="single" w:sz="12" w:space="0" w:color="000000"/>
              <w:left w:val="single" w:sz="4" w:space="0" w:color="000000"/>
              <w:right w:val="single" w:sz="4" w:space="0" w:color="000000"/>
            </w:tcBorders>
          </w:tcPr>
          <w:p>
            <w:pPr/>
          </w:p>
        </w:tc>
        <w:tc>
          <w:tcPr>
            <w:tcW w:w="859" w:type="dxa"/>
            <w:vMerge w:val="restart"/>
            <w:tcBorders>
              <w:top w:val="single" w:sz="12" w:space="0" w:color="000000"/>
              <w:left w:val="single" w:sz="4" w:space="0" w:color="000000"/>
              <w:right w:val="single" w:sz="4" w:space="0" w:color="000000"/>
            </w:tcBorders>
          </w:tcPr>
          <w:p>
            <w:pPr/>
          </w:p>
        </w:tc>
        <w:tc>
          <w:tcPr>
            <w:tcW w:w="2268"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公司、分公司、合营或联营</w:t>
            </w:r>
          </w:p>
        </w:tc>
        <w:tc>
          <w:tcPr>
            <w:tcW w:w="850" w:type="dxa"/>
            <w:vMerge w:val="restart"/>
            <w:tcBorders>
              <w:top w:val="single" w:sz="12" w:space="0" w:color="000000"/>
              <w:left w:val="single" w:sz="4" w:space="0" w:color="000000"/>
              <w:right w:val="single" w:sz="4" w:space="0" w:color="000000"/>
            </w:tcBorders>
          </w:tcPr>
          <w:p>
            <w:pPr>
              <w:pStyle w:val="TableParagraph"/>
              <w:spacing w:line="13729"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42pt;height:686.5pt;mso-position-horizontal-relative:char;mso-position-vertical-relative:line" coordorigin="0,0" coordsize="840,13730">
                  <v:group style="position:absolute;left:0;top:0;width:840;height:13730" coordorigin="0,0" coordsize="840,13730">
                    <v:shape style="position:absolute;left:0;top:0;width:840;height:13730" coordorigin="0,0" coordsize="840,13730" path="m0,13729l840,13729,840,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851" w:type="dxa"/>
            <w:vMerge w:val="restart"/>
            <w:tcBorders>
              <w:top w:val="single" w:sz="12" w:space="0" w:color="000000"/>
              <w:left w:val="single" w:sz="4" w:space="0" w:color="000000"/>
              <w:right w:val="single" w:sz="4" w:space="0" w:color="000000"/>
            </w:tcBorders>
          </w:tcPr>
          <w:p>
            <w:pPr/>
          </w:p>
        </w:tc>
        <w:tc>
          <w:tcPr>
            <w:tcW w:w="778" w:type="dxa"/>
            <w:vMerge w:val="restart"/>
            <w:tcBorders>
              <w:top w:val="single" w:sz="12" w:space="0" w:color="000000"/>
              <w:left w:val="single" w:sz="4" w:space="0" w:color="000000"/>
              <w:right w:val="single" w:sz="12" w:space="0" w:color="000000"/>
            </w:tcBorders>
          </w:tcPr>
          <w:p>
            <w:pPr/>
          </w:p>
        </w:tc>
      </w:tr>
      <w:tr>
        <w:trPr>
          <w:trHeight w:val="312" w:hRule="exact"/>
        </w:trPr>
        <w:tc>
          <w:tcPr>
            <w:tcW w:w="2411" w:type="dxa"/>
            <w:vMerge/>
            <w:tcBorders>
              <w:left w:val="single" w:sz="12" w:space="0" w:color="000000"/>
              <w:right w:val="single" w:sz="4" w:space="0" w:color="000000"/>
            </w:tcBorders>
            <w:shd w:val="clear" w:color="auto" w:fill="D2D2D2"/>
          </w:tcPr>
          <w:p>
            <w:pPr/>
          </w:p>
        </w:tc>
        <w:tc>
          <w:tcPr>
            <w:tcW w:w="1552"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公司与汉威电子及其子公司</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12" w:space="0" w:color="000000"/>
            </w:tcBorders>
          </w:tcPr>
          <w:p>
            <w:pPr/>
          </w:p>
        </w:tc>
      </w:tr>
      <w:tr>
        <w:trPr>
          <w:trHeight w:val="317" w:hRule="exact"/>
        </w:trPr>
        <w:tc>
          <w:tcPr>
            <w:tcW w:w="2411" w:type="dxa"/>
            <w:vMerge/>
            <w:tcBorders>
              <w:left w:val="single" w:sz="12" w:space="0" w:color="000000"/>
              <w:right w:val="single" w:sz="4" w:space="0" w:color="000000"/>
            </w:tcBorders>
            <w:shd w:val="clear" w:color="auto" w:fill="D2D2D2"/>
          </w:tcPr>
          <w:p>
            <w:pPr/>
          </w:p>
        </w:tc>
        <w:tc>
          <w:tcPr>
            <w:tcW w:w="1552"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之间发生关联交易</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）不</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12" w:space="0" w:color="000000"/>
            </w:tcBorders>
          </w:tcPr>
          <w:p>
            <w:pPr/>
          </w:p>
        </w:tc>
      </w:tr>
      <w:tr>
        <w:trPr>
          <w:trHeight w:val="307" w:hRule="exact"/>
        </w:trPr>
        <w:tc>
          <w:tcPr>
            <w:tcW w:w="2411" w:type="dxa"/>
            <w:vMerge/>
            <w:tcBorders>
              <w:left w:val="single" w:sz="12" w:space="0" w:color="000000"/>
              <w:right w:val="single" w:sz="4" w:space="0" w:color="000000"/>
            </w:tcBorders>
            <w:shd w:val="clear" w:color="auto" w:fill="D2D2D2"/>
          </w:tcPr>
          <w:p>
            <w:pPr/>
          </w:p>
        </w:tc>
        <w:tc>
          <w:tcPr>
            <w:tcW w:w="1552"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利用自身作为汉威电子控股</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12" w:space="0" w:color="000000"/>
            </w:tcBorders>
          </w:tcPr>
          <w:p>
            <w:pPr/>
          </w:p>
        </w:tc>
      </w:tr>
      <w:tr>
        <w:trPr>
          <w:trHeight w:val="312" w:hRule="exact"/>
        </w:trPr>
        <w:tc>
          <w:tcPr>
            <w:tcW w:w="2411" w:type="dxa"/>
            <w:vMerge/>
            <w:tcBorders>
              <w:left w:val="single" w:sz="12" w:space="0" w:color="000000"/>
              <w:right w:val="single" w:sz="4" w:space="0" w:color="000000"/>
            </w:tcBorders>
            <w:shd w:val="clear" w:color="auto" w:fill="D2D2D2"/>
          </w:tcPr>
          <w:p>
            <w:pPr/>
          </w:p>
        </w:tc>
        <w:tc>
          <w:tcPr>
            <w:tcW w:w="1552"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股东之地位为任红军、钟超</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12" w:space="0" w:color="000000"/>
            </w:tcBorders>
          </w:tcPr>
          <w:p>
            <w:pPr/>
          </w:p>
        </w:tc>
      </w:tr>
      <w:tr>
        <w:trPr>
          <w:trHeight w:val="312" w:hRule="exact"/>
        </w:trPr>
        <w:tc>
          <w:tcPr>
            <w:tcW w:w="2411" w:type="dxa"/>
            <w:vMerge/>
            <w:tcBorders>
              <w:left w:val="single" w:sz="12" w:space="0" w:color="000000"/>
              <w:right w:val="single" w:sz="4" w:space="0" w:color="000000"/>
            </w:tcBorders>
            <w:shd w:val="clear" w:color="auto" w:fill="D2D2D2"/>
          </w:tcPr>
          <w:p>
            <w:pPr/>
          </w:p>
        </w:tc>
        <w:tc>
          <w:tcPr>
            <w:tcW w:w="1552"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及其控制的其他子公司、分</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12" w:space="0" w:color="000000"/>
            </w:tcBorders>
          </w:tcPr>
          <w:p>
            <w:pPr/>
          </w:p>
        </w:tc>
      </w:tr>
      <w:tr>
        <w:trPr>
          <w:trHeight w:val="312" w:hRule="exact"/>
        </w:trPr>
        <w:tc>
          <w:tcPr>
            <w:tcW w:w="2411" w:type="dxa"/>
            <w:vMerge/>
            <w:tcBorders>
              <w:left w:val="single" w:sz="12" w:space="0" w:color="000000"/>
              <w:right w:val="single" w:sz="4" w:space="0" w:color="000000"/>
            </w:tcBorders>
            <w:shd w:val="clear" w:color="auto" w:fill="D2D2D2"/>
          </w:tcPr>
          <w:p>
            <w:pPr/>
          </w:p>
        </w:tc>
        <w:tc>
          <w:tcPr>
            <w:tcW w:w="1552"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公司、合营或联营公司谋求</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12" w:space="0" w:color="000000"/>
            </w:tcBorders>
          </w:tcPr>
          <w:p>
            <w:pPr/>
          </w:p>
        </w:tc>
      </w:tr>
      <w:tr>
        <w:trPr>
          <w:trHeight w:val="312" w:hRule="exact"/>
        </w:trPr>
        <w:tc>
          <w:tcPr>
            <w:tcW w:w="2411" w:type="dxa"/>
            <w:vMerge/>
            <w:tcBorders>
              <w:left w:val="single" w:sz="12" w:space="0" w:color="000000"/>
              <w:right w:val="single" w:sz="4" w:space="0" w:color="000000"/>
            </w:tcBorders>
            <w:shd w:val="clear" w:color="auto" w:fill="D2D2D2"/>
          </w:tcPr>
          <w:p>
            <w:pPr/>
          </w:p>
        </w:tc>
        <w:tc>
          <w:tcPr>
            <w:tcW w:w="1552"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与汉威电子在业务合作等方</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12" w:space="0" w:color="000000"/>
            </w:tcBorders>
          </w:tcPr>
          <w:p>
            <w:pPr/>
          </w:p>
        </w:tc>
      </w:tr>
      <w:tr>
        <w:trPr>
          <w:trHeight w:val="312" w:hRule="exact"/>
        </w:trPr>
        <w:tc>
          <w:tcPr>
            <w:tcW w:w="2411" w:type="dxa"/>
            <w:vMerge/>
            <w:tcBorders>
              <w:left w:val="single" w:sz="12" w:space="0" w:color="000000"/>
              <w:right w:val="single" w:sz="4" w:space="0" w:color="000000"/>
            </w:tcBorders>
            <w:shd w:val="clear" w:color="auto" w:fill="D2D2D2"/>
          </w:tcPr>
          <w:p>
            <w:pPr/>
          </w:p>
        </w:tc>
        <w:tc>
          <w:tcPr>
            <w:tcW w:w="1552"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面给予优于市场其他第三方</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12" w:space="0" w:color="000000"/>
            </w:tcBorders>
          </w:tcPr>
          <w:p>
            <w:pPr/>
          </w:p>
        </w:tc>
      </w:tr>
      <w:tr>
        <w:trPr>
          <w:trHeight w:val="317" w:hRule="exact"/>
        </w:trPr>
        <w:tc>
          <w:tcPr>
            <w:tcW w:w="2411" w:type="dxa"/>
            <w:vMerge/>
            <w:tcBorders>
              <w:left w:val="single" w:sz="12" w:space="0" w:color="000000"/>
              <w:right w:val="single" w:sz="4" w:space="0" w:color="000000"/>
            </w:tcBorders>
            <w:shd w:val="clear" w:color="auto" w:fill="D2D2D2"/>
          </w:tcPr>
          <w:p>
            <w:pPr/>
          </w:p>
        </w:tc>
        <w:tc>
          <w:tcPr>
            <w:tcW w:w="1552"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的权利</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）不利用自身作</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12" w:space="0" w:color="000000"/>
            </w:tcBorders>
          </w:tcPr>
          <w:p>
            <w:pPr/>
          </w:p>
        </w:tc>
      </w:tr>
      <w:tr>
        <w:trPr>
          <w:trHeight w:val="307" w:hRule="exact"/>
        </w:trPr>
        <w:tc>
          <w:tcPr>
            <w:tcW w:w="2411" w:type="dxa"/>
            <w:vMerge/>
            <w:tcBorders>
              <w:left w:val="single" w:sz="12" w:space="0" w:color="000000"/>
              <w:right w:val="single" w:sz="4" w:space="0" w:color="000000"/>
            </w:tcBorders>
            <w:shd w:val="clear" w:color="auto" w:fill="D2D2D2"/>
          </w:tcPr>
          <w:p>
            <w:pPr/>
          </w:p>
        </w:tc>
        <w:tc>
          <w:tcPr>
            <w:tcW w:w="1552"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为汉威电子控股股东之地位</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12" w:space="0" w:color="000000"/>
            </w:tcBorders>
          </w:tcPr>
          <w:p>
            <w:pPr/>
          </w:p>
        </w:tc>
      </w:tr>
      <w:tr>
        <w:trPr>
          <w:trHeight w:val="312" w:hRule="exact"/>
        </w:trPr>
        <w:tc>
          <w:tcPr>
            <w:tcW w:w="2411" w:type="dxa"/>
            <w:vMerge/>
            <w:tcBorders>
              <w:left w:val="single" w:sz="12" w:space="0" w:color="000000"/>
              <w:right w:val="single" w:sz="4" w:space="0" w:color="000000"/>
            </w:tcBorders>
            <w:shd w:val="clear" w:color="auto" w:fill="D2D2D2"/>
          </w:tcPr>
          <w:p>
            <w:pPr/>
          </w:p>
        </w:tc>
        <w:tc>
          <w:tcPr>
            <w:tcW w:w="1552"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为任红军、钟超及其控制的</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12" w:space="0" w:color="000000"/>
            </w:tcBorders>
          </w:tcPr>
          <w:p>
            <w:pPr/>
          </w:p>
        </w:tc>
      </w:tr>
      <w:tr>
        <w:trPr>
          <w:trHeight w:val="312" w:hRule="exact"/>
        </w:trPr>
        <w:tc>
          <w:tcPr>
            <w:tcW w:w="2411" w:type="dxa"/>
            <w:vMerge/>
            <w:tcBorders>
              <w:left w:val="single" w:sz="12" w:space="0" w:color="000000"/>
              <w:right w:val="single" w:sz="4" w:space="0" w:color="000000"/>
            </w:tcBorders>
            <w:shd w:val="clear" w:color="auto" w:fill="D2D2D2"/>
          </w:tcPr>
          <w:p>
            <w:pPr/>
          </w:p>
        </w:tc>
        <w:tc>
          <w:tcPr>
            <w:tcW w:w="1552"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其他子公司、分公司、合营</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12" w:space="0" w:color="000000"/>
            </w:tcBorders>
          </w:tcPr>
          <w:p>
            <w:pPr/>
          </w:p>
        </w:tc>
      </w:tr>
      <w:tr>
        <w:trPr>
          <w:trHeight w:val="312" w:hRule="exact"/>
        </w:trPr>
        <w:tc>
          <w:tcPr>
            <w:tcW w:w="2411" w:type="dxa"/>
            <w:vMerge/>
            <w:tcBorders>
              <w:left w:val="single" w:sz="12" w:space="0" w:color="000000"/>
              <w:right w:val="single" w:sz="4" w:space="0" w:color="000000"/>
            </w:tcBorders>
            <w:shd w:val="clear" w:color="auto" w:fill="D2D2D2"/>
          </w:tcPr>
          <w:p>
            <w:pPr/>
          </w:p>
        </w:tc>
        <w:tc>
          <w:tcPr>
            <w:tcW w:w="1552"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或联营公司谋求与汉威电子</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12" w:space="0" w:color="000000"/>
            </w:tcBorders>
          </w:tcPr>
          <w:p>
            <w:pPr/>
          </w:p>
        </w:tc>
      </w:tr>
      <w:tr>
        <w:trPr>
          <w:trHeight w:val="317" w:hRule="exact"/>
        </w:trPr>
        <w:tc>
          <w:tcPr>
            <w:tcW w:w="2411" w:type="dxa"/>
            <w:vMerge/>
            <w:tcBorders>
              <w:left w:val="single" w:sz="12" w:space="0" w:color="000000"/>
              <w:right w:val="single" w:sz="4" w:space="0" w:color="000000"/>
            </w:tcBorders>
            <w:shd w:val="clear" w:color="auto" w:fill="D2D2D2"/>
          </w:tcPr>
          <w:p>
            <w:pPr/>
          </w:p>
        </w:tc>
        <w:tc>
          <w:tcPr>
            <w:tcW w:w="1552"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优先达成交易的权利</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12" w:space="0" w:color="000000"/>
            </w:tcBorders>
          </w:tcPr>
          <w:p>
            <w:pPr/>
          </w:p>
        </w:tc>
      </w:tr>
      <w:tr>
        <w:trPr>
          <w:trHeight w:val="307" w:hRule="exact"/>
        </w:trPr>
        <w:tc>
          <w:tcPr>
            <w:tcW w:w="2411" w:type="dxa"/>
            <w:vMerge/>
            <w:tcBorders>
              <w:left w:val="single" w:sz="12" w:space="0" w:color="000000"/>
              <w:right w:val="single" w:sz="4" w:space="0" w:color="000000"/>
            </w:tcBorders>
            <w:shd w:val="clear" w:color="auto" w:fill="D2D2D2"/>
          </w:tcPr>
          <w:p>
            <w:pPr/>
          </w:p>
        </w:tc>
        <w:tc>
          <w:tcPr>
            <w:tcW w:w="1552"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在进行确有必要且无法避免</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12" w:space="0" w:color="000000"/>
            </w:tcBorders>
          </w:tcPr>
          <w:p>
            <w:pPr/>
          </w:p>
        </w:tc>
      </w:tr>
      <w:tr>
        <w:trPr>
          <w:trHeight w:val="312" w:hRule="exact"/>
        </w:trPr>
        <w:tc>
          <w:tcPr>
            <w:tcW w:w="2411" w:type="dxa"/>
            <w:vMerge/>
            <w:tcBorders>
              <w:left w:val="single" w:sz="12" w:space="0" w:color="000000"/>
              <w:right w:val="single" w:sz="4" w:space="0" w:color="000000"/>
            </w:tcBorders>
            <w:shd w:val="clear" w:color="auto" w:fill="D2D2D2"/>
          </w:tcPr>
          <w:p>
            <w:pPr/>
          </w:p>
        </w:tc>
        <w:tc>
          <w:tcPr>
            <w:tcW w:w="1552"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的关联交易时，保证按市场</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12" w:space="0" w:color="000000"/>
            </w:tcBorders>
          </w:tcPr>
          <w:p>
            <w:pPr/>
          </w:p>
        </w:tc>
      </w:tr>
      <w:tr>
        <w:trPr>
          <w:trHeight w:val="312" w:hRule="exact"/>
        </w:trPr>
        <w:tc>
          <w:tcPr>
            <w:tcW w:w="2411" w:type="dxa"/>
            <w:vMerge/>
            <w:tcBorders>
              <w:left w:val="single" w:sz="12" w:space="0" w:color="000000"/>
              <w:right w:val="single" w:sz="4" w:space="0" w:color="000000"/>
            </w:tcBorders>
            <w:shd w:val="clear" w:color="auto" w:fill="D2D2D2"/>
          </w:tcPr>
          <w:p>
            <w:pPr/>
          </w:p>
        </w:tc>
        <w:tc>
          <w:tcPr>
            <w:tcW w:w="1552"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化原则和公允价格进行公平</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12" w:space="0" w:color="000000"/>
            </w:tcBorders>
          </w:tcPr>
          <w:p>
            <w:pPr/>
          </w:p>
        </w:tc>
      </w:tr>
      <w:tr>
        <w:trPr>
          <w:trHeight w:val="312" w:hRule="exact"/>
        </w:trPr>
        <w:tc>
          <w:tcPr>
            <w:tcW w:w="2411" w:type="dxa"/>
            <w:vMerge/>
            <w:tcBorders>
              <w:left w:val="single" w:sz="12" w:space="0" w:color="000000"/>
              <w:right w:val="single" w:sz="4" w:space="0" w:color="000000"/>
            </w:tcBorders>
            <w:shd w:val="clear" w:color="auto" w:fill="D2D2D2"/>
          </w:tcPr>
          <w:p>
            <w:pPr/>
          </w:p>
        </w:tc>
        <w:tc>
          <w:tcPr>
            <w:tcW w:w="1552"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操作，并按相关法律法规、</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12" w:space="0" w:color="000000"/>
            </w:tcBorders>
          </w:tcPr>
          <w:p>
            <w:pPr/>
          </w:p>
        </w:tc>
      </w:tr>
      <w:tr>
        <w:trPr>
          <w:trHeight w:val="312" w:hRule="exact"/>
        </w:trPr>
        <w:tc>
          <w:tcPr>
            <w:tcW w:w="2411" w:type="dxa"/>
            <w:vMerge/>
            <w:tcBorders>
              <w:left w:val="single" w:sz="12" w:space="0" w:color="000000"/>
              <w:right w:val="single" w:sz="4" w:space="0" w:color="000000"/>
            </w:tcBorders>
            <w:shd w:val="clear" w:color="auto" w:fill="D2D2D2"/>
          </w:tcPr>
          <w:p>
            <w:pPr/>
          </w:p>
        </w:tc>
        <w:tc>
          <w:tcPr>
            <w:tcW w:w="1552"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规范性文件及汉威电子的公</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12" w:space="0" w:color="000000"/>
            </w:tcBorders>
          </w:tcPr>
          <w:p>
            <w:pPr/>
          </w:p>
        </w:tc>
      </w:tr>
      <w:tr>
        <w:trPr>
          <w:trHeight w:val="312" w:hRule="exact"/>
        </w:trPr>
        <w:tc>
          <w:tcPr>
            <w:tcW w:w="2411" w:type="dxa"/>
            <w:vMerge/>
            <w:tcBorders>
              <w:left w:val="single" w:sz="12" w:space="0" w:color="000000"/>
              <w:right w:val="single" w:sz="4" w:space="0" w:color="000000"/>
            </w:tcBorders>
            <w:shd w:val="clear" w:color="auto" w:fill="D2D2D2"/>
          </w:tcPr>
          <w:p>
            <w:pPr/>
          </w:p>
        </w:tc>
        <w:tc>
          <w:tcPr>
            <w:tcW w:w="1552"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司章程的规定履行相应审批</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12" w:space="0" w:color="000000"/>
            </w:tcBorders>
          </w:tcPr>
          <w:p>
            <w:pPr/>
          </w:p>
        </w:tc>
      </w:tr>
      <w:tr>
        <w:trPr>
          <w:trHeight w:val="312" w:hRule="exact"/>
        </w:trPr>
        <w:tc>
          <w:tcPr>
            <w:tcW w:w="2411" w:type="dxa"/>
            <w:vMerge/>
            <w:tcBorders>
              <w:left w:val="single" w:sz="12" w:space="0" w:color="000000"/>
              <w:right w:val="single" w:sz="4" w:space="0" w:color="000000"/>
            </w:tcBorders>
            <w:shd w:val="clear" w:color="auto" w:fill="D2D2D2"/>
          </w:tcPr>
          <w:p>
            <w:pPr/>
          </w:p>
        </w:tc>
        <w:tc>
          <w:tcPr>
            <w:tcW w:w="1552"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程序及信息披露义务。为充</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12" w:space="0" w:color="000000"/>
            </w:tcBorders>
          </w:tcPr>
          <w:p>
            <w:pPr/>
          </w:p>
        </w:tc>
      </w:tr>
      <w:tr>
        <w:trPr>
          <w:trHeight w:val="312" w:hRule="exact"/>
        </w:trPr>
        <w:tc>
          <w:tcPr>
            <w:tcW w:w="2411" w:type="dxa"/>
            <w:vMerge/>
            <w:tcBorders>
              <w:left w:val="single" w:sz="12" w:space="0" w:color="000000"/>
              <w:right w:val="single" w:sz="4" w:space="0" w:color="000000"/>
            </w:tcBorders>
            <w:shd w:val="clear" w:color="auto" w:fill="D2D2D2"/>
          </w:tcPr>
          <w:p>
            <w:pPr/>
          </w:p>
        </w:tc>
        <w:tc>
          <w:tcPr>
            <w:tcW w:w="1552"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分保护上市公司的利益，作</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12" w:space="0" w:color="000000"/>
            </w:tcBorders>
          </w:tcPr>
          <w:p>
            <w:pPr/>
          </w:p>
        </w:tc>
      </w:tr>
      <w:tr>
        <w:trPr>
          <w:trHeight w:val="312" w:hRule="exact"/>
        </w:trPr>
        <w:tc>
          <w:tcPr>
            <w:tcW w:w="2411" w:type="dxa"/>
            <w:vMerge/>
            <w:tcBorders>
              <w:left w:val="single" w:sz="12" w:space="0" w:color="000000"/>
              <w:right w:val="single" w:sz="4" w:space="0" w:color="000000"/>
            </w:tcBorders>
            <w:shd w:val="clear" w:color="auto" w:fill="D2D2D2"/>
          </w:tcPr>
          <w:p>
            <w:pPr/>
          </w:p>
        </w:tc>
        <w:tc>
          <w:tcPr>
            <w:tcW w:w="1552"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为汉威电子的控股股东及实</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12" w:space="0" w:color="000000"/>
            </w:tcBorders>
          </w:tcPr>
          <w:p>
            <w:pPr/>
          </w:p>
        </w:tc>
      </w:tr>
      <w:tr>
        <w:trPr>
          <w:trHeight w:val="312" w:hRule="exact"/>
        </w:trPr>
        <w:tc>
          <w:tcPr>
            <w:tcW w:w="2411" w:type="dxa"/>
            <w:vMerge/>
            <w:tcBorders>
              <w:left w:val="single" w:sz="12" w:space="0" w:color="000000"/>
              <w:right w:val="single" w:sz="4" w:space="0" w:color="000000"/>
            </w:tcBorders>
            <w:shd w:val="clear" w:color="auto" w:fill="D2D2D2"/>
          </w:tcPr>
          <w:p>
            <w:pPr/>
          </w:p>
        </w:tc>
        <w:tc>
          <w:tcPr>
            <w:tcW w:w="1552"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际控制人，任红军先生、钟</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12" w:space="0" w:color="000000"/>
            </w:tcBorders>
          </w:tcPr>
          <w:p>
            <w:pPr/>
          </w:p>
        </w:tc>
      </w:tr>
      <w:tr>
        <w:trPr>
          <w:trHeight w:val="317" w:hRule="exact"/>
        </w:trPr>
        <w:tc>
          <w:tcPr>
            <w:tcW w:w="2411" w:type="dxa"/>
            <w:vMerge/>
            <w:tcBorders>
              <w:left w:val="single" w:sz="12" w:space="0" w:color="000000"/>
              <w:right w:val="single" w:sz="4" w:space="0" w:color="000000"/>
            </w:tcBorders>
            <w:shd w:val="clear" w:color="auto" w:fill="D2D2D2"/>
          </w:tcPr>
          <w:p>
            <w:pPr/>
          </w:p>
        </w:tc>
        <w:tc>
          <w:tcPr>
            <w:tcW w:w="1552"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超女士承诺</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）承诺人及</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12" w:space="0" w:color="000000"/>
            </w:tcBorders>
          </w:tcPr>
          <w:p>
            <w:pPr/>
          </w:p>
        </w:tc>
      </w:tr>
      <w:tr>
        <w:trPr>
          <w:trHeight w:val="307" w:hRule="exact"/>
        </w:trPr>
        <w:tc>
          <w:tcPr>
            <w:tcW w:w="2411" w:type="dxa"/>
            <w:vMerge/>
            <w:tcBorders>
              <w:left w:val="single" w:sz="12" w:space="0" w:color="000000"/>
              <w:right w:val="single" w:sz="4" w:space="0" w:color="000000"/>
            </w:tcBorders>
            <w:shd w:val="clear" w:color="auto" w:fill="D2D2D2"/>
          </w:tcPr>
          <w:p>
            <w:pPr/>
          </w:p>
        </w:tc>
        <w:tc>
          <w:tcPr>
            <w:tcW w:w="1552"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承诺人所控制的其他子公</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12" w:space="0" w:color="000000"/>
            </w:tcBorders>
          </w:tcPr>
          <w:p>
            <w:pPr/>
          </w:p>
        </w:tc>
      </w:tr>
      <w:tr>
        <w:trPr>
          <w:trHeight w:val="312" w:hRule="exact"/>
        </w:trPr>
        <w:tc>
          <w:tcPr>
            <w:tcW w:w="2411" w:type="dxa"/>
            <w:vMerge/>
            <w:tcBorders>
              <w:left w:val="single" w:sz="12" w:space="0" w:color="000000"/>
              <w:right w:val="single" w:sz="4" w:space="0" w:color="000000"/>
            </w:tcBorders>
            <w:shd w:val="clear" w:color="auto" w:fill="D2D2D2"/>
          </w:tcPr>
          <w:p>
            <w:pPr/>
          </w:p>
        </w:tc>
        <w:tc>
          <w:tcPr>
            <w:tcW w:w="1552"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司、分公司、合营或联营公</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12" w:space="0" w:color="000000"/>
            </w:tcBorders>
          </w:tcPr>
          <w:p>
            <w:pPr/>
          </w:p>
        </w:tc>
      </w:tr>
      <w:tr>
        <w:trPr>
          <w:trHeight w:val="312" w:hRule="exact"/>
        </w:trPr>
        <w:tc>
          <w:tcPr>
            <w:tcW w:w="2411" w:type="dxa"/>
            <w:vMerge/>
            <w:tcBorders>
              <w:left w:val="single" w:sz="12" w:space="0" w:color="000000"/>
              <w:right w:val="single" w:sz="4" w:space="0" w:color="000000"/>
            </w:tcBorders>
            <w:shd w:val="clear" w:color="auto" w:fill="D2D2D2"/>
          </w:tcPr>
          <w:p>
            <w:pPr/>
          </w:p>
        </w:tc>
        <w:tc>
          <w:tcPr>
            <w:tcW w:w="1552"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司及其他任何类型企业（以</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12" w:space="0" w:color="000000"/>
            </w:tcBorders>
          </w:tcPr>
          <w:p>
            <w:pPr/>
          </w:p>
        </w:tc>
      </w:tr>
      <w:tr>
        <w:trPr>
          <w:trHeight w:val="317" w:hRule="exact"/>
        </w:trPr>
        <w:tc>
          <w:tcPr>
            <w:tcW w:w="2411" w:type="dxa"/>
            <w:vMerge/>
            <w:tcBorders>
              <w:left w:val="single" w:sz="12" w:space="0" w:color="000000"/>
              <w:right w:val="single" w:sz="4" w:space="0" w:color="000000"/>
            </w:tcBorders>
            <w:shd w:val="clear" w:color="auto" w:fill="D2D2D2"/>
          </w:tcPr>
          <w:p>
            <w:pPr/>
          </w:p>
        </w:tc>
        <w:tc>
          <w:tcPr>
            <w:tcW w:w="1552"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下统称为</w:t>
            </w:r>
            <w:r>
              <w:rPr>
                <w:rFonts w:ascii="Times New Roman" w:hAnsi="Times New Roman" w:cs="Times New Roman" w:eastAsia="Times New Roman" w:hint="default"/>
                <w:sz w:val="18"/>
                <w:szCs w:val="18"/>
              </w:rPr>
              <w:t>"</w:t>
            </w:r>
            <w:r>
              <w:rPr>
                <w:rFonts w:ascii="宋体" w:hAnsi="宋体" w:cs="宋体" w:eastAsia="宋体" w:hint="default"/>
                <w:sz w:val="18"/>
                <w:szCs w:val="18"/>
              </w:rPr>
              <w:t>相关企业</w:t>
            </w:r>
            <w:r>
              <w:rPr>
                <w:rFonts w:ascii="Times New Roman" w:hAnsi="Times New Roman" w:cs="Times New Roman" w:eastAsia="Times New Roman" w:hint="default"/>
                <w:sz w:val="18"/>
                <w:szCs w:val="18"/>
              </w:rPr>
              <w:t>"</w:t>
            </w:r>
            <w:r>
              <w:rPr>
                <w:rFonts w:ascii="宋体" w:hAnsi="宋体" w:cs="宋体" w:eastAsia="宋体" w:hint="default"/>
                <w:sz w:val="18"/>
                <w:szCs w:val="18"/>
              </w:rPr>
              <w:t>）目前</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12" w:space="0" w:color="000000"/>
            </w:tcBorders>
          </w:tcPr>
          <w:p>
            <w:pPr/>
          </w:p>
        </w:tc>
      </w:tr>
      <w:tr>
        <w:trPr>
          <w:trHeight w:val="307" w:hRule="exact"/>
        </w:trPr>
        <w:tc>
          <w:tcPr>
            <w:tcW w:w="2411" w:type="dxa"/>
            <w:vMerge/>
            <w:tcBorders>
              <w:left w:val="single" w:sz="12" w:space="0" w:color="000000"/>
              <w:right w:val="single" w:sz="4" w:space="0" w:color="000000"/>
            </w:tcBorders>
            <w:shd w:val="clear" w:color="auto" w:fill="D2D2D2"/>
          </w:tcPr>
          <w:p>
            <w:pPr/>
          </w:p>
        </w:tc>
        <w:tc>
          <w:tcPr>
            <w:tcW w:w="1552"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均未从事任何与汉威电子及</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12" w:space="0" w:color="000000"/>
            </w:tcBorders>
          </w:tcPr>
          <w:p>
            <w:pPr/>
          </w:p>
        </w:tc>
      </w:tr>
      <w:tr>
        <w:trPr>
          <w:trHeight w:val="312" w:hRule="exact"/>
        </w:trPr>
        <w:tc>
          <w:tcPr>
            <w:tcW w:w="2411" w:type="dxa"/>
            <w:vMerge/>
            <w:tcBorders>
              <w:left w:val="single" w:sz="12" w:space="0" w:color="000000"/>
              <w:right w:val="single" w:sz="4" w:space="0" w:color="000000"/>
            </w:tcBorders>
            <w:shd w:val="clear" w:color="auto" w:fill="D2D2D2"/>
          </w:tcPr>
          <w:p>
            <w:pPr/>
          </w:p>
        </w:tc>
        <w:tc>
          <w:tcPr>
            <w:tcW w:w="1552"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其子公司、嘉园环保、沈阳</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12" w:space="0" w:color="000000"/>
            </w:tcBorders>
          </w:tcPr>
          <w:p>
            <w:pPr/>
          </w:p>
        </w:tc>
      </w:tr>
      <w:tr>
        <w:trPr>
          <w:trHeight w:val="312" w:hRule="exact"/>
        </w:trPr>
        <w:tc>
          <w:tcPr>
            <w:tcW w:w="2411" w:type="dxa"/>
            <w:vMerge/>
            <w:tcBorders>
              <w:left w:val="single" w:sz="12" w:space="0" w:color="000000"/>
              <w:right w:val="single" w:sz="4" w:space="0" w:color="000000"/>
            </w:tcBorders>
            <w:shd w:val="clear" w:color="auto" w:fill="D2D2D2"/>
          </w:tcPr>
          <w:p>
            <w:pPr/>
          </w:p>
        </w:tc>
        <w:tc>
          <w:tcPr>
            <w:tcW w:w="1552"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金建构成直接或间接竞争的</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12" w:space="0" w:color="000000"/>
            </w:tcBorders>
          </w:tcPr>
          <w:p>
            <w:pPr/>
          </w:p>
        </w:tc>
      </w:tr>
      <w:tr>
        <w:trPr>
          <w:trHeight w:val="317" w:hRule="exact"/>
        </w:trPr>
        <w:tc>
          <w:tcPr>
            <w:tcW w:w="2411" w:type="dxa"/>
            <w:vMerge/>
            <w:tcBorders>
              <w:left w:val="single" w:sz="12" w:space="0" w:color="000000"/>
              <w:right w:val="single" w:sz="4" w:space="0" w:color="000000"/>
            </w:tcBorders>
            <w:shd w:val="clear" w:color="auto" w:fill="D2D2D2"/>
          </w:tcPr>
          <w:p>
            <w:pPr/>
          </w:p>
        </w:tc>
        <w:tc>
          <w:tcPr>
            <w:tcW w:w="1552"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生产经营业务或活动</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12" w:space="0" w:color="000000"/>
            </w:tcBorders>
          </w:tcPr>
          <w:p>
            <w:pPr/>
          </w:p>
        </w:tc>
      </w:tr>
      <w:tr>
        <w:trPr>
          <w:trHeight w:val="307" w:hRule="exact"/>
        </w:trPr>
        <w:tc>
          <w:tcPr>
            <w:tcW w:w="2411" w:type="dxa"/>
            <w:vMerge/>
            <w:tcBorders>
              <w:left w:val="single" w:sz="12" w:space="0" w:color="000000"/>
              <w:right w:val="single" w:sz="4" w:space="0" w:color="000000"/>
            </w:tcBorders>
            <w:shd w:val="clear" w:color="auto" w:fill="D2D2D2"/>
          </w:tcPr>
          <w:p>
            <w:pPr/>
          </w:p>
        </w:tc>
        <w:tc>
          <w:tcPr>
            <w:tcW w:w="1552"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承诺人及相关企业将来亦不</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12" w:space="0" w:color="000000"/>
            </w:tcBorders>
          </w:tcPr>
          <w:p>
            <w:pPr/>
          </w:p>
        </w:tc>
      </w:tr>
      <w:tr>
        <w:trPr>
          <w:trHeight w:val="312" w:hRule="exact"/>
        </w:trPr>
        <w:tc>
          <w:tcPr>
            <w:tcW w:w="2411" w:type="dxa"/>
            <w:vMerge/>
            <w:tcBorders>
              <w:left w:val="single" w:sz="12" w:space="0" w:color="000000"/>
              <w:right w:val="single" w:sz="4" w:space="0" w:color="000000"/>
            </w:tcBorders>
            <w:shd w:val="clear" w:color="auto" w:fill="D2D2D2"/>
          </w:tcPr>
          <w:p>
            <w:pPr/>
          </w:p>
        </w:tc>
        <w:tc>
          <w:tcPr>
            <w:tcW w:w="1552"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直接或间接从事任何与汉威</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12" w:space="0" w:color="000000"/>
            </w:tcBorders>
          </w:tcPr>
          <w:p>
            <w:pPr/>
          </w:p>
        </w:tc>
      </w:tr>
      <w:tr>
        <w:trPr>
          <w:trHeight w:val="312" w:hRule="exact"/>
        </w:trPr>
        <w:tc>
          <w:tcPr>
            <w:tcW w:w="2411" w:type="dxa"/>
            <w:vMerge/>
            <w:tcBorders>
              <w:left w:val="single" w:sz="12" w:space="0" w:color="000000"/>
              <w:right w:val="single" w:sz="4" w:space="0" w:color="000000"/>
            </w:tcBorders>
            <w:shd w:val="clear" w:color="auto" w:fill="D2D2D2"/>
          </w:tcPr>
          <w:p>
            <w:pPr/>
          </w:p>
        </w:tc>
        <w:tc>
          <w:tcPr>
            <w:tcW w:w="1552"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电子及其子公司相同或类似</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12" w:space="0" w:color="000000"/>
            </w:tcBorders>
          </w:tcPr>
          <w:p>
            <w:pPr/>
          </w:p>
        </w:tc>
      </w:tr>
      <w:tr>
        <w:trPr>
          <w:trHeight w:val="312" w:hRule="exact"/>
        </w:trPr>
        <w:tc>
          <w:tcPr>
            <w:tcW w:w="2411" w:type="dxa"/>
            <w:vMerge/>
            <w:tcBorders>
              <w:left w:val="single" w:sz="12" w:space="0" w:color="000000"/>
              <w:right w:val="single" w:sz="4" w:space="0" w:color="000000"/>
            </w:tcBorders>
            <w:shd w:val="clear" w:color="auto" w:fill="D2D2D2"/>
          </w:tcPr>
          <w:p>
            <w:pPr/>
          </w:p>
        </w:tc>
        <w:tc>
          <w:tcPr>
            <w:tcW w:w="1552"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的业务，</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12" w:space="0" w:color="000000"/>
            </w:tcBorders>
          </w:tcPr>
          <w:p>
            <w:pPr/>
          </w:p>
        </w:tc>
      </w:tr>
      <w:tr>
        <w:trPr>
          <w:trHeight w:val="312" w:hRule="exact"/>
        </w:trPr>
        <w:tc>
          <w:tcPr>
            <w:tcW w:w="2411" w:type="dxa"/>
            <w:vMerge/>
            <w:tcBorders>
              <w:left w:val="single" w:sz="12" w:space="0" w:color="000000"/>
              <w:right w:val="single" w:sz="4" w:space="0" w:color="000000"/>
            </w:tcBorders>
            <w:shd w:val="clear" w:color="auto" w:fill="D2D2D2"/>
          </w:tcPr>
          <w:p>
            <w:pPr/>
          </w:p>
        </w:tc>
        <w:tc>
          <w:tcPr>
            <w:tcW w:w="1552"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参与或进行与汉威电子及其</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12" w:space="0" w:color="000000"/>
            </w:tcBorders>
          </w:tcPr>
          <w:p>
            <w:pPr/>
          </w:p>
        </w:tc>
      </w:tr>
      <w:tr>
        <w:trPr>
          <w:trHeight w:val="312" w:hRule="exact"/>
        </w:trPr>
        <w:tc>
          <w:tcPr>
            <w:tcW w:w="2411" w:type="dxa"/>
            <w:vMerge/>
            <w:tcBorders>
              <w:left w:val="single" w:sz="12" w:space="0" w:color="000000"/>
              <w:right w:val="single" w:sz="4" w:space="0" w:color="000000"/>
            </w:tcBorders>
            <w:shd w:val="clear" w:color="auto" w:fill="D2D2D2"/>
          </w:tcPr>
          <w:p>
            <w:pPr/>
          </w:p>
        </w:tc>
        <w:tc>
          <w:tcPr>
            <w:tcW w:w="1552"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子公司的生产经营构成竞争</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12" w:space="0" w:color="000000"/>
            </w:tcBorders>
          </w:tcPr>
          <w:p>
            <w:pPr/>
          </w:p>
        </w:tc>
      </w:tr>
      <w:tr>
        <w:trPr>
          <w:trHeight w:val="312" w:hRule="exact"/>
        </w:trPr>
        <w:tc>
          <w:tcPr>
            <w:tcW w:w="2411" w:type="dxa"/>
            <w:vMerge/>
            <w:tcBorders>
              <w:left w:val="single" w:sz="12" w:space="0" w:color="000000"/>
              <w:right w:val="single" w:sz="4" w:space="0" w:color="000000"/>
            </w:tcBorders>
            <w:shd w:val="clear" w:color="auto" w:fill="D2D2D2"/>
          </w:tcPr>
          <w:p>
            <w:pPr/>
          </w:p>
        </w:tc>
        <w:tc>
          <w:tcPr>
            <w:tcW w:w="1552"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的任何生产经营业务或活</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12" w:space="0" w:color="000000"/>
            </w:tcBorders>
          </w:tcPr>
          <w:p>
            <w:pPr/>
          </w:p>
        </w:tc>
      </w:tr>
      <w:tr>
        <w:trPr>
          <w:trHeight w:val="312" w:hRule="exact"/>
        </w:trPr>
        <w:tc>
          <w:tcPr>
            <w:tcW w:w="2411" w:type="dxa"/>
            <w:vMerge/>
            <w:tcBorders>
              <w:left w:val="single" w:sz="12" w:space="0" w:color="000000"/>
              <w:right w:val="single" w:sz="4" w:space="0" w:color="000000"/>
            </w:tcBorders>
            <w:shd w:val="clear" w:color="auto" w:fill="D2D2D2"/>
          </w:tcPr>
          <w:p>
            <w:pPr/>
          </w:p>
        </w:tc>
        <w:tc>
          <w:tcPr>
            <w:tcW w:w="1552"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动，且不再对具有与汉威电</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12" w:space="0" w:color="000000"/>
            </w:tcBorders>
          </w:tcPr>
          <w:p>
            <w:pPr/>
          </w:p>
        </w:tc>
      </w:tr>
      <w:tr>
        <w:trPr>
          <w:trHeight w:val="312" w:hRule="exact"/>
        </w:trPr>
        <w:tc>
          <w:tcPr>
            <w:tcW w:w="2411" w:type="dxa"/>
            <w:vMerge/>
            <w:tcBorders>
              <w:left w:val="single" w:sz="12" w:space="0" w:color="000000"/>
              <w:right w:val="single" w:sz="4" w:space="0" w:color="000000"/>
            </w:tcBorders>
            <w:shd w:val="clear" w:color="auto" w:fill="D2D2D2"/>
          </w:tcPr>
          <w:p>
            <w:pPr/>
          </w:p>
        </w:tc>
        <w:tc>
          <w:tcPr>
            <w:tcW w:w="1552"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子及其子公司有相同或类似</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12" w:space="0" w:color="000000"/>
            </w:tcBorders>
          </w:tcPr>
          <w:p>
            <w:pPr/>
          </w:p>
        </w:tc>
      </w:tr>
      <w:tr>
        <w:trPr>
          <w:trHeight w:val="327" w:hRule="exact"/>
        </w:trPr>
        <w:tc>
          <w:tcPr>
            <w:tcW w:w="2411" w:type="dxa"/>
            <w:vMerge/>
            <w:tcBorders>
              <w:left w:val="single" w:sz="12" w:space="0" w:color="000000"/>
              <w:bottom w:val="single" w:sz="12" w:space="0" w:color="000000"/>
              <w:right w:val="single" w:sz="4" w:space="0" w:color="000000"/>
            </w:tcBorders>
            <w:shd w:val="clear" w:color="auto" w:fill="D2D2D2"/>
          </w:tcPr>
          <w:p>
            <w:pPr/>
          </w:p>
        </w:tc>
        <w:tc>
          <w:tcPr>
            <w:tcW w:w="1552" w:type="dxa"/>
            <w:vMerge/>
            <w:tcBorders>
              <w:left w:val="single" w:sz="4" w:space="0" w:color="000000"/>
              <w:bottom w:val="single" w:sz="12" w:space="0" w:color="000000"/>
              <w:right w:val="single" w:sz="4" w:space="0" w:color="000000"/>
            </w:tcBorders>
          </w:tcPr>
          <w:p>
            <w:pPr/>
          </w:p>
        </w:tc>
        <w:tc>
          <w:tcPr>
            <w:tcW w:w="859" w:type="dxa"/>
            <w:vMerge/>
            <w:tcBorders>
              <w:left w:val="single" w:sz="4" w:space="0" w:color="000000"/>
              <w:bottom w:val="single" w:sz="12" w:space="0" w:color="000000"/>
              <w:right w:val="single" w:sz="4" w:space="0" w:color="000000"/>
            </w:tcBorders>
          </w:tcPr>
          <w:p>
            <w:pPr/>
          </w:p>
        </w:tc>
        <w:tc>
          <w:tcPr>
            <w:tcW w:w="226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业务的企业进行投资</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850" w:type="dxa"/>
            <w:vMerge/>
            <w:tcBorders>
              <w:left w:val="single" w:sz="4" w:space="0" w:color="000000"/>
              <w:bottom w:val="single" w:sz="12" w:space="0" w:color="000000"/>
              <w:right w:val="single" w:sz="4" w:space="0" w:color="000000"/>
            </w:tcBorders>
          </w:tcPr>
          <w:p>
            <w:pPr/>
          </w:p>
        </w:tc>
        <w:tc>
          <w:tcPr>
            <w:tcW w:w="851" w:type="dxa"/>
            <w:vMerge/>
            <w:tcBorders>
              <w:left w:val="single" w:sz="4" w:space="0" w:color="000000"/>
              <w:bottom w:val="single" w:sz="12" w:space="0" w:color="000000"/>
              <w:right w:val="single" w:sz="4" w:space="0" w:color="000000"/>
            </w:tcBorders>
          </w:tcPr>
          <w:p>
            <w:pPr/>
          </w:p>
        </w:tc>
        <w:tc>
          <w:tcPr>
            <w:tcW w:w="778" w:type="dxa"/>
            <w:vMerge/>
            <w:tcBorders>
              <w:left w:val="single" w:sz="4" w:space="0" w:color="000000"/>
              <w:bottom w:val="single" w:sz="12" w:space="0" w:color="000000"/>
              <w:right w:val="single" w:sz="12"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group style="position:absolute;margin-left:411.420013pt;margin-top:372.439972pt;width:42pt;height:196pt;mso-position-horizontal-relative:page;mso-position-vertical-relative:page;z-index:-971608" coordorigin="8228,7449" coordsize="840,3920">
            <v:group style="position:absolute;left:8228;top:7449;width:840;height:3568" coordorigin="8228,7449" coordsize="840,3568">
              <v:shape style="position:absolute;left:8228;top:7449;width:840;height:3568" coordorigin="8228,7449" coordsize="840,3568" path="m8228,11017l9068,11017,9068,7449,8228,7449,8228,11017xe" filled="true" fillcolor="#ffffff" stroked="false">
                <v:path arrowok="t"/>
                <v:fill type="solid"/>
              </v:shape>
            </v:group>
            <v:group style="position:absolute;left:8251;top:11017;width:795;height:352" coordorigin="8251,11017" coordsize="795,352">
              <v:shape style="position:absolute;left:8251;top:11017;width:795;height:352" coordorigin="8251,11017" coordsize="795,352" path="m8251,11368l9046,11368,9046,11017,8251,11017,8251,11368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18" w:type="dxa"/>
        <w:tblLayout w:type="fixed"/>
        <w:tblCellMar>
          <w:top w:w="0" w:type="dxa"/>
          <w:left w:w="0" w:type="dxa"/>
          <w:bottom w:w="0" w:type="dxa"/>
          <w:right w:w="0" w:type="dxa"/>
        </w:tblCellMar>
        <w:tblLook w:val="01E0"/>
      </w:tblPr>
      <w:tblGrid>
        <w:gridCol w:w="2411"/>
        <w:gridCol w:w="1552"/>
        <w:gridCol w:w="859"/>
        <w:gridCol w:w="2268"/>
        <w:gridCol w:w="850"/>
        <w:gridCol w:w="851"/>
        <w:gridCol w:w="786"/>
      </w:tblGrid>
      <w:tr>
        <w:trPr>
          <w:trHeight w:val="5988" w:hRule="exact"/>
        </w:trPr>
        <w:tc>
          <w:tcPr>
            <w:tcW w:w="2411" w:type="dxa"/>
            <w:vMerge w:val="restart"/>
            <w:tcBorders>
              <w:top w:val="single" w:sz="12" w:space="0" w:color="000000"/>
              <w:left w:val="single" w:sz="12" w:space="0" w:color="000000"/>
              <w:right w:val="single" w:sz="4" w:space="0" w:color="000000"/>
            </w:tcBorders>
            <w:shd w:val="clear" w:color="auto" w:fill="D2D2D2"/>
          </w:tcPr>
          <w:p>
            <w:pPr/>
          </w:p>
        </w:tc>
        <w:tc>
          <w:tcPr>
            <w:tcW w:w="1552" w:type="dxa"/>
            <w:tcBorders>
              <w:top w:val="single" w:sz="12" w:space="0" w:color="000000"/>
              <w:left w:val="single" w:sz="4" w:space="0" w:color="000000"/>
              <w:bottom w:val="single" w:sz="4" w:space="0" w:color="000000"/>
              <w:right w:val="single" w:sz="4" w:space="0" w:color="000000"/>
            </w:tcBorders>
          </w:tcPr>
          <w:p>
            <w:pPr/>
          </w:p>
        </w:tc>
        <w:tc>
          <w:tcPr>
            <w:tcW w:w="859" w:type="dxa"/>
            <w:tcBorders>
              <w:top w:val="single" w:sz="12" w:space="0" w:color="000000"/>
              <w:left w:val="single" w:sz="4" w:space="0" w:color="000000"/>
              <w:bottom w:val="single" w:sz="4" w:space="0" w:color="000000"/>
              <w:right w:val="single" w:sz="4" w:space="0" w:color="000000"/>
            </w:tcBorders>
          </w:tcPr>
          <w:p>
            <w:pPr/>
          </w:p>
        </w:tc>
        <w:tc>
          <w:tcPr>
            <w:tcW w:w="2268"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承诺人将对自身及相关企业 的生产经营活动进行监督和 约束，如果将来承诺人及相 关企业的产品或业务与汉威 电子及其子公司的产品或业 务出现相同或类似的情况， 承诺人承诺将采取以下措施 </w:t>
            </w:r>
            <w:r>
              <w:rPr>
                <w:rFonts w:ascii="宋体" w:hAnsi="宋体" w:cs="宋体" w:eastAsia="宋体" w:hint="default"/>
                <w:spacing w:val="-10"/>
                <w:sz w:val="18"/>
                <w:szCs w:val="18"/>
              </w:rPr>
              <w:t>解决：①</w:t>
            </w:r>
            <w:r>
              <w:rPr>
                <w:rFonts w:ascii="宋体" w:hAnsi="宋体" w:cs="宋体" w:eastAsia="宋体" w:hint="default"/>
                <w:sz w:val="18"/>
                <w:szCs w:val="18"/>
              </w:rPr>
              <w:t> 汉威电子认为必要</w:t>
            </w:r>
            <w:r>
              <w:rPr>
                <w:rFonts w:ascii="宋体" w:hAnsi="宋体" w:cs="宋体" w:eastAsia="宋体" w:hint="default"/>
                <w:sz w:val="18"/>
                <w:szCs w:val="18"/>
              </w:rPr>
              <w:t> 时，承诺人及相关企业将减 持直至全部转让所持有的有 </w:t>
            </w:r>
            <w:r>
              <w:rPr>
                <w:rFonts w:ascii="宋体" w:hAnsi="宋体" w:cs="宋体" w:eastAsia="宋体" w:hint="default"/>
                <w:spacing w:val="-5"/>
                <w:sz w:val="18"/>
                <w:szCs w:val="18"/>
              </w:rPr>
              <w:t>关资产和业务；②</w:t>
            </w:r>
            <w:r>
              <w:rPr>
                <w:rFonts w:ascii="宋体" w:hAnsi="宋体" w:cs="宋体" w:eastAsia="宋体" w:hint="default"/>
                <w:sz w:val="18"/>
                <w:szCs w:val="18"/>
              </w:rPr>
              <w:t> 汉威电子</w:t>
            </w:r>
            <w:r>
              <w:rPr>
                <w:rFonts w:ascii="宋体" w:hAnsi="宋体" w:cs="宋体" w:eastAsia="宋体" w:hint="default"/>
                <w:sz w:val="18"/>
                <w:szCs w:val="18"/>
              </w:rPr>
              <w:t> 认为必要时，可以通过适当 方式优先收购承诺人及相关 企业持有的有关资产和业 </w:t>
            </w:r>
            <w:r>
              <w:rPr>
                <w:rFonts w:ascii="宋体" w:hAnsi="宋体" w:cs="宋体" w:eastAsia="宋体" w:hint="default"/>
                <w:spacing w:val="-13"/>
                <w:sz w:val="18"/>
                <w:szCs w:val="18"/>
              </w:rPr>
              <w:t>务；③</w:t>
            </w:r>
            <w:r>
              <w:rPr>
                <w:rFonts w:ascii="宋体" w:hAnsi="宋体" w:cs="宋体" w:eastAsia="宋体" w:hint="default"/>
                <w:sz w:val="18"/>
                <w:szCs w:val="18"/>
              </w:rPr>
              <w:t> 如承诺人及相关企业</w:t>
            </w:r>
            <w:r>
              <w:rPr>
                <w:rFonts w:ascii="宋体" w:hAnsi="宋体" w:cs="宋体" w:eastAsia="宋体" w:hint="default"/>
                <w:sz w:val="18"/>
                <w:szCs w:val="18"/>
              </w:rPr>
              <w:t> 与汉威电子及其子公司因同 业竞争产生利益冲突，则无 条件将相关利益让与汉威电 子。</w:t>
            </w:r>
          </w:p>
        </w:tc>
        <w:tc>
          <w:tcPr>
            <w:tcW w:w="850" w:type="dxa"/>
            <w:tcBorders>
              <w:top w:val="single" w:sz="12" w:space="0" w:color="000000"/>
              <w:left w:val="single" w:sz="4" w:space="0" w:color="000000"/>
              <w:bottom w:val="single" w:sz="4" w:space="0" w:color="000000"/>
              <w:right w:val="single" w:sz="4" w:space="0" w:color="000000"/>
            </w:tcBorders>
          </w:tcPr>
          <w:p>
            <w:pPr/>
          </w:p>
        </w:tc>
        <w:tc>
          <w:tcPr>
            <w:tcW w:w="851" w:type="dxa"/>
            <w:tcBorders>
              <w:top w:val="single" w:sz="12" w:space="0" w:color="000000"/>
              <w:left w:val="single" w:sz="4" w:space="0" w:color="000000"/>
              <w:bottom w:val="single" w:sz="4" w:space="0" w:color="000000"/>
              <w:right w:val="single" w:sz="4" w:space="0" w:color="000000"/>
            </w:tcBorders>
          </w:tcPr>
          <w:p>
            <w:pPr/>
          </w:p>
        </w:tc>
        <w:tc>
          <w:tcPr>
            <w:tcW w:w="786" w:type="dxa"/>
            <w:tcBorders>
              <w:top w:val="single" w:sz="12" w:space="0" w:color="000000"/>
              <w:left w:val="single" w:sz="4" w:space="0" w:color="000000"/>
              <w:bottom w:val="single" w:sz="4" w:space="0" w:color="000000"/>
              <w:right w:val="single" w:sz="12" w:space="0" w:color="000000"/>
            </w:tcBorders>
          </w:tcPr>
          <w:p>
            <w:pPr/>
          </w:p>
        </w:tc>
      </w:tr>
      <w:tr>
        <w:trPr>
          <w:trHeight w:val="7861" w:hRule="exact"/>
        </w:trPr>
        <w:tc>
          <w:tcPr>
            <w:tcW w:w="2411" w:type="dxa"/>
            <w:vMerge/>
            <w:tcBorders>
              <w:left w:val="single" w:sz="12" w:space="0" w:color="000000"/>
              <w:bottom w:val="single" w:sz="12" w:space="0" w:color="000000"/>
              <w:right w:val="single" w:sz="4" w:space="0" w:color="000000"/>
            </w:tcBorders>
            <w:shd w:val="clear" w:color="auto" w:fill="D2D2D2"/>
          </w:tcPr>
          <w:p>
            <w:pPr/>
          </w:p>
        </w:tc>
        <w:tc>
          <w:tcPr>
            <w:tcW w:w="155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尚剑红</w:t>
            </w:r>
          </w:p>
        </w:tc>
        <w:tc>
          <w:tcPr>
            <w:tcW w:w="8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2268" w:type="dxa"/>
            <w:tcBorders>
              <w:top w:val="single" w:sz="4" w:space="0" w:color="000000"/>
              <w:left w:val="single" w:sz="4" w:space="0" w:color="000000"/>
              <w:bottom w:val="single" w:sz="12" w:space="0" w:color="000000"/>
              <w:right w:val="single" w:sz="9" w:space="0" w:color="FFFFFF"/>
            </w:tcBorders>
          </w:tcPr>
          <w:p>
            <w:pPr>
              <w:pStyle w:val="TableParagraph"/>
              <w:spacing w:line="309" w:lineRule="auto" w:before="52"/>
              <w:ind w:left="22" w:right="15"/>
              <w:jc w:val="left"/>
              <w:rPr>
                <w:rFonts w:ascii="宋体" w:hAnsi="宋体" w:cs="宋体" w:eastAsia="宋体" w:hint="default"/>
                <w:sz w:val="18"/>
                <w:szCs w:val="18"/>
              </w:rPr>
            </w:pPr>
            <w:r>
              <w:rPr>
                <w:rFonts w:ascii="宋体" w:hAnsi="宋体" w:cs="宋体" w:eastAsia="宋体" w:hint="default"/>
                <w:sz w:val="18"/>
                <w:szCs w:val="18"/>
              </w:rPr>
              <w:t>尚剑红承诺自标的资产交割 日起，仍需至少在沈阳金建 或上市公司任职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个月，并</w:t>
            </w:r>
            <w:r>
              <w:rPr>
                <w:rFonts w:ascii="宋体" w:hAnsi="宋体" w:cs="宋体" w:eastAsia="宋体" w:hint="default"/>
                <w:sz w:val="18"/>
                <w:szCs w:val="18"/>
              </w:rPr>
              <w:t> 承诺在沈阳金建和上市公司 任职期间及离职后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内，不从事与沈阳金建生产 或者经营同类产品或从事同 类业务的、有竞争关系的其 他用人单位工作或提供劳 务，或者自己开业生产或者 经营同类产品、从事同类业 </w:t>
            </w:r>
            <w:r>
              <w:rPr>
                <w:rFonts w:ascii="宋体" w:hAnsi="宋体" w:cs="宋体" w:eastAsia="宋体" w:hint="default"/>
                <w:spacing w:val="-23"/>
                <w:sz w:val="18"/>
                <w:szCs w:val="18"/>
              </w:rPr>
              <w:t>务。如违反上述承诺，则：（</w:t>
            </w:r>
            <w:r>
              <w:rPr>
                <w:rFonts w:ascii="Times New Roman" w:hAnsi="Times New Roman" w:cs="Times New Roman" w:eastAsia="Times New Roman" w:hint="default"/>
                <w:spacing w:val="-23"/>
                <w:sz w:val="18"/>
                <w:szCs w:val="18"/>
              </w:rPr>
              <w:t>1</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自交割日起任职期限不满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个月的，违约方应将其于本 交易中已获对价的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作为 赔偿金返还给上市公司，上 市公司尚未支付的对价无需 </w:t>
            </w:r>
            <w:r>
              <w:rPr>
                <w:rFonts w:ascii="宋体" w:hAnsi="宋体" w:cs="宋体" w:eastAsia="宋体" w:hint="default"/>
                <w:spacing w:val="-7"/>
                <w:sz w:val="18"/>
                <w:szCs w:val="18"/>
              </w:rPr>
              <w:t>支付；（</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）自交割日起任职</w:t>
            </w:r>
            <w:r>
              <w:rPr>
                <w:rFonts w:ascii="宋体" w:hAnsi="宋体" w:cs="宋体" w:eastAsia="宋体" w:hint="default"/>
                <w:sz w:val="18"/>
                <w:szCs w:val="18"/>
              </w:rPr>
              <w:t> 期限已满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个月不满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月的，违约方应将其于本交 易中所获对价的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作为赔 </w:t>
            </w:r>
            <w:r>
              <w:rPr>
                <w:rFonts w:ascii="宋体" w:hAnsi="宋体" w:cs="宋体" w:eastAsia="宋体" w:hint="default"/>
                <w:spacing w:val="-7"/>
                <w:sz w:val="18"/>
                <w:szCs w:val="18"/>
              </w:rPr>
              <w:t>偿金支付给上市公司；（</w:t>
            </w: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w:t>
            </w:r>
            <w:r>
              <w:rPr>
                <w:rFonts w:ascii="宋体" w:hAnsi="宋体" w:cs="宋体" w:eastAsia="宋体" w:hint="default"/>
                <w:sz w:val="18"/>
                <w:szCs w:val="18"/>
              </w:rPr>
              <w:t> 自离职后</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个月内违反竞业 禁止义务的，违约方还应向 上市公司支付相当于其上一</w:t>
            </w:r>
          </w:p>
        </w:tc>
        <w:tc>
          <w:tcPr>
            <w:tcW w:w="850" w:type="dxa"/>
            <w:tcBorders>
              <w:top w:val="single" w:sz="4" w:space="0" w:color="000000"/>
              <w:left w:val="single" w:sz="9" w:space="0" w:color="FFFFFF"/>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186" w:lineRule="exact"/>
              <w:ind w:left="-132"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0" w:lineRule="exact"/>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22" w:right="0"/>
              <w:jc w:val="left"/>
              <w:rPr>
                <w:rFonts w:ascii="Times New Roman" w:hAnsi="Times New Roman" w:cs="Times New Roman" w:eastAsia="Times New Roman" w:hint="default"/>
                <w:sz w:val="18"/>
                <w:szCs w:val="18"/>
              </w:rPr>
            </w:pPr>
            <w:r>
              <w:rPr>
                <w:rFonts w:ascii="Times New Roman"/>
                <w:sz w:val="18"/>
              </w:rPr>
              <w:t>2019-10-0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9</w:t>
            </w:r>
          </w:p>
        </w:tc>
        <w:tc>
          <w:tcPr>
            <w:tcW w:w="78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316" w:lineRule="auto"/>
              <w:ind w:left="22" w:right="21"/>
              <w:jc w:val="both"/>
              <w:rPr>
                <w:rFonts w:ascii="宋体" w:hAnsi="宋体" w:cs="宋体" w:eastAsia="宋体" w:hint="default"/>
                <w:sz w:val="18"/>
                <w:szCs w:val="18"/>
              </w:rPr>
            </w:pPr>
            <w:r>
              <w:rPr>
                <w:rFonts w:ascii="宋体" w:hAnsi="宋体" w:cs="宋体" w:eastAsia="宋体" w:hint="default"/>
                <w:sz w:val="18"/>
                <w:szCs w:val="18"/>
              </w:rPr>
              <w:t>截至报告 期末，上 述承诺人 均遵守了 所做的承 诺。</w:t>
            </w:r>
          </w:p>
        </w:tc>
      </w:tr>
    </w:tbl>
    <w:p>
      <w:pPr>
        <w:spacing w:after="0" w:line="316" w:lineRule="auto"/>
        <w:jc w:val="both"/>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60.220001pt;margin-top:337.399994pt;width:93.2pt;height:195.05pt;mso-position-horizontal-relative:page;mso-position-vertical-relative:page;z-index:-97156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倍的违约金。</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118" w:type="dxa"/>
        <w:tblLayout w:type="fixed"/>
        <w:tblCellMar>
          <w:top w:w="0" w:type="dxa"/>
          <w:left w:w="0" w:type="dxa"/>
          <w:bottom w:w="0" w:type="dxa"/>
          <w:right w:w="0" w:type="dxa"/>
        </w:tblCellMar>
        <w:tblLook w:val="01E0"/>
      </w:tblPr>
      <w:tblGrid>
        <w:gridCol w:w="2411"/>
        <w:gridCol w:w="1552"/>
        <w:gridCol w:w="859"/>
        <w:gridCol w:w="2268"/>
        <w:gridCol w:w="850"/>
        <w:gridCol w:w="851"/>
        <w:gridCol w:w="778"/>
      </w:tblGrid>
      <w:tr>
        <w:trPr>
          <w:trHeight w:val="683" w:hRule="exact"/>
        </w:trPr>
        <w:tc>
          <w:tcPr>
            <w:tcW w:w="2411" w:type="dxa"/>
            <w:vMerge w:val="restart"/>
            <w:tcBorders>
              <w:top w:val="single" w:sz="12" w:space="0" w:color="000000"/>
              <w:left w:val="single" w:sz="12" w:space="0" w:color="000000"/>
              <w:right w:val="single" w:sz="4" w:space="0" w:color="000000"/>
            </w:tcBorders>
            <w:shd w:val="clear" w:color="auto" w:fill="D2D2D2"/>
          </w:tcPr>
          <w:p>
            <w:pPr/>
          </w:p>
        </w:tc>
        <w:tc>
          <w:tcPr>
            <w:tcW w:w="1552" w:type="dxa"/>
            <w:tcBorders>
              <w:top w:val="single" w:sz="12" w:space="0" w:color="000000"/>
              <w:left w:val="single" w:sz="4" w:space="0" w:color="000000"/>
              <w:bottom w:val="single" w:sz="4" w:space="0" w:color="000000"/>
              <w:right w:val="single" w:sz="4" w:space="0" w:color="000000"/>
            </w:tcBorders>
          </w:tcPr>
          <w:p>
            <w:pPr/>
          </w:p>
        </w:tc>
        <w:tc>
          <w:tcPr>
            <w:tcW w:w="859" w:type="dxa"/>
            <w:tcBorders>
              <w:top w:val="single" w:sz="12" w:space="0" w:color="000000"/>
              <w:left w:val="single" w:sz="4" w:space="0" w:color="000000"/>
              <w:bottom w:val="single" w:sz="4" w:space="0" w:color="000000"/>
              <w:right w:val="single" w:sz="4" w:space="0" w:color="000000"/>
            </w:tcBorders>
          </w:tcPr>
          <w:p>
            <w:pPr/>
          </w:p>
        </w:tc>
        <w:tc>
          <w:tcPr>
            <w:tcW w:w="2268" w:type="dxa"/>
            <w:tcBorders>
              <w:top w:val="single" w:sz="12" w:space="0" w:color="000000"/>
              <w:left w:val="single" w:sz="4" w:space="0" w:color="000000"/>
              <w:bottom w:val="single" w:sz="4" w:space="0" w:color="000000"/>
              <w:right w:val="single" w:sz="4" w:space="0" w:color="000000"/>
            </w:tcBorders>
          </w:tcPr>
          <w:p>
            <w:pPr>
              <w:pStyle w:val="TableParagraph"/>
              <w:spacing w:line="302" w:lineRule="auto" w:before="10"/>
              <w:ind w:left="22" w:right="75"/>
              <w:jc w:val="left"/>
              <w:rPr>
                <w:rFonts w:ascii="宋体" w:hAnsi="宋体" w:cs="宋体" w:eastAsia="宋体" w:hint="default"/>
                <w:sz w:val="18"/>
                <w:szCs w:val="18"/>
              </w:rPr>
            </w:pPr>
            <w:r>
              <w:rPr>
                <w:rFonts w:ascii="宋体" w:hAnsi="宋体" w:cs="宋体" w:eastAsia="宋体" w:hint="default"/>
                <w:sz w:val="18"/>
                <w:szCs w:val="18"/>
              </w:rPr>
              <w:t>年度报酬总额的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倍的违约 金。</w:t>
            </w:r>
          </w:p>
        </w:tc>
        <w:tc>
          <w:tcPr>
            <w:tcW w:w="850" w:type="dxa"/>
            <w:tcBorders>
              <w:top w:val="single" w:sz="12" w:space="0" w:color="000000"/>
              <w:left w:val="single" w:sz="4" w:space="0" w:color="000000"/>
              <w:bottom w:val="single" w:sz="4" w:space="0" w:color="000000"/>
              <w:right w:val="single" w:sz="4" w:space="0" w:color="000000"/>
            </w:tcBorders>
          </w:tcPr>
          <w:p>
            <w:pPr/>
          </w:p>
        </w:tc>
        <w:tc>
          <w:tcPr>
            <w:tcW w:w="851" w:type="dxa"/>
            <w:tcBorders>
              <w:top w:val="single" w:sz="12" w:space="0" w:color="000000"/>
              <w:left w:val="single" w:sz="4" w:space="0" w:color="000000"/>
              <w:bottom w:val="single" w:sz="4" w:space="0" w:color="000000"/>
              <w:right w:val="single" w:sz="4" w:space="0" w:color="000000"/>
            </w:tcBorders>
          </w:tcPr>
          <w:p>
            <w:pPr/>
          </w:p>
        </w:tc>
        <w:tc>
          <w:tcPr>
            <w:tcW w:w="778" w:type="dxa"/>
            <w:tcBorders>
              <w:top w:val="single" w:sz="12" w:space="0" w:color="000000"/>
              <w:left w:val="single" w:sz="4" w:space="0" w:color="000000"/>
              <w:bottom w:val="single" w:sz="4" w:space="0" w:color="000000"/>
              <w:right w:val="single" w:sz="12" w:space="0" w:color="000000"/>
            </w:tcBorders>
          </w:tcPr>
          <w:p>
            <w:pPr/>
          </w:p>
        </w:tc>
      </w:tr>
      <w:tr>
        <w:trPr>
          <w:trHeight w:val="8515" w:hRule="exact"/>
        </w:trPr>
        <w:tc>
          <w:tcPr>
            <w:tcW w:w="2411" w:type="dxa"/>
            <w:vMerge/>
            <w:tcBorders>
              <w:left w:val="single" w:sz="12" w:space="0" w:color="000000"/>
              <w:bottom w:val="single" w:sz="4" w:space="0" w:color="000000"/>
              <w:right w:val="single" w:sz="4" w:space="0" w:color="000000"/>
            </w:tcBorders>
            <w:shd w:val="clear" w:color="auto" w:fill="D2D2D2"/>
          </w:tcPr>
          <w:p>
            <w:pP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300" w:lineRule="auto"/>
              <w:ind w:left="23" w:right="156"/>
              <w:jc w:val="left"/>
              <w:rPr>
                <w:rFonts w:ascii="宋体" w:hAnsi="宋体" w:cs="宋体" w:eastAsia="宋体" w:hint="default"/>
                <w:sz w:val="18"/>
                <w:szCs w:val="18"/>
              </w:rPr>
            </w:pPr>
            <w:r>
              <w:rPr>
                <w:rFonts w:ascii="宋体" w:hAnsi="宋体" w:cs="宋体" w:eastAsia="宋体" w:hint="default"/>
                <w:sz w:val="18"/>
                <w:szCs w:val="18"/>
              </w:rPr>
              <w:t>陈泽枝</w:t>
            </w:r>
            <w:r>
              <w:rPr>
                <w:rFonts w:ascii="Times New Roman" w:hAnsi="Times New Roman" w:cs="Times New Roman" w:eastAsia="Times New Roman" w:hint="default"/>
                <w:sz w:val="18"/>
                <w:szCs w:val="18"/>
              </w:rPr>
              <w:t>;</w:t>
            </w:r>
            <w:r>
              <w:rPr>
                <w:rFonts w:ascii="宋体" w:hAnsi="宋体" w:cs="宋体" w:eastAsia="宋体" w:hint="default"/>
                <w:sz w:val="18"/>
                <w:szCs w:val="18"/>
              </w:rPr>
              <w:t>李泽清</w:t>
            </w:r>
            <w:r>
              <w:rPr>
                <w:rFonts w:ascii="Times New Roman" w:hAnsi="Times New Roman" w:cs="Times New Roman" w:eastAsia="Times New Roman" w:hint="default"/>
                <w:sz w:val="18"/>
                <w:szCs w:val="18"/>
              </w:rPr>
              <w:t>;</w:t>
            </w:r>
            <w:r>
              <w:rPr>
                <w:rFonts w:ascii="宋体" w:hAnsi="宋体" w:cs="宋体" w:eastAsia="宋体" w:hint="default"/>
                <w:sz w:val="18"/>
                <w:szCs w:val="18"/>
              </w:rPr>
              <w:t>高 孔兴</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2" w:right="-13"/>
              <w:jc w:val="left"/>
              <w:rPr>
                <w:rFonts w:ascii="Times New Roman" w:hAnsi="Times New Roman" w:cs="Times New Roman" w:eastAsia="Times New Roman" w:hint="default"/>
                <w:sz w:val="18"/>
                <w:szCs w:val="18"/>
              </w:rPr>
            </w:pPr>
            <w:r>
              <w:rPr>
                <w:rFonts w:ascii="宋体" w:hAnsi="宋体" w:cs="宋体" w:eastAsia="宋体" w:hint="default"/>
                <w:sz w:val="18"/>
                <w:szCs w:val="18"/>
              </w:rPr>
              <w:t>嘉园环保管理层股东陈泽 枝、李泽清、高孔兴承诺自 标的资产交割日起，仍需至 少在嘉园环保任职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并承诺在嘉园环保任职期间 及离职后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 </w:t>
            </w:r>
            <w:r>
              <w:rPr>
                <w:rFonts w:ascii="宋体" w:hAnsi="宋体" w:cs="宋体" w:eastAsia="宋体" w:hint="default"/>
                <w:spacing w:val="-6"/>
                <w:sz w:val="18"/>
                <w:szCs w:val="18"/>
              </w:rPr>
              <w:t>个月内，不从事</w:t>
            </w:r>
            <w:r>
              <w:rPr>
                <w:rFonts w:ascii="宋体" w:hAnsi="宋体" w:cs="宋体" w:eastAsia="宋体" w:hint="default"/>
                <w:sz w:val="18"/>
                <w:szCs w:val="18"/>
              </w:rPr>
              <w:t> 与嘉园环保生产或者经营同 类产品或从事同类业务的、 有竞争关系的其他用人单位 工作或提供劳务，或者自己 开业生产或者经营同类产 品、从事同类业务。如违反 </w:t>
            </w:r>
            <w:r>
              <w:rPr>
                <w:rFonts w:ascii="宋体" w:hAnsi="宋体" w:cs="宋体" w:eastAsia="宋体" w:hint="default"/>
                <w:spacing w:val="-7"/>
                <w:sz w:val="18"/>
                <w:szCs w:val="18"/>
              </w:rPr>
              <w:t>上述承诺，则：（</w:t>
            </w: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）自交割</w:t>
            </w:r>
            <w:r>
              <w:rPr>
                <w:rFonts w:ascii="宋体" w:hAnsi="宋体" w:cs="宋体" w:eastAsia="宋体" w:hint="default"/>
                <w:sz w:val="18"/>
                <w:szCs w:val="18"/>
              </w:rPr>
              <w:t> 日起任职期限不满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的，违约方应将其于本交易 中已获对价的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作为赔偿 金返还给上市公司，上市公 司尚未支付的对价无需支 </w:t>
            </w:r>
            <w:r>
              <w:rPr>
                <w:rFonts w:ascii="宋体" w:hAnsi="宋体" w:cs="宋体" w:eastAsia="宋体" w:hint="default"/>
                <w:spacing w:val="-7"/>
                <w:sz w:val="18"/>
                <w:szCs w:val="18"/>
              </w:rPr>
              <w:t>付；（</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）自交割日起任职期</w:t>
            </w:r>
            <w:r>
              <w:rPr>
                <w:rFonts w:ascii="宋体" w:hAnsi="宋体" w:cs="宋体" w:eastAsia="宋体" w:hint="default"/>
                <w:sz w:val="18"/>
                <w:szCs w:val="18"/>
              </w:rPr>
              <w:t> 限已满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个月不满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的，违约方应将其于本交易 中所获对价的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作为赔偿 </w:t>
            </w:r>
            <w:r>
              <w:rPr>
                <w:rFonts w:ascii="宋体" w:hAnsi="宋体" w:cs="宋体" w:eastAsia="宋体" w:hint="default"/>
                <w:spacing w:val="-7"/>
                <w:sz w:val="18"/>
                <w:szCs w:val="18"/>
              </w:rPr>
              <w:t>金支付给上市公司；（</w:t>
            </w: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）自</w:t>
            </w:r>
            <w:r>
              <w:rPr>
                <w:rFonts w:ascii="宋体" w:hAnsi="宋体" w:cs="宋体" w:eastAsia="宋体" w:hint="default"/>
                <w:sz w:val="18"/>
                <w:szCs w:val="18"/>
              </w:rPr>
              <w:t> 离职后</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个月内违反竞业禁 止义务的，违约方还应向上 市公司支付相当于其上一年 度报酬总额的</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3900"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7"/>
                <w:sz w:val="20"/>
                <w:szCs w:val="20"/>
              </w:rPr>
              <w:pict>
                <v:group style="width:42pt;height:195.05pt;mso-position-horizontal-relative:char;mso-position-vertical-relative:line" coordorigin="0,0" coordsize="840,3901">
                  <v:group style="position:absolute;left:0;top:0;width:840;height:3901" coordorigin="0,0" coordsize="840,3901">
                    <v:shape style="position:absolute;left:0;top:0;width:840;height:3901" coordorigin="0,0" coordsize="840,3901" path="m0,3900l840,3900,840,0,0,0,0,3900xe" filled="true" fillcolor="#ffffff" stroked="false">
                      <v:path arrowok="t"/>
                      <v:fill type="solid"/>
                    </v:shape>
                  </v:group>
                </v:group>
              </w:pict>
            </w:r>
            <w:r>
              <w:rPr>
                <w:rFonts w:ascii="Times New Roman" w:hAnsi="Times New Roman" w:cs="Times New Roman" w:eastAsia="Times New Roman" w:hint="default"/>
                <w:position w:val="-77"/>
                <w:sz w:val="20"/>
                <w:szCs w:val="20"/>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2019-10-1</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7</w:t>
            </w:r>
          </w:p>
        </w:tc>
        <w:tc>
          <w:tcPr>
            <w:tcW w:w="77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316" w:lineRule="auto"/>
              <w:ind w:left="22" w:right="13"/>
              <w:jc w:val="both"/>
              <w:rPr>
                <w:rFonts w:ascii="宋体" w:hAnsi="宋体" w:cs="宋体" w:eastAsia="宋体" w:hint="default"/>
                <w:sz w:val="18"/>
                <w:szCs w:val="18"/>
              </w:rPr>
            </w:pPr>
            <w:r>
              <w:rPr>
                <w:rFonts w:ascii="宋体" w:hAnsi="宋体" w:cs="宋体" w:eastAsia="宋体" w:hint="default"/>
                <w:sz w:val="18"/>
                <w:szCs w:val="18"/>
              </w:rPr>
              <w:t>截至报告 期末，上 述承诺人 均遵守了 所做的承 诺。</w:t>
            </w:r>
          </w:p>
        </w:tc>
      </w:tr>
      <w:tr>
        <w:trPr>
          <w:trHeight w:val="2274" w:hRule="exact"/>
        </w:trPr>
        <w:tc>
          <w:tcPr>
            <w:tcW w:w="2411" w:type="dxa"/>
            <w:vMerge w:val="restart"/>
            <w:tcBorders>
              <w:top w:val="single" w:sz="4" w:space="0" w:color="000000"/>
              <w:left w:val="single" w:sz="12"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13" w:right="35"/>
              <w:jc w:val="left"/>
              <w:rPr>
                <w:rFonts w:ascii="宋体" w:hAnsi="宋体" w:cs="宋体" w:eastAsia="宋体" w:hint="default"/>
                <w:sz w:val="18"/>
                <w:szCs w:val="18"/>
              </w:rPr>
            </w:pPr>
            <w:r>
              <w:rPr>
                <w:rFonts w:ascii="宋体" w:hAnsi="宋体" w:cs="宋体" w:eastAsia="宋体" w:hint="default"/>
                <w:sz w:val="18"/>
                <w:szCs w:val="18"/>
              </w:rPr>
              <w:t>首次公开发行或再融资时所作 承诺</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任红军</w:t>
            </w:r>
            <w:r>
              <w:rPr>
                <w:rFonts w:ascii="Times New Roman" w:hAnsi="Times New Roman" w:cs="Times New Roman" w:eastAsia="Times New Roman" w:hint="default"/>
                <w:sz w:val="18"/>
                <w:szCs w:val="18"/>
              </w:rPr>
              <w:t>;</w:t>
            </w:r>
            <w:r>
              <w:rPr>
                <w:rFonts w:ascii="宋体" w:hAnsi="宋体" w:cs="宋体" w:eastAsia="宋体" w:hint="default"/>
                <w:sz w:val="18"/>
                <w:szCs w:val="18"/>
              </w:rPr>
              <w:t>钟超</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both"/>
              <w:rPr>
                <w:rFonts w:ascii="宋体" w:hAnsi="宋体" w:cs="宋体" w:eastAsia="宋体" w:hint="default"/>
                <w:sz w:val="18"/>
                <w:szCs w:val="18"/>
              </w:rPr>
            </w:pPr>
            <w:r>
              <w:rPr>
                <w:rFonts w:ascii="宋体" w:hAnsi="宋体" w:cs="宋体" w:eastAsia="宋体" w:hint="default"/>
                <w:sz w:val="18"/>
                <w:szCs w:val="18"/>
              </w:rPr>
              <w:t>公司控股股东、实际控制人 任红军先生、钟超女士作出 以下承诺：不越权干预公司 经营管理活动，不侵占公司 利益。若违反上述承诺给公 司或者股东造成损失的，本 人将依法承担相应责任。</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73"/>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77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2" w:right="13"/>
              <w:jc w:val="both"/>
              <w:rPr>
                <w:rFonts w:ascii="宋体" w:hAnsi="宋体" w:cs="宋体" w:eastAsia="宋体" w:hint="default"/>
                <w:sz w:val="18"/>
                <w:szCs w:val="18"/>
              </w:rPr>
            </w:pPr>
            <w:r>
              <w:rPr>
                <w:rFonts w:ascii="宋体" w:hAnsi="宋体" w:cs="宋体" w:eastAsia="宋体" w:hint="default"/>
                <w:sz w:val="18"/>
                <w:szCs w:val="18"/>
              </w:rPr>
              <w:t>截至报告 期末，上 述承诺人 均遵守了 所做的承 诺。</w:t>
            </w:r>
          </w:p>
        </w:tc>
      </w:tr>
      <w:tr>
        <w:trPr>
          <w:trHeight w:val="2245" w:hRule="exact"/>
        </w:trPr>
        <w:tc>
          <w:tcPr>
            <w:tcW w:w="2411" w:type="dxa"/>
            <w:vMerge/>
            <w:tcBorders>
              <w:left w:val="single" w:sz="12" w:space="0" w:color="000000"/>
              <w:bottom w:val="single" w:sz="12" w:space="0" w:color="000000"/>
              <w:right w:val="single" w:sz="4" w:space="0" w:color="000000"/>
            </w:tcBorders>
            <w:shd w:val="clear" w:color="auto" w:fill="D2D2D2"/>
          </w:tcPr>
          <w:p>
            <w:pPr/>
          </w:p>
        </w:tc>
        <w:tc>
          <w:tcPr>
            <w:tcW w:w="155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37"/>
              <w:ind w:left="23" w:right="106"/>
              <w:jc w:val="both"/>
              <w:rPr>
                <w:rFonts w:ascii="宋体" w:hAnsi="宋体" w:cs="宋体" w:eastAsia="宋体" w:hint="default"/>
                <w:sz w:val="18"/>
                <w:szCs w:val="18"/>
              </w:rPr>
            </w:pPr>
            <w:r>
              <w:rPr>
                <w:rFonts w:ascii="宋体" w:hAnsi="宋体" w:cs="宋体" w:eastAsia="宋体" w:hint="default"/>
                <w:sz w:val="18"/>
                <w:szCs w:val="18"/>
              </w:rPr>
              <w:t>任红军</w:t>
            </w:r>
            <w:r>
              <w:rPr>
                <w:rFonts w:ascii="Times New Roman" w:hAnsi="Times New Roman" w:cs="Times New Roman" w:eastAsia="Times New Roman" w:hint="default"/>
                <w:sz w:val="18"/>
                <w:szCs w:val="18"/>
              </w:rPr>
              <w:t>;</w:t>
            </w:r>
            <w:r>
              <w:rPr>
                <w:rFonts w:ascii="宋体" w:hAnsi="宋体" w:cs="宋体" w:eastAsia="宋体" w:hint="default"/>
                <w:sz w:val="18"/>
                <w:szCs w:val="18"/>
              </w:rPr>
              <w:t>高天增</w:t>
            </w:r>
            <w:r>
              <w:rPr>
                <w:rFonts w:ascii="Times New Roman" w:hAnsi="Times New Roman" w:cs="Times New Roman" w:eastAsia="Times New Roman" w:hint="default"/>
                <w:sz w:val="18"/>
                <w:szCs w:val="18"/>
              </w:rPr>
              <w:t>;</w:t>
            </w:r>
            <w:r>
              <w:rPr>
                <w:rFonts w:ascii="宋体" w:hAnsi="宋体" w:cs="宋体" w:eastAsia="宋体" w:hint="default"/>
                <w:sz w:val="18"/>
                <w:szCs w:val="18"/>
              </w:rPr>
              <w:t>焦 桂东</w:t>
            </w:r>
            <w:r>
              <w:rPr>
                <w:rFonts w:ascii="Times New Roman" w:hAnsi="Times New Roman" w:cs="Times New Roman" w:eastAsia="Times New Roman" w:hint="default"/>
                <w:sz w:val="18"/>
                <w:szCs w:val="18"/>
              </w:rPr>
              <w:t>;</w:t>
            </w:r>
            <w:r>
              <w:rPr>
                <w:rFonts w:ascii="宋体" w:hAnsi="宋体" w:cs="宋体" w:eastAsia="宋体" w:hint="default"/>
                <w:sz w:val="18"/>
                <w:szCs w:val="18"/>
              </w:rPr>
              <w:t>李颖江</w:t>
            </w:r>
            <w:r>
              <w:rPr>
                <w:rFonts w:ascii="Times New Roman" w:hAnsi="Times New Roman" w:cs="Times New Roman" w:eastAsia="Times New Roman" w:hint="default"/>
                <w:sz w:val="18"/>
                <w:szCs w:val="18"/>
              </w:rPr>
              <w:t>;</w:t>
            </w:r>
            <w:r>
              <w:rPr>
                <w:rFonts w:ascii="宋体" w:hAnsi="宋体" w:cs="宋体" w:eastAsia="宋体" w:hint="default"/>
                <w:sz w:val="18"/>
                <w:szCs w:val="18"/>
              </w:rPr>
              <w:t>刘瑞</w:t>
            </w:r>
            <w:r>
              <w:rPr>
                <w:rFonts w:ascii="宋体" w:hAnsi="宋体" w:cs="宋体" w:eastAsia="宋体" w:hint="default"/>
                <w:spacing w:val="-2"/>
                <w:sz w:val="18"/>
                <w:szCs w:val="18"/>
              </w:rPr>
              <w:t> </w:t>
            </w:r>
            <w:r>
              <w:rPr>
                <w:rFonts w:ascii="宋体" w:hAnsi="宋体" w:cs="宋体" w:eastAsia="宋体" w:hint="default"/>
                <w:sz w:val="18"/>
                <w:szCs w:val="18"/>
              </w:rPr>
              <w:t>玲</w:t>
            </w:r>
            <w:r>
              <w:rPr>
                <w:rFonts w:ascii="Times New Roman" w:hAnsi="Times New Roman" w:cs="Times New Roman" w:eastAsia="Times New Roman" w:hint="default"/>
                <w:sz w:val="18"/>
                <w:szCs w:val="18"/>
              </w:rPr>
              <w:t>;</w:t>
            </w:r>
            <w:r>
              <w:rPr>
                <w:rFonts w:ascii="宋体" w:hAnsi="宋体" w:cs="宋体" w:eastAsia="宋体" w:hint="default"/>
                <w:sz w:val="18"/>
                <w:szCs w:val="18"/>
              </w:rPr>
              <w:t>刘威</w:t>
            </w:r>
            <w:r>
              <w:rPr>
                <w:rFonts w:ascii="Times New Roman" w:hAnsi="Times New Roman" w:cs="Times New Roman" w:eastAsia="Times New Roman" w:hint="default"/>
                <w:sz w:val="18"/>
                <w:szCs w:val="18"/>
              </w:rPr>
              <w:t>;</w:t>
            </w:r>
            <w:r>
              <w:rPr>
                <w:rFonts w:ascii="宋体" w:hAnsi="宋体" w:cs="宋体" w:eastAsia="宋体" w:hint="default"/>
                <w:sz w:val="18"/>
                <w:szCs w:val="18"/>
              </w:rPr>
              <w:t>尚剑红</w:t>
            </w:r>
            <w:r>
              <w:rPr>
                <w:rFonts w:ascii="Times New Roman" w:hAnsi="Times New Roman" w:cs="Times New Roman" w:eastAsia="Times New Roman" w:hint="default"/>
                <w:sz w:val="18"/>
                <w:szCs w:val="18"/>
              </w:rPr>
              <w:t>;</w:t>
            </w:r>
            <w:r>
              <w:rPr>
                <w:rFonts w:ascii="宋体" w:hAnsi="宋体" w:cs="宋体" w:eastAsia="宋体" w:hint="default"/>
                <w:sz w:val="18"/>
                <w:szCs w:val="18"/>
              </w:rPr>
              <w:t>肖 锋</w:t>
            </w:r>
            <w:r>
              <w:rPr>
                <w:rFonts w:ascii="Times New Roman" w:hAnsi="Times New Roman" w:cs="Times New Roman" w:eastAsia="Times New Roman" w:hint="default"/>
                <w:sz w:val="18"/>
                <w:szCs w:val="18"/>
              </w:rPr>
              <w:t>;</w:t>
            </w:r>
            <w:r>
              <w:rPr>
                <w:rFonts w:ascii="宋体" w:hAnsi="宋体" w:cs="宋体" w:eastAsia="宋体" w:hint="default"/>
                <w:sz w:val="18"/>
                <w:szCs w:val="18"/>
              </w:rPr>
              <w:t>徐克</w:t>
            </w:r>
            <w:r>
              <w:rPr>
                <w:rFonts w:ascii="Times New Roman" w:hAnsi="Times New Roman" w:cs="Times New Roman" w:eastAsia="Times New Roman" w:hint="default"/>
                <w:sz w:val="18"/>
                <w:szCs w:val="18"/>
              </w:rPr>
              <w:t>;</w:t>
            </w:r>
            <w:r>
              <w:rPr>
                <w:rFonts w:ascii="宋体" w:hAnsi="宋体" w:cs="宋体" w:eastAsia="宋体" w:hint="default"/>
                <w:sz w:val="18"/>
                <w:szCs w:val="18"/>
              </w:rPr>
              <w:t>张潇君</w:t>
            </w:r>
            <w:r>
              <w:rPr>
                <w:rFonts w:ascii="Times New Roman" w:hAnsi="Times New Roman" w:cs="Times New Roman" w:eastAsia="Times New Roman" w:hint="default"/>
                <w:sz w:val="18"/>
                <w:szCs w:val="18"/>
              </w:rPr>
              <w:t>;</w:t>
            </w:r>
            <w:r>
              <w:rPr>
                <w:rFonts w:ascii="宋体" w:hAnsi="宋体" w:cs="宋体" w:eastAsia="宋体" w:hint="default"/>
                <w:sz w:val="18"/>
                <w:szCs w:val="18"/>
              </w:rPr>
              <w:t>张 小水</w:t>
            </w:r>
            <w:r>
              <w:rPr>
                <w:rFonts w:ascii="Times New Roman" w:hAnsi="Times New Roman" w:cs="Times New Roman" w:eastAsia="Times New Roman" w:hint="default"/>
                <w:sz w:val="18"/>
                <w:szCs w:val="18"/>
              </w:rPr>
              <w:t>;</w:t>
            </w:r>
            <w:r>
              <w:rPr>
                <w:rFonts w:ascii="宋体" w:hAnsi="宋体" w:cs="宋体" w:eastAsia="宋体" w:hint="default"/>
                <w:sz w:val="18"/>
                <w:szCs w:val="18"/>
              </w:rPr>
              <w:t>赵向阳</w:t>
            </w:r>
          </w:p>
        </w:tc>
        <w:tc>
          <w:tcPr>
            <w:tcW w:w="8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2268" w:type="dxa"/>
            <w:tcBorders>
              <w:top w:val="single" w:sz="4" w:space="0" w:color="000000"/>
              <w:left w:val="single" w:sz="4" w:space="0" w:color="000000"/>
              <w:bottom w:val="single" w:sz="12" w:space="0" w:color="000000"/>
              <w:right w:val="single" w:sz="4" w:space="0" w:color="000000"/>
            </w:tcBorders>
          </w:tcPr>
          <w:p>
            <w:pPr>
              <w:pStyle w:val="TableParagraph"/>
              <w:spacing w:line="312" w:lineRule="auto" w:before="52"/>
              <w:ind w:left="22" w:right="22"/>
              <w:jc w:val="both"/>
              <w:rPr>
                <w:rFonts w:ascii="宋体" w:hAnsi="宋体" w:cs="宋体" w:eastAsia="宋体" w:hint="default"/>
                <w:sz w:val="18"/>
                <w:szCs w:val="18"/>
              </w:rPr>
            </w:pPr>
            <w:r>
              <w:rPr>
                <w:rFonts w:ascii="宋体" w:hAnsi="宋体" w:cs="宋体" w:eastAsia="宋体" w:hint="default"/>
                <w:sz w:val="18"/>
                <w:szCs w:val="18"/>
              </w:rPr>
              <w:t>公司全体董事、高级管理人 </w:t>
            </w:r>
            <w:r>
              <w:rPr>
                <w:rFonts w:ascii="宋体" w:hAnsi="宋体" w:cs="宋体" w:eastAsia="宋体" w:hint="default"/>
                <w:spacing w:val="-4"/>
                <w:sz w:val="18"/>
                <w:szCs w:val="18"/>
              </w:rPr>
              <w:t>员作出以下承诺：</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、承诺不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无偿或以不公平条件向其他 单位或者个人输送利益，也 不采用其他方式损害公司利 </w:t>
            </w:r>
            <w:r>
              <w:rPr>
                <w:rFonts w:ascii="宋体" w:hAnsi="宋体" w:cs="宋体" w:eastAsia="宋体" w:hint="default"/>
                <w:spacing w:val="-4"/>
                <w:sz w:val="18"/>
                <w:szCs w:val="18"/>
              </w:rPr>
              <w:t>益；</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、承诺对个人职务消费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4"/>
                <w:sz w:val="18"/>
                <w:szCs w:val="18"/>
              </w:rPr>
              <w:t>行为进行约束；</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、承诺不动</w:t>
            </w:r>
          </w:p>
        </w:tc>
        <w:tc>
          <w:tcPr>
            <w:tcW w:w="8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right="73"/>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77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316" w:lineRule="auto"/>
              <w:ind w:left="22" w:right="13"/>
              <w:jc w:val="both"/>
              <w:rPr>
                <w:rFonts w:ascii="宋体" w:hAnsi="宋体" w:cs="宋体" w:eastAsia="宋体" w:hint="default"/>
                <w:sz w:val="18"/>
                <w:szCs w:val="18"/>
              </w:rPr>
            </w:pPr>
            <w:r>
              <w:rPr>
                <w:rFonts w:ascii="宋体" w:hAnsi="宋体" w:cs="宋体" w:eastAsia="宋体" w:hint="default"/>
                <w:sz w:val="18"/>
                <w:szCs w:val="18"/>
              </w:rPr>
              <w:t>截至报告 期末，上 述承诺人 均遵守了 所做的承 诺。</w:t>
            </w:r>
          </w:p>
        </w:tc>
      </w:tr>
    </w:tbl>
    <w:p>
      <w:pPr>
        <w:spacing w:after="0" w:line="316" w:lineRule="auto"/>
        <w:jc w:val="both"/>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405.279999pt;margin-top:73.499985pt;width:48.15pt;height:189.2pt;mso-position-horizontal-relative:page;mso-position-vertical-relative:page;z-index:-97151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15"/>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324.222992pt;margin-top:443.319977pt;width:129.2pt;height:31.2pt;mso-position-horizontal-relative:page;mso-position-vertical-relative:page;z-index:-971488" type="#_x0000_t202" filled="false" stroked="false">
            <v:textbox inset="0,0,0,0">
              <w:txbxContent>
                <w:p>
                  <w:pPr>
                    <w:spacing w:line="208"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严格履行董事的职责。</w:t>
                  </w:r>
                </w:p>
              </w:txbxContent>
            </v:textbox>
            <w10:wrap type="none"/>
          </v:shape>
        </w:pict>
      </w:r>
      <w:r>
        <w:rPr/>
        <w:pict>
          <v:group style="position:absolute;margin-left:411.420013pt;margin-top:443.319977pt;width:42pt;height:31.2pt;mso-position-horizontal-relative:page;mso-position-vertical-relative:page;z-index:-971464" coordorigin="8228,8866" coordsize="840,624">
            <v:shape style="position:absolute;left:8228;top:8866;width:840;height:624" coordorigin="8228,8866" coordsize="840,624" path="m8228,9490l9068,9490,9068,8866,8228,8866,8228,9490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18" w:type="dxa"/>
        <w:tblLayout w:type="fixed"/>
        <w:tblCellMar>
          <w:top w:w="0" w:type="dxa"/>
          <w:left w:w="0" w:type="dxa"/>
          <w:bottom w:w="0" w:type="dxa"/>
          <w:right w:w="0" w:type="dxa"/>
        </w:tblCellMar>
        <w:tblLook w:val="01E0"/>
      </w:tblPr>
      <w:tblGrid>
        <w:gridCol w:w="2411"/>
        <w:gridCol w:w="1552"/>
        <w:gridCol w:w="859"/>
        <w:gridCol w:w="2268"/>
        <w:gridCol w:w="850"/>
        <w:gridCol w:w="851"/>
        <w:gridCol w:w="778"/>
      </w:tblGrid>
      <w:tr>
        <w:trPr>
          <w:trHeight w:val="327" w:hRule="exact"/>
        </w:trPr>
        <w:tc>
          <w:tcPr>
            <w:tcW w:w="2411" w:type="dxa"/>
            <w:vMerge w:val="restart"/>
            <w:tcBorders>
              <w:top w:val="single" w:sz="12" w:space="0" w:color="000000"/>
              <w:left w:val="single" w:sz="12" w:space="0" w:color="000000"/>
              <w:right w:val="single" w:sz="4" w:space="0" w:color="000000"/>
            </w:tcBorders>
            <w:shd w:val="clear" w:color="auto" w:fill="D2D2D2"/>
          </w:tcPr>
          <w:p>
            <w:pPr/>
          </w:p>
        </w:tc>
        <w:tc>
          <w:tcPr>
            <w:tcW w:w="1552" w:type="dxa"/>
            <w:vMerge w:val="restart"/>
            <w:tcBorders>
              <w:top w:val="single" w:sz="12" w:space="0" w:color="000000"/>
              <w:left w:val="single" w:sz="4" w:space="0" w:color="000000"/>
              <w:right w:val="single" w:sz="4" w:space="0" w:color="000000"/>
            </w:tcBorders>
          </w:tcPr>
          <w:p>
            <w:pPr/>
          </w:p>
        </w:tc>
        <w:tc>
          <w:tcPr>
            <w:tcW w:w="859" w:type="dxa"/>
            <w:vMerge w:val="restart"/>
            <w:tcBorders>
              <w:top w:val="single" w:sz="12" w:space="0" w:color="000000"/>
              <w:left w:val="single" w:sz="4" w:space="0" w:color="000000"/>
              <w:right w:val="single" w:sz="4" w:space="0" w:color="000000"/>
            </w:tcBorders>
          </w:tcPr>
          <w:p>
            <w:pPr/>
          </w:p>
        </w:tc>
        <w:tc>
          <w:tcPr>
            <w:tcW w:w="2268"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用公司资产从事与其履行职</w:t>
            </w:r>
          </w:p>
        </w:tc>
        <w:tc>
          <w:tcPr>
            <w:tcW w:w="850" w:type="dxa"/>
            <w:vMerge w:val="restart"/>
            <w:tcBorders>
              <w:top w:val="single" w:sz="12" w:space="0" w:color="000000"/>
              <w:left w:val="single" w:sz="4" w:space="0" w:color="000000"/>
              <w:right w:val="single" w:sz="4" w:space="0" w:color="000000"/>
            </w:tcBorders>
          </w:tcPr>
          <w:p>
            <w:pPr>
              <w:pStyle w:val="TableParagraph"/>
              <w:spacing w:line="3784"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5"/>
                <w:sz w:val="20"/>
                <w:szCs w:val="20"/>
              </w:rPr>
              <w:pict>
                <v:group style="width:42pt;height:189.2pt;mso-position-horizontal-relative:char;mso-position-vertical-relative:line" coordorigin="0,0" coordsize="840,3784">
                  <v:group style="position:absolute;left:0;top:0;width:840;height:3784" coordorigin="0,0" coordsize="840,3784">
                    <v:shape style="position:absolute;left:0;top:0;width:840;height:3784" coordorigin="0,0" coordsize="840,3784" path="m0,3784l840,3784,840,0,0,0,0,3784xe" filled="true" fillcolor="#ffffff" stroked="false">
                      <v:path arrowok="t"/>
                      <v:fill type="solid"/>
                    </v:shape>
                  </v:group>
                </v:group>
              </w:pict>
            </w:r>
            <w:r>
              <w:rPr>
                <w:rFonts w:ascii="Times New Roman" w:hAnsi="Times New Roman" w:cs="Times New Roman" w:eastAsia="Times New Roman" w:hint="default"/>
                <w:position w:val="-75"/>
                <w:sz w:val="20"/>
                <w:szCs w:val="20"/>
              </w:rPr>
            </w:r>
          </w:p>
        </w:tc>
        <w:tc>
          <w:tcPr>
            <w:tcW w:w="851" w:type="dxa"/>
            <w:vMerge w:val="restart"/>
            <w:tcBorders>
              <w:top w:val="single" w:sz="12" w:space="0" w:color="000000"/>
              <w:left w:val="single" w:sz="4" w:space="0" w:color="000000"/>
              <w:right w:val="single" w:sz="4" w:space="0" w:color="000000"/>
            </w:tcBorders>
          </w:tcPr>
          <w:p>
            <w:pPr/>
          </w:p>
        </w:tc>
        <w:tc>
          <w:tcPr>
            <w:tcW w:w="778" w:type="dxa"/>
            <w:vMerge w:val="restart"/>
            <w:tcBorders>
              <w:top w:val="single" w:sz="12" w:space="0" w:color="000000"/>
              <w:left w:val="single" w:sz="4" w:space="0" w:color="000000"/>
              <w:right w:val="single" w:sz="12" w:space="0" w:color="000000"/>
            </w:tcBorders>
          </w:tcPr>
          <w:p>
            <w:pPr/>
          </w:p>
        </w:tc>
      </w:tr>
      <w:tr>
        <w:trPr>
          <w:trHeight w:val="317" w:hRule="exact"/>
        </w:trPr>
        <w:tc>
          <w:tcPr>
            <w:tcW w:w="2411" w:type="dxa"/>
            <w:vMerge/>
            <w:tcBorders>
              <w:left w:val="single" w:sz="12" w:space="0" w:color="000000"/>
              <w:right w:val="single" w:sz="4" w:space="0" w:color="000000"/>
            </w:tcBorders>
            <w:shd w:val="clear" w:color="auto" w:fill="D2D2D2"/>
          </w:tcPr>
          <w:p>
            <w:pPr/>
          </w:p>
        </w:tc>
        <w:tc>
          <w:tcPr>
            <w:tcW w:w="1552"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责无关的投资、消费活动；</w:t>
            </w:r>
            <w:r>
              <w:rPr>
                <w:rFonts w:ascii="Times New Roman" w:hAnsi="Times New Roman" w:cs="Times New Roman" w:eastAsia="Times New Roman" w:hint="default"/>
                <w:spacing w:val="-10"/>
                <w:sz w:val="18"/>
                <w:szCs w:val="18"/>
              </w:rPr>
              <w:t>4</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12" w:space="0" w:color="000000"/>
            </w:tcBorders>
          </w:tcPr>
          <w:p>
            <w:pPr/>
          </w:p>
        </w:tc>
      </w:tr>
      <w:tr>
        <w:trPr>
          <w:trHeight w:val="307" w:hRule="exact"/>
        </w:trPr>
        <w:tc>
          <w:tcPr>
            <w:tcW w:w="2411" w:type="dxa"/>
            <w:vMerge/>
            <w:tcBorders>
              <w:left w:val="single" w:sz="12" w:space="0" w:color="000000"/>
              <w:right w:val="single" w:sz="4" w:space="0" w:color="000000"/>
            </w:tcBorders>
            <w:shd w:val="clear" w:color="auto" w:fill="D2D2D2"/>
          </w:tcPr>
          <w:p>
            <w:pPr/>
          </w:p>
        </w:tc>
        <w:tc>
          <w:tcPr>
            <w:tcW w:w="1552"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承诺由董事会或薪酬委员会</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12" w:space="0" w:color="000000"/>
            </w:tcBorders>
          </w:tcPr>
          <w:p>
            <w:pPr/>
          </w:p>
        </w:tc>
      </w:tr>
      <w:tr>
        <w:trPr>
          <w:trHeight w:val="312" w:hRule="exact"/>
        </w:trPr>
        <w:tc>
          <w:tcPr>
            <w:tcW w:w="2411" w:type="dxa"/>
            <w:vMerge/>
            <w:tcBorders>
              <w:left w:val="single" w:sz="12" w:space="0" w:color="000000"/>
              <w:right w:val="single" w:sz="4" w:space="0" w:color="000000"/>
            </w:tcBorders>
            <w:shd w:val="clear" w:color="auto" w:fill="D2D2D2"/>
          </w:tcPr>
          <w:p>
            <w:pPr/>
          </w:p>
        </w:tc>
        <w:tc>
          <w:tcPr>
            <w:tcW w:w="1552"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制定的薪酬制度与公司填补</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12" w:space="0" w:color="000000"/>
            </w:tcBorders>
          </w:tcPr>
          <w:p>
            <w:pPr/>
          </w:p>
        </w:tc>
      </w:tr>
      <w:tr>
        <w:trPr>
          <w:trHeight w:val="312" w:hRule="exact"/>
        </w:trPr>
        <w:tc>
          <w:tcPr>
            <w:tcW w:w="2411" w:type="dxa"/>
            <w:vMerge/>
            <w:tcBorders>
              <w:left w:val="single" w:sz="12" w:space="0" w:color="000000"/>
              <w:right w:val="single" w:sz="4" w:space="0" w:color="000000"/>
            </w:tcBorders>
            <w:shd w:val="clear" w:color="auto" w:fill="D2D2D2"/>
          </w:tcPr>
          <w:p>
            <w:pPr/>
          </w:p>
        </w:tc>
        <w:tc>
          <w:tcPr>
            <w:tcW w:w="1552"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回报措施的执行情况相挂</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12" w:space="0" w:color="000000"/>
            </w:tcBorders>
          </w:tcPr>
          <w:p>
            <w:pPr/>
          </w:p>
        </w:tc>
      </w:tr>
      <w:tr>
        <w:trPr>
          <w:trHeight w:val="317" w:hRule="exact"/>
        </w:trPr>
        <w:tc>
          <w:tcPr>
            <w:tcW w:w="2411" w:type="dxa"/>
            <w:vMerge/>
            <w:tcBorders>
              <w:left w:val="single" w:sz="12" w:space="0" w:color="000000"/>
              <w:right w:val="single" w:sz="4" w:space="0" w:color="000000"/>
            </w:tcBorders>
            <w:shd w:val="clear" w:color="auto" w:fill="D2D2D2"/>
          </w:tcPr>
          <w:p>
            <w:pPr/>
          </w:p>
        </w:tc>
        <w:tc>
          <w:tcPr>
            <w:tcW w:w="1552"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钩；</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、若公司后续推出股权</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12" w:space="0" w:color="000000"/>
            </w:tcBorders>
          </w:tcPr>
          <w:p>
            <w:pPr/>
          </w:p>
        </w:tc>
      </w:tr>
      <w:tr>
        <w:trPr>
          <w:trHeight w:val="307" w:hRule="exact"/>
        </w:trPr>
        <w:tc>
          <w:tcPr>
            <w:tcW w:w="2411" w:type="dxa"/>
            <w:vMerge/>
            <w:tcBorders>
              <w:left w:val="single" w:sz="12" w:space="0" w:color="000000"/>
              <w:right w:val="single" w:sz="4" w:space="0" w:color="000000"/>
            </w:tcBorders>
            <w:shd w:val="clear" w:color="auto" w:fill="D2D2D2"/>
          </w:tcPr>
          <w:p>
            <w:pPr/>
          </w:p>
        </w:tc>
        <w:tc>
          <w:tcPr>
            <w:tcW w:w="1552"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激励政策，承诺拟公布的公</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12" w:space="0" w:color="000000"/>
            </w:tcBorders>
          </w:tcPr>
          <w:p>
            <w:pPr/>
          </w:p>
        </w:tc>
      </w:tr>
      <w:tr>
        <w:trPr>
          <w:trHeight w:val="312" w:hRule="exact"/>
        </w:trPr>
        <w:tc>
          <w:tcPr>
            <w:tcW w:w="2411" w:type="dxa"/>
            <w:vMerge/>
            <w:tcBorders>
              <w:left w:val="single" w:sz="12" w:space="0" w:color="000000"/>
              <w:right w:val="single" w:sz="4" w:space="0" w:color="000000"/>
            </w:tcBorders>
            <w:shd w:val="clear" w:color="auto" w:fill="D2D2D2"/>
          </w:tcPr>
          <w:p>
            <w:pPr/>
          </w:p>
        </w:tc>
        <w:tc>
          <w:tcPr>
            <w:tcW w:w="1552"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司股权激励的行权条件与公</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12" w:space="0" w:color="000000"/>
            </w:tcBorders>
          </w:tcPr>
          <w:p>
            <w:pPr/>
          </w:p>
        </w:tc>
      </w:tr>
      <w:tr>
        <w:trPr>
          <w:trHeight w:val="312" w:hRule="exact"/>
        </w:trPr>
        <w:tc>
          <w:tcPr>
            <w:tcW w:w="2411" w:type="dxa"/>
            <w:vMerge/>
            <w:tcBorders>
              <w:left w:val="single" w:sz="12" w:space="0" w:color="000000"/>
              <w:right w:val="single" w:sz="4" w:space="0" w:color="000000"/>
            </w:tcBorders>
            <w:shd w:val="clear" w:color="auto" w:fill="D2D2D2"/>
          </w:tcPr>
          <w:p>
            <w:pPr/>
          </w:p>
        </w:tc>
        <w:tc>
          <w:tcPr>
            <w:tcW w:w="1552"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司填补回报措施的执行情况</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12" w:space="0" w:color="000000"/>
            </w:tcBorders>
          </w:tcPr>
          <w:p>
            <w:pPr/>
          </w:p>
        </w:tc>
      </w:tr>
      <w:tr>
        <w:trPr>
          <w:trHeight w:val="312" w:hRule="exact"/>
        </w:trPr>
        <w:tc>
          <w:tcPr>
            <w:tcW w:w="2411" w:type="dxa"/>
            <w:vMerge/>
            <w:tcBorders>
              <w:left w:val="single" w:sz="12" w:space="0" w:color="000000"/>
              <w:right w:val="single" w:sz="4" w:space="0" w:color="000000"/>
            </w:tcBorders>
            <w:shd w:val="clear" w:color="auto" w:fill="D2D2D2"/>
          </w:tcPr>
          <w:p>
            <w:pPr/>
          </w:p>
        </w:tc>
        <w:tc>
          <w:tcPr>
            <w:tcW w:w="1552"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相挂钩。若违反上述承诺给</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12" w:space="0" w:color="000000"/>
            </w:tcBorders>
          </w:tcPr>
          <w:p>
            <w:pPr/>
          </w:p>
        </w:tc>
      </w:tr>
      <w:tr>
        <w:trPr>
          <w:trHeight w:val="313" w:hRule="exact"/>
        </w:trPr>
        <w:tc>
          <w:tcPr>
            <w:tcW w:w="2411" w:type="dxa"/>
            <w:vMerge/>
            <w:tcBorders>
              <w:left w:val="single" w:sz="12" w:space="0" w:color="000000"/>
              <w:right w:val="single" w:sz="4" w:space="0" w:color="000000"/>
            </w:tcBorders>
            <w:shd w:val="clear" w:color="auto" w:fill="D2D2D2"/>
          </w:tcPr>
          <w:p>
            <w:pPr/>
          </w:p>
        </w:tc>
        <w:tc>
          <w:tcPr>
            <w:tcW w:w="1552"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公司或者股东造成损失的，</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8" w:type="dxa"/>
            <w:vMerge/>
            <w:tcBorders>
              <w:left w:val="single" w:sz="4" w:space="0" w:color="000000"/>
              <w:right w:val="single" w:sz="12" w:space="0" w:color="000000"/>
            </w:tcBorders>
          </w:tcPr>
          <w:p>
            <w:pPr/>
          </w:p>
        </w:tc>
      </w:tr>
      <w:tr>
        <w:trPr>
          <w:trHeight w:val="356" w:hRule="exact"/>
        </w:trPr>
        <w:tc>
          <w:tcPr>
            <w:tcW w:w="2411" w:type="dxa"/>
            <w:vMerge/>
            <w:tcBorders>
              <w:left w:val="single" w:sz="12" w:space="0" w:color="000000"/>
              <w:right w:val="single" w:sz="4" w:space="0" w:color="000000"/>
            </w:tcBorders>
            <w:shd w:val="clear" w:color="auto" w:fill="D2D2D2"/>
          </w:tcPr>
          <w:p>
            <w:pPr/>
          </w:p>
        </w:tc>
        <w:tc>
          <w:tcPr>
            <w:tcW w:w="1552" w:type="dxa"/>
            <w:vMerge/>
            <w:tcBorders>
              <w:left w:val="single" w:sz="4" w:space="0" w:color="000000"/>
              <w:bottom w:val="single" w:sz="4" w:space="0" w:color="000000"/>
              <w:right w:val="single" w:sz="4" w:space="0" w:color="000000"/>
            </w:tcBorders>
          </w:tcPr>
          <w:p>
            <w:pPr/>
          </w:p>
        </w:tc>
        <w:tc>
          <w:tcPr>
            <w:tcW w:w="859" w:type="dxa"/>
            <w:vMerge/>
            <w:tcBorders>
              <w:left w:val="single" w:sz="4" w:space="0" w:color="000000"/>
              <w:bottom w:val="single" w:sz="4" w:space="0" w:color="000000"/>
              <w:right w:val="single" w:sz="4" w:space="0" w:color="000000"/>
            </w:tcBorders>
          </w:tcPr>
          <w:p>
            <w:pPr/>
          </w:p>
        </w:tc>
        <w:tc>
          <w:tcPr>
            <w:tcW w:w="22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本人将依法承担相应责任。</w:t>
            </w:r>
          </w:p>
        </w:tc>
        <w:tc>
          <w:tcPr>
            <w:tcW w:w="850"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12" w:space="0" w:color="000000"/>
            </w:tcBorders>
          </w:tcPr>
          <w:p>
            <w:pPr/>
          </w:p>
        </w:tc>
      </w:tr>
      <w:tr>
        <w:trPr>
          <w:trHeight w:val="2274" w:hRule="exact"/>
        </w:trPr>
        <w:tc>
          <w:tcPr>
            <w:tcW w:w="2411" w:type="dxa"/>
            <w:vMerge/>
            <w:tcBorders>
              <w:left w:val="single" w:sz="12" w:space="0" w:color="000000"/>
              <w:right w:val="single" w:sz="4" w:space="0" w:color="000000"/>
            </w:tcBorders>
            <w:shd w:val="clear" w:color="auto" w:fill="D2D2D2"/>
          </w:tcPr>
          <w:p>
            <w:pP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任红军</w:t>
            </w:r>
            <w:r>
              <w:rPr>
                <w:rFonts w:ascii="Times New Roman" w:hAnsi="Times New Roman" w:cs="Times New Roman" w:eastAsia="Times New Roman" w:hint="default"/>
                <w:sz w:val="18"/>
                <w:szCs w:val="18"/>
              </w:rPr>
              <w:t>;</w:t>
            </w:r>
            <w:r>
              <w:rPr>
                <w:rFonts w:ascii="宋体" w:hAnsi="宋体" w:cs="宋体" w:eastAsia="宋体" w:hint="default"/>
                <w:sz w:val="18"/>
                <w:szCs w:val="18"/>
              </w:rPr>
              <w:t>钟超</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2" w:right="104"/>
              <w:jc w:val="both"/>
              <w:rPr>
                <w:rFonts w:ascii="宋体" w:hAnsi="宋体" w:cs="宋体" w:eastAsia="宋体" w:hint="default"/>
                <w:sz w:val="18"/>
                <w:szCs w:val="18"/>
              </w:rPr>
            </w:pPr>
            <w:r>
              <w:rPr>
                <w:rFonts w:ascii="宋体" w:hAnsi="宋体" w:cs="宋体" w:eastAsia="宋体" w:hint="default"/>
                <w:sz w:val="18"/>
                <w:szCs w:val="18"/>
              </w:rPr>
              <w:t>关于同业 竞争、关 联交易、 资金占用 方面的承 诺</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上市前，公司实际控制人任 红军、钟超承诺，承诺将尽 量避免与公司进行关联交 易，对于因生产经营需要而 发生的关联交易，将严格按 照公司章程及相关法律法规 进行操作。</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73"/>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77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2" w:right="13"/>
              <w:jc w:val="both"/>
              <w:rPr>
                <w:rFonts w:ascii="宋体" w:hAnsi="宋体" w:cs="宋体" w:eastAsia="宋体" w:hint="default"/>
                <w:sz w:val="18"/>
                <w:szCs w:val="18"/>
              </w:rPr>
            </w:pPr>
            <w:r>
              <w:rPr>
                <w:rFonts w:ascii="宋体" w:hAnsi="宋体" w:cs="宋体" w:eastAsia="宋体" w:hint="default"/>
                <w:sz w:val="18"/>
                <w:szCs w:val="18"/>
              </w:rPr>
              <w:t>截至报告 期末，上 述承诺人 均遵守了 所做的承 诺。</w:t>
            </w:r>
          </w:p>
        </w:tc>
      </w:tr>
      <w:tr>
        <w:trPr>
          <w:trHeight w:val="358" w:hRule="exact"/>
        </w:trPr>
        <w:tc>
          <w:tcPr>
            <w:tcW w:w="2411" w:type="dxa"/>
            <w:vMerge/>
            <w:tcBorders>
              <w:left w:val="single" w:sz="12" w:space="0" w:color="000000"/>
              <w:right w:val="single" w:sz="4" w:space="0" w:color="000000"/>
            </w:tcBorders>
            <w:shd w:val="clear" w:color="auto" w:fill="D2D2D2"/>
          </w:tcPr>
          <w:p>
            <w:pPr/>
          </w:p>
        </w:tc>
        <w:tc>
          <w:tcPr>
            <w:tcW w:w="1552" w:type="dxa"/>
            <w:tcBorders>
              <w:top w:val="single" w:sz="4" w:space="0" w:color="000000"/>
              <w:left w:val="single" w:sz="4" w:space="0" w:color="000000"/>
              <w:bottom w:val="nil" w:sz="6" w:space="0" w:color="auto"/>
              <w:right w:val="single" w:sz="4" w:space="0" w:color="000000"/>
            </w:tcBorders>
          </w:tcPr>
          <w:p>
            <w:pPr/>
          </w:p>
        </w:tc>
        <w:tc>
          <w:tcPr>
            <w:tcW w:w="85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关于同业</w:t>
            </w:r>
          </w:p>
        </w:tc>
        <w:tc>
          <w:tcPr>
            <w:tcW w:w="2268"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12"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截至报告</w:t>
            </w:r>
          </w:p>
        </w:tc>
      </w:tr>
      <w:tr>
        <w:trPr>
          <w:trHeight w:val="312" w:hRule="exact"/>
        </w:trPr>
        <w:tc>
          <w:tcPr>
            <w:tcW w:w="2411" w:type="dxa"/>
            <w:vMerge/>
            <w:tcBorders>
              <w:left w:val="single" w:sz="12" w:space="0" w:color="000000"/>
              <w:right w:val="single" w:sz="4" w:space="0" w:color="000000"/>
            </w:tcBorders>
            <w:shd w:val="clear" w:color="auto" w:fill="D2D2D2"/>
          </w:tcPr>
          <w:p>
            <w:pPr/>
          </w:p>
        </w:tc>
        <w:tc>
          <w:tcPr>
            <w:tcW w:w="1552"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竞争、关</w:t>
            </w: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上市前，公司董事承诺涉及</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12"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期末，上</w:t>
            </w:r>
          </w:p>
        </w:tc>
      </w:tr>
      <w:tr>
        <w:trPr>
          <w:trHeight w:val="629" w:hRule="exact"/>
        </w:trPr>
        <w:tc>
          <w:tcPr>
            <w:tcW w:w="2411" w:type="dxa"/>
            <w:vMerge/>
            <w:tcBorders>
              <w:left w:val="single" w:sz="12" w:space="0" w:color="000000"/>
              <w:right w:val="single" w:sz="4" w:space="0" w:color="000000"/>
            </w:tcBorders>
            <w:shd w:val="clear" w:color="auto" w:fill="D2D2D2"/>
          </w:tcPr>
          <w:p>
            <w:pPr/>
          </w:p>
        </w:tc>
        <w:tc>
          <w:tcPr>
            <w:tcW w:w="1552" w:type="dxa"/>
            <w:tcBorders>
              <w:top w:val="nil" w:sz="6" w:space="0" w:color="auto"/>
              <w:left w:val="single" w:sz="4" w:space="0" w:color="000000"/>
              <w:bottom w:val="nil" w:sz="6" w:space="0" w:color="auto"/>
              <w:right w:val="single" w:sz="4" w:space="0" w:color="000000"/>
            </w:tcBorders>
          </w:tcPr>
          <w:p>
            <w:pPr>
              <w:pStyle w:val="TableParagraph"/>
              <w:spacing w:line="300" w:lineRule="auto" w:before="11"/>
              <w:ind w:left="23" w:right="156"/>
              <w:jc w:val="left"/>
              <w:rPr>
                <w:rFonts w:ascii="宋体" w:hAnsi="宋体" w:cs="宋体" w:eastAsia="宋体" w:hint="default"/>
                <w:sz w:val="18"/>
                <w:szCs w:val="18"/>
              </w:rPr>
            </w:pPr>
            <w:r>
              <w:rPr>
                <w:rFonts w:ascii="宋体" w:hAnsi="宋体" w:cs="宋体" w:eastAsia="宋体" w:hint="default"/>
                <w:sz w:val="18"/>
                <w:szCs w:val="18"/>
              </w:rPr>
              <w:t>任红军</w:t>
            </w:r>
            <w:r>
              <w:rPr>
                <w:rFonts w:ascii="Times New Roman" w:hAnsi="Times New Roman" w:cs="Times New Roman" w:eastAsia="Times New Roman" w:hint="default"/>
                <w:sz w:val="18"/>
                <w:szCs w:val="18"/>
              </w:rPr>
              <w:t>;</w:t>
            </w:r>
            <w:r>
              <w:rPr>
                <w:rFonts w:ascii="宋体" w:hAnsi="宋体" w:cs="宋体" w:eastAsia="宋体" w:hint="default"/>
                <w:sz w:val="18"/>
                <w:szCs w:val="18"/>
              </w:rPr>
              <w:t>刘瑞玲</w:t>
            </w:r>
            <w:r>
              <w:rPr>
                <w:rFonts w:ascii="Times New Roman" w:hAnsi="Times New Roman" w:cs="Times New Roman" w:eastAsia="Times New Roman" w:hint="default"/>
                <w:sz w:val="18"/>
                <w:szCs w:val="18"/>
              </w:rPr>
              <w:t>;</w:t>
            </w:r>
            <w:r>
              <w:rPr>
                <w:rFonts w:ascii="宋体" w:hAnsi="宋体" w:cs="宋体" w:eastAsia="宋体" w:hint="default"/>
                <w:sz w:val="18"/>
                <w:szCs w:val="18"/>
              </w:rPr>
              <w:t>张 小水</w:t>
            </w:r>
            <w:r>
              <w:rPr>
                <w:rFonts w:ascii="Times New Roman" w:hAnsi="Times New Roman" w:cs="Times New Roman" w:eastAsia="Times New Roman" w:hint="default"/>
                <w:sz w:val="18"/>
                <w:szCs w:val="18"/>
              </w:rPr>
              <w:t>;</w:t>
            </w:r>
            <w:r>
              <w:rPr>
                <w:rFonts w:ascii="宋体" w:hAnsi="宋体" w:cs="宋体" w:eastAsia="宋体" w:hint="default"/>
                <w:sz w:val="18"/>
                <w:szCs w:val="18"/>
              </w:rPr>
              <w:t>焦桂东</w:t>
            </w:r>
          </w:p>
        </w:tc>
        <w:tc>
          <w:tcPr>
            <w:tcW w:w="85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4"/>
              <w:jc w:val="left"/>
              <w:rPr>
                <w:rFonts w:ascii="宋体" w:hAnsi="宋体" w:cs="宋体" w:eastAsia="宋体" w:hint="default"/>
                <w:sz w:val="18"/>
                <w:szCs w:val="18"/>
              </w:rPr>
            </w:pPr>
            <w:r>
              <w:rPr>
                <w:rFonts w:ascii="宋体" w:hAnsi="宋体" w:cs="宋体" w:eastAsia="宋体" w:hint="default"/>
                <w:sz w:val="18"/>
                <w:szCs w:val="18"/>
              </w:rPr>
              <w:t>联交易、 资金占用</w:t>
            </w: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5"/>
              <w:jc w:val="left"/>
              <w:rPr>
                <w:rFonts w:ascii="宋体" w:hAnsi="宋体" w:cs="宋体" w:eastAsia="宋体" w:hint="default"/>
                <w:sz w:val="18"/>
                <w:szCs w:val="18"/>
              </w:rPr>
            </w:pPr>
            <w:r>
              <w:rPr>
                <w:rFonts w:ascii="宋体" w:hAnsi="宋体" w:cs="宋体" w:eastAsia="宋体" w:hint="default"/>
                <w:sz w:val="18"/>
                <w:szCs w:val="18"/>
              </w:rPr>
              <w:t>关联交易事项时，将严格按 照公司章程及相关法律法规</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73"/>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778" w:type="dxa"/>
            <w:tcBorders>
              <w:top w:val="nil" w:sz="6" w:space="0" w:color="auto"/>
              <w:left w:val="single" w:sz="4" w:space="0" w:color="000000"/>
              <w:bottom w:val="nil" w:sz="6" w:space="0" w:color="auto"/>
              <w:right w:val="single" w:sz="12" w:space="0" w:color="000000"/>
            </w:tcBorders>
          </w:tcPr>
          <w:p>
            <w:pPr>
              <w:pStyle w:val="TableParagraph"/>
              <w:spacing w:line="316" w:lineRule="auto" w:before="10"/>
              <w:ind w:left="22" w:right="13"/>
              <w:jc w:val="left"/>
              <w:rPr>
                <w:rFonts w:ascii="宋体" w:hAnsi="宋体" w:cs="宋体" w:eastAsia="宋体" w:hint="default"/>
                <w:sz w:val="18"/>
                <w:szCs w:val="18"/>
              </w:rPr>
            </w:pPr>
            <w:r>
              <w:rPr>
                <w:rFonts w:ascii="宋体" w:hAnsi="宋体" w:cs="宋体" w:eastAsia="宋体" w:hint="default"/>
                <w:sz w:val="18"/>
                <w:szCs w:val="18"/>
              </w:rPr>
              <w:t>述承诺人 均遵守了</w:t>
            </w:r>
          </w:p>
        </w:tc>
      </w:tr>
      <w:tr>
        <w:trPr>
          <w:trHeight w:val="308" w:hRule="exact"/>
        </w:trPr>
        <w:tc>
          <w:tcPr>
            <w:tcW w:w="2411" w:type="dxa"/>
            <w:vMerge/>
            <w:tcBorders>
              <w:left w:val="single" w:sz="12" w:space="0" w:color="000000"/>
              <w:right w:val="single" w:sz="4" w:space="0" w:color="000000"/>
            </w:tcBorders>
            <w:shd w:val="clear" w:color="auto" w:fill="D2D2D2"/>
          </w:tcPr>
          <w:p>
            <w:pPr/>
          </w:p>
        </w:tc>
        <w:tc>
          <w:tcPr>
            <w:tcW w:w="1552"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方面的承</w:t>
            </w: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规定，</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12"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所做的承</w:t>
            </w:r>
          </w:p>
        </w:tc>
      </w:tr>
      <w:tr>
        <w:trPr>
          <w:trHeight w:val="355" w:hRule="exact"/>
        </w:trPr>
        <w:tc>
          <w:tcPr>
            <w:tcW w:w="2411" w:type="dxa"/>
            <w:vMerge/>
            <w:tcBorders>
              <w:left w:val="single" w:sz="12" w:space="0" w:color="000000"/>
              <w:right w:val="single" w:sz="4" w:space="0" w:color="000000"/>
            </w:tcBorders>
            <w:shd w:val="clear" w:color="auto" w:fill="D2D2D2"/>
          </w:tcPr>
          <w:p>
            <w:pPr/>
          </w:p>
        </w:tc>
        <w:tc>
          <w:tcPr>
            <w:tcW w:w="1552" w:type="dxa"/>
            <w:tcBorders>
              <w:top w:val="nil" w:sz="6" w:space="0" w:color="auto"/>
              <w:left w:val="single" w:sz="4" w:space="0" w:color="000000"/>
              <w:bottom w:val="single" w:sz="4" w:space="0" w:color="000000"/>
              <w:right w:val="single" w:sz="4" w:space="0" w:color="000000"/>
            </w:tcBorders>
          </w:tcPr>
          <w:p>
            <w:pPr/>
          </w:p>
        </w:tc>
        <w:tc>
          <w:tcPr>
            <w:tcW w:w="8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w:t>
            </w:r>
          </w:p>
        </w:tc>
        <w:tc>
          <w:tcPr>
            <w:tcW w:w="2268"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12"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w:t>
            </w:r>
          </w:p>
        </w:tc>
      </w:tr>
      <w:tr>
        <w:trPr>
          <w:trHeight w:val="358" w:hRule="exact"/>
        </w:trPr>
        <w:tc>
          <w:tcPr>
            <w:tcW w:w="2411" w:type="dxa"/>
            <w:vMerge/>
            <w:tcBorders>
              <w:left w:val="single" w:sz="12" w:space="0" w:color="000000"/>
              <w:right w:val="single" w:sz="4" w:space="0" w:color="000000"/>
            </w:tcBorders>
            <w:shd w:val="clear" w:color="auto" w:fill="D2D2D2"/>
          </w:tcPr>
          <w:p>
            <w:pPr/>
          </w:p>
        </w:tc>
        <w:tc>
          <w:tcPr>
            <w:tcW w:w="1552" w:type="dxa"/>
            <w:tcBorders>
              <w:top w:val="single" w:sz="4" w:space="0" w:color="000000"/>
              <w:left w:val="single" w:sz="4" w:space="0" w:color="000000"/>
              <w:bottom w:val="nil" w:sz="6" w:space="0" w:color="auto"/>
              <w:right w:val="single" w:sz="4" w:space="0" w:color="000000"/>
            </w:tcBorders>
          </w:tcPr>
          <w:p>
            <w:pPr/>
          </w:p>
        </w:tc>
        <w:tc>
          <w:tcPr>
            <w:tcW w:w="859" w:type="dxa"/>
            <w:tcBorders>
              <w:top w:val="single" w:sz="4" w:space="0" w:color="000000"/>
              <w:left w:val="single" w:sz="4" w:space="0" w:color="000000"/>
              <w:bottom w:val="nil" w:sz="6" w:space="0" w:color="auto"/>
              <w:right w:val="single" w:sz="4" w:space="0" w:color="000000"/>
            </w:tcBorders>
          </w:tcPr>
          <w:p>
            <w:pPr/>
          </w:p>
        </w:tc>
        <w:tc>
          <w:tcPr>
            <w:tcW w:w="22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上市前，公司董事、监事、</w:t>
            </w:r>
          </w:p>
        </w:tc>
        <w:tc>
          <w:tcPr>
            <w:tcW w:w="850"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12" w:space="0" w:color="000000"/>
            </w:tcBorders>
          </w:tcPr>
          <w:p>
            <w:pPr/>
          </w:p>
        </w:tc>
      </w:tr>
      <w:tr>
        <w:trPr>
          <w:trHeight w:val="316" w:hRule="exact"/>
        </w:trPr>
        <w:tc>
          <w:tcPr>
            <w:tcW w:w="2411" w:type="dxa"/>
            <w:vMerge/>
            <w:tcBorders>
              <w:left w:val="single" w:sz="12" w:space="0" w:color="000000"/>
              <w:right w:val="single" w:sz="4" w:space="0" w:color="000000"/>
            </w:tcBorders>
            <w:shd w:val="clear" w:color="auto" w:fill="D2D2D2"/>
          </w:tcPr>
          <w:p>
            <w:pPr/>
          </w:p>
        </w:tc>
        <w:tc>
          <w:tcPr>
            <w:tcW w:w="1552"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高管承诺</w:t>
            </w:r>
            <w:r>
              <w:rPr>
                <w:rFonts w:ascii="Times New Roman" w:hAnsi="Times New Roman" w:cs="Times New Roman" w:eastAsia="Times New Roman" w:hint="default"/>
                <w:sz w:val="18"/>
                <w:szCs w:val="18"/>
              </w:rPr>
              <w:t>:1</w:t>
            </w:r>
            <w:r>
              <w:rPr>
                <w:rFonts w:ascii="宋体" w:hAnsi="宋体" w:cs="宋体" w:eastAsia="宋体" w:hint="default"/>
                <w:spacing w:val="-88"/>
                <w:sz w:val="18"/>
                <w:szCs w:val="18"/>
              </w:rPr>
              <w:t>、</w:t>
            </w:r>
            <w:r>
              <w:rPr>
                <w:rFonts w:ascii="宋体" w:hAnsi="宋体" w:cs="宋体" w:eastAsia="宋体" w:hint="default"/>
                <w:spacing w:val="-2"/>
                <w:sz w:val="18"/>
                <w:szCs w:val="18"/>
              </w:rPr>
              <w:t>不</w:t>
            </w:r>
            <w:r>
              <w:rPr>
                <w:rFonts w:ascii="宋体" w:hAnsi="宋体" w:cs="宋体" w:eastAsia="宋体" w:hint="default"/>
                <w:sz w:val="18"/>
                <w:szCs w:val="18"/>
              </w:rPr>
              <w:t>存在自营或为</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12" w:space="0" w:color="000000"/>
            </w:tcBorders>
          </w:tcPr>
          <w:p>
            <w:pPr/>
          </w:p>
        </w:tc>
      </w:tr>
      <w:tr>
        <w:trPr>
          <w:trHeight w:val="308" w:hRule="exact"/>
        </w:trPr>
        <w:tc>
          <w:tcPr>
            <w:tcW w:w="2411" w:type="dxa"/>
            <w:vMerge/>
            <w:tcBorders>
              <w:left w:val="single" w:sz="12" w:space="0" w:color="000000"/>
              <w:right w:val="single" w:sz="4" w:space="0" w:color="000000"/>
            </w:tcBorders>
            <w:shd w:val="clear" w:color="auto" w:fill="D2D2D2"/>
          </w:tcPr>
          <w:p>
            <w:pPr/>
          </w:p>
        </w:tc>
        <w:tc>
          <w:tcPr>
            <w:tcW w:w="1552"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关于同业</w:t>
            </w: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他人经营与公司同类业务的</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12"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截至报告</w:t>
            </w:r>
          </w:p>
        </w:tc>
      </w:tr>
      <w:tr>
        <w:trPr>
          <w:trHeight w:val="1247" w:hRule="exact"/>
        </w:trPr>
        <w:tc>
          <w:tcPr>
            <w:tcW w:w="2411" w:type="dxa"/>
            <w:vMerge/>
            <w:tcBorders>
              <w:left w:val="single" w:sz="12" w:space="0" w:color="000000"/>
              <w:right w:val="single" w:sz="4" w:space="0" w:color="000000"/>
            </w:tcBorders>
            <w:shd w:val="clear" w:color="auto" w:fill="D2D2D2"/>
          </w:tcPr>
          <w:p>
            <w:pPr/>
          </w:p>
        </w:tc>
        <w:tc>
          <w:tcPr>
            <w:tcW w:w="15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00" w:lineRule="auto"/>
              <w:ind w:left="23" w:right="156"/>
              <w:jc w:val="both"/>
              <w:rPr>
                <w:rFonts w:ascii="宋体" w:hAnsi="宋体" w:cs="宋体" w:eastAsia="宋体" w:hint="default"/>
                <w:sz w:val="18"/>
                <w:szCs w:val="18"/>
              </w:rPr>
            </w:pPr>
            <w:r>
              <w:rPr>
                <w:rFonts w:ascii="宋体" w:hAnsi="宋体" w:cs="宋体" w:eastAsia="宋体" w:hint="default"/>
                <w:sz w:val="18"/>
                <w:szCs w:val="18"/>
              </w:rPr>
              <w:t>刘瑞玲</w:t>
            </w:r>
            <w:r>
              <w:rPr>
                <w:rFonts w:ascii="Times New Roman" w:hAnsi="Times New Roman" w:cs="Times New Roman" w:eastAsia="Times New Roman" w:hint="default"/>
                <w:sz w:val="18"/>
                <w:szCs w:val="18"/>
              </w:rPr>
              <w:t>;</w:t>
            </w:r>
            <w:r>
              <w:rPr>
                <w:rFonts w:ascii="宋体" w:hAnsi="宋体" w:cs="宋体" w:eastAsia="宋体" w:hint="default"/>
                <w:sz w:val="18"/>
                <w:szCs w:val="18"/>
              </w:rPr>
              <w:t>张小水</w:t>
            </w:r>
            <w:r>
              <w:rPr>
                <w:rFonts w:ascii="Times New Roman" w:hAnsi="Times New Roman" w:cs="Times New Roman" w:eastAsia="Times New Roman" w:hint="default"/>
                <w:sz w:val="18"/>
                <w:szCs w:val="18"/>
              </w:rPr>
              <w:t>;</w:t>
            </w:r>
            <w:r>
              <w:rPr>
                <w:rFonts w:ascii="宋体" w:hAnsi="宋体" w:cs="宋体" w:eastAsia="宋体" w:hint="default"/>
                <w:sz w:val="18"/>
                <w:szCs w:val="18"/>
              </w:rPr>
              <w:t>焦 桂东</w:t>
            </w:r>
            <w:r>
              <w:rPr>
                <w:rFonts w:ascii="Times New Roman" w:hAnsi="Times New Roman" w:cs="Times New Roman" w:eastAsia="Times New Roman" w:hint="default"/>
                <w:sz w:val="18"/>
                <w:szCs w:val="18"/>
              </w:rPr>
              <w:t>;</w:t>
            </w:r>
            <w:r>
              <w:rPr>
                <w:rFonts w:ascii="宋体" w:hAnsi="宋体" w:cs="宋体" w:eastAsia="宋体" w:hint="default"/>
                <w:sz w:val="18"/>
                <w:szCs w:val="18"/>
              </w:rPr>
              <w:t>张艳丽</w:t>
            </w:r>
            <w:r>
              <w:rPr>
                <w:rFonts w:ascii="Times New Roman" w:hAnsi="Times New Roman" w:cs="Times New Roman" w:eastAsia="Times New Roman" w:hint="default"/>
                <w:sz w:val="18"/>
                <w:szCs w:val="18"/>
              </w:rPr>
              <w:t>;</w:t>
            </w:r>
            <w:r>
              <w:rPr>
                <w:rFonts w:ascii="宋体" w:hAnsi="宋体" w:cs="宋体" w:eastAsia="宋体" w:hint="default"/>
                <w:sz w:val="18"/>
                <w:szCs w:val="18"/>
              </w:rPr>
              <w:t>尚中</w:t>
            </w:r>
            <w:r>
              <w:rPr>
                <w:rFonts w:ascii="宋体" w:hAnsi="宋体" w:cs="宋体" w:eastAsia="宋体" w:hint="default"/>
                <w:spacing w:val="-2"/>
                <w:sz w:val="18"/>
                <w:szCs w:val="18"/>
              </w:rPr>
              <w:t> </w:t>
            </w:r>
            <w:r>
              <w:rPr>
                <w:rFonts w:ascii="宋体" w:hAnsi="宋体" w:cs="宋体" w:eastAsia="宋体" w:hint="default"/>
                <w:sz w:val="18"/>
                <w:szCs w:val="18"/>
              </w:rPr>
              <w:t>锋</w:t>
            </w:r>
            <w:r>
              <w:rPr>
                <w:rFonts w:ascii="Times New Roman" w:hAnsi="Times New Roman" w:cs="Times New Roman" w:eastAsia="Times New Roman" w:hint="default"/>
                <w:sz w:val="18"/>
                <w:szCs w:val="18"/>
              </w:rPr>
              <w:t>;</w:t>
            </w:r>
            <w:r>
              <w:rPr>
                <w:rFonts w:ascii="宋体" w:hAnsi="宋体" w:cs="宋体" w:eastAsia="宋体" w:hint="default"/>
                <w:sz w:val="18"/>
                <w:szCs w:val="18"/>
              </w:rPr>
              <w:t>任红军</w:t>
            </w:r>
          </w:p>
        </w:tc>
        <w:tc>
          <w:tcPr>
            <w:tcW w:w="85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4"/>
              <w:jc w:val="both"/>
              <w:rPr>
                <w:rFonts w:ascii="宋体" w:hAnsi="宋体" w:cs="宋体" w:eastAsia="宋体" w:hint="default"/>
                <w:sz w:val="18"/>
                <w:szCs w:val="18"/>
              </w:rPr>
            </w:pPr>
            <w:r>
              <w:rPr>
                <w:rFonts w:ascii="宋体" w:hAnsi="宋体" w:cs="宋体" w:eastAsia="宋体" w:hint="default"/>
                <w:sz w:val="18"/>
                <w:szCs w:val="18"/>
              </w:rPr>
              <w:t>竞争、关 联交易、 资金占用 方面的承</w:t>
            </w: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312" w:lineRule="auto" w:before="10"/>
              <w:ind w:left="22" w:right="22"/>
              <w:jc w:val="both"/>
              <w:rPr>
                <w:rFonts w:ascii="宋体" w:hAnsi="宋体" w:cs="宋体" w:eastAsia="宋体" w:hint="default"/>
                <w:sz w:val="18"/>
                <w:szCs w:val="18"/>
              </w:rPr>
            </w:pPr>
            <w:r>
              <w:rPr>
                <w:rFonts w:ascii="宋体" w:hAnsi="宋体" w:cs="宋体" w:eastAsia="宋体" w:hint="default"/>
                <w:spacing w:val="-4"/>
                <w:sz w:val="18"/>
                <w:szCs w:val="18"/>
              </w:rPr>
              <w:t>情况；</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、在担任公司职务期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间，不在任何地域以任何形 式从事可能与公司构成同业 竞争关系的活动，同时督促</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73"/>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778" w:type="dxa"/>
            <w:tcBorders>
              <w:top w:val="nil" w:sz="6" w:space="0" w:color="auto"/>
              <w:left w:val="single" w:sz="4" w:space="0" w:color="000000"/>
              <w:bottom w:val="nil" w:sz="6" w:space="0" w:color="auto"/>
              <w:right w:val="single" w:sz="12" w:space="0" w:color="000000"/>
            </w:tcBorders>
          </w:tcPr>
          <w:p>
            <w:pPr>
              <w:pStyle w:val="TableParagraph"/>
              <w:spacing w:line="316" w:lineRule="auto" w:before="10"/>
              <w:ind w:left="22" w:right="13"/>
              <w:jc w:val="both"/>
              <w:rPr>
                <w:rFonts w:ascii="宋体" w:hAnsi="宋体" w:cs="宋体" w:eastAsia="宋体" w:hint="default"/>
                <w:sz w:val="18"/>
                <w:szCs w:val="18"/>
              </w:rPr>
            </w:pPr>
            <w:r>
              <w:rPr>
                <w:rFonts w:ascii="宋体" w:hAnsi="宋体" w:cs="宋体" w:eastAsia="宋体" w:hint="default"/>
                <w:sz w:val="18"/>
                <w:szCs w:val="18"/>
              </w:rPr>
              <w:t>期末，上 述承诺人 均遵守了 所做的承</w:t>
            </w:r>
          </w:p>
        </w:tc>
      </w:tr>
      <w:tr>
        <w:trPr>
          <w:trHeight w:val="313" w:hRule="exact"/>
        </w:trPr>
        <w:tc>
          <w:tcPr>
            <w:tcW w:w="2411" w:type="dxa"/>
            <w:vMerge/>
            <w:tcBorders>
              <w:left w:val="single" w:sz="12" w:space="0" w:color="000000"/>
              <w:right w:val="single" w:sz="4" w:space="0" w:color="000000"/>
            </w:tcBorders>
            <w:shd w:val="clear" w:color="auto" w:fill="D2D2D2"/>
          </w:tcPr>
          <w:p>
            <w:pPr/>
          </w:p>
        </w:tc>
        <w:tc>
          <w:tcPr>
            <w:tcW w:w="1552"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诺</w:t>
            </w: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其本人的配偶、成年子女及</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12"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诺。</w:t>
            </w:r>
          </w:p>
        </w:tc>
      </w:tr>
      <w:tr>
        <w:trPr>
          <w:trHeight w:val="312" w:hRule="exact"/>
        </w:trPr>
        <w:tc>
          <w:tcPr>
            <w:tcW w:w="2411" w:type="dxa"/>
            <w:vMerge/>
            <w:tcBorders>
              <w:left w:val="single" w:sz="12" w:space="0" w:color="000000"/>
              <w:right w:val="single" w:sz="4" w:space="0" w:color="000000"/>
            </w:tcBorders>
            <w:shd w:val="clear" w:color="auto" w:fill="D2D2D2"/>
          </w:tcPr>
          <w:p>
            <w:pPr/>
          </w:p>
        </w:tc>
        <w:tc>
          <w:tcPr>
            <w:tcW w:w="1552"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其配偶等主要亲属遵守上述</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12" w:space="0" w:color="000000"/>
            </w:tcBorders>
          </w:tcPr>
          <w:p>
            <w:pPr/>
          </w:p>
        </w:tc>
      </w:tr>
      <w:tr>
        <w:trPr>
          <w:trHeight w:val="356" w:hRule="exact"/>
        </w:trPr>
        <w:tc>
          <w:tcPr>
            <w:tcW w:w="2411" w:type="dxa"/>
            <w:vMerge/>
            <w:tcBorders>
              <w:left w:val="single" w:sz="12" w:space="0" w:color="000000"/>
              <w:right w:val="single" w:sz="4" w:space="0" w:color="000000"/>
            </w:tcBorders>
            <w:shd w:val="clear" w:color="auto" w:fill="D2D2D2"/>
          </w:tcPr>
          <w:p>
            <w:pPr/>
          </w:p>
        </w:tc>
        <w:tc>
          <w:tcPr>
            <w:tcW w:w="1552" w:type="dxa"/>
            <w:tcBorders>
              <w:top w:val="nil" w:sz="6" w:space="0" w:color="auto"/>
              <w:left w:val="single" w:sz="4" w:space="0" w:color="000000"/>
              <w:bottom w:val="single" w:sz="4" w:space="0" w:color="000000"/>
              <w:right w:val="single" w:sz="4" w:space="0" w:color="000000"/>
            </w:tcBorders>
          </w:tcPr>
          <w:p>
            <w:pPr/>
          </w:p>
        </w:tc>
        <w:tc>
          <w:tcPr>
            <w:tcW w:w="859" w:type="dxa"/>
            <w:tcBorders>
              <w:top w:val="nil" w:sz="6" w:space="0" w:color="auto"/>
              <w:left w:val="single" w:sz="4" w:space="0" w:color="000000"/>
              <w:bottom w:val="single" w:sz="4" w:space="0" w:color="000000"/>
              <w:right w:val="single" w:sz="4" w:space="0" w:color="000000"/>
            </w:tcBorders>
          </w:tcPr>
          <w:p>
            <w:pPr/>
          </w:p>
        </w:tc>
        <w:tc>
          <w:tcPr>
            <w:tcW w:w="22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承诺的约束。</w:t>
            </w:r>
          </w:p>
        </w:tc>
        <w:tc>
          <w:tcPr>
            <w:tcW w:w="850"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12" w:space="0" w:color="000000"/>
            </w:tcBorders>
          </w:tcPr>
          <w:p>
            <w:pPr/>
          </w:p>
        </w:tc>
      </w:tr>
      <w:tr>
        <w:trPr>
          <w:trHeight w:val="349" w:hRule="exact"/>
        </w:trPr>
        <w:tc>
          <w:tcPr>
            <w:tcW w:w="2411" w:type="dxa"/>
            <w:vMerge/>
            <w:tcBorders>
              <w:left w:val="single" w:sz="12" w:space="0" w:color="000000"/>
              <w:right w:val="single" w:sz="4" w:space="0" w:color="000000"/>
            </w:tcBorders>
            <w:shd w:val="clear" w:color="auto" w:fill="D2D2D2"/>
          </w:tcPr>
          <w:p>
            <w:pPr/>
          </w:p>
        </w:tc>
        <w:tc>
          <w:tcPr>
            <w:tcW w:w="1552" w:type="dxa"/>
            <w:tcBorders>
              <w:top w:val="single" w:sz="4" w:space="0" w:color="000000"/>
              <w:left w:val="single" w:sz="4" w:space="0" w:color="000000"/>
              <w:bottom w:val="nil" w:sz="6" w:space="0" w:color="auto"/>
              <w:right w:val="single" w:sz="4" w:space="0" w:color="000000"/>
            </w:tcBorders>
          </w:tcPr>
          <w:p>
            <w:pPr/>
          </w:p>
        </w:tc>
        <w:tc>
          <w:tcPr>
            <w:tcW w:w="859" w:type="dxa"/>
            <w:tcBorders>
              <w:top w:val="single" w:sz="4" w:space="0" w:color="000000"/>
              <w:left w:val="single" w:sz="4" w:space="0" w:color="000000"/>
              <w:bottom w:val="nil" w:sz="6" w:space="0" w:color="auto"/>
              <w:right w:val="single" w:sz="4" w:space="0" w:color="000000"/>
            </w:tcBorders>
          </w:tcPr>
          <w:p>
            <w:pPr/>
          </w:p>
        </w:tc>
        <w:tc>
          <w:tcPr>
            <w:tcW w:w="22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上市前，公司实际控制人及</w:t>
            </w:r>
          </w:p>
        </w:tc>
        <w:tc>
          <w:tcPr>
            <w:tcW w:w="850"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12" w:space="0" w:color="000000"/>
            </w:tcBorders>
          </w:tcPr>
          <w:p>
            <w:pPr/>
          </w:p>
        </w:tc>
      </w:tr>
      <w:tr>
        <w:trPr>
          <w:trHeight w:val="316" w:hRule="exact"/>
        </w:trPr>
        <w:tc>
          <w:tcPr>
            <w:tcW w:w="2411" w:type="dxa"/>
            <w:vMerge/>
            <w:tcBorders>
              <w:left w:val="single" w:sz="12" w:space="0" w:color="000000"/>
              <w:right w:val="single" w:sz="4" w:space="0" w:color="000000"/>
            </w:tcBorders>
            <w:shd w:val="clear" w:color="auto" w:fill="D2D2D2"/>
          </w:tcPr>
          <w:p>
            <w:pPr/>
          </w:p>
        </w:tc>
        <w:tc>
          <w:tcPr>
            <w:tcW w:w="1552"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关于同业</w:t>
            </w: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以上股东任红军、钟</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12" w:space="0" w:color="000000"/>
            </w:tcBorders>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截至报告</w:t>
            </w:r>
          </w:p>
        </w:tc>
      </w:tr>
      <w:tr>
        <w:trPr>
          <w:trHeight w:val="312" w:hRule="exact"/>
        </w:trPr>
        <w:tc>
          <w:tcPr>
            <w:tcW w:w="2411" w:type="dxa"/>
            <w:vMerge/>
            <w:tcBorders>
              <w:left w:val="single" w:sz="12" w:space="0" w:color="000000"/>
              <w:right w:val="single" w:sz="4" w:space="0" w:color="000000"/>
            </w:tcBorders>
            <w:shd w:val="clear" w:color="auto" w:fill="D2D2D2"/>
          </w:tcPr>
          <w:p>
            <w:pPr/>
          </w:p>
        </w:tc>
        <w:tc>
          <w:tcPr>
            <w:tcW w:w="1552"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竞争、关</w:t>
            </w: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z w:val="18"/>
                <w:szCs w:val="18"/>
              </w:rPr>
              <w:t>超承诺：</w:t>
            </w:r>
            <w:r>
              <w:rPr>
                <w:rFonts w:ascii="Times New Roman" w:hAnsi="Times New Roman" w:cs="Times New Roman" w:eastAsia="Times New Roman" w:hint="default"/>
                <w:sz w:val="18"/>
                <w:szCs w:val="18"/>
              </w:rPr>
              <w:t>1</w:t>
            </w:r>
            <w:r>
              <w:rPr>
                <w:rFonts w:ascii="宋体" w:hAnsi="宋体" w:cs="宋体" w:eastAsia="宋体" w:hint="default"/>
                <w:sz w:val="18"/>
                <w:szCs w:val="18"/>
              </w:rPr>
              <w:t>、在其持有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12" w:space="0" w:color="000000"/>
            </w:tcBorders>
          </w:tcPr>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期末，上</w:t>
            </w:r>
          </w:p>
        </w:tc>
      </w:tr>
      <w:tr>
        <w:trPr>
          <w:trHeight w:val="619" w:hRule="exact"/>
        </w:trPr>
        <w:tc>
          <w:tcPr>
            <w:tcW w:w="2411" w:type="dxa"/>
            <w:vMerge/>
            <w:tcBorders>
              <w:left w:val="single" w:sz="12" w:space="0" w:color="000000"/>
              <w:right w:val="single" w:sz="4" w:space="0" w:color="000000"/>
            </w:tcBorders>
            <w:shd w:val="clear" w:color="auto" w:fill="D2D2D2"/>
          </w:tcPr>
          <w:p>
            <w:pPr/>
          </w:p>
        </w:tc>
        <w:tc>
          <w:tcPr>
            <w:tcW w:w="1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53"/>
              <w:ind w:left="23" w:right="0"/>
              <w:jc w:val="left"/>
              <w:rPr>
                <w:rFonts w:ascii="宋体" w:hAnsi="宋体" w:cs="宋体" w:eastAsia="宋体" w:hint="default"/>
                <w:sz w:val="18"/>
                <w:szCs w:val="18"/>
              </w:rPr>
            </w:pPr>
            <w:r>
              <w:rPr>
                <w:rFonts w:ascii="宋体" w:hAnsi="宋体" w:cs="宋体" w:eastAsia="宋体" w:hint="default"/>
                <w:sz w:val="18"/>
                <w:szCs w:val="18"/>
              </w:rPr>
              <w:t>任红军</w:t>
            </w:r>
            <w:r>
              <w:rPr>
                <w:rFonts w:ascii="Times New Roman" w:hAnsi="Times New Roman" w:cs="Times New Roman" w:eastAsia="Times New Roman" w:hint="default"/>
                <w:sz w:val="18"/>
                <w:szCs w:val="18"/>
              </w:rPr>
              <w:t>;</w:t>
            </w:r>
            <w:r>
              <w:rPr>
                <w:rFonts w:ascii="宋体" w:hAnsi="宋体" w:cs="宋体" w:eastAsia="宋体" w:hint="default"/>
                <w:sz w:val="18"/>
                <w:szCs w:val="18"/>
              </w:rPr>
              <w:t>钟超</w:t>
            </w:r>
          </w:p>
        </w:tc>
        <w:tc>
          <w:tcPr>
            <w:tcW w:w="859" w:type="dxa"/>
            <w:tcBorders>
              <w:top w:val="nil" w:sz="6" w:space="0" w:color="auto"/>
              <w:left w:val="single" w:sz="4" w:space="0" w:color="000000"/>
              <w:bottom w:val="nil" w:sz="6" w:space="0" w:color="auto"/>
              <w:right w:val="single" w:sz="4" w:space="0" w:color="000000"/>
            </w:tcBorders>
          </w:tcPr>
          <w:p>
            <w:pPr>
              <w:pStyle w:val="TableParagraph"/>
              <w:spacing w:line="319" w:lineRule="auto"/>
              <w:ind w:left="22" w:right="104"/>
              <w:jc w:val="left"/>
              <w:rPr>
                <w:rFonts w:ascii="宋体" w:hAnsi="宋体" w:cs="宋体" w:eastAsia="宋体" w:hint="default"/>
                <w:sz w:val="18"/>
                <w:szCs w:val="18"/>
              </w:rPr>
            </w:pPr>
            <w:r>
              <w:rPr>
                <w:rFonts w:ascii="宋体" w:hAnsi="宋体" w:cs="宋体" w:eastAsia="宋体" w:hint="default"/>
                <w:sz w:val="18"/>
                <w:szCs w:val="18"/>
              </w:rPr>
              <w:t>联交易、 资金占用</w:t>
            </w: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319" w:lineRule="auto" w:before="15"/>
              <w:ind w:left="22" w:right="22"/>
              <w:jc w:val="left"/>
              <w:rPr>
                <w:rFonts w:ascii="宋体" w:hAnsi="宋体" w:cs="宋体" w:eastAsia="宋体" w:hint="default"/>
                <w:sz w:val="18"/>
                <w:szCs w:val="18"/>
              </w:rPr>
            </w:pPr>
            <w:r>
              <w:rPr>
                <w:rFonts w:ascii="宋体" w:hAnsi="宋体" w:cs="宋体" w:eastAsia="宋体" w:hint="default"/>
                <w:sz w:val="18"/>
                <w:szCs w:val="18"/>
              </w:rPr>
              <w:t>上股份期间，</w:t>
            </w:r>
            <w:r>
              <w:rPr>
                <w:rFonts w:ascii="宋体" w:hAnsi="宋体" w:cs="宋体" w:eastAsia="宋体" w:hint="default"/>
                <w:spacing w:val="-39"/>
                <w:sz w:val="18"/>
                <w:szCs w:val="18"/>
              </w:rPr>
              <w:t> </w:t>
            </w:r>
            <w:r>
              <w:rPr>
                <w:rFonts w:ascii="宋体" w:hAnsi="宋体" w:cs="宋体" w:eastAsia="宋体" w:hint="default"/>
                <w:sz w:val="18"/>
                <w:szCs w:val="18"/>
              </w:rPr>
              <w:t>不在任何地域</w:t>
            </w:r>
            <w:r>
              <w:rPr>
                <w:rFonts w:ascii="宋体" w:hAnsi="宋体" w:cs="宋体" w:eastAsia="宋体" w:hint="default"/>
                <w:sz w:val="18"/>
                <w:szCs w:val="18"/>
              </w:rPr>
              <w:t> 以任何形式从事可能与公司</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6"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53"/>
              <w:ind w:right="73"/>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778" w:type="dxa"/>
            <w:tcBorders>
              <w:top w:val="nil" w:sz="6" w:space="0" w:color="auto"/>
              <w:left w:val="single" w:sz="4" w:space="0" w:color="000000"/>
              <w:bottom w:val="nil" w:sz="6" w:space="0" w:color="auto"/>
              <w:right w:val="single" w:sz="12" w:space="0" w:color="000000"/>
            </w:tcBorders>
          </w:tcPr>
          <w:p>
            <w:pPr>
              <w:pStyle w:val="TableParagraph"/>
              <w:spacing w:line="319" w:lineRule="auto"/>
              <w:ind w:left="22" w:right="13"/>
              <w:jc w:val="left"/>
              <w:rPr>
                <w:rFonts w:ascii="宋体" w:hAnsi="宋体" w:cs="宋体" w:eastAsia="宋体" w:hint="default"/>
                <w:sz w:val="18"/>
                <w:szCs w:val="18"/>
              </w:rPr>
            </w:pPr>
            <w:r>
              <w:rPr>
                <w:rFonts w:ascii="宋体" w:hAnsi="宋体" w:cs="宋体" w:eastAsia="宋体" w:hint="default"/>
                <w:sz w:val="18"/>
                <w:szCs w:val="18"/>
              </w:rPr>
              <w:t>述承诺人 均遵守了</w:t>
            </w:r>
          </w:p>
        </w:tc>
      </w:tr>
      <w:tr>
        <w:trPr>
          <w:trHeight w:val="313" w:hRule="exact"/>
        </w:trPr>
        <w:tc>
          <w:tcPr>
            <w:tcW w:w="2411" w:type="dxa"/>
            <w:vMerge/>
            <w:tcBorders>
              <w:left w:val="single" w:sz="12" w:space="0" w:color="000000"/>
              <w:right w:val="single" w:sz="4" w:space="0" w:color="000000"/>
            </w:tcBorders>
            <w:shd w:val="clear" w:color="auto" w:fill="D2D2D2"/>
          </w:tcPr>
          <w:p>
            <w:pPr/>
          </w:p>
        </w:tc>
        <w:tc>
          <w:tcPr>
            <w:tcW w:w="1552"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方面的承</w:t>
            </w: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构成同业竞争关系的活动；</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12" w:space="0" w:color="000000"/>
            </w:tcBorders>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所做的承</w:t>
            </w:r>
          </w:p>
        </w:tc>
      </w:tr>
      <w:tr>
        <w:trPr>
          <w:trHeight w:val="327" w:hRule="exact"/>
        </w:trPr>
        <w:tc>
          <w:tcPr>
            <w:tcW w:w="2411" w:type="dxa"/>
            <w:vMerge/>
            <w:tcBorders>
              <w:left w:val="single" w:sz="12" w:space="0" w:color="000000"/>
              <w:right w:val="single" w:sz="4" w:space="0" w:color="000000"/>
            </w:tcBorders>
            <w:shd w:val="clear" w:color="auto" w:fill="D2D2D2"/>
          </w:tcPr>
          <w:p>
            <w:pPr/>
          </w:p>
        </w:tc>
        <w:tc>
          <w:tcPr>
            <w:tcW w:w="1552"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诺</w:t>
            </w: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、从第三方获得的商业机会</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12"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诺。</w:t>
            </w:r>
          </w:p>
        </w:tc>
      </w:tr>
      <w:tr>
        <w:trPr>
          <w:trHeight w:val="322" w:hRule="exact"/>
        </w:trPr>
        <w:tc>
          <w:tcPr>
            <w:tcW w:w="2411" w:type="dxa"/>
            <w:vMerge/>
            <w:tcBorders>
              <w:left w:val="single" w:sz="12" w:space="0" w:color="000000"/>
              <w:bottom w:val="single" w:sz="12" w:space="0" w:color="000000"/>
              <w:right w:val="single" w:sz="4" w:space="0" w:color="000000"/>
            </w:tcBorders>
            <w:shd w:val="clear" w:color="auto" w:fill="D2D2D2"/>
          </w:tcPr>
          <w:p>
            <w:pPr/>
          </w:p>
        </w:tc>
        <w:tc>
          <w:tcPr>
            <w:tcW w:w="1552" w:type="dxa"/>
            <w:tcBorders>
              <w:top w:val="nil" w:sz="6" w:space="0" w:color="auto"/>
              <w:left w:val="single" w:sz="4" w:space="0" w:color="000000"/>
              <w:bottom w:val="single" w:sz="12" w:space="0" w:color="000000"/>
              <w:right w:val="single" w:sz="4" w:space="0" w:color="000000"/>
            </w:tcBorders>
          </w:tcPr>
          <w:p>
            <w:pPr/>
          </w:p>
        </w:tc>
        <w:tc>
          <w:tcPr>
            <w:tcW w:w="859" w:type="dxa"/>
            <w:tcBorders>
              <w:top w:val="nil" w:sz="6" w:space="0" w:color="auto"/>
              <w:left w:val="single" w:sz="4" w:space="0" w:color="000000"/>
              <w:bottom w:val="single" w:sz="12" w:space="0" w:color="000000"/>
              <w:right w:val="single" w:sz="4" w:space="0" w:color="000000"/>
            </w:tcBorders>
          </w:tcPr>
          <w:p>
            <w:pPr/>
          </w:p>
        </w:tc>
        <w:tc>
          <w:tcPr>
            <w:tcW w:w="226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如果属于公司主要业务范围</w:t>
            </w:r>
          </w:p>
        </w:tc>
        <w:tc>
          <w:tcPr>
            <w:tcW w:w="850" w:type="dxa"/>
            <w:tcBorders>
              <w:top w:val="nil" w:sz="6" w:space="0" w:color="auto"/>
              <w:left w:val="single" w:sz="4" w:space="0" w:color="000000"/>
              <w:bottom w:val="single" w:sz="12" w:space="0" w:color="000000"/>
              <w:right w:val="single" w:sz="4" w:space="0" w:color="000000"/>
            </w:tcBorders>
          </w:tcPr>
          <w:p>
            <w:pPr/>
          </w:p>
        </w:tc>
        <w:tc>
          <w:tcPr>
            <w:tcW w:w="851" w:type="dxa"/>
            <w:tcBorders>
              <w:top w:val="nil" w:sz="6" w:space="0" w:color="auto"/>
              <w:left w:val="single" w:sz="4" w:space="0" w:color="000000"/>
              <w:bottom w:val="single" w:sz="12" w:space="0" w:color="000000"/>
              <w:right w:val="single" w:sz="4" w:space="0" w:color="000000"/>
            </w:tcBorders>
          </w:tcPr>
          <w:p>
            <w:pPr/>
          </w:p>
        </w:tc>
        <w:tc>
          <w:tcPr>
            <w:tcW w:w="778" w:type="dxa"/>
            <w:tcBorders>
              <w:top w:val="nil" w:sz="6" w:space="0" w:color="auto"/>
              <w:left w:val="single" w:sz="4" w:space="0" w:color="000000"/>
              <w:bottom w:val="single" w:sz="12" w:space="0" w:color="000000"/>
              <w:right w:val="single" w:sz="12"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18" w:type="dxa"/>
        <w:tblLayout w:type="fixed"/>
        <w:tblCellMar>
          <w:top w:w="0" w:type="dxa"/>
          <w:left w:w="0" w:type="dxa"/>
          <w:bottom w:w="0" w:type="dxa"/>
          <w:right w:w="0" w:type="dxa"/>
        </w:tblCellMar>
        <w:tblLook w:val="01E0"/>
      </w:tblPr>
      <w:tblGrid>
        <w:gridCol w:w="2411"/>
        <w:gridCol w:w="1552"/>
        <w:gridCol w:w="859"/>
        <w:gridCol w:w="2268"/>
        <w:gridCol w:w="850"/>
        <w:gridCol w:w="851"/>
        <w:gridCol w:w="778"/>
      </w:tblGrid>
      <w:tr>
        <w:trPr>
          <w:trHeight w:val="1620" w:hRule="exact"/>
        </w:trPr>
        <w:tc>
          <w:tcPr>
            <w:tcW w:w="2411" w:type="dxa"/>
            <w:tcBorders>
              <w:top w:val="single" w:sz="12" w:space="0" w:color="000000"/>
              <w:left w:val="single" w:sz="12" w:space="0" w:color="000000"/>
              <w:bottom w:val="single" w:sz="4" w:space="0" w:color="000000"/>
              <w:right w:val="single" w:sz="4" w:space="0" w:color="000000"/>
            </w:tcBorders>
            <w:shd w:val="clear" w:color="auto" w:fill="D2D2D2"/>
          </w:tcPr>
          <w:p>
            <w:pPr/>
          </w:p>
        </w:tc>
        <w:tc>
          <w:tcPr>
            <w:tcW w:w="1552" w:type="dxa"/>
            <w:tcBorders>
              <w:top w:val="single" w:sz="12" w:space="0" w:color="000000"/>
              <w:left w:val="single" w:sz="4" w:space="0" w:color="000000"/>
              <w:bottom w:val="single" w:sz="4" w:space="0" w:color="000000"/>
              <w:right w:val="single" w:sz="4" w:space="0" w:color="000000"/>
            </w:tcBorders>
          </w:tcPr>
          <w:p>
            <w:pPr/>
          </w:p>
        </w:tc>
        <w:tc>
          <w:tcPr>
            <w:tcW w:w="859" w:type="dxa"/>
            <w:tcBorders>
              <w:top w:val="single" w:sz="12" w:space="0" w:color="000000"/>
              <w:left w:val="single" w:sz="4" w:space="0" w:color="000000"/>
              <w:bottom w:val="single" w:sz="4" w:space="0" w:color="000000"/>
              <w:right w:val="single" w:sz="4" w:space="0" w:color="000000"/>
            </w:tcBorders>
          </w:tcPr>
          <w:p>
            <w:pPr/>
          </w:p>
        </w:tc>
        <w:tc>
          <w:tcPr>
            <w:tcW w:w="2268" w:type="dxa"/>
            <w:tcBorders>
              <w:top w:val="single" w:sz="12" w:space="0" w:color="000000"/>
              <w:left w:val="single" w:sz="4" w:space="0" w:color="000000"/>
              <w:bottom w:val="single" w:sz="4" w:space="0" w:color="000000"/>
              <w:right w:val="single" w:sz="4" w:space="0" w:color="000000"/>
            </w:tcBorders>
          </w:tcPr>
          <w:p>
            <w:pPr>
              <w:pStyle w:val="TableParagraph"/>
              <w:spacing w:line="314" w:lineRule="auto" w:before="10"/>
              <w:ind w:left="22" w:right="-15"/>
              <w:jc w:val="left"/>
              <w:rPr>
                <w:rFonts w:ascii="宋体" w:hAnsi="宋体" w:cs="宋体" w:eastAsia="宋体" w:hint="default"/>
                <w:sz w:val="18"/>
                <w:szCs w:val="18"/>
              </w:rPr>
            </w:pPr>
            <w:r>
              <w:rPr>
                <w:rFonts w:ascii="宋体" w:hAnsi="宋体" w:cs="宋体" w:eastAsia="宋体" w:hint="default"/>
                <w:sz w:val="18"/>
                <w:szCs w:val="18"/>
              </w:rPr>
              <w:t>之内的，将告知公司并尽可 能协助公司取得该机会；</w:t>
            </w:r>
            <w:r>
              <w:rPr>
                <w:rFonts w:ascii="Times New Roman" w:hAnsi="Times New Roman" w:cs="Times New Roman" w:eastAsia="Times New Roman" w:hint="default"/>
                <w:sz w:val="18"/>
                <w:szCs w:val="18"/>
              </w:rPr>
              <w:t>3</w:t>
            </w:r>
            <w:r>
              <w:rPr>
                <w:rFonts w:ascii="宋体" w:hAnsi="宋体" w:cs="宋体" w:eastAsia="宋体" w:hint="default"/>
                <w:sz w:val="18"/>
                <w:szCs w:val="18"/>
              </w:rPr>
              <w:t>、 不以任何形式从事可能影响 公司经营和发展的业务或活 动。</w:t>
            </w:r>
          </w:p>
        </w:tc>
        <w:tc>
          <w:tcPr>
            <w:tcW w:w="850" w:type="dxa"/>
            <w:tcBorders>
              <w:top w:val="single" w:sz="12" w:space="0" w:color="000000"/>
              <w:left w:val="single" w:sz="4" w:space="0" w:color="000000"/>
              <w:bottom w:val="single" w:sz="4" w:space="0" w:color="000000"/>
              <w:right w:val="single" w:sz="4" w:space="0" w:color="000000"/>
            </w:tcBorders>
          </w:tcPr>
          <w:p>
            <w:pPr/>
          </w:p>
        </w:tc>
        <w:tc>
          <w:tcPr>
            <w:tcW w:w="851" w:type="dxa"/>
            <w:tcBorders>
              <w:top w:val="single" w:sz="12" w:space="0" w:color="000000"/>
              <w:left w:val="single" w:sz="4" w:space="0" w:color="000000"/>
              <w:bottom w:val="single" w:sz="4" w:space="0" w:color="000000"/>
              <w:right w:val="single" w:sz="4" w:space="0" w:color="000000"/>
            </w:tcBorders>
          </w:tcPr>
          <w:p>
            <w:pPr/>
          </w:p>
        </w:tc>
        <w:tc>
          <w:tcPr>
            <w:tcW w:w="778" w:type="dxa"/>
            <w:tcBorders>
              <w:top w:val="single" w:sz="12" w:space="0" w:color="000000"/>
              <w:left w:val="single" w:sz="4" w:space="0" w:color="000000"/>
              <w:bottom w:val="single" w:sz="4" w:space="0" w:color="000000"/>
              <w:right w:val="single" w:sz="12" w:space="0" w:color="000000"/>
            </w:tcBorders>
          </w:tcPr>
          <w:p>
            <w:pPr/>
          </w:p>
        </w:tc>
      </w:tr>
      <w:tr>
        <w:trPr>
          <w:trHeight w:val="6018" w:hRule="exact"/>
        </w:trPr>
        <w:tc>
          <w:tcPr>
            <w:tcW w:w="2411" w:type="dxa"/>
            <w:vMerge w:val="restart"/>
            <w:tcBorders>
              <w:top w:val="single" w:sz="4" w:space="0" w:color="000000"/>
              <w:left w:val="single" w:sz="12"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路宝山</w:t>
            </w:r>
            <w:r>
              <w:rPr>
                <w:rFonts w:ascii="Times New Roman" w:hAnsi="Times New Roman" w:cs="Times New Roman" w:eastAsia="Times New Roman" w:hint="default"/>
                <w:sz w:val="18"/>
                <w:szCs w:val="18"/>
              </w:rPr>
              <w:t>;</w:t>
            </w:r>
            <w:r>
              <w:rPr>
                <w:rFonts w:ascii="宋体" w:hAnsi="宋体" w:cs="宋体" w:eastAsia="宋体" w:hint="default"/>
                <w:sz w:val="18"/>
                <w:szCs w:val="18"/>
              </w:rPr>
              <w:t>施晓雯</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22" w:right="104"/>
              <w:jc w:val="both"/>
              <w:rPr>
                <w:rFonts w:ascii="宋体" w:hAnsi="宋体" w:cs="宋体" w:eastAsia="宋体" w:hint="default"/>
                <w:sz w:val="18"/>
                <w:szCs w:val="18"/>
              </w:rPr>
            </w:pPr>
            <w:r>
              <w:rPr>
                <w:rFonts w:ascii="宋体" w:hAnsi="宋体" w:cs="宋体" w:eastAsia="宋体" w:hint="default"/>
                <w:sz w:val="18"/>
                <w:szCs w:val="18"/>
              </w:rPr>
              <w:t>业绩承诺 及补偿安 排</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09" w:lineRule="auto"/>
              <w:ind w:left="22" w:right="29"/>
              <w:jc w:val="both"/>
              <w:rPr>
                <w:rFonts w:ascii="Times New Roman" w:hAnsi="Times New Roman" w:cs="Times New Roman" w:eastAsia="Times New Roman" w:hint="default"/>
                <w:sz w:val="18"/>
                <w:szCs w:val="18"/>
              </w:rPr>
            </w:pPr>
            <w:r>
              <w:rPr>
                <w:rFonts w:ascii="宋体" w:hAnsi="宋体" w:cs="宋体" w:eastAsia="宋体" w:hint="default"/>
                <w:sz w:val="18"/>
                <w:szCs w:val="18"/>
              </w:rPr>
              <w:t>雪城软件交易对方路宝山、 施晓雯承诺：</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年实现净 利润不低于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2017</w:t>
            </w:r>
          </w:p>
          <w:p>
            <w:pPr>
              <w:pStyle w:val="TableParagraph"/>
              <w:spacing w:line="307" w:lineRule="auto" w:before="5"/>
              <w:ind w:left="22" w:right="22"/>
              <w:jc w:val="left"/>
              <w:rPr>
                <w:rFonts w:ascii="宋体" w:hAnsi="宋体" w:cs="宋体" w:eastAsia="宋体" w:hint="default"/>
                <w:sz w:val="18"/>
                <w:szCs w:val="18"/>
              </w:rPr>
            </w:pPr>
            <w:r>
              <w:rPr>
                <w:rFonts w:ascii="宋体" w:hAnsi="宋体" w:cs="宋体" w:eastAsia="宋体" w:hint="default"/>
                <w:sz w:val="18"/>
                <w:szCs w:val="18"/>
              </w:rPr>
              <w:t>年实现净利润不低于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937.5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年实现净利润不 低于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1171.88</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万元，</w:t>
            </w:r>
            <w:r>
              <w:rPr>
                <w:rFonts w:ascii="Times New Roman" w:hAnsi="Times New Roman" w:cs="Times New Roman" w:eastAsia="Times New Roman" w:hint="default"/>
                <w:spacing w:val="-5"/>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年分别不低于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宋体" w:hAnsi="宋体" w:cs="宋体" w:eastAsia="宋体" w:hint="default"/>
                <w:spacing w:val="-10"/>
                <w:sz w:val="18"/>
                <w:szCs w:val="18"/>
              </w:rPr>
              <w:t>的业绩承诺水平。（上述净利</w:t>
            </w:r>
            <w:r>
              <w:rPr>
                <w:rFonts w:ascii="宋体" w:hAnsi="宋体" w:cs="宋体" w:eastAsia="宋体" w:hint="default"/>
                <w:sz w:val="18"/>
                <w:szCs w:val="18"/>
              </w:rPr>
              <w:t> 润均以经审计确认的扣除非 经常性损益前后孰低值为 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0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149"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726" w:lineRule="exact"/>
              <w:ind w:right="-15"/>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4"/>
                <w:sz w:val="20"/>
                <w:szCs w:val="20"/>
              </w:rPr>
              <w:pict>
                <v:group style="width:40.9pt;height:36.3pt;mso-position-horizontal-relative:char;mso-position-vertical-relative:line" coordorigin="0,0" coordsize="818,726">
                  <v:group style="position:absolute;left:11;top:11;width:2;height:704" coordorigin="11,11" coordsize="2,704">
                    <v:shape style="position:absolute;left:11;top:11;width:2;height:704" coordorigin="11,11" coordsize="0,704" path="m11,11l11,715e" filled="false" stroked="true" strokeweight="1.140pt" strokecolor="#ffffff">
                      <v:path arrowok="t"/>
                    </v:shape>
                  </v:group>
                  <v:group style="position:absolute;left:23;top:11;width:795;height:352" coordorigin="23,11" coordsize="795,352">
                    <v:shape style="position:absolute;left:23;top:11;width:795;height:352" coordorigin="23,11" coordsize="795,352" path="m23,363l817,363,817,11,23,11,23,363xe" filled="true" fillcolor="#ffffff" stroked="false">
                      <v:path arrowok="t"/>
                      <v:fill type="solid"/>
                    </v:shape>
                  </v:group>
                  <v:group style="position:absolute;left:23;top:363;width:795;height:352" coordorigin="23,363" coordsize="795,352">
                    <v:shape style="position:absolute;left:23;top:363;width:795;height:352" coordorigin="23,363" coordsize="795,352" path="m23,715l817,715,817,363,23,363,23,715xe" filled="true" fillcolor="#ffffff" stroked="false">
                      <v:path arrowok="t"/>
                      <v:fill type="solid"/>
                    </v:shape>
                  </v:group>
                </v:group>
              </w:pict>
            </w:r>
            <w:r>
              <w:rPr>
                <w:rFonts w:ascii="Times New Roman" w:hAnsi="Times New Roman" w:cs="Times New Roman" w:eastAsia="Times New Roman" w:hint="default"/>
                <w:position w:val="-14"/>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9"/>
                <w:szCs w:val="29"/>
              </w:rPr>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2020-12-3</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1</w:t>
            </w:r>
          </w:p>
        </w:tc>
        <w:tc>
          <w:tcPr>
            <w:tcW w:w="778" w:type="dxa"/>
            <w:tcBorders>
              <w:top w:val="single" w:sz="4" w:space="0" w:color="000000"/>
              <w:left w:val="single" w:sz="4" w:space="0" w:color="000000"/>
              <w:bottom w:val="single" w:sz="4" w:space="0" w:color="000000"/>
              <w:right w:val="single" w:sz="12" w:space="0" w:color="000000"/>
            </w:tcBorders>
          </w:tcPr>
          <w:p>
            <w:pPr>
              <w:pStyle w:val="TableParagraph"/>
              <w:spacing w:line="316" w:lineRule="auto" w:before="52"/>
              <w:ind w:left="22" w:right="11"/>
              <w:jc w:val="left"/>
              <w:rPr>
                <w:rFonts w:ascii="宋体" w:hAnsi="宋体" w:cs="宋体" w:eastAsia="宋体" w:hint="default"/>
                <w:sz w:val="18"/>
                <w:szCs w:val="18"/>
              </w:rPr>
            </w:pPr>
            <w:r>
              <w:rPr>
                <w:rFonts w:ascii="宋体" w:hAnsi="宋体" w:cs="宋体" w:eastAsia="宋体" w:hint="default"/>
                <w:sz w:val="18"/>
                <w:szCs w:val="18"/>
              </w:rPr>
              <w:t>鉴于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 施晓雯因 其丈夫路 宝山去世 继承了其 原持有的 雪城软件 股权及未 在雪城软 件任职； </w:t>
            </w:r>
            <w:r>
              <w:rPr>
                <w:rFonts w:ascii="Times New Roman" w:hAnsi="Times New Roman" w:cs="Times New Roman" w:eastAsia="Times New Roman" w:hint="default"/>
                <w:spacing w:val="-18"/>
                <w:sz w:val="18"/>
                <w:szCs w:val="18"/>
              </w:rPr>
              <w:t>2</w:t>
            </w:r>
            <w:r>
              <w:rPr>
                <w:rFonts w:ascii="宋体" w:hAnsi="宋体" w:cs="宋体" w:eastAsia="宋体" w:hint="default"/>
                <w:spacing w:val="-18"/>
                <w:sz w:val="18"/>
                <w:szCs w:val="18"/>
              </w:rPr>
              <w:t>、公司收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购了施晓 雯持有的 全部雪城 软件股 权，故公 司终止了 上述业绩 承诺。</w:t>
            </w:r>
          </w:p>
        </w:tc>
      </w:tr>
      <w:tr>
        <w:trPr>
          <w:trHeight w:val="3522" w:hRule="exact"/>
        </w:trPr>
        <w:tc>
          <w:tcPr>
            <w:tcW w:w="2411" w:type="dxa"/>
            <w:vMerge/>
            <w:tcBorders>
              <w:left w:val="single" w:sz="12" w:space="0" w:color="000000"/>
              <w:right w:val="single" w:sz="4" w:space="0" w:color="000000"/>
            </w:tcBorders>
            <w:shd w:val="clear" w:color="auto" w:fill="D2D2D2"/>
          </w:tcPr>
          <w:p>
            <w:pP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周志刚</w:t>
            </w:r>
            <w:r>
              <w:rPr>
                <w:rFonts w:ascii="Times New Roman" w:hAnsi="Times New Roman" w:cs="Times New Roman" w:eastAsia="Times New Roman" w:hint="default"/>
                <w:sz w:val="18"/>
                <w:szCs w:val="18"/>
              </w:rPr>
              <w:t>;</w:t>
            </w:r>
            <w:r>
              <w:rPr>
                <w:rFonts w:ascii="宋体" w:hAnsi="宋体" w:cs="宋体" w:eastAsia="宋体" w:hint="default"/>
                <w:sz w:val="18"/>
                <w:szCs w:val="18"/>
              </w:rPr>
              <w:t>王家豪</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6" w:lineRule="auto"/>
              <w:ind w:left="22" w:right="104"/>
              <w:jc w:val="both"/>
              <w:rPr>
                <w:rFonts w:ascii="宋体" w:hAnsi="宋体" w:cs="宋体" w:eastAsia="宋体" w:hint="default"/>
                <w:sz w:val="18"/>
                <w:szCs w:val="18"/>
              </w:rPr>
            </w:pPr>
            <w:r>
              <w:rPr>
                <w:rFonts w:ascii="宋体" w:hAnsi="宋体" w:cs="宋体" w:eastAsia="宋体" w:hint="default"/>
                <w:sz w:val="18"/>
                <w:szCs w:val="18"/>
              </w:rPr>
              <w:t>业绩承诺 及补偿安 排</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29"/>
              <w:jc w:val="both"/>
              <w:rPr>
                <w:rFonts w:ascii="Times New Roman" w:hAnsi="Times New Roman" w:cs="Times New Roman" w:eastAsia="Times New Roman" w:hint="default"/>
                <w:sz w:val="18"/>
                <w:szCs w:val="18"/>
              </w:rPr>
            </w:pPr>
            <w:r>
              <w:rPr>
                <w:rFonts w:ascii="宋体" w:hAnsi="宋体" w:cs="宋体" w:eastAsia="宋体" w:hint="default"/>
                <w:sz w:val="18"/>
                <w:szCs w:val="18"/>
              </w:rPr>
              <w:t>广东龙泉交易对方周志刚、 王家豪承诺：</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年实现净 利润不低于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2016</w:t>
            </w:r>
          </w:p>
          <w:p>
            <w:pPr>
              <w:pStyle w:val="TableParagraph"/>
              <w:spacing w:line="300" w:lineRule="auto" w:before="5"/>
              <w:ind w:left="22" w:right="29"/>
              <w:jc w:val="both"/>
              <w:rPr>
                <w:rFonts w:ascii="Times New Roman" w:hAnsi="Times New Roman" w:cs="Times New Roman" w:eastAsia="Times New Roman" w:hint="default"/>
                <w:sz w:val="18"/>
                <w:szCs w:val="18"/>
              </w:rPr>
            </w:pPr>
            <w:r>
              <w:rPr>
                <w:rFonts w:ascii="宋体" w:hAnsi="宋体" w:cs="宋体" w:eastAsia="宋体" w:hint="default"/>
                <w:sz w:val="18"/>
                <w:szCs w:val="18"/>
              </w:rPr>
              <w:t>年实现净利润不低于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年实现净利润不低 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592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年实现净 利润不低于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2019</w:t>
            </w:r>
          </w:p>
          <w:p>
            <w:pPr>
              <w:pStyle w:val="TableParagraph"/>
              <w:spacing w:line="312" w:lineRule="auto" w:before="13"/>
              <w:ind w:left="22" w:right="22"/>
              <w:jc w:val="both"/>
              <w:rPr>
                <w:rFonts w:ascii="宋体" w:hAnsi="宋体" w:cs="宋体" w:eastAsia="宋体" w:hint="default"/>
                <w:sz w:val="18"/>
                <w:szCs w:val="18"/>
              </w:rPr>
            </w:pPr>
            <w:r>
              <w:rPr>
                <w:rFonts w:ascii="宋体" w:hAnsi="宋体" w:cs="宋体" w:eastAsia="宋体" w:hint="default"/>
                <w:sz w:val="18"/>
                <w:szCs w:val="18"/>
              </w:rPr>
              <w:t>年不低于</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年的业绩承诺 </w:t>
            </w:r>
            <w:r>
              <w:rPr>
                <w:rFonts w:ascii="宋体" w:hAnsi="宋体" w:cs="宋体" w:eastAsia="宋体" w:hint="default"/>
                <w:spacing w:val="-10"/>
                <w:sz w:val="18"/>
                <w:szCs w:val="18"/>
              </w:rPr>
              <w:t>水平。（上述净利润均以经审</w:t>
            </w:r>
            <w:r>
              <w:rPr>
                <w:rFonts w:ascii="宋体" w:hAnsi="宋体" w:cs="宋体" w:eastAsia="宋体" w:hint="default"/>
                <w:sz w:val="18"/>
                <w:szCs w:val="18"/>
              </w:rPr>
              <w:t> 计确认的扣除非经常性损益 前后孰低值为准）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2019-12-3</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1</w:t>
            </w:r>
          </w:p>
        </w:tc>
        <w:tc>
          <w:tcPr>
            <w:tcW w:w="77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2" w:right="13"/>
              <w:jc w:val="both"/>
              <w:rPr>
                <w:rFonts w:ascii="宋体" w:hAnsi="宋体" w:cs="宋体" w:eastAsia="宋体" w:hint="default"/>
                <w:sz w:val="18"/>
                <w:szCs w:val="18"/>
              </w:rPr>
            </w:pPr>
            <w:r>
              <w:rPr>
                <w:rFonts w:ascii="宋体" w:hAnsi="宋体" w:cs="宋体" w:eastAsia="宋体" w:hint="default"/>
                <w:sz w:val="18"/>
                <w:szCs w:val="18"/>
              </w:rPr>
              <w:t>截至报告 期末，上 述承诺人 均遵守了 所做的承 诺。</w:t>
            </w:r>
          </w:p>
        </w:tc>
      </w:tr>
      <w:tr>
        <w:trPr>
          <w:trHeight w:val="2557" w:hRule="exact"/>
        </w:trPr>
        <w:tc>
          <w:tcPr>
            <w:tcW w:w="2411" w:type="dxa"/>
            <w:vMerge/>
            <w:tcBorders>
              <w:left w:val="single" w:sz="12" w:space="0" w:color="000000"/>
              <w:bottom w:val="single" w:sz="12" w:space="0" w:color="000000"/>
              <w:right w:val="single" w:sz="4" w:space="0" w:color="000000"/>
            </w:tcBorders>
            <w:shd w:val="clear" w:color="auto" w:fill="D2D2D2"/>
          </w:tcPr>
          <w:p>
            <w:pPr/>
          </w:p>
        </w:tc>
        <w:tc>
          <w:tcPr>
            <w:tcW w:w="155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300" w:lineRule="auto"/>
              <w:ind w:left="23" w:right="106"/>
              <w:jc w:val="both"/>
              <w:rPr>
                <w:rFonts w:ascii="宋体" w:hAnsi="宋体" w:cs="宋体" w:eastAsia="宋体" w:hint="default"/>
                <w:sz w:val="18"/>
                <w:szCs w:val="18"/>
              </w:rPr>
            </w:pPr>
            <w:r>
              <w:rPr>
                <w:rFonts w:ascii="宋体" w:hAnsi="宋体" w:cs="宋体" w:eastAsia="宋体" w:hint="default"/>
                <w:sz w:val="18"/>
                <w:szCs w:val="18"/>
              </w:rPr>
              <w:t>王明慧</w:t>
            </w:r>
            <w:r>
              <w:rPr>
                <w:rFonts w:ascii="Times New Roman" w:hAnsi="Times New Roman" w:cs="Times New Roman" w:eastAsia="Times New Roman" w:hint="default"/>
                <w:sz w:val="18"/>
                <w:szCs w:val="18"/>
              </w:rPr>
              <w:t>;</w:t>
            </w:r>
            <w:r>
              <w:rPr>
                <w:rFonts w:ascii="宋体" w:hAnsi="宋体" w:cs="宋体" w:eastAsia="宋体" w:hint="default"/>
                <w:sz w:val="18"/>
                <w:szCs w:val="18"/>
              </w:rPr>
              <w:t>张连富</w:t>
            </w:r>
            <w:r>
              <w:rPr>
                <w:rFonts w:ascii="Times New Roman" w:hAnsi="Times New Roman" w:cs="Times New Roman" w:eastAsia="Times New Roman" w:hint="default"/>
                <w:sz w:val="18"/>
                <w:szCs w:val="18"/>
              </w:rPr>
              <w:t>;</w:t>
            </w:r>
            <w:r>
              <w:rPr>
                <w:rFonts w:ascii="宋体" w:hAnsi="宋体" w:cs="宋体" w:eastAsia="宋体" w:hint="default"/>
                <w:sz w:val="18"/>
                <w:szCs w:val="18"/>
              </w:rPr>
              <w:t>韩 晓东</w:t>
            </w:r>
            <w:r>
              <w:rPr>
                <w:rFonts w:ascii="Times New Roman" w:hAnsi="Times New Roman" w:cs="Times New Roman" w:eastAsia="Times New Roman" w:hint="default"/>
                <w:sz w:val="18"/>
                <w:szCs w:val="18"/>
              </w:rPr>
              <w:t>;</w:t>
            </w:r>
            <w:r>
              <w:rPr>
                <w:rFonts w:ascii="宋体" w:hAnsi="宋体" w:cs="宋体" w:eastAsia="宋体" w:hint="default"/>
                <w:sz w:val="18"/>
                <w:szCs w:val="18"/>
              </w:rPr>
              <w:t>吴世伟</w:t>
            </w:r>
            <w:r>
              <w:rPr>
                <w:rFonts w:ascii="Times New Roman" w:hAnsi="Times New Roman" w:cs="Times New Roman" w:eastAsia="Times New Roman" w:hint="default"/>
                <w:sz w:val="18"/>
                <w:szCs w:val="18"/>
              </w:rPr>
              <w:t>;</w:t>
            </w:r>
            <w:r>
              <w:rPr>
                <w:rFonts w:ascii="宋体" w:hAnsi="宋体" w:cs="宋体" w:eastAsia="宋体" w:hint="default"/>
                <w:sz w:val="18"/>
                <w:szCs w:val="18"/>
              </w:rPr>
              <w:t>邢洪</w:t>
            </w:r>
            <w:r>
              <w:rPr>
                <w:rFonts w:ascii="宋体" w:hAnsi="宋体" w:cs="宋体" w:eastAsia="宋体" w:hint="default"/>
                <w:spacing w:val="-2"/>
                <w:sz w:val="18"/>
                <w:szCs w:val="18"/>
              </w:rPr>
              <w:t> </w:t>
            </w:r>
            <w:r>
              <w:rPr>
                <w:rFonts w:ascii="宋体" w:hAnsi="宋体" w:cs="宋体" w:eastAsia="宋体" w:hint="default"/>
                <w:sz w:val="18"/>
                <w:szCs w:val="18"/>
              </w:rPr>
              <w:t>杰</w:t>
            </w:r>
            <w:r>
              <w:rPr>
                <w:rFonts w:ascii="Times New Roman" w:hAnsi="Times New Roman" w:cs="Times New Roman" w:eastAsia="Times New Roman" w:hint="default"/>
                <w:sz w:val="18"/>
                <w:szCs w:val="18"/>
              </w:rPr>
              <w:t>;</w:t>
            </w:r>
            <w:r>
              <w:rPr>
                <w:rFonts w:ascii="宋体" w:hAnsi="宋体" w:cs="宋体" w:eastAsia="宋体" w:hint="default"/>
                <w:sz w:val="18"/>
                <w:szCs w:val="18"/>
              </w:rPr>
              <w:t>高伟</w:t>
            </w:r>
            <w:r>
              <w:rPr>
                <w:rFonts w:ascii="Times New Roman" w:hAnsi="Times New Roman" w:cs="Times New Roman" w:eastAsia="Times New Roman" w:hint="default"/>
                <w:sz w:val="18"/>
                <w:szCs w:val="18"/>
              </w:rPr>
              <w:t>;</w:t>
            </w:r>
            <w:r>
              <w:rPr>
                <w:rFonts w:ascii="宋体" w:hAnsi="宋体" w:cs="宋体" w:eastAsia="宋体" w:hint="default"/>
                <w:sz w:val="18"/>
                <w:szCs w:val="18"/>
              </w:rPr>
              <w:t>李世铭</w:t>
            </w:r>
            <w:r>
              <w:rPr>
                <w:rFonts w:ascii="Times New Roman" w:hAnsi="Times New Roman" w:cs="Times New Roman" w:eastAsia="Times New Roman" w:hint="default"/>
                <w:sz w:val="18"/>
                <w:szCs w:val="18"/>
              </w:rPr>
              <w:t>;</w:t>
            </w:r>
            <w:r>
              <w:rPr>
                <w:rFonts w:ascii="宋体" w:hAnsi="宋体" w:cs="宋体" w:eastAsia="宋体" w:hint="default"/>
                <w:sz w:val="18"/>
                <w:szCs w:val="18"/>
              </w:rPr>
              <w:t>王 铭岩</w:t>
            </w:r>
            <w:r>
              <w:rPr>
                <w:rFonts w:ascii="Times New Roman" w:hAnsi="Times New Roman" w:cs="Times New Roman" w:eastAsia="Times New Roman" w:hint="default"/>
                <w:sz w:val="18"/>
                <w:szCs w:val="18"/>
              </w:rPr>
              <w:t>;</w:t>
            </w:r>
            <w:r>
              <w:rPr>
                <w:rFonts w:ascii="宋体" w:hAnsi="宋体" w:cs="宋体" w:eastAsia="宋体" w:hint="default"/>
                <w:sz w:val="18"/>
                <w:szCs w:val="18"/>
              </w:rPr>
              <w:t>赵东阳</w:t>
            </w:r>
            <w:r>
              <w:rPr>
                <w:rFonts w:ascii="Times New Roman" w:hAnsi="Times New Roman" w:cs="Times New Roman" w:eastAsia="Times New Roman" w:hint="default"/>
                <w:sz w:val="18"/>
                <w:szCs w:val="18"/>
              </w:rPr>
              <w:t>;</w:t>
            </w:r>
            <w:r>
              <w:rPr>
                <w:rFonts w:ascii="宋体" w:hAnsi="宋体" w:cs="宋体" w:eastAsia="宋体" w:hint="default"/>
                <w:sz w:val="18"/>
                <w:szCs w:val="18"/>
              </w:rPr>
              <w:t>曲兴</w:t>
            </w:r>
            <w:r>
              <w:rPr>
                <w:rFonts w:ascii="宋体" w:hAnsi="宋体" w:cs="宋体" w:eastAsia="宋体" w:hint="default"/>
                <w:spacing w:val="-2"/>
                <w:sz w:val="18"/>
                <w:szCs w:val="18"/>
              </w:rPr>
              <w:t> </w:t>
            </w:r>
            <w:r>
              <w:rPr>
                <w:rFonts w:ascii="宋体" w:hAnsi="宋体" w:cs="宋体" w:eastAsia="宋体" w:hint="default"/>
                <w:sz w:val="18"/>
                <w:szCs w:val="18"/>
              </w:rPr>
              <w:t>瑞</w:t>
            </w:r>
            <w:r>
              <w:rPr>
                <w:rFonts w:ascii="Times New Roman" w:hAnsi="Times New Roman" w:cs="Times New Roman" w:eastAsia="Times New Roman" w:hint="default"/>
                <w:sz w:val="18"/>
                <w:szCs w:val="18"/>
              </w:rPr>
              <w:t>;</w:t>
            </w:r>
            <w:r>
              <w:rPr>
                <w:rFonts w:ascii="宋体" w:hAnsi="宋体" w:cs="宋体" w:eastAsia="宋体" w:hint="default"/>
                <w:sz w:val="18"/>
                <w:szCs w:val="18"/>
              </w:rPr>
              <w:t>李想</w:t>
            </w:r>
            <w:r>
              <w:rPr>
                <w:rFonts w:ascii="Times New Roman" w:hAnsi="Times New Roman" w:cs="Times New Roman" w:eastAsia="Times New Roman" w:hint="default"/>
                <w:sz w:val="18"/>
                <w:szCs w:val="18"/>
              </w:rPr>
              <w:t>;</w:t>
            </w:r>
            <w:r>
              <w:rPr>
                <w:rFonts w:ascii="宋体" w:hAnsi="宋体" w:cs="宋体" w:eastAsia="宋体" w:hint="default"/>
                <w:sz w:val="18"/>
                <w:szCs w:val="18"/>
              </w:rPr>
              <w:t>杨金龙</w:t>
            </w:r>
          </w:p>
        </w:tc>
        <w:tc>
          <w:tcPr>
            <w:tcW w:w="8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319" w:lineRule="auto"/>
              <w:ind w:left="22" w:right="104"/>
              <w:jc w:val="both"/>
              <w:rPr>
                <w:rFonts w:ascii="宋体" w:hAnsi="宋体" w:cs="宋体" w:eastAsia="宋体" w:hint="default"/>
                <w:sz w:val="18"/>
                <w:szCs w:val="18"/>
              </w:rPr>
            </w:pPr>
            <w:r>
              <w:rPr>
                <w:rFonts w:ascii="宋体" w:hAnsi="宋体" w:cs="宋体" w:eastAsia="宋体" w:hint="default"/>
                <w:sz w:val="18"/>
                <w:szCs w:val="18"/>
              </w:rPr>
              <w:t>业绩承诺 及补偿安 排</w:t>
            </w:r>
          </w:p>
        </w:tc>
        <w:tc>
          <w:tcPr>
            <w:tcW w:w="2268" w:type="dxa"/>
            <w:tcBorders>
              <w:top w:val="single" w:sz="4" w:space="0" w:color="000000"/>
              <w:left w:val="single" w:sz="4" w:space="0" w:color="000000"/>
              <w:bottom w:val="single" w:sz="12" w:space="0" w:color="000000"/>
              <w:right w:val="single" w:sz="4" w:space="0" w:color="000000"/>
            </w:tcBorders>
          </w:tcPr>
          <w:p>
            <w:pPr>
              <w:pStyle w:val="TableParagraph"/>
              <w:spacing w:line="307"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鞍山易兴交易对方王明慧、 张连富、韩晓东等承诺：鞍 山易兴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2016 </w:t>
            </w:r>
            <w:r>
              <w:rPr>
                <w:rFonts w:ascii="宋体" w:hAnsi="宋体" w:cs="宋体" w:eastAsia="宋体" w:hint="default"/>
                <w:spacing w:val="-7"/>
                <w:sz w:val="18"/>
                <w:szCs w:val="18"/>
              </w:rPr>
              <w:t>年、</w:t>
            </w:r>
            <w:r>
              <w:rPr>
                <w:rFonts w:ascii="Times New Roman" w:hAnsi="Times New Roman" w:cs="Times New Roman" w:eastAsia="Times New Roman" w:hint="default"/>
                <w:spacing w:val="-7"/>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年实现的净利 润扣除非经常性损益后孰低 值不低于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w:t>
            </w:r>
            <w:r>
              <w:rPr>
                <w:rFonts w:ascii="Times New Roman" w:hAnsi="Times New Roman" w:cs="Times New Roman" w:eastAsia="Times New Roman" w:hint="default"/>
                <w:sz w:val="18"/>
                <w:szCs w:val="18"/>
              </w:rPr>
              <w:t>750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 </w:t>
            </w:r>
            <w:r>
              <w:rPr>
                <w:rFonts w:ascii="Times New Roman" w:hAnsi="Times New Roman" w:cs="Times New Roman" w:eastAsia="Times New Roman" w:hint="default"/>
                <w:sz w:val="18"/>
                <w:szCs w:val="18"/>
              </w:rPr>
              <w:t>2018 </w:t>
            </w:r>
            <w:r>
              <w:rPr>
                <w:rFonts w:ascii="宋体" w:hAnsi="宋体" w:cs="宋体" w:eastAsia="宋体" w:hint="default"/>
                <w:spacing w:val="-7"/>
                <w:sz w:val="18"/>
                <w:szCs w:val="18"/>
              </w:rPr>
              <w:t>年、</w:t>
            </w:r>
            <w:r>
              <w:rPr>
                <w:rFonts w:ascii="Times New Roman" w:hAnsi="Times New Roman" w:cs="Times New Roman" w:eastAsia="Times New Roman" w:hint="default"/>
                <w:spacing w:val="-7"/>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年分别不低于</w:t>
            </w:r>
          </w:p>
        </w:tc>
        <w:tc>
          <w:tcPr>
            <w:tcW w:w="8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2019-12-3</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1</w:t>
            </w:r>
          </w:p>
        </w:tc>
        <w:tc>
          <w:tcPr>
            <w:tcW w:w="77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7"/>
              <w:ind w:left="22" w:right="13"/>
              <w:jc w:val="both"/>
              <w:rPr>
                <w:rFonts w:ascii="宋体" w:hAnsi="宋体" w:cs="宋体" w:eastAsia="宋体" w:hint="default"/>
                <w:sz w:val="18"/>
                <w:szCs w:val="18"/>
              </w:rPr>
            </w:pPr>
            <w:r>
              <w:rPr>
                <w:rFonts w:ascii="宋体" w:hAnsi="宋体" w:cs="宋体" w:eastAsia="宋体" w:hint="default"/>
                <w:sz w:val="18"/>
                <w:szCs w:val="18"/>
              </w:rPr>
              <w:t>截至报告 期末，上 述承诺人 均遵守了 所做的承 诺。</w:t>
            </w:r>
          </w:p>
        </w:tc>
      </w:tr>
    </w:tbl>
    <w:p>
      <w:pPr>
        <w:spacing w:after="0" w:line="316" w:lineRule="auto"/>
        <w:jc w:val="both"/>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18" w:type="dxa"/>
        <w:tblLayout w:type="fixed"/>
        <w:tblCellMar>
          <w:top w:w="0" w:type="dxa"/>
          <w:left w:w="0" w:type="dxa"/>
          <w:bottom w:w="0" w:type="dxa"/>
          <w:right w:w="0" w:type="dxa"/>
        </w:tblCellMar>
        <w:tblLook w:val="01E0"/>
      </w:tblPr>
      <w:tblGrid>
        <w:gridCol w:w="2411"/>
        <w:gridCol w:w="1552"/>
        <w:gridCol w:w="859"/>
        <w:gridCol w:w="2268"/>
        <w:gridCol w:w="850"/>
        <w:gridCol w:w="851"/>
        <w:gridCol w:w="778"/>
      </w:tblGrid>
      <w:tr>
        <w:trPr>
          <w:trHeight w:val="371" w:hRule="exact"/>
        </w:trPr>
        <w:tc>
          <w:tcPr>
            <w:tcW w:w="2411" w:type="dxa"/>
            <w:vMerge w:val="restart"/>
            <w:tcBorders>
              <w:top w:val="single" w:sz="12" w:space="0" w:color="000000"/>
              <w:left w:val="single" w:sz="12" w:space="0" w:color="000000"/>
              <w:right w:val="single" w:sz="4" w:space="0" w:color="000000"/>
            </w:tcBorders>
            <w:shd w:val="clear" w:color="auto" w:fill="D2D2D2"/>
          </w:tcPr>
          <w:p>
            <w:pPr/>
          </w:p>
        </w:tc>
        <w:tc>
          <w:tcPr>
            <w:tcW w:w="1552" w:type="dxa"/>
            <w:tcBorders>
              <w:top w:val="single" w:sz="12" w:space="0" w:color="000000"/>
              <w:left w:val="single" w:sz="4" w:space="0" w:color="000000"/>
              <w:bottom w:val="single" w:sz="4" w:space="0" w:color="000000"/>
              <w:right w:val="single" w:sz="4" w:space="0" w:color="000000"/>
            </w:tcBorders>
          </w:tcPr>
          <w:p>
            <w:pPr/>
          </w:p>
        </w:tc>
        <w:tc>
          <w:tcPr>
            <w:tcW w:w="859" w:type="dxa"/>
            <w:tcBorders>
              <w:top w:val="single" w:sz="12" w:space="0" w:color="000000"/>
              <w:left w:val="single" w:sz="4" w:space="0" w:color="000000"/>
              <w:bottom w:val="single" w:sz="4" w:space="0" w:color="000000"/>
              <w:right w:val="single" w:sz="4" w:space="0" w:color="000000"/>
            </w:tcBorders>
          </w:tcPr>
          <w:p>
            <w:pPr/>
          </w:p>
        </w:tc>
        <w:tc>
          <w:tcPr>
            <w:tcW w:w="22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年的承诺水平。</w:t>
            </w:r>
          </w:p>
        </w:tc>
        <w:tc>
          <w:tcPr>
            <w:tcW w:w="850" w:type="dxa"/>
            <w:tcBorders>
              <w:top w:val="single" w:sz="12" w:space="0" w:color="000000"/>
              <w:left w:val="single" w:sz="4" w:space="0" w:color="000000"/>
              <w:bottom w:val="single" w:sz="4" w:space="0" w:color="000000"/>
              <w:right w:val="single" w:sz="4" w:space="0" w:color="000000"/>
            </w:tcBorders>
          </w:tcPr>
          <w:p>
            <w:pPr/>
          </w:p>
        </w:tc>
        <w:tc>
          <w:tcPr>
            <w:tcW w:w="851" w:type="dxa"/>
            <w:tcBorders>
              <w:top w:val="single" w:sz="12" w:space="0" w:color="000000"/>
              <w:left w:val="single" w:sz="4" w:space="0" w:color="000000"/>
              <w:bottom w:val="single" w:sz="4" w:space="0" w:color="000000"/>
              <w:right w:val="single" w:sz="4" w:space="0" w:color="000000"/>
            </w:tcBorders>
          </w:tcPr>
          <w:p>
            <w:pPr/>
          </w:p>
        </w:tc>
        <w:tc>
          <w:tcPr>
            <w:tcW w:w="778" w:type="dxa"/>
            <w:tcBorders>
              <w:top w:val="single" w:sz="12" w:space="0" w:color="000000"/>
              <w:left w:val="single" w:sz="4" w:space="0" w:color="000000"/>
              <w:bottom w:val="single" w:sz="4" w:space="0" w:color="000000"/>
              <w:right w:val="single" w:sz="12" w:space="0" w:color="000000"/>
            </w:tcBorders>
          </w:tcPr>
          <w:p>
            <w:pPr/>
          </w:p>
        </w:tc>
      </w:tr>
      <w:tr>
        <w:trPr>
          <w:trHeight w:val="3522" w:hRule="exact"/>
        </w:trPr>
        <w:tc>
          <w:tcPr>
            <w:tcW w:w="2411" w:type="dxa"/>
            <w:vMerge/>
            <w:tcBorders>
              <w:left w:val="single" w:sz="12" w:space="0" w:color="000000"/>
              <w:bottom w:val="single" w:sz="4" w:space="0" w:color="000000"/>
              <w:right w:val="single" w:sz="4" w:space="0" w:color="000000"/>
            </w:tcBorders>
            <w:shd w:val="clear" w:color="auto" w:fill="D2D2D2"/>
          </w:tcPr>
          <w:p>
            <w:pP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张潇君</w:t>
            </w:r>
            <w:r>
              <w:rPr>
                <w:rFonts w:ascii="Times New Roman" w:hAnsi="Times New Roman" w:cs="Times New Roman" w:eastAsia="Times New Roman" w:hint="default"/>
                <w:sz w:val="18"/>
                <w:szCs w:val="18"/>
              </w:rPr>
              <w:t>;</w:t>
            </w:r>
            <w:r>
              <w:rPr>
                <w:rFonts w:ascii="宋体" w:hAnsi="宋体" w:cs="宋体" w:eastAsia="宋体" w:hint="default"/>
                <w:sz w:val="18"/>
                <w:szCs w:val="18"/>
              </w:rPr>
              <w:t>肖锋</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both"/>
              <w:rPr>
                <w:rFonts w:ascii="宋体" w:hAnsi="宋体" w:cs="宋体" w:eastAsia="宋体" w:hint="default"/>
                <w:sz w:val="18"/>
                <w:szCs w:val="18"/>
              </w:rPr>
            </w:pPr>
            <w:r>
              <w:rPr>
                <w:rFonts w:ascii="宋体" w:hAnsi="宋体" w:cs="宋体" w:eastAsia="宋体" w:hint="default"/>
                <w:sz w:val="18"/>
                <w:szCs w:val="18"/>
              </w:rPr>
              <w:t>公司董事、总经理张潇君， 副总经理、董事会秘书肖锋 及部分核心员工承诺：基于 对公司未来发展前景的信心 及对目前公司股票价值的合 理判断，拟通过集合资金信 托计划方式在二级市场择机 增持公司股份，增持计划的 时间区间为信托计划成立之 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个月内，计划增持金</w:t>
            </w:r>
          </w:p>
          <w:p>
            <w:pPr>
              <w:pStyle w:val="TableParagraph"/>
              <w:spacing w:line="240" w:lineRule="auto"/>
              <w:ind w:left="22" w:right="0"/>
              <w:jc w:val="both"/>
              <w:rPr>
                <w:rFonts w:ascii="宋体" w:hAnsi="宋体" w:cs="宋体" w:eastAsia="宋体" w:hint="default"/>
                <w:sz w:val="18"/>
                <w:szCs w:val="18"/>
              </w:rPr>
            </w:pPr>
            <w:r>
              <w:rPr>
                <w:rFonts w:ascii="宋体" w:hAnsi="宋体" w:cs="宋体" w:eastAsia="宋体" w:hint="default"/>
                <w:sz w:val="18"/>
                <w:szCs w:val="18"/>
              </w:rPr>
              <w:t>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2017-03-3</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1</w:t>
            </w:r>
          </w:p>
        </w:tc>
        <w:tc>
          <w:tcPr>
            <w:tcW w:w="77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316" w:lineRule="auto"/>
              <w:ind w:left="22" w:right="13"/>
              <w:jc w:val="left"/>
              <w:rPr>
                <w:rFonts w:ascii="宋体" w:hAnsi="宋体" w:cs="宋体" w:eastAsia="宋体" w:hint="default"/>
                <w:sz w:val="18"/>
                <w:szCs w:val="18"/>
              </w:rPr>
            </w:pPr>
            <w:r>
              <w:rPr>
                <w:rFonts w:ascii="宋体" w:hAnsi="宋体" w:cs="宋体" w:eastAsia="宋体" w:hint="default"/>
                <w:sz w:val="18"/>
                <w:szCs w:val="18"/>
              </w:rPr>
              <w:t>截至报告 期末，上 述承诺人 已履行完 毕其所做 出的承 诺。</w:t>
            </w:r>
          </w:p>
        </w:tc>
      </w:tr>
      <w:tr>
        <w:trPr>
          <w:trHeight w:val="402" w:hRule="exact"/>
        </w:trPr>
        <w:tc>
          <w:tcPr>
            <w:tcW w:w="241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7158" w:type="dxa"/>
            <w:gridSpan w:val="6"/>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36" w:hRule="exact"/>
        </w:trPr>
        <w:tc>
          <w:tcPr>
            <w:tcW w:w="2411"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316" w:lineRule="auto" w:before="52"/>
              <w:ind w:left="13" w:right="35"/>
              <w:jc w:val="both"/>
              <w:rPr>
                <w:rFonts w:ascii="宋体" w:hAnsi="宋体" w:cs="宋体" w:eastAsia="宋体" w:hint="default"/>
                <w:sz w:val="18"/>
                <w:szCs w:val="18"/>
              </w:rPr>
            </w:pPr>
            <w:r>
              <w:rPr>
                <w:rFonts w:ascii="宋体" w:hAnsi="宋体" w:cs="宋体" w:eastAsia="宋体" w:hint="default"/>
                <w:sz w:val="18"/>
                <w:szCs w:val="18"/>
              </w:rPr>
              <w:t>如承诺超期未履行完毕的，应 当详细说明未完成履行的具体 原因及下一步的工作计划</w:t>
            </w:r>
          </w:p>
        </w:tc>
        <w:tc>
          <w:tcPr>
            <w:tcW w:w="7158" w:type="dxa"/>
            <w:gridSpan w:val="6"/>
            <w:tcBorders>
              <w:top w:val="single" w:sz="4" w:space="0" w:color="000000"/>
              <w:left w:val="single" w:sz="4"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pStyle w:val="Heading4"/>
        <w:spacing w:line="259" w:lineRule="auto" w:before="35"/>
        <w:ind w:left="1134" w:right="0"/>
        <w:jc w:val="left"/>
        <w:rPr>
          <w:b w:val="0"/>
          <w:bCs w:val="0"/>
        </w:rPr>
      </w:pPr>
      <w:bookmarkStart w:name="2、公司资产或项目存在盈利预测，且报告期仍处在盈利预测期间，公司就资产或项目达到" w:id="64"/>
      <w:bookmarkEnd w:id="64"/>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118" w:type="dxa"/>
        <w:tblLayout w:type="fixed"/>
        <w:tblCellMar>
          <w:top w:w="0" w:type="dxa"/>
          <w:left w:w="0" w:type="dxa"/>
          <w:bottom w:w="0" w:type="dxa"/>
          <w:right w:w="0" w:type="dxa"/>
        </w:tblCellMar>
        <w:tblLook w:val="01E0"/>
      </w:tblPr>
      <w:tblGrid>
        <w:gridCol w:w="1277"/>
        <w:gridCol w:w="992"/>
        <w:gridCol w:w="994"/>
        <w:gridCol w:w="1134"/>
        <w:gridCol w:w="1134"/>
        <w:gridCol w:w="1274"/>
        <w:gridCol w:w="994"/>
        <w:gridCol w:w="1769"/>
      </w:tblGrid>
      <w:tr>
        <w:trPr>
          <w:trHeight w:val="723" w:hRule="exact"/>
        </w:trPr>
        <w:tc>
          <w:tcPr>
            <w:tcW w:w="1277"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1"/>
              <w:ind w:left="172" w:right="93"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992"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01" w:right="38" w:hanging="360"/>
              <w:jc w:val="left"/>
              <w:rPr>
                <w:rFonts w:ascii="宋体" w:hAnsi="宋体" w:cs="宋体" w:eastAsia="宋体" w:hint="default"/>
                <w:sz w:val="18"/>
                <w:szCs w:val="18"/>
              </w:rPr>
            </w:pPr>
            <w:r>
              <w:rPr>
                <w:rFonts w:ascii="宋体" w:hAnsi="宋体" w:cs="宋体" w:eastAsia="宋体" w:hint="default"/>
                <w:sz w:val="18"/>
                <w:szCs w:val="18"/>
              </w:rPr>
              <w:t>预测起始时 间</w:t>
            </w:r>
          </w:p>
        </w:tc>
        <w:tc>
          <w:tcPr>
            <w:tcW w:w="99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00" w:right="41" w:hanging="360"/>
              <w:jc w:val="left"/>
              <w:rPr>
                <w:rFonts w:ascii="宋体" w:hAnsi="宋体" w:cs="宋体" w:eastAsia="宋体" w:hint="default"/>
                <w:sz w:val="18"/>
                <w:szCs w:val="18"/>
              </w:rPr>
            </w:pPr>
            <w:r>
              <w:rPr>
                <w:rFonts w:ascii="宋体" w:hAnsi="宋体" w:cs="宋体" w:eastAsia="宋体" w:hint="default"/>
                <w:sz w:val="18"/>
                <w:szCs w:val="18"/>
              </w:rPr>
              <w:t>预测终止时 间</w:t>
            </w:r>
          </w:p>
        </w:tc>
        <w:tc>
          <w:tcPr>
            <w:tcW w:w="113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1" w:right="111"/>
              <w:jc w:val="left"/>
              <w:rPr>
                <w:rFonts w:ascii="宋体" w:hAnsi="宋体" w:cs="宋体" w:eastAsia="宋体" w:hint="default"/>
                <w:sz w:val="18"/>
                <w:szCs w:val="18"/>
              </w:rPr>
            </w:pPr>
            <w:r>
              <w:rPr>
                <w:rFonts w:ascii="宋体" w:hAnsi="宋体" w:cs="宋体" w:eastAsia="宋体" w:hint="default"/>
                <w:sz w:val="18"/>
                <w:szCs w:val="18"/>
              </w:rPr>
              <w:t>当期预测业 绩（万元）</w:t>
            </w:r>
          </w:p>
        </w:tc>
        <w:tc>
          <w:tcPr>
            <w:tcW w:w="113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1" w:right="110"/>
              <w:jc w:val="left"/>
              <w:rPr>
                <w:rFonts w:ascii="宋体" w:hAnsi="宋体" w:cs="宋体" w:eastAsia="宋体" w:hint="default"/>
                <w:sz w:val="18"/>
                <w:szCs w:val="18"/>
              </w:rPr>
            </w:pPr>
            <w:r>
              <w:rPr>
                <w:rFonts w:ascii="宋体" w:hAnsi="宋体" w:cs="宋体" w:eastAsia="宋体" w:hint="default"/>
                <w:sz w:val="18"/>
                <w:szCs w:val="18"/>
              </w:rPr>
              <w:t>当期实际业 绩（万元）</w:t>
            </w:r>
          </w:p>
        </w:tc>
        <w:tc>
          <w:tcPr>
            <w:tcW w:w="127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0"/>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99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1" w:right="41" w:hanging="271"/>
              <w:jc w:val="left"/>
              <w:rPr>
                <w:rFonts w:ascii="宋体" w:hAnsi="宋体" w:cs="宋体" w:eastAsia="宋体" w:hint="default"/>
                <w:sz w:val="18"/>
                <w:szCs w:val="18"/>
              </w:rPr>
            </w:pPr>
            <w:r>
              <w:rPr>
                <w:rFonts w:ascii="宋体" w:hAnsi="宋体" w:cs="宋体" w:eastAsia="宋体" w:hint="default"/>
                <w:sz w:val="18"/>
                <w:szCs w:val="18"/>
              </w:rPr>
              <w:t>原预测披露 日期</w:t>
            </w:r>
          </w:p>
        </w:tc>
        <w:tc>
          <w:tcPr>
            <w:tcW w:w="1769"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原预测披露索引</w:t>
            </w:r>
          </w:p>
        </w:tc>
      </w:tr>
      <w:tr>
        <w:trPr>
          <w:trHeight w:val="714" w:hRule="exact"/>
        </w:trPr>
        <w:tc>
          <w:tcPr>
            <w:tcW w:w="1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73"/>
              <w:jc w:val="right"/>
              <w:rPr>
                <w:rFonts w:ascii="宋体" w:hAnsi="宋体" w:cs="宋体" w:eastAsia="宋体" w:hint="default"/>
                <w:sz w:val="18"/>
                <w:szCs w:val="18"/>
              </w:rPr>
            </w:pPr>
            <w:r>
              <w:rPr>
                <w:rFonts w:ascii="宋体" w:hAnsi="宋体" w:cs="宋体" w:eastAsia="宋体" w:hint="default"/>
                <w:sz w:val="18"/>
                <w:szCs w:val="18"/>
              </w:rPr>
              <w:t>鞍山易兴</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757.06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详见注释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6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6"/>
              <w:ind w:left="2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14" w:hRule="exact"/>
        </w:trPr>
        <w:tc>
          <w:tcPr>
            <w:tcW w:w="127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73"/>
              <w:jc w:val="right"/>
              <w:rPr>
                <w:rFonts w:ascii="宋体" w:hAnsi="宋体" w:cs="宋体" w:eastAsia="宋体" w:hint="default"/>
                <w:sz w:val="18"/>
                <w:szCs w:val="18"/>
              </w:rPr>
            </w:pPr>
            <w:r>
              <w:rPr>
                <w:rFonts w:ascii="宋体" w:hAnsi="宋体" w:cs="宋体" w:eastAsia="宋体" w:hint="default"/>
                <w:sz w:val="18"/>
                <w:szCs w:val="18"/>
              </w:rPr>
              <w:t>广东龙泉</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592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842.41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6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6"/>
              <w:ind w:left="2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24" w:hRule="exact"/>
        </w:trPr>
        <w:tc>
          <w:tcPr>
            <w:tcW w:w="1277"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73"/>
              <w:jc w:val="right"/>
              <w:rPr>
                <w:rFonts w:ascii="宋体" w:hAnsi="宋体" w:cs="宋体" w:eastAsia="宋体" w:hint="default"/>
                <w:sz w:val="18"/>
                <w:szCs w:val="18"/>
              </w:rPr>
            </w:pPr>
            <w:r>
              <w:rPr>
                <w:rFonts w:ascii="宋体" w:hAnsi="宋体" w:cs="宋体" w:eastAsia="宋体" w:hint="default"/>
                <w:sz w:val="18"/>
                <w:szCs w:val="18"/>
              </w:rPr>
              <w:t>德析检测</w:t>
            </w:r>
          </w:p>
        </w:tc>
        <w:tc>
          <w:tcPr>
            <w:tcW w:w="9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160</w:t>
            </w:r>
          </w:p>
        </w:tc>
        <w:tc>
          <w:tcPr>
            <w:tcW w:w="11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442.85</w:t>
            </w:r>
          </w:p>
        </w:tc>
        <w:tc>
          <w:tcPr>
            <w:tcW w:w="12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6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6"/>
              <w:ind w:left="2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公司股东、交易对手方对公司或相关资产年度经营业绩作出的承诺情况</w:t>
      </w:r>
    </w:p>
    <w:p>
      <w:pPr>
        <w:spacing w:before="117"/>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08" w:lineRule="auto" w:before="153"/>
        <w:ind w:right="0" w:firstLine="420"/>
        <w:jc w:val="left"/>
      </w:pPr>
      <w:r>
        <w:rPr>
          <w:rFonts w:ascii="宋体" w:hAnsi="宋体" w:cs="宋体" w:eastAsia="宋体" w:hint="default"/>
        </w:rPr>
        <w:t>1</w:t>
      </w:r>
      <w:r>
        <w:rPr/>
        <w:t>、鉴于路宝山去世，其配偶施晓雯继承了其原持有雪城软件的股权且未在雪城软件任职，公司收购 了施晓雯持有的雪城软件股权，公司终止了路宝山与施晓雯对雪城软件的业绩承诺。</w:t>
      </w:r>
    </w:p>
    <w:p>
      <w:pPr>
        <w:pStyle w:val="BodyText"/>
        <w:spacing w:line="408" w:lineRule="auto"/>
        <w:ind w:right="1118" w:firstLine="420"/>
        <w:jc w:val="left"/>
      </w:pPr>
      <w:r>
        <w:rPr>
          <w:rFonts w:ascii="宋体" w:hAnsi="宋体" w:cs="宋体" w:eastAsia="宋体" w:hint="default"/>
        </w:rPr>
        <w:t>2</w:t>
      </w:r>
      <w:r>
        <w:rPr/>
        <w:t>、根据原股权转让暨增资协议中业绩承诺条款的相关约定，截至报告期末，鞍山易兴已完成承诺期 内累积业绩</w:t>
      </w:r>
      <w:r>
        <w:rPr>
          <w:spacing w:val="-52"/>
        </w:rPr>
        <w:t> </w:t>
      </w:r>
      <w:r>
        <w:rPr>
          <w:rFonts w:ascii="宋体" w:hAnsi="宋体" w:cs="宋体" w:eastAsia="宋体" w:hint="default"/>
        </w:rPr>
        <w:t>2,800</w:t>
      </w:r>
      <w:r>
        <w:rPr>
          <w:rFonts w:ascii="宋体" w:hAnsi="宋体" w:cs="宋体" w:eastAsia="宋体" w:hint="default"/>
          <w:spacing w:val="-52"/>
        </w:rPr>
        <w:t> </w:t>
      </w:r>
      <w:r>
        <w:rPr/>
        <w:t>万元。</w:t>
      </w:r>
    </w:p>
    <w:p>
      <w:pPr>
        <w:spacing w:line="240" w:lineRule="auto" w:before="11"/>
        <w:rPr>
          <w:rFonts w:ascii="宋体" w:hAnsi="宋体" w:cs="宋体" w:eastAsia="宋体" w:hint="default"/>
          <w:sz w:val="18"/>
          <w:szCs w:val="18"/>
        </w:rPr>
      </w:pPr>
    </w:p>
    <w:p>
      <w:pPr>
        <w:pStyle w:val="Heading2"/>
        <w:spacing w:line="240" w:lineRule="auto"/>
        <w:ind w:right="0"/>
        <w:jc w:val="left"/>
        <w:rPr>
          <w:b w:val="0"/>
          <w:bCs w:val="0"/>
        </w:rPr>
      </w:pPr>
      <w:bookmarkStart w:name="三、控股股东及其关联方对上市公司的非经营性占用资金情况" w:id="65"/>
      <w:bookmarkEnd w:id="65"/>
      <w:r>
        <w:rPr>
          <w:b w:val="0"/>
          <w:bCs w:val="0"/>
        </w:rPr>
      </w:r>
      <w:r>
        <w:rPr/>
        <w:t>三、控股股东及其关联方对上市公司的非经营性占用资金情况</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spacing w:before="44"/>
        <w:ind w:left="1133" w:right="0" w:firstLine="0"/>
        <w:jc w:val="both"/>
        <w:rPr>
          <w:rFonts w:ascii="宋体" w:hAnsi="宋体" w:cs="宋体" w:eastAsia="宋体" w:hint="default"/>
          <w:sz w:val="18"/>
          <w:szCs w:val="18"/>
        </w:rPr>
      </w:pPr>
      <w:r>
        <w:rPr>
          <w:rFonts w:ascii="宋体" w:hAnsi="宋体" w:cs="宋体" w:eastAsia="宋体" w:hint="default"/>
          <w:sz w:val="18"/>
          <w:szCs w:val="18"/>
        </w:rPr>
        <w:t>公司报告期不存在控股股东及其关联方对上市公司的非经营性占用资金。</w:t>
      </w:r>
    </w:p>
    <w:p>
      <w:pPr>
        <w:spacing w:line="240" w:lineRule="auto" w:before="13"/>
        <w:rPr>
          <w:rFonts w:ascii="宋体" w:hAnsi="宋体" w:cs="宋体" w:eastAsia="宋体" w:hint="default"/>
          <w:sz w:val="24"/>
          <w:szCs w:val="24"/>
        </w:rPr>
      </w:pPr>
    </w:p>
    <w:p>
      <w:pPr>
        <w:pStyle w:val="Heading2"/>
        <w:spacing w:line="240" w:lineRule="auto"/>
        <w:ind w:right="0"/>
        <w:jc w:val="both"/>
        <w:rPr>
          <w:b w:val="0"/>
          <w:bCs w:val="0"/>
        </w:rPr>
      </w:pPr>
      <w:bookmarkStart w:name="四、董事会对最近一期“非标准审计报告”相关情况的说明" w:id="66"/>
      <w:bookmarkEnd w:id="66"/>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4"/>
        <w:rPr>
          <w:rFonts w:ascii="宋体" w:hAnsi="宋体" w:cs="宋体" w:eastAsia="宋体" w:hint="default"/>
          <w:b/>
          <w:bCs/>
          <w:sz w:val="25"/>
          <w:szCs w:val="25"/>
        </w:rPr>
      </w:pPr>
    </w:p>
    <w:p>
      <w:pPr>
        <w:spacing w:before="0"/>
        <w:ind w:left="113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五、董事会、监事会、独立董事（如有）对会计师事务所本报告期“非标准审计报告”的说" w:id="67"/>
      <w:bookmarkEnd w:id="67"/>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spacing w:before="0"/>
        <w:ind w:left="113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六、董事会关于报告期会计政策、会计估计变更或重大会计差错更正的说明" w:id="68"/>
      <w:bookmarkEnd w:id="68"/>
      <w:r>
        <w:rPr>
          <w:b w:val="0"/>
          <w:bCs w:val="0"/>
        </w:rPr>
      </w:r>
      <w:r>
        <w:rPr/>
        <w:t>六、董事会关于报告期会计政策、会计估计变更或重大会计差错更正的说明</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155"/>
        <w:ind w:left="1553" w:right="0"/>
        <w:jc w:val="left"/>
      </w:pPr>
      <w:r>
        <w:rPr/>
        <w:t>根据财政部于</w:t>
      </w:r>
      <w:r>
        <w:rPr>
          <w:spacing w:val="-50"/>
        </w:rPr>
        <w:t> </w:t>
      </w:r>
      <w:r>
        <w:rPr>
          <w:rFonts w:ascii="宋体" w:hAnsi="宋体" w:cs="宋体" w:eastAsia="宋体" w:hint="default"/>
        </w:rPr>
        <w:t>2017</w:t>
      </w:r>
      <w:r>
        <w:rPr>
          <w:rFonts w:ascii="宋体" w:hAnsi="宋体" w:cs="宋体" w:eastAsia="宋体" w:hint="default"/>
          <w:spacing w:val="-50"/>
        </w:rPr>
        <w:t> </w:t>
      </w:r>
      <w:r>
        <w:rPr/>
        <w:t>年</w:t>
      </w:r>
      <w:r>
        <w:rPr>
          <w:spacing w:val="-51"/>
        </w:rPr>
        <w:t> </w:t>
      </w:r>
      <w:r>
        <w:rPr>
          <w:rFonts w:ascii="宋体" w:hAnsi="宋体" w:cs="宋体" w:eastAsia="宋体" w:hint="default"/>
        </w:rPr>
        <w:t>5</w:t>
      </w:r>
      <w:r>
        <w:rPr>
          <w:rFonts w:ascii="宋体" w:hAnsi="宋体" w:cs="宋体" w:eastAsia="宋体" w:hint="default"/>
          <w:spacing w:val="-51"/>
        </w:rPr>
        <w:t> </w:t>
      </w:r>
      <w:r>
        <w:rPr/>
        <w:t>月</w:t>
      </w:r>
      <w:r>
        <w:rPr>
          <w:spacing w:val="-50"/>
        </w:rPr>
        <w:t> </w:t>
      </w:r>
      <w:r>
        <w:rPr>
          <w:rFonts w:ascii="宋体" w:hAnsi="宋体" w:cs="宋体" w:eastAsia="宋体" w:hint="default"/>
        </w:rPr>
        <w:t>10</w:t>
      </w:r>
      <w:r>
        <w:rPr>
          <w:rFonts w:ascii="宋体" w:hAnsi="宋体" w:cs="宋体" w:eastAsia="宋体" w:hint="default"/>
          <w:spacing w:val="-49"/>
        </w:rPr>
        <w:t> </w:t>
      </w:r>
      <w:r>
        <w:rPr/>
        <w:t>日颁布的《企业会计准则第</w:t>
      </w:r>
      <w:r>
        <w:rPr>
          <w:spacing w:val="-50"/>
        </w:rPr>
        <w:t> </w:t>
      </w:r>
      <w:r>
        <w:rPr>
          <w:rFonts w:ascii="宋体" w:hAnsi="宋体" w:cs="宋体" w:eastAsia="宋体" w:hint="default"/>
        </w:rPr>
        <w:t>16</w:t>
      </w:r>
      <w:r>
        <w:rPr>
          <w:rFonts w:ascii="宋体" w:hAnsi="宋体" w:cs="宋体" w:eastAsia="宋体" w:hint="default"/>
          <w:spacing w:val="-51"/>
        </w:rPr>
        <w:t> </w:t>
      </w:r>
      <w:r>
        <w:rPr/>
        <w:t>号——政府补助》的相关规定，</w:t>
      </w:r>
      <w:r>
        <w:rPr>
          <w:rFonts w:ascii="宋体" w:hAnsi="宋体" w:cs="宋体" w:eastAsia="宋体" w:hint="default"/>
        </w:rPr>
        <w:t>2017</w:t>
      </w:r>
      <w:r>
        <w:rPr>
          <w:rFonts w:ascii="宋体" w:hAnsi="宋体" w:cs="宋体" w:eastAsia="宋体" w:hint="default"/>
          <w:spacing w:val="-50"/>
        </w:rPr>
        <w:t> </w:t>
      </w:r>
      <w:r>
        <w:rPr/>
        <w:t>年</w:t>
      </w:r>
    </w:p>
    <w:p>
      <w:pPr>
        <w:spacing w:line="240" w:lineRule="auto" w:before="10"/>
        <w:rPr>
          <w:rFonts w:ascii="宋体" w:hAnsi="宋体" w:cs="宋体" w:eastAsia="宋体" w:hint="default"/>
          <w:sz w:val="14"/>
          <w:szCs w:val="14"/>
        </w:rPr>
      </w:pPr>
    </w:p>
    <w:p>
      <w:pPr>
        <w:pStyle w:val="BodyText"/>
        <w:spacing w:line="408" w:lineRule="auto" w:before="0"/>
        <w:ind w:right="1131"/>
        <w:jc w:val="both"/>
      </w:pPr>
      <w:r>
        <w:rPr>
          <w:rFonts w:ascii="宋体" w:hAnsi="宋体" w:cs="宋体" w:eastAsia="宋体" w:hint="default"/>
        </w:rPr>
        <w:t>8</w:t>
      </w:r>
      <w:r>
        <w:rPr>
          <w:rFonts w:ascii="宋体" w:hAnsi="宋体" w:cs="宋体" w:eastAsia="宋体" w:hint="default"/>
          <w:spacing w:val="-77"/>
        </w:rPr>
        <w:t> </w:t>
      </w:r>
      <w:r>
        <w:rPr/>
        <w:t>月</w:t>
      </w:r>
      <w:r>
        <w:rPr>
          <w:spacing w:val="-78"/>
        </w:rPr>
        <w:t> </w:t>
      </w:r>
      <w:r>
        <w:rPr>
          <w:rFonts w:ascii="宋体" w:hAnsi="宋体" w:cs="宋体" w:eastAsia="宋体" w:hint="default"/>
        </w:rPr>
        <w:t>28</w:t>
      </w:r>
      <w:r>
        <w:rPr>
          <w:rFonts w:ascii="宋体" w:hAnsi="宋体" w:cs="宋体" w:eastAsia="宋体" w:hint="default"/>
          <w:spacing w:val="-77"/>
        </w:rPr>
        <w:t> </w:t>
      </w:r>
      <w:r>
        <w:rPr/>
        <w:t>日，公司召开的第四届董事会第八次会议及第四届监事会第三次会议，审议通过了《关于会计政策 </w:t>
      </w:r>
      <w:r>
        <w:rPr>
          <w:spacing w:val="-1"/>
        </w:rPr>
        <w:t>变更的议案》。公司将与企业日常活动相关的政府补助，按照经济业务实质，计入其他收益或冲减相关成</w:t>
      </w:r>
      <w:r>
        <w:rPr>
          <w:spacing w:val="-94"/>
        </w:rPr>
        <w:t> </w:t>
      </w:r>
      <w:r>
        <w:rPr>
          <w:spacing w:val="-94"/>
        </w:rPr>
      </w:r>
      <w:r>
        <w:rPr>
          <w:spacing w:val="-1"/>
        </w:rPr>
        <w:t>本费用，并在利润表中的“营业利润”项目之上单独列报“其他收益”项目，计入其他收益的政府补助在</w:t>
      </w:r>
      <w:r>
        <w:rPr>
          <w:spacing w:val="-82"/>
        </w:rPr>
        <w:t> </w:t>
      </w:r>
      <w:r>
        <w:rPr>
          <w:spacing w:val="-82"/>
        </w:rPr>
      </w:r>
      <w:r>
        <w:rPr/>
        <w:t>该项目中反映；将与企业日常活动无关的政府补助，计入营业外收支。</w:t>
      </w:r>
    </w:p>
    <w:p>
      <w:pPr>
        <w:pStyle w:val="BodyText"/>
        <w:spacing w:line="408" w:lineRule="auto"/>
        <w:ind w:right="1130" w:firstLine="420"/>
        <w:jc w:val="both"/>
      </w:pPr>
      <w:r>
        <w:rPr/>
        <w:t>公司对</w:t>
      </w:r>
      <w:r>
        <w:rPr>
          <w:spacing w:val="-55"/>
        </w:rPr>
        <w:t> </w:t>
      </w:r>
      <w:r>
        <w:rPr>
          <w:rFonts w:ascii="宋体" w:hAnsi="宋体" w:cs="宋体" w:eastAsia="宋体" w:hint="default"/>
        </w:rPr>
        <w:t>2017</w:t>
      </w:r>
      <w:r>
        <w:rPr>
          <w:rFonts w:ascii="宋体" w:hAnsi="宋体" w:cs="宋体" w:eastAsia="宋体" w:hint="default"/>
          <w:spacing w:val="-57"/>
        </w:rPr>
        <w:t> </w:t>
      </w:r>
      <w:r>
        <w:rPr/>
        <w:t>年</w:t>
      </w:r>
      <w:r>
        <w:rPr>
          <w:spacing w:val="-56"/>
        </w:rPr>
        <w:t> </w:t>
      </w:r>
      <w:r>
        <w:rPr>
          <w:rFonts w:ascii="宋体" w:hAnsi="宋体" w:cs="宋体" w:eastAsia="宋体" w:hint="default"/>
        </w:rPr>
        <w:t>1</w:t>
      </w:r>
      <w:r>
        <w:rPr>
          <w:rFonts w:ascii="宋体" w:hAnsi="宋体" w:cs="宋体" w:eastAsia="宋体" w:hint="default"/>
          <w:spacing w:val="-55"/>
        </w:rPr>
        <w:t> </w:t>
      </w:r>
      <w:r>
        <w:rPr/>
        <w:t>月</w:t>
      </w:r>
      <w:r>
        <w:rPr>
          <w:spacing w:val="-57"/>
        </w:rPr>
        <w:t> </w:t>
      </w:r>
      <w:r>
        <w:rPr>
          <w:rFonts w:ascii="宋体" w:hAnsi="宋体" w:cs="宋体" w:eastAsia="宋体" w:hint="default"/>
        </w:rPr>
        <w:t>1</w:t>
      </w:r>
      <w:r>
        <w:rPr>
          <w:rFonts w:ascii="宋体" w:hAnsi="宋体" w:cs="宋体" w:eastAsia="宋体" w:hint="default"/>
          <w:spacing w:val="-55"/>
        </w:rPr>
        <w:t> </w:t>
      </w:r>
      <w:r>
        <w:rPr/>
        <w:t>日存在的政府补助采用未来适用法处理，将自</w:t>
      </w:r>
      <w:r>
        <w:rPr>
          <w:spacing w:val="-55"/>
        </w:rPr>
        <w:t> </w:t>
      </w:r>
      <w:r>
        <w:rPr>
          <w:rFonts w:ascii="宋体" w:hAnsi="宋体" w:cs="宋体" w:eastAsia="宋体" w:hint="default"/>
        </w:rPr>
        <w:t>2017</w:t>
      </w:r>
      <w:r>
        <w:rPr>
          <w:rFonts w:ascii="宋体" w:hAnsi="宋体" w:cs="宋体" w:eastAsia="宋体" w:hint="default"/>
          <w:spacing w:val="-55"/>
        </w:rPr>
        <w:t> </w:t>
      </w:r>
      <w:r>
        <w:rPr/>
        <w:t>年</w:t>
      </w:r>
      <w:r>
        <w:rPr>
          <w:spacing w:val="-57"/>
        </w:rPr>
        <w:t> </w:t>
      </w:r>
      <w:r>
        <w:rPr>
          <w:rFonts w:ascii="宋体" w:hAnsi="宋体" w:cs="宋体" w:eastAsia="宋体" w:hint="default"/>
        </w:rPr>
        <w:t>1</w:t>
      </w:r>
      <w:r>
        <w:rPr>
          <w:rFonts w:ascii="宋体" w:hAnsi="宋体" w:cs="宋体" w:eastAsia="宋体" w:hint="default"/>
          <w:spacing w:val="-55"/>
        </w:rPr>
        <w:t> </w:t>
      </w:r>
      <w:r>
        <w:rPr/>
        <w:t>月</w:t>
      </w:r>
      <w:r>
        <w:rPr>
          <w:spacing w:val="-57"/>
        </w:rPr>
        <w:t> </w:t>
      </w:r>
      <w:r>
        <w:rPr>
          <w:rFonts w:ascii="宋体" w:hAnsi="宋体" w:cs="宋体" w:eastAsia="宋体" w:hint="default"/>
        </w:rPr>
        <w:t>1</w:t>
      </w:r>
      <w:r>
        <w:rPr>
          <w:rFonts w:ascii="宋体" w:hAnsi="宋体" w:cs="宋体" w:eastAsia="宋体" w:hint="default"/>
          <w:spacing w:val="-55"/>
        </w:rPr>
        <w:t> </w:t>
      </w:r>
      <w:r>
        <w:rPr/>
        <w:t>日起企业新增的与 日常活动相关的政府补助从营业外收入重分类至其他收益。</w:t>
      </w:r>
      <w:r>
        <w:rPr>
          <w:rFonts w:ascii="宋体" w:hAnsi="宋体" w:cs="宋体" w:eastAsia="宋体" w:hint="default"/>
        </w:rPr>
        <w:t>2017</w:t>
      </w:r>
      <w:r>
        <w:rPr>
          <w:rFonts w:ascii="宋体" w:hAnsi="宋体" w:cs="宋体" w:eastAsia="宋体" w:hint="default"/>
          <w:spacing w:val="-70"/>
        </w:rPr>
        <w:t> </w:t>
      </w:r>
      <w:r>
        <w:rPr>
          <w:spacing w:val="-3"/>
        </w:rPr>
        <w:t>年年度利润表累计影响为：“其他收益”</w:t>
      </w:r>
      <w:r>
        <w:rPr/>
        <w:t> 科目增加</w:t>
      </w:r>
      <w:r>
        <w:rPr>
          <w:spacing w:val="-59"/>
        </w:rPr>
        <w:t> </w:t>
      </w:r>
      <w:r>
        <w:rPr>
          <w:rFonts w:ascii="宋体" w:hAnsi="宋体" w:cs="宋体" w:eastAsia="宋体" w:hint="default"/>
        </w:rPr>
        <w:t>62,450,161.88</w:t>
      </w:r>
      <w:r>
        <w:rPr>
          <w:rFonts w:ascii="宋体" w:hAnsi="宋体" w:cs="宋体" w:eastAsia="宋体" w:hint="default"/>
          <w:spacing w:val="-60"/>
        </w:rPr>
        <w:t> </w:t>
      </w:r>
      <w:r>
        <w:rPr/>
        <w:t>元，“营业外收入”科目减少</w:t>
      </w:r>
      <w:r>
        <w:rPr>
          <w:spacing w:val="-60"/>
        </w:rPr>
        <w:t> </w:t>
      </w:r>
      <w:r>
        <w:rPr>
          <w:rFonts w:ascii="宋体" w:hAnsi="宋体" w:cs="宋体" w:eastAsia="宋体" w:hint="default"/>
        </w:rPr>
        <w:t>62,450,161.88</w:t>
      </w:r>
      <w:r>
        <w:rPr>
          <w:rFonts w:ascii="宋体" w:hAnsi="宋体" w:cs="宋体" w:eastAsia="宋体" w:hint="default"/>
          <w:spacing w:val="-59"/>
        </w:rPr>
        <w:t> </w:t>
      </w:r>
      <w:r>
        <w:rPr/>
        <w:t>元，对公司损益、总资产、净资产 </w:t>
      </w:r>
      <w:r>
        <w:rPr>
          <w:spacing w:val="-1"/>
        </w:rPr>
        <w:t>不产生影响，不涉及以前年度的追溯调整。本次会计政策变更对公司财务状况、经营成果和现金流量无重</w:t>
      </w:r>
      <w:r>
        <w:rPr>
          <w:spacing w:val="-83"/>
        </w:rPr>
        <w:t> </w:t>
      </w:r>
      <w:r>
        <w:rPr>
          <w:spacing w:val="-83"/>
        </w:rPr>
      </w:r>
      <w:r>
        <w:rPr/>
        <w:t>大影响，不涉及以往年度的追溯调整。</w:t>
      </w:r>
    </w:p>
    <w:p>
      <w:pPr>
        <w:spacing w:line="240" w:lineRule="auto" w:before="11"/>
        <w:rPr>
          <w:rFonts w:ascii="宋体" w:hAnsi="宋体" w:cs="宋体" w:eastAsia="宋体" w:hint="default"/>
          <w:sz w:val="18"/>
          <w:szCs w:val="18"/>
        </w:rPr>
      </w:pPr>
    </w:p>
    <w:p>
      <w:pPr>
        <w:pStyle w:val="Heading2"/>
        <w:spacing w:line="240" w:lineRule="auto"/>
        <w:ind w:right="0"/>
        <w:jc w:val="both"/>
        <w:rPr>
          <w:b w:val="0"/>
          <w:bCs w:val="0"/>
        </w:rPr>
      </w:pPr>
      <w:bookmarkStart w:name="七、与上年度财务报告相比，合并报表范围发生变化的情况说明" w:id="69"/>
      <w:bookmarkEnd w:id="69"/>
      <w:r>
        <w:rPr>
          <w:b w:val="0"/>
          <w:bCs w:val="0"/>
        </w:rPr>
      </w:r>
      <w:r>
        <w:rPr/>
        <w:t>七、与上年度财务报告相比，合并报表范围发生变化的情况说明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spacing w:line="338" w:lineRule="auto" w:before="0"/>
        <w:ind w:left="1133" w:right="7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公司报告期无合并报表范围发生变化的情况。</w:t>
      </w:r>
    </w:p>
    <w:p>
      <w:pPr>
        <w:spacing w:line="240" w:lineRule="auto" w:before="4"/>
        <w:rPr>
          <w:rFonts w:ascii="宋体" w:hAnsi="宋体" w:cs="宋体" w:eastAsia="宋体" w:hint="default"/>
          <w:sz w:val="19"/>
          <w:szCs w:val="19"/>
        </w:rPr>
      </w:pPr>
    </w:p>
    <w:p>
      <w:pPr>
        <w:pStyle w:val="Heading2"/>
        <w:spacing w:line="240" w:lineRule="auto"/>
        <w:ind w:right="0"/>
        <w:jc w:val="both"/>
        <w:rPr>
          <w:b w:val="0"/>
          <w:bCs w:val="0"/>
        </w:rPr>
      </w:pPr>
      <w:bookmarkStart w:name="八、聘任、解聘会计师事务所情况" w:id="70"/>
      <w:bookmarkEnd w:id="70"/>
      <w:r>
        <w:rPr>
          <w:b w:val="0"/>
          <w:bCs w:val="0"/>
        </w:rPr>
      </w:r>
      <w:r>
        <w:rPr/>
        <w:t>八、聘任、解聘会计师事务所情况</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both"/>
        <w:rPr>
          <w:rFonts w:ascii="宋体" w:hAnsi="宋体" w:cs="宋体" w:eastAsia="宋体" w:hint="default"/>
          <w:sz w:val="18"/>
          <w:szCs w:val="18"/>
        </w:rPr>
      </w:pPr>
      <w:r>
        <w:rPr>
          <w:rFonts w:ascii="宋体" w:hAnsi="宋体" w:cs="宋体" w:eastAsia="宋体" w:hint="default"/>
          <w:sz w:val="18"/>
          <w:szCs w:val="18"/>
        </w:rPr>
        <w:t>现聘任的会计事务所</w:t>
      </w:r>
    </w:p>
    <w:p>
      <w:pPr>
        <w:spacing w:line="240" w:lineRule="auto" w:before="13"/>
        <w:rPr>
          <w:rFonts w:ascii="宋体" w:hAnsi="宋体" w:cs="宋体" w:eastAsia="宋体" w:hint="default"/>
          <w:sz w:val="7"/>
          <w:szCs w:val="7"/>
        </w:rPr>
      </w:pPr>
    </w:p>
    <w:tbl>
      <w:tblPr>
        <w:tblW w:w="0" w:type="auto"/>
        <w:jc w:val="left"/>
        <w:tblInd w:w="1118" w:type="dxa"/>
        <w:tblLayout w:type="fixed"/>
        <w:tblCellMar>
          <w:top w:w="0" w:type="dxa"/>
          <w:left w:w="0" w:type="dxa"/>
          <w:bottom w:w="0" w:type="dxa"/>
          <w:right w:w="0" w:type="dxa"/>
        </w:tblCellMar>
        <w:tblLook w:val="01E0"/>
      </w:tblPr>
      <w:tblGrid>
        <w:gridCol w:w="4113"/>
        <w:gridCol w:w="5456"/>
      </w:tblGrid>
      <w:tr>
        <w:trPr>
          <w:trHeight w:val="412" w:hRule="exact"/>
        </w:trPr>
        <w:tc>
          <w:tcPr>
            <w:tcW w:w="4113"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456"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大信会计师事务所（特殊普通合伙）</w:t>
            </w:r>
          </w:p>
        </w:tc>
      </w:tr>
      <w:tr>
        <w:trPr>
          <w:trHeight w:val="402" w:hRule="exact"/>
        </w:trPr>
        <w:tc>
          <w:tcPr>
            <w:tcW w:w="411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45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120</w:t>
            </w:r>
          </w:p>
        </w:tc>
      </w:tr>
      <w:tr>
        <w:trPr>
          <w:trHeight w:val="402" w:hRule="exact"/>
        </w:trPr>
        <w:tc>
          <w:tcPr>
            <w:tcW w:w="411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45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411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45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郝东升、孔庆华</w:t>
            </w:r>
          </w:p>
        </w:tc>
      </w:tr>
      <w:tr>
        <w:trPr>
          <w:trHeight w:val="412" w:hRule="exact"/>
        </w:trPr>
        <w:tc>
          <w:tcPr>
            <w:tcW w:w="4113"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545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是否改聘会计师事务所</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spacing w:line="338" w:lineRule="auto" w:before="44"/>
        <w:ind w:left="1133" w:right="62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聘请内部控制审计会计师事务所、财务顾问或保荐人情况</w:t>
      </w:r>
    </w:p>
    <w:p>
      <w:pPr>
        <w:spacing w:before="43"/>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九、年度报告披露后面临暂停上市和终止上市情况" w:id="71"/>
      <w:bookmarkEnd w:id="71"/>
      <w:r>
        <w:rPr>
          <w:b w:val="0"/>
          <w:bCs w:val="0"/>
        </w:rPr>
      </w:r>
      <w:r>
        <w:rPr/>
        <w:t>九、年度报告披露后面临暂停上市和终止上市情况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破产重整相关事项" w:id="72"/>
      <w:bookmarkEnd w:id="72"/>
      <w:r>
        <w:rPr>
          <w:b w:val="0"/>
          <w:bCs w:val="0"/>
        </w:rPr>
      </w:r>
      <w:r>
        <w:rPr/>
        <w:t>十、破产重整相关事项</w:t>
      </w:r>
      <w:r>
        <w:rPr>
          <w:b w:val="0"/>
          <w:bCs w:val="0"/>
        </w:rPr>
      </w:r>
    </w:p>
    <w:p>
      <w:pPr>
        <w:spacing w:line="240" w:lineRule="auto" w:before="9"/>
        <w:rPr>
          <w:rFonts w:ascii="宋体" w:hAnsi="宋体" w:cs="宋体" w:eastAsia="宋体" w:hint="default"/>
          <w:b/>
          <w:bCs/>
          <w:sz w:val="26"/>
          <w:szCs w:val="26"/>
        </w:rPr>
      </w:pPr>
    </w:p>
    <w:p>
      <w:pPr>
        <w:spacing w:line="338" w:lineRule="auto" w:before="0"/>
        <w:ind w:left="113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公司报告期未发生破产重整相关事项。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一、重大诉讼、仲裁事项" w:id="73"/>
      <w:bookmarkEnd w:id="73"/>
      <w:r>
        <w:rPr>
          <w:b w:val="0"/>
          <w:bCs w:val="0"/>
        </w:rPr>
      </w:r>
      <w:r>
        <w:rPr/>
        <w:t>十一、重大诉讼、仲裁事项</w:t>
      </w:r>
      <w:r>
        <w:rPr>
          <w:b w:val="0"/>
          <w:bCs w:val="0"/>
        </w:rPr>
      </w:r>
    </w:p>
    <w:p>
      <w:pPr>
        <w:spacing w:line="240" w:lineRule="auto" w:before="9"/>
        <w:rPr>
          <w:rFonts w:ascii="宋体" w:hAnsi="宋体" w:cs="宋体" w:eastAsia="宋体" w:hint="default"/>
          <w:b/>
          <w:bCs/>
          <w:sz w:val="26"/>
          <w:szCs w:val="26"/>
        </w:rPr>
      </w:pPr>
    </w:p>
    <w:p>
      <w:pPr>
        <w:spacing w:line="340" w:lineRule="auto" w:before="0"/>
        <w:ind w:left="1133" w:right="78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本年度公司无重大诉讼、仲裁事项。</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二、处罚及整改情况" w:id="74"/>
      <w:bookmarkEnd w:id="74"/>
      <w:r>
        <w:rPr>
          <w:b w:val="0"/>
          <w:bCs w:val="0"/>
        </w:rPr>
      </w:r>
      <w:r>
        <w:rPr/>
        <w:t>十二、处罚及整改情况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133" w:right="78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公司报告期不存在处罚及整改情况。</w:t>
      </w:r>
    </w:p>
    <w:p>
      <w:pPr>
        <w:spacing w:line="240" w:lineRule="auto" w:before="5"/>
        <w:rPr>
          <w:rFonts w:ascii="宋体" w:hAnsi="宋体" w:cs="宋体" w:eastAsia="宋体" w:hint="default"/>
          <w:sz w:val="19"/>
          <w:szCs w:val="19"/>
        </w:rPr>
      </w:pPr>
    </w:p>
    <w:p>
      <w:pPr>
        <w:pStyle w:val="Heading2"/>
        <w:spacing w:line="240" w:lineRule="auto"/>
        <w:ind w:right="0"/>
        <w:jc w:val="left"/>
        <w:rPr>
          <w:b w:val="0"/>
          <w:bCs w:val="0"/>
        </w:rPr>
      </w:pPr>
      <w:bookmarkStart w:name="十三、公司及其控股股东、实际控制人的诚信状况" w:id="75"/>
      <w:bookmarkEnd w:id="75"/>
      <w:r>
        <w:rPr>
          <w:b w:val="0"/>
          <w:bCs w:val="0"/>
        </w:rPr>
      </w:r>
      <w:r>
        <w:rPr/>
        <w:t>十三、公司及其控股股东、实际控制人的诚信状况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73" w:lineRule="auto" w:before="75"/>
        <w:ind w:right="1131" w:firstLine="420"/>
        <w:jc w:val="both"/>
      </w:pPr>
      <w:r>
        <w:rPr>
          <w:spacing w:val="-1"/>
        </w:rPr>
        <w:t>报告期内公司及其控股股东、实际控制人不存在未履行法院生效判决、所负数额较大的债务到期未清</w:t>
      </w:r>
      <w:r>
        <w:rPr/>
        <w:t> 偿等情况。</w:t>
      </w:r>
    </w:p>
    <w:p>
      <w:pPr>
        <w:spacing w:line="240" w:lineRule="auto" w:before="11"/>
        <w:rPr>
          <w:rFonts w:ascii="宋体" w:hAnsi="宋体" w:cs="宋体" w:eastAsia="宋体" w:hint="default"/>
          <w:sz w:val="21"/>
          <w:szCs w:val="21"/>
        </w:rPr>
      </w:pPr>
    </w:p>
    <w:p>
      <w:pPr>
        <w:pStyle w:val="Heading2"/>
        <w:spacing w:line="240" w:lineRule="auto"/>
        <w:ind w:right="0"/>
        <w:jc w:val="left"/>
        <w:rPr>
          <w:b w:val="0"/>
          <w:bCs w:val="0"/>
        </w:rPr>
      </w:pPr>
      <w:bookmarkStart w:name="十四、公司股权激励计划、员工持股计划或其他员工激励措施的实施情况" w:id="76"/>
      <w:bookmarkEnd w:id="76"/>
      <w:r>
        <w:rPr>
          <w:b w:val="0"/>
          <w:bCs w:val="0"/>
        </w:rPr>
      </w:r>
      <w:r>
        <w:rPr/>
        <w:t>十四、公司股权激励计划、员工持股计划或其他员工激励措施的实施情况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08" w:lineRule="auto" w:before="155"/>
        <w:ind w:right="1132" w:firstLine="420"/>
        <w:jc w:val="both"/>
      </w:pPr>
      <w:r>
        <w:rPr>
          <w:rFonts w:ascii="宋体" w:hAnsi="宋体" w:cs="宋体" w:eastAsia="宋体" w:hint="default"/>
        </w:rPr>
        <w:t>1</w:t>
      </w:r>
      <w:r>
        <w:rPr/>
        <w:t>、</w:t>
      </w:r>
      <w:r>
        <w:rPr>
          <w:rFonts w:ascii="宋体" w:hAnsi="宋体" w:cs="宋体" w:eastAsia="宋体" w:hint="default"/>
        </w:rPr>
        <w:t>2015</w:t>
      </w:r>
      <w:r>
        <w:rPr>
          <w:rFonts w:ascii="宋体" w:hAnsi="宋体" w:cs="宋体" w:eastAsia="宋体" w:hint="default"/>
          <w:spacing w:val="-48"/>
        </w:rPr>
        <w:t> </w:t>
      </w:r>
      <w:r>
        <w:rPr/>
        <w:t>年</w:t>
      </w:r>
      <w:r>
        <w:rPr>
          <w:spacing w:val="-49"/>
        </w:rPr>
        <w:t> </w:t>
      </w:r>
      <w:r>
        <w:rPr>
          <w:rFonts w:ascii="宋体" w:hAnsi="宋体" w:cs="宋体" w:eastAsia="宋体" w:hint="default"/>
        </w:rPr>
        <w:t>1</w:t>
      </w:r>
      <w:r>
        <w:rPr>
          <w:rFonts w:ascii="宋体" w:hAnsi="宋体" w:cs="宋体" w:eastAsia="宋体" w:hint="default"/>
          <w:spacing w:val="-48"/>
        </w:rPr>
        <w:t> </w:t>
      </w:r>
      <w:r>
        <w:rPr/>
        <w:t>月</w:t>
      </w:r>
      <w:r>
        <w:rPr>
          <w:spacing w:val="-48"/>
        </w:rPr>
        <w:t> </w:t>
      </w:r>
      <w:r>
        <w:rPr>
          <w:rFonts w:ascii="宋体" w:hAnsi="宋体" w:cs="宋体" w:eastAsia="宋体" w:hint="default"/>
        </w:rPr>
        <w:t>22</w:t>
      </w:r>
      <w:r>
        <w:rPr>
          <w:rFonts w:ascii="宋体" w:hAnsi="宋体" w:cs="宋体" w:eastAsia="宋体" w:hint="default"/>
          <w:spacing w:val="-47"/>
        </w:rPr>
        <w:t> </w:t>
      </w:r>
      <w:r>
        <w:rPr/>
        <w:t>日，公司第三届董事会第九次会议审议通过了《关于</w:t>
      </w:r>
      <w:r>
        <w:rPr>
          <w:rFonts w:ascii="宋体" w:hAnsi="宋体" w:cs="宋体" w:eastAsia="宋体" w:hint="default"/>
        </w:rPr>
        <w:t>&lt;</w:t>
      </w:r>
      <w:r>
        <w:rPr/>
        <w:t>河南汉威电子股份有限公司 </w:t>
      </w:r>
      <w:r>
        <w:rPr>
          <w:spacing w:val="-3"/>
        </w:rPr>
        <w:t>第一期员工持股计划（草案）</w:t>
      </w:r>
      <w:r>
        <w:rPr>
          <w:rFonts w:ascii="宋体" w:hAnsi="宋体" w:cs="宋体" w:eastAsia="宋体" w:hint="default"/>
          <w:spacing w:val="-3"/>
        </w:rPr>
        <w:t>&gt;</w:t>
      </w:r>
      <w:r>
        <w:rPr>
          <w:spacing w:val="-3"/>
        </w:rPr>
        <w:t>及其摘要的议案》，本次公司员工持股计划设立后委托汇添富基金管理股份</w:t>
      </w:r>
      <w:r>
        <w:rPr>
          <w:spacing w:val="-95"/>
        </w:rPr>
        <w:t> </w:t>
      </w:r>
      <w:r>
        <w:rPr>
          <w:spacing w:val="-95"/>
        </w:rPr>
      </w:r>
      <w:r>
        <w:rPr/>
        <w:t>有限公司管理并全额认购汇添富基金管理股份有限公司设立的汇添富</w:t>
      </w:r>
      <w:r>
        <w:rPr>
          <w:rFonts w:ascii="宋体" w:hAnsi="宋体" w:cs="宋体" w:eastAsia="宋体" w:hint="default"/>
        </w:rPr>
        <w:t>-</w:t>
      </w:r>
      <w:r>
        <w:rPr/>
        <w:t>汉威电子</w:t>
      </w:r>
      <w:r>
        <w:rPr>
          <w:rFonts w:ascii="宋体" w:hAnsi="宋体" w:cs="宋体" w:eastAsia="宋体" w:hint="default"/>
        </w:rPr>
        <w:t>-</w:t>
      </w:r>
      <w:r>
        <w:rPr/>
        <w:t>双喜盛世 </w:t>
      </w:r>
      <w:r>
        <w:rPr>
          <w:rFonts w:ascii="宋体" w:hAnsi="宋体" w:cs="宋体" w:eastAsia="宋体" w:hint="default"/>
        </w:rPr>
        <w:t>51</w:t>
      </w:r>
      <w:r>
        <w:rPr>
          <w:rFonts w:ascii="宋体" w:hAnsi="宋体" w:cs="宋体" w:eastAsia="宋体" w:hint="default"/>
          <w:spacing w:val="-26"/>
        </w:rPr>
        <w:t> </w:t>
      </w:r>
      <w:r>
        <w:rPr/>
        <w:t>号资产管理</w:t>
      </w:r>
    </w:p>
    <w:p>
      <w:pPr>
        <w:pStyle w:val="BodyText"/>
        <w:spacing w:line="240" w:lineRule="auto"/>
        <w:ind w:right="0"/>
        <w:jc w:val="left"/>
      </w:pPr>
      <w:r>
        <w:rPr/>
        <w:t>计划中的次级份额</w:t>
      </w:r>
      <w:r>
        <w:rPr>
          <w:spacing w:val="-105"/>
        </w:rPr>
        <w:t>。</w:t>
      </w:r>
      <w:r>
        <w:rPr/>
        <w:t>（</w:t>
      </w:r>
      <w:r>
        <w:rPr>
          <w:spacing w:val="-2"/>
        </w:rPr>
        <w:t>具</w:t>
      </w:r>
      <w:r>
        <w:rPr/>
        <w:t>体信息请查阅公司于</w:t>
      </w:r>
      <w:r>
        <w:rPr>
          <w:spacing w:val="-52"/>
        </w:rPr>
        <w:t> </w:t>
      </w:r>
      <w:r>
        <w:rPr>
          <w:rFonts w:ascii="宋体" w:hAnsi="宋体" w:cs="宋体" w:eastAsia="宋体" w:hint="default"/>
        </w:rPr>
        <w:t>2015</w:t>
      </w:r>
      <w:r>
        <w:rPr>
          <w:rFonts w:ascii="宋体" w:hAnsi="宋体" w:cs="宋体" w:eastAsia="宋体" w:hint="default"/>
          <w:spacing w:val="-53"/>
        </w:rPr>
        <w:t> </w:t>
      </w:r>
      <w:r>
        <w:rPr/>
        <w:t>年</w:t>
      </w:r>
      <w:r>
        <w:rPr>
          <w:spacing w:val="-54"/>
        </w:rPr>
        <w:t> </w:t>
      </w:r>
      <w:r>
        <w:rPr>
          <w:rFonts w:ascii="宋体" w:hAnsi="宋体" w:cs="宋体" w:eastAsia="宋体" w:hint="default"/>
        </w:rPr>
        <w:t>1</w:t>
      </w:r>
      <w:r>
        <w:rPr>
          <w:rFonts w:ascii="宋体" w:hAnsi="宋体" w:cs="宋体" w:eastAsia="宋体" w:hint="default"/>
          <w:spacing w:val="-52"/>
        </w:rPr>
        <w:t> </w:t>
      </w:r>
      <w:r>
        <w:rPr/>
        <w:t>月</w:t>
      </w:r>
      <w:r>
        <w:rPr>
          <w:spacing w:val="-54"/>
        </w:rPr>
        <w:t> </w:t>
      </w:r>
      <w:r>
        <w:rPr>
          <w:rFonts w:ascii="宋体" w:hAnsi="宋体" w:cs="宋体" w:eastAsia="宋体" w:hint="default"/>
        </w:rPr>
        <w:t>23</w:t>
      </w:r>
      <w:r>
        <w:rPr>
          <w:rFonts w:ascii="宋体" w:hAnsi="宋体" w:cs="宋体" w:eastAsia="宋体" w:hint="default"/>
          <w:spacing w:val="-53"/>
        </w:rPr>
        <w:t> </w:t>
      </w:r>
      <w:r>
        <w:rPr/>
        <w:t>日在巨潮资讯网刊登的公告</w:t>
      </w:r>
      <w:r>
        <w:rPr>
          <w:spacing w:val="-105"/>
        </w:rPr>
        <w:t>）</w:t>
      </w:r>
      <w:r>
        <w:rPr/>
        <w:t>。</w:t>
      </w:r>
    </w:p>
    <w:p>
      <w:pPr>
        <w:spacing w:line="240" w:lineRule="auto" w:before="10"/>
        <w:rPr>
          <w:rFonts w:ascii="宋体" w:hAnsi="宋体" w:cs="宋体" w:eastAsia="宋体" w:hint="default"/>
          <w:sz w:val="14"/>
          <w:szCs w:val="14"/>
        </w:rPr>
      </w:pPr>
    </w:p>
    <w:p>
      <w:pPr>
        <w:pStyle w:val="BodyText"/>
        <w:spacing w:line="240" w:lineRule="auto" w:before="0"/>
        <w:ind w:left="1553" w:right="0"/>
        <w:jc w:val="left"/>
      </w:pPr>
      <w:r>
        <w:rPr>
          <w:rFonts w:ascii="宋体" w:hAnsi="宋体" w:cs="宋体" w:eastAsia="宋体" w:hint="default"/>
          <w:spacing w:val="-5"/>
        </w:rPr>
        <w:t>2</w:t>
      </w:r>
      <w:r>
        <w:rPr>
          <w:spacing w:val="-5"/>
        </w:rPr>
        <w:t>、</w:t>
      </w:r>
      <w:r>
        <w:rPr>
          <w:rFonts w:ascii="宋体" w:hAnsi="宋体" w:cs="宋体" w:eastAsia="宋体" w:hint="default"/>
          <w:spacing w:val="-5"/>
        </w:rPr>
        <w:t>2015</w:t>
      </w:r>
      <w:r>
        <w:rPr>
          <w:rFonts w:ascii="宋体" w:hAnsi="宋体" w:cs="宋体" w:eastAsia="宋体" w:hint="default"/>
          <w:spacing w:val="-57"/>
        </w:rPr>
        <w:t> </w:t>
      </w:r>
      <w:r>
        <w:rPr/>
        <w:t>年</w:t>
      </w:r>
      <w:r>
        <w:rPr>
          <w:spacing w:val="-57"/>
        </w:rPr>
        <w:t> </w:t>
      </w:r>
      <w:r>
        <w:rPr>
          <w:rFonts w:ascii="宋体" w:hAnsi="宋体" w:cs="宋体" w:eastAsia="宋体" w:hint="default"/>
        </w:rPr>
        <w:t>2</w:t>
      </w:r>
      <w:r>
        <w:rPr>
          <w:rFonts w:ascii="宋体" w:hAnsi="宋体" w:cs="宋体" w:eastAsia="宋体" w:hint="default"/>
          <w:spacing w:val="-57"/>
        </w:rPr>
        <w:t> </w:t>
      </w:r>
      <w:r>
        <w:rPr/>
        <w:t>月</w:t>
      </w:r>
      <w:r>
        <w:rPr>
          <w:spacing w:val="-57"/>
        </w:rPr>
        <w:t> </w:t>
      </w:r>
      <w:r>
        <w:rPr>
          <w:rFonts w:ascii="宋体" w:hAnsi="宋体" w:cs="宋体" w:eastAsia="宋体" w:hint="default"/>
        </w:rPr>
        <w:t>10</w:t>
      </w:r>
      <w:r>
        <w:rPr>
          <w:rFonts w:ascii="宋体" w:hAnsi="宋体" w:cs="宋体" w:eastAsia="宋体" w:hint="default"/>
          <w:spacing w:val="-56"/>
        </w:rPr>
        <w:t> </w:t>
      </w:r>
      <w:r>
        <w:rPr>
          <w:spacing w:val="-7"/>
        </w:rPr>
        <w:t>日，公司</w:t>
      </w:r>
      <w:r>
        <w:rPr>
          <w:spacing w:val="-57"/>
        </w:rPr>
        <w:t> </w:t>
      </w:r>
      <w:r>
        <w:rPr>
          <w:rFonts w:ascii="宋体" w:hAnsi="宋体" w:cs="宋体" w:eastAsia="宋体" w:hint="default"/>
        </w:rPr>
        <w:t>2015</w:t>
      </w:r>
      <w:r>
        <w:rPr>
          <w:rFonts w:ascii="宋体" w:hAnsi="宋体" w:cs="宋体" w:eastAsia="宋体" w:hint="default"/>
          <w:spacing w:val="-57"/>
        </w:rPr>
        <w:t> </w:t>
      </w:r>
      <w:r>
        <w:rPr/>
        <w:t>年第一次临时股东大会审议通过了《关于</w:t>
      </w:r>
      <w:r>
        <w:rPr>
          <w:rFonts w:ascii="宋体" w:hAnsi="宋体" w:cs="宋体" w:eastAsia="宋体" w:hint="default"/>
        </w:rPr>
        <w:t>&lt;</w:t>
      </w:r>
      <w:r>
        <w:rPr/>
        <w:t>河南汉威电子股份有限公</w:t>
      </w:r>
    </w:p>
    <w:p>
      <w:pPr>
        <w:spacing w:line="240" w:lineRule="auto" w:before="10"/>
        <w:rPr>
          <w:rFonts w:ascii="宋体" w:hAnsi="宋体" w:cs="宋体" w:eastAsia="宋体" w:hint="default"/>
          <w:sz w:val="14"/>
          <w:szCs w:val="14"/>
        </w:rPr>
      </w:pPr>
    </w:p>
    <w:p>
      <w:pPr>
        <w:pStyle w:val="BodyText"/>
        <w:spacing w:line="408" w:lineRule="auto" w:before="0"/>
        <w:ind w:right="1120"/>
        <w:jc w:val="left"/>
      </w:pPr>
      <w:r>
        <w:rPr/>
        <w:t>司第一期员工持股计划</w:t>
      </w:r>
      <w:r>
        <w:rPr>
          <w:rFonts w:ascii="宋体" w:hAnsi="宋体" w:cs="宋体" w:eastAsia="宋体" w:hint="default"/>
          <w:spacing w:val="-1"/>
        </w:rPr>
        <w:t>&gt;</w:t>
      </w:r>
      <w:r>
        <w:rPr/>
        <w:t>及其摘要的议案</w:t>
      </w:r>
      <w:r>
        <w:rPr>
          <w:spacing w:val="-105"/>
        </w:rPr>
        <w:t>》。</w:t>
      </w:r>
      <w:r>
        <w:rPr/>
        <w:t>（</w:t>
      </w:r>
      <w:r>
        <w:rPr>
          <w:spacing w:val="-2"/>
        </w:rPr>
        <w:t>具</w:t>
      </w:r>
      <w:r>
        <w:rPr/>
        <w:t>体内容请查阅公司于</w:t>
      </w:r>
      <w:r>
        <w:rPr>
          <w:spacing w:val="-39"/>
        </w:rPr>
        <w:t> </w:t>
      </w:r>
      <w:r>
        <w:rPr>
          <w:rFonts w:ascii="宋体" w:hAnsi="宋体" w:cs="宋体" w:eastAsia="宋体" w:hint="default"/>
        </w:rPr>
        <w:t>2</w:t>
      </w:r>
      <w:r>
        <w:rPr>
          <w:rFonts w:ascii="宋体" w:hAnsi="宋体" w:cs="宋体" w:eastAsia="宋体" w:hint="default"/>
          <w:spacing w:val="1"/>
        </w:rPr>
        <w:t>0</w:t>
      </w:r>
      <w:r>
        <w:rPr>
          <w:rFonts w:ascii="宋体" w:hAnsi="宋体" w:cs="宋体" w:eastAsia="宋体" w:hint="default"/>
        </w:rPr>
        <w:t>15</w:t>
      </w:r>
      <w:r>
        <w:rPr>
          <w:rFonts w:ascii="宋体" w:hAnsi="宋体" w:cs="宋体" w:eastAsia="宋体" w:hint="default"/>
          <w:spacing w:val="-39"/>
        </w:rPr>
        <w:t> </w:t>
      </w:r>
      <w:r>
        <w:rPr/>
        <w:t>年</w:t>
      </w:r>
      <w:r>
        <w:rPr>
          <w:spacing w:val="-39"/>
        </w:rPr>
        <w:t> </w:t>
      </w:r>
      <w:r>
        <w:rPr>
          <w:rFonts w:ascii="宋体" w:hAnsi="宋体" w:cs="宋体" w:eastAsia="宋体" w:hint="default"/>
        </w:rPr>
        <w:t>2</w:t>
      </w:r>
      <w:r>
        <w:rPr>
          <w:rFonts w:ascii="宋体" w:hAnsi="宋体" w:cs="宋体" w:eastAsia="宋体" w:hint="default"/>
          <w:spacing w:val="-39"/>
        </w:rPr>
        <w:t> </w:t>
      </w:r>
      <w:r>
        <w:rPr/>
        <w:t>月</w:t>
      </w:r>
      <w:r>
        <w:rPr>
          <w:spacing w:val="-39"/>
        </w:rPr>
        <w:t> </w:t>
      </w:r>
      <w:r>
        <w:rPr>
          <w:rFonts w:ascii="宋体" w:hAnsi="宋体" w:cs="宋体" w:eastAsia="宋体" w:hint="default"/>
        </w:rPr>
        <w:t>11</w:t>
      </w:r>
      <w:r>
        <w:rPr>
          <w:rFonts w:ascii="宋体" w:hAnsi="宋体" w:cs="宋体" w:eastAsia="宋体" w:hint="default"/>
          <w:spacing w:val="-40"/>
        </w:rPr>
        <w:t> </w:t>
      </w:r>
      <w:r>
        <w:rPr/>
        <w:t>日在中国证监会指定 创业板信息披露网站刊登的公告</w:t>
      </w:r>
      <w:r>
        <w:rPr>
          <w:spacing w:val="-105"/>
        </w:rPr>
        <w:t>）</w:t>
      </w:r>
      <w:r>
        <w:rPr/>
        <w:t>。</w:t>
      </w:r>
    </w:p>
    <w:p>
      <w:pPr>
        <w:pStyle w:val="BodyText"/>
        <w:spacing w:line="240" w:lineRule="auto"/>
        <w:ind w:left="1553" w:right="0"/>
        <w:jc w:val="left"/>
      </w:pPr>
      <w:r>
        <w:rPr>
          <w:rFonts w:ascii="宋体" w:hAnsi="宋体" w:cs="宋体" w:eastAsia="宋体" w:hint="default"/>
        </w:rPr>
        <w:t>3</w:t>
      </w:r>
      <w:r>
        <w:rPr/>
        <w:t>、</w:t>
      </w:r>
      <w:r>
        <w:rPr>
          <w:rFonts w:ascii="宋体" w:hAnsi="宋体" w:cs="宋体" w:eastAsia="宋体" w:hint="default"/>
        </w:rPr>
        <w:t>2015</w:t>
      </w:r>
      <w:r>
        <w:rPr>
          <w:rFonts w:ascii="宋体" w:hAnsi="宋体" w:cs="宋体" w:eastAsia="宋体" w:hint="default"/>
          <w:spacing w:val="-49"/>
        </w:rPr>
        <w:t> </w:t>
      </w:r>
      <w:r>
        <w:rPr/>
        <w:t>年</w:t>
      </w:r>
      <w:r>
        <w:rPr>
          <w:spacing w:val="-50"/>
        </w:rPr>
        <w:t> </w:t>
      </w:r>
      <w:r>
        <w:rPr>
          <w:rFonts w:ascii="宋体" w:hAnsi="宋体" w:cs="宋体" w:eastAsia="宋体" w:hint="default"/>
        </w:rPr>
        <w:t>6</w:t>
      </w:r>
      <w:r>
        <w:rPr>
          <w:rFonts w:ascii="宋体" w:hAnsi="宋体" w:cs="宋体" w:eastAsia="宋体" w:hint="default"/>
          <w:spacing w:val="-51"/>
        </w:rPr>
        <w:t> </w:t>
      </w:r>
      <w:r>
        <w:rPr/>
        <w:t>月</w:t>
      </w:r>
      <w:r>
        <w:rPr>
          <w:spacing w:val="-50"/>
        </w:rPr>
        <w:t> </w:t>
      </w:r>
      <w:r>
        <w:rPr>
          <w:rFonts w:ascii="宋体" w:hAnsi="宋体" w:cs="宋体" w:eastAsia="宋体" w:hint="default"/>
        </w:rPr>
        <w:t>15</w:t>
      </w:r>
      <w:r>
        <w:rPr>
          <w:rFonts w:ascii="宋体" w:hAnsi="宋体" w:cs="宋体" w:eastAsia="宋体" w:hint="default"/>
          <w:spacing w:val="-49"/>
        </w:rPr>
        <w:t> </w:t>
      </w:r>
      <w:r>
        <w:rPr/>
        <w:t>日，汇添富</w:t>
      </w:r>
      <w:r>
        <w:rPr>
          <w:rFonts w:ascii="宋体" w:hAnsi="宋体" w:cs="宋体" w:eastAsia="宋体" w:hint="default"/>
        </w:rPr>
        <w:t>-</w:t>
      </w:r>
      <w:r>
        <w:rPr/>
        <w:t>汉威电子</w:t>
      </w:r>
      <w:r>
        <w:rPr>
          <w:rFonts w:ascii="宋体" w:hAnsi="宋体" w:cs="宋体" w:eastAsia="宋体" w:hint="default"/>
        </w:rPr>
        <w:t>-</w:t>
      </w:r>
      <w:r>
        <w:rPr/>
        <w:t>双喜盛世</w:t>
      </w:r>
      <w:r>
        <w:rPr>
          <w:spacing w:val="-50"/>
        </w:rPr>
        <w:t> </w:t>
      </w:r>
      <w:r>
        <w:rPr>
          <w:rFonts w:ascii="宋体" w:hAnsi="宋体" w:cs="宋体" w:eastAsia="宋体" w:hint="default"/>
        </w:rPr>
        <w:t>51</w:t>
      </w:r>
      <w:r>
        <w:rPr>
          <w:rFonts w:ascii="宋体" w:hAnsi="宋体" w:cs="宋体" w:eastAsia="宋体" w:hint="default"/>
          <w:spacing w:val="-49"/>
        </w:rPr>
        <w:t> </w:t>
      </w:r>
      <w:r>
        <w:rPr/>
        <w:t>号资产管理计划以大宗交易方式实施了股票购</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240" w:lineRule="auto" w:before="174"/>
        <w:ind w:right="0"/>
        <w:jc w:val="left"/>
      </w:pPr>
      <w:r>
        <w:rPr/>
        <w:t>买，购买的公司股票数量为</w:t>
      </w:r>
      <w:r>
        <w:rPr>
          <w:spacing w:val="-40"/>
        </w:rPr>
        <w:t> </w:t>
      </w:r>
      <w:r>
        <w:rPr>
          <w:rFonts w:ascii="宋体" w:hAnsi="宋体" w:cs="宋体" w:eastAsia="宋体" w:hint="default"/>
        </w:rPr>
        <w:t>899,000</w:t>
      </w:r>
      <w:r>
        <w:rPr>
          <w:rFonts w:ascii="宋体" w:hAnsi="宋体" w:cs="宋体" w:eastAsia="宋体" w:hint="default"/>
          <w:spacing w:val="-40"/>
        </w:rPr>
        <w:t> </w:t>
      </w:r>
      <w:r>
        <w:rPr/>
        <w:t>股，购买价格为</w:t>
      </w:r>
      <w:r>
        <w:rPr>
          <w:spacing w:val="-40"/>
        </w:rPr>
        <w:t> </w:t>
      </w:r>
      <w:r>
        <w:rPr>
          <w:rFonts w:ascii="宋体" w:hAnsi="宋体" w:cs="宋体" w:eastAsia="宋体" w:hint="default"/>
        </w:rPr>
        <w:t>98.10</w:t>
      </w:r>
      <w:r>
        <w:rPr>
          <w:rFonts w:ascii="宋体" w:hAnsi="宋体" w:cs="宋体" w:eastAsia="宋体" w:hint="default"/>
          <w:spacing w:val="-41"/>
        </w:rPr>
        <w:t> </w:t>
      </w:r>
      <w:r>
        <w:rPr/>
        <w:t>元</w:t>
      </w:r>
      <w:r>
        <w:rPr>
          <w:rFonts w:ascii="宋体" w:hAnsi="宋体" w:cs="宋体" w:eastAsia="宋体" w:hint="default"/>
        </w:rPr>
        <w:t>/</w:t>
      </w:r>
      <w:r>
        <w:rPr/>
        <w:t>股，资金总额为</w:t>
      </w:r>
      <w:r>
        <w:rPr>
          <w:spacing w:val="-40"/>
        </w:rPr>
        <w:t> </w:t>
      </w:r>
      <w:r>
        <w:rPr>
          <w:rFonts w:ascii="宋体" w:hAnsi="宋体" w:cs="宋体" w:eastAsia="宋体" w:hint="default"/>
        </w:rPr>
        <w:t>9,000</w:t>
      </w:r>
      <w:r>
        <w:rPr>
          <w:rFonts w:ascii="宋体" w:hAnsi="宋体" w:cs="宋体" w:eastAsia="宋体" w:hint="default"/>
          <w:spacing w:val="-40"/>
        </w:rPr>
        <w:t> </w:t>
      </w:r>
      <w:r>
        <w:rPr/>
        <w:t>万元（具体内容请</w:t>
      </w:r>
    </w:p>
    <w:p>
      <w:pPr>
        <w:spacing w:line="240" w:lineRule="auto" w:before="10"/>
        <w:rPr>
          <w:rFonts w:ascii="宋体" w:hAnsi="宋体" w:cs="宋体" w:eastAsia="宋体" w:hint="default"/>
          <w:sz w:val="14"/>
          <w:szCs w:val="14"/>
        </w:rPr>
      </w:pPr>
    </w:p>
    <w:p>
      <w:pPr>
        <w:pStyle w:val="BodyText"/>
        <w:spacing w:line="240" w:lineRule="auto" w:before="0"/>
        <w:ind w:right="0"/>
        <w:jc w:val="left"/>
      </w:pPr>
      <w:r>
        <w:rPr/>
        <w:t>查阅公司于</w:t>
      </w:r>
      <w:r>
        <w:rPr>
          <w:spacing w:val="-52"/>
        </w:rPr>
        <w:t> </w:t>
      </w:r>
      <w:r>
        <w:rPr>
          <w:rFonts w:ascii="宋体" w:hAnsi="宋体" w:cs="宋体" w:eastAsia="宋体" w:hint="default"/>
        </w:rPr>
        <w:t>2015</w:t>
      </w:r>
      <w:r>
        <w:rPr>
          <w:rFonts w:ascii="宋体" w:hAnsi="宋体" w:cs="宋体" w:eastAsia="宋体" w:hint="default"/>
          <w:spacing w:val="-53"/>
        </w:rPr>
        <w:t> </w:t>
      </w:r>
      <w:r>
        <w:rPr/>
        <w:t>年</w:t>
      </w:r>
      <w:r>
        <w:rPr>
          <w:spacing w:val="-54"/>
        </w:rPr>
        <w:t> </w:t>
      </w:r>
      <w:r>
        <w:rPr>
          <w:rFonts w:ascii="宋体" w:hAnsi="宋体" w:cs="宋体" w:eastAsia="宋体" w:hint="default"/>
        </w:rPr>
        <w:t>6</w:t>
      </w:r>
      <w:r>
        <w:rPr>
          <w:rFonts w:ascii="宋体" w:hAnsi="宋体" w:cs="宋体" w:eastAsia="宋体" w:hint="default"/>
          <w:spacing w:val="-52"/>
        </w:rPr>
        <w:t> </w:t>
      </w:r>
      <w:r>
        <w:rPr/>
        <w:t>月</w:t>
      </w:r>
      <w:r>
        <w:rPr>
          <w:spacing w:val="-54"/>
        </w:rPr>
        <w:t> </w:t>
      </w:r>
      <w:r>
        <w:rPr>
          <w:rFonts w:ascii="宋体" w:hAnsi="宋体" w:cs="宋体" w:eastAsia="宋体" w:hint="default"/>
          <w:spacing w:val="-1"/>
        </w:rPr>
        <w:t>2</w:t>
      </w:r>
      <w:r>
        <w:rPr>
          <w:rFonts w:ascii="宋体" w:hAnsi="宋体" w:cs="宋体" w:eastAsia="宋体" w:hint="default"/>
        </w:rPr>
        <w:t>6</w:t>
      </w:r>
      <w:r>
        <w:rPr>
          <w:rFonts w:ascii="宋体" w:hAnsi="宋体" w:cs="宋体" w:eastAsia="宋体" w:hint="default"/>
          <w:spacing w:val="-52"/>
        </w:rPr>
        <w:t> </w:t>
      </w:r>
      <w:r>
        <w:rPr/>
        <w:t>日在中国</w:t>
      </w:r>
      <w:r>
        <w:rPr>
          <w:spacing w:val="-2"/>
        </w:rPr>
        <w:t>证</w:t>
      </w:r>
      <w:r>
        <w:rPr/>
        <w:t>监会指定创业板信息披露网站刊登的公告</w:t>
      </w:r>
      <w:r>
        <w:rPr>
          <w:spacing w:val="-105"/>
        </w:rPr>
        <w:t>）</w:t>
      </w:r>
      <w:r>
        <w:rPr/>
        <w:t>。</w:t>
      </w:r>
    </w:p>
    <w:p>
      <w:pPr>
        <w:spacing w:line="240" w:lineRule="auto" w:before="10"/>
        <w:rPr>
          <w:rFonts w:ascii="宋体" w:hAnsi="宋体" w:cs="宋体" w:eastAsia="宋体" w:hint="default"/>
          <w:sz w:val="14"/>
          <w:szCs w:val="14"/>
        </w:rPr>
      </w:pPr>
    </w:p>
    <w:p>
      <w:pPr>
        <w:pStyle w:val="BodyText"/>
        <w:spacing w:line="240" w:lineRule="auto" w:before="0"/>
        <w:ind w:left="1553" w:right="0"/>
        <w:jc w:val="left"/>
      </w:pPr>
      <w:r>
        <w:rPr>
          <w:rFonts w:ascii="宋体" w:hAnsi="宋体" w:cs="宋体" w:eastAsia="宋体" w:hint="default"/>
          <w:spacing w:val="-7"/>
        </w:rPr>
        <w:t>4</w:t>
      </w:r>
      <w:r>
        <w:rPr>
          <w:spacing w:val="-7"/>
        </w:rPr>
        <w:t>、</w:t>
      </w:r>
      <w:r>
        <w:rPr>
          <w:rFonts w:ascii="宋体" w:hAnsi="宋体" w:cs="宋体" w:eastAsia="宋体" w:hint="default"/>
          <w:spacing w:val="-7"/>
        </w:rPr>
        <w:t>2015</w:t>
      </w:r>
      <w:r>
        <w:rPr>
          <w:rFonts w:ascii="宋体" w:hAnsi="宋体" w:cs="宋体" w:eastAsia="宋体" w:hint="default"/>
          <w:spacing w:val="-53"/>
        </w:rPr>
        <w:t> </w:t>
      </w:r>
      <w:r>
        <w:rPr/>
        <w:t>年</w:t>
      </w:r>
      <w:r>
        <w:rPr>
          <w:spacing w:val="-54"/>
        </w:rPr>
        <w:t> </w:t>
      </w:r>
      <w:r>
        <w:rPr>
          <w:rFonts w:ascii="宋体" w:hAnsi="宋体" w:cs="宋体" w:eastAsia="宋体" w:hint="default"/>
        </w:rPr>
        <w:t>9</w:t>
      </w:r>
      <w:r>
        <w:rPr>
          <w:rFonts w:ascii="宋体" w:hAnsi="宋体" w:cs="宋体" w:eastAsia="宋体" w:hint="default"/>
          <w:spacing w:val="-53"/>
        </w:rPr>
        <w:t> </w:t>
      </w:r>
      <w:r>
        <w:rPr/>
        <w:t>月</w:t>
      </w:r>
      <w:r>
        <w:rPr>
          <w:spacing w:val="-53"/>
        </w:rPr>
        <w:t> </w:t>
      </w:r>
      <w:r>
        <w:rPr>
          <w:rFonts w:ascii="宋体" w:hAnsi="宋体" w:cs="宋体" w:eastAsia="宋体" w:hint="default"/>
        </w:rPr>
        <w:t>11</w:t>
      </w:r>
      <w:r>
        <w:rPr>
          <w:rFonts w:ascii="宋体" w:hAnsi="宋体" w:cs="宋体" w:eastAsia="宋体" w:hint="default"/>
          <w:spacing w:val="-52"/>
        </w:rPr>
        <w:t> </w:t>
      </w:r>
      <w:r>
        <w:rPr>
          <w:spacing w:val="-6"/>
        </w:rPr>
        <w:t>日，公司召开了</w:t>
      </w:r>
      <w:r>
        <w:rPr>
          <w:spacing w:val="-53"/>
        </w:rPr>
        <w:t> </w:t>
      </w:r>
      <w:r>
        <w:rPr>
          <w:rFonts w:ascii="宋体" w:hAnsi="宋体" w:cs="宋体" w:eastAsia="宋体" w:hint="default"/>
        </w:rPr>
        <w:t>2015</w:t>
      </w:r>
      <w:r>
        <w:rPr>
          <w:rFonts w:ascii="宋体" w:hAnsi="宋体" w:cs="宋体" w:eastAsia="宋体" w:hint="default"/>
          <w:spacing w:val="-52"/>
        </w:rPr>
        <w:t> </w:t>
      </w:r>
      <w:r>
        <w:rPr/>
        <w:t>年第二次临时股东大会审议通过了</w:t>
      </w:r>
      <w:r>
        <w:rPr>
          <w:spacing w:val="-52"/>
        </w:rPr>
        <w:t> </w:t>
      </w:r>
      <w:r>
        <w:rPr>
          <w:rFonts w:ascii="宋体" w:hAnsi="宋体" w:cs="宋体" w:eastAsia="宋体" w:hint="default"/>
        </w:rPr>
        <w:t>2015</w:t>
      </w:r>
      <w:r>
        <w:rPr>
          <w:rFonts w:ascii="宋体" w:hAnsi="宋体" w:cs="宋体" w:eastAsia="宋体" w:hint="default"/>
          <w:spacing w:val="-53"/>
        </w:rPr>
        <w:t> </w:t>
      </w:r>
      <w:r>
        <w:rPr/>
        <w:t>年半年度资本公积金</w:t>
      </w:r>
    </w:p>
    <w:p>
      <w:pPr>
        <w:spacing w:line="240" w:lineRule="auto" w:before="10"/>
        <w:rPr>
          <w:rFonts w:ascii="宋体" w:hAnsi="宋体" w:cs="宋体" w:eastAsia="宋体" w:hint="default"/>
          <w:sz w:val="14"/>
          <w:szCs w:val="14"/>
        </w:rPr>
      </w:pPr>
    </w:p>
    <w:p>
      <w:pPr>
        <w:pStyle w:val="BodyText"/>
        <w:spacing w:line="240" w:lineRule="auto" w:before="0"/>
        <w:ind w:right="0"/>
        <w:jc w:val="left"/>
      </w:pPr>
      <w:r>
        <w:rPr/>
        <w:t>转增股本方案</w:t>
      </w:r>
      <w:r>
        <w:rPr>
          <w:spacing w:val="-105"/>
        </w:rPr>
        <w:t>，</w:t>
      </w:r>
      <w:r>
        <w:rPr/>
        <w:t>以截至</w:t>
      </w:r>
      <w:r>
        <w:rPr>
          <w:spacing w:val="-55"/>
        </w:rPr>
        <w:t> </w:t>
      </w:r>
      <w:r>
        <w:rPr>
          <w:rFonts w:ascii="宋体" w:hAnsi="宋体" w:cs="宋体" w:eastAsia="宋体" w:hint="default"/>
        </w:rPr>
        <w:t>2</w:t>
      </w:r>
      <w:r>
        <w:rPr>
          <w:rFonts w:ascii="宋体" w:hAnsi="宋体" w:cs="宋体" w:eastAsia="宋体" w:hint="default"/>
          <w:spacing w:val="-2"/>
        </w:rPr>
        <w:t>0</w:t>
      </w:r>
      <w:r>
        <w:rPr>
          <w:rFonts w:ascii="宋体" w:hAnsi="宋体" w:cs="宋体" w:eastAsia="宋体" w:hint="default"/>
        </w:rPr>
        <w:t>15</w:t>
      </w:r>
      <w:r>
        <w:rPr>
          <w:rFonts w:ascii="宋体" w:hAnsi="宋体" w:cs="宋体" w:eastAsia="宋体" w:hint="default"/>
          <w:spacing w:val="-54"/>
        </w:rPr>
        <w:t> </w:t>
      </w:r>
      <w:r>
        <w:rPr/>
        <w:t>年</w:t>
      </w:r>
      <w:r>
        <w:rPr>
          <w:spacing w:val="-56"/>
        </w:rPr>
        <w:t> </w:t>
      </w:r>
      <w:r>
        <w:rPr>
          <w:rFonts w:ascii="宋体" w:hAnsi="宋体" w:cs="宋体" w:eastAsia="宋体" w:hint="default"/>
        </w:rPr>
        <w:t>6</w:t>
      </w:r>
      <w:r>
        <w:rPr>
          <w:rFonts w:ascii="宋体" w:hAnsi="宋体" w:cs="宋体" w:eastAsia="宋体" w:hint="default"/>
          <w:spacing w:val="-54"/>
        </w:rPr>
        <w:t> </w:t>
      </w:r>
      <w:r>
        <w:rPr/>
        <w:t>月</w:t>
      </w:r>
      <w:r>
        <w:rPr>
          <w:spacing w:val="-55"/>
        </w:rPr>
        <w:t> </w:t>
      </w:r>
      <w:r>
        <w:rPr>
          <w:rFonts w:ascii="宋体" w:hAnsi="宋体" w:cs="宋体" w:eastAsia="宋体" w:hint="default"/>
          <w:spacing w:val="-1"/>
        </w:rPr>
        <w:t>3</w:t>
      </w:r>
      <w:r>
        <w:rPr>
          <w:rFonts w:ascii="宋体" w:hAnsi="宋体" w:cs="宋体" w:eastAsia="宋体" w:hint="default"/>
        </w:rPr>
        <w:t>0</w:t>
      </w:r>
      <w:r>
        <w:rPr>
          <w:rFonts w:ascii="宋体" w:hAnsi="宋体" w:cs="宋体" w:eastAsia="宋体" w:hint="default"/>
          <w:spacing w:val="-56"/>
        </w:rPr>
        <w:t> </w:t>
      </w:r>
      <w:r>
        <w:rPr/>
        <w:t>日公司总股本为基数</w:t>
      </w:r>
      <w:r>
        <w:rPr>
          <w:spacing w:val="-105"/>
        </w:rPr>
        <w:t>，</w:t>
      </w:r>
      <w:r>
        <w:rPr>
          <w:spacing w:val="-2"/>
        </w:rPr>
        <w:t>以</w:t>
      </w:r>
      <w:r>
        <w:rPr/>
        <w:t>资本公积金向全体股东每</w:t>
      </w:r>
      <w:r>
        <w:rPr>
          <w:spacing w:val="-54"/>
        </w:rPr>
        <w:t> </w:t>
      </w:r>
      <w:r>
        <w:rPr>
          <w:rFonts w:ascii="宋体" w:hAnsi="宋体" w:cs="宋体" w:eastAsia="宋体" w:hint="default"/>
        </w:rPr>
        <w:t>10</w:t>
      </w:r>
      <w:r>
        <w:rPr>
          <w:rFonts w:ascii="宋体" w:hAnsi="宋体" w:cs="宋体" w:eastAsia="宋体" w:hint="default"/>
          <w:spacing w:val="-54"/>
        </w:rPr>
        <w:t> </w:t>
      </w:r>
      <w:r>
        <w:rPr/>
        <w:t>股转增</w:t>
      </w:r>
      <w:r>
        <w:rPr>
          <w:spacing w:val="-56"/>
        </w:rPr>
        <w:t> </w:t>
      </w:r>
      <w:r>
        <w:rPr>
          <w:rFonts w:ascii="宋体" w:hAnsi="宋体" w:cs="宋体" w:eastAsia="宋体" w:hint="default"/>
        </w:rPr>
        <w:t>10</w:t>
      </w:r>
      <w:r>
        <w:rPr>
          <w:rFonts w:ascii="宋体" w:hAnsi="宋体" w:cs="宋体" w:eastAsia="宋体" w:hint="default"/>
          <w:spacing w:val="-54"/>
        </w:rPr>
        <w:t> </w:t>
      </w:r>
      <w:r>
        <w:rPr/>
        <w:t>股。</w:t>
      </w:r>
    </w:p>
    <w:p>
      <w:pPr>
        <w:spacing w:line="240" w:lineRule="auto" w:before="10"/>
        <w:rPr>
          <w:rFonts w:ascii="宋体" w:hAnsi="宋体" w:cs="宋体" w:eastAsia="宋体" w:hint="default"/>
          <w:sz w:val="14"/>
          <w:szCs w:val="14"/>
        </w:rPr>
      </w:pPr>
    </w:p>
    <w:p>
      <w:pPr>
        <w:pStyle w:val="BodyText"/>
        <w:spacing w:line="240" w:lineRule="auto" w:before="0"/>
        <w:ind w:right="0"/>
        <w:jc w:val="left"/>
      </w:pPr>
      <w:r>
        <w:rPr/>
        <w:t>转增完成后，本次员工持股计划持有公司股票数量为</w:t>
      </w:r>
      <w:r>
        <w:rPr>
          <w:spacing w:val="-52"/>
        </w:rPr>
        <w:t> </w:t>
      </w:r>
      <w:r>
        <w:rPr>
          <w:rFonts w:ascii="宋体" w:hAnsi="宋体" w:cs="宋体" w:eastAsia="宋体" w:hint="default"/>
        </w:rPr>
        <w:t>1,798,000</w:t>
      </w:r>
      <w:r>
        <w:rPr>
          <w:rFonts w:ascii="宋体" w:hAnsi="宋体" w:cs="宋体" w:eastAsia="宋体" w:hint="default"/>
          <w:spacing w:val="-52"/>
        </w:rPr>
        <w:t> </w:t>
      </w:r>
      <w:r>
        <w:rPr/>
        <w:t>股。</w:t>
      </w:r>
    </w:p>
    <w:p>
      <w:pPr>
        <w:spacing w:line="240" w:lineRule="auto" w:before="10"/>
        <w:rPr>
          <w:rFonts w:ascii="宋体" w:hAnsi="宋体" w:cs="宋体" w:eastAsia="宋体" w:hint="default"/>
          <w:sz w:val="14"/>
          <w:szCs w:val="14"/>
        </w:rPr>
      </w:pPr>
    </w:p>
    <w:p>
      <w:pPr>
        <w:pStyle w:val="BodyText"/>
        <w:spacing w:line="240" w:lineRule="auto" w:before="0"/>
        <w:ind w:left="1553" w:right="0"/>
        <w:jc w:val="left"/>
      </w:pPr>
      <w:r>
        <w:rPr>
          <w:rFonts w:ascii="宋体" w:hAnsi="宋体" w:cs="宋体" w:eastAsia="宋体" w:hint="default"/>
          <w:spacing w:val="-3"/>
        </w:rPr>
        <w:t>5</w:t>
      </w:r>
      <w:r>
        <w:rPr>
          <w:spacing w:val="-3"/>
        </w:rPr>
        <w:t>、</w:t>
      </w:r>
      <w:r>
        <w:rPr>
          <w:rFonts w:ascii="宋体" w:hAnsi="宋体" w:cs="宋体" w:eastAsia="宋体" w:hint="default"/>
          <w:spacing w:val="-3"/>
        </w:rPr>
        <w:t>2017</w:t>
      </w:r>
      <w:r>
        <w:rPr>
          <w:rFonts w:ascii="宋体" w:hAnsi="宋体" w:cs="宋体" w:eastAsia="宋体" w:hint="default"/>
          <w:spacing w:val="-65"/>
        </w:rPr>
        <w:t> </w:t>
      </w:r>
      <w:r>
        <w:rPr/>
        <w:t>年</w:t>
      </w:r>
      <w:r>
        <w:rPr>
          <w:spacing w:val="-66"/>
        </w:rPr>
        <w:t> </w:t>
      </w:r>
      <w:r>
        <w:rPr>
          <w:rFonts w:ascii="宋体" w:hAnsi="宋体" w:cs="宋体" w:eastAsia="宋体" w:hint="default"/>
        </w:rPr>
        <w:t>1</w:t>
      </w:r>
      <w:r>
        <w:rPr>
          <w:rFonts w:ascii="宋体" w:hAnsi="宋体" w:cs="宋体" w:eastAsia="宋体" w:hint="default"/>
          <w:spacing w:val="-65"/>
        </w:rPr>
        <w:t> </w:t>
      </w:r>
      <w:r>
        <w:rPr/>
        <w:t>月</w:t>
      </w:r>
      <w:r>
        <w:rPr>
          <w:spacing w:val="-65"/>
        </w:rPr>
        <w:t> </w:t>
      </w:r>
      <w:r>
        <w:rPr>
          <w:rFonts w:ascii="宋体" w:hAnsi="宋体" w:cs="宋体" w:eastAsia="宋体" w:hint="default"/>
        </w:rPr>
        <w:t>19</w:t>
      </w:r>
      <w:r>
        <w:rPr>
          <w:rFonts w:ascii="宋体" w:hAnsi="宋体" w:cs="宋体" w:eastAsia="宋体" w:hint="default"/>
          <w:spacing w:val="-64"/>
        </w:rPr>
        <w:t> </w:t>
      </w:r>
      <w:r>
        <w:rPr/>
        <w:t>日，根据《关于上市公司实施员工持股计划试点的指导意见》以及《创业板信息披</w:t>
      </w:r>
    </w:p>
    <w:p>
      <w:pPr>
        <w:spacing w:line="240" w:lineRule="auto" w:before="10"/>
        <w:rPr>
          <w:rFonts w:ascii="宋体" w:hAnsi="宋体" w:cs="宋体" w:eastAsia="宋体" w:hint="default"/>
          <w:sz w:val="14"/>
          <w:szCs w:val="14"/>
        </w:rPr>
      </w:pPr>
    </w:p>
    <w:p>
      <w:pPr>
        <w:pStyle w:val="BodyText"/>
        <w:spacing w:line="240" w:lineRule="auto" w:before="0"/>
        <w:ind w:right="0"/>
        <w:jc w:val="left"/>
      </w:pPr>
      <w:r>
        <w:rPr/>
        <w:t>露业务备忘录第 </w:t>
      </w:r>
      <w:r>
        <w:rPr>
          <w:rFonts w:ascii="宋体" w:hAnsi="宋体" w:cs="宋体" w:eastAsia="宋体" w:hint="default"/>
        </w:rPr>
        <w:t>20</w:t>
      </w:r>
      <w:r>
        <w:rPr>
          <w:rFonts w:ascii="宋体" w:hAnsi="宋体" w:cs="宋体" w:eastAsia="宋体" w:hint="default"/>
          <w:spacing w:val="-22"/>
        </w:rPr>
        <w:t> </w:t>
      </w:r>
      <w:r>
        <w:rPr/>
        <w:t>号：员工持股计划》的有关规定，将公司第一期员工持股计划存续期届满前的相关情</w:t>
      </w:r>
    </w:p>
    <w:p>
      <w:pPr>
        <w:spacing w:line="240" w:lineRule="auto" w:before="10"/>
        <w:rPr>
          <w:rFonts w:ascii="宋体" w:hAnsi="宋体" w:cs="宋体" w:eastAsia="宋体" w:hint="default"/>
          <w:sz w:val="14"/>
          <w:szCs w:val="14"/>
        </w:rPr>
      </w:pPr>
    </w:p>
    <w:p>
      <w:pPr>
        <w:pStyle w:val="BodyText"/>
        <w:spacing w:line="408" w:lineRule="auto" w:before="0"/>
        <w:ind w:right="1120"/>
        <w:jc w:val="left"/>
      </w:pPr>
      <w:r>
        <w:rPr/>
        <w:t>况作出了详细提示（具体内容请查阅公司于</w:t>
      </w:r>
      <w:r>
        <w:rPr>
          <w:spacing w:val="-56"/>
        </w:rPr>
        <w:t> </w:t>
      </w:r>
      <w:r>
        <w:rPr>
          <w:rFonts w:ascii="宋体" w:hAnsi="宋体" w:cs="宋体" w:eastAsia="宋体" w:hint="default"/>
        </w:rPr>
        <w:t>2017</w:t>
      </w:r>
      <w:r>
        <w:rPr>
          <w:rFonts w:ascii="宋体" w:hAnsi="宋体" w:cs="宋体" w:eastAsia="宋体" w:hint="default"/>
          <w:spacing w:val="-57"/>
        </w:rPr>
        <w:t> </w:t>
      </w:r>
      <w:r>
        <w:rPr/>
        <w:t>年</w:t>
      </w:r>
      <w:r>
        <w:rPr>
          <w:spacing w:val="-58"/>
        </w:rPr>
        <w:t> </w:t>
      </w:r>
      <w:r>
        <w:rPr>
          <w:rFonts w:ascii="宋体" w:hAnsi="宋体" w:cs="宋体" w:eastAsia="宋体" w:hint="default"/>
        </w:rPr>
        <w:t>1</w:t>
      </w:r>
      <w:r>
        <w:rPr>
          <w:rFonts w:ascii="宋体" w:hAnsi="宋体" w:cs="宋体" w:eastAsia="宋体" w:hint="default"/>
          <w:spacing w:val="-56"/>
        </w:rPr>
        <w:t> </w:t>
      </w:r>
      <w:r>
        <w:rPr/>
        <w:t>月</w:t>
      </w:r>
      <w:r>
        <w:rPr>
          <w:spacing w:val="-58"/>
        </w:rPr>
        <w:t> </w:t>
      </w:r>
      <w:r>
        <w:rPr>
          <w:rFonts w:ascii="宋体" w:hAnsi="宋体" w:cs="宋体" w:eastAsia="宋体" w:hint="default"/>
        </w:rPr>
        <w:t>19</w:t>
      </w:r>
      <w:r>
        <w:rPr>
          <w:rFonts w:ascii="宋体" w:hAnsi="宋体" w:cs="宋体" w:eastAsia="宋体" w:hint="default"/>
          <w:spacing w:val="-57"/>
        </w:rPr>
        <w:t> </w:t>
      </w:r>
      <w:r>
        <w:rPr/>
        <w:t>日在中国证监会指定创业板信息披露网站刊登 </w:t>
      </w:r>
      <w:r>
        <w:rPr>
          <w:spacing w:val="-21"/>
        </w:rPr>
        <w:t>的公告）。</w:t>
      </w:r>
    </w:p>
    <w:p>
      <w:pPr>
        <w:pStyle w:val="BodyText"/>
        <w:spacing w:line="240" w:lineRule="auto"/>
        <w:ind w:left="1553" w:right="0"/>
        <w:jc w:val="left"/>
        <w:rPr>
          <w:rFonts w:ascii="宋体" w:hAnsi="宋体" w:cs="宋体" w:eastAsia="宋体" w:hint="default"/>
        </w:rPr>
      </w:pPr>
      <w:r>
        <w:rPr>
          <w:rFonts w:ascii="宋体" w:hAnsi="宋体" w:cs="宋体" w:eastAsia="宋体" w:hint="default"/>
          <w:spacing w:val="1"/>
        </w:rPr>
        <w:t>6</w:t>
      </w:r>
      <w:r>
        <w:rPr>
          <w:spacing w:val="-106"/>
        </w:rPr>
        <w:t>、</w:t>
      </w:r>
      <w:r>
        <w:rPr>
          <w:rFonts w:ascii="宋体" w:hAnsi="宋体" w:cs="宋体" w:eastAsia="宋体" w:hint="default"/>
        </w:rPr>
        <w:t>2017</w:t>
      </w:r>
      <w:r>
        <w:rPr>
          <w:rFonts w:ascii="宋体" w:hAnsi="宋体" w:cs="宋体" w:eastAsia="宋体" w:hint="default"/>
          <w:spacing w:val="-68"/>
        </w:rPr>
        <w:t> </w:t>
      </w:r>
      <w:r>
        <w:rPr/>
        <w:t>年</w:t>
      </w:r>
      <w:r>
        <w:rPr>
          <w:spacing w:val="-69"/>
        </w:rPr>
        <w:t> </w:t>
      </w:r>
      <w:r>
        <w:rPr>
          <w:rFonts w:ascii="宋体" w:hAnsi="宋体" w:cs="宋体" w:eastAsia="宋体" w:hint="default"/>
        </w:rPr>
        <w:t>3</w:t>
      </w:r>
      <w:r>
        <w:rPr>
          <w:rFonts w:ascii="宋体" w:hAnsi="宋体" w:cs="宋体" w:eastAsia="宋体" w:hint="default"/>
          <w:spacing w:val="-69"/>
        </w:rPr>
        <w:t> </w:t>
      </w:r>
      <w:r>
        <w:rPr/>
        <w:t>月</w:t>
      </w:r>
      <w:r>
        <w:rPr>
          <w:spacing w:val="-68"/>
        </w:rPr>
        <w:t> </w:t>
      </w:r>
      <w:r>
        <w:rPr>
          <w:rFonts w:ascii="宋体" w:hAnsi="宋体" w:cs="宋体" w:eastAsia="宋体" w:hint="default"/>
          <w:spacing w:val="-1"/>
        </w:rPr>
        <w:t>1</w:t>
      </w:r>
      <w:r>
        <w:rPr>
          <w:rFonts w:ascii="宋体" w:hAnsi="宋体" w:cs="宋体" w:eastAsia="宋体" w:hint="default"/>
        </w:rPr>
        <w:t>4</w:t>
      </w:r>
      <w:r>
        <w:rPr>
          <w:rFonts w:ascii="宋体" w:hAnsi="宋体" w:cs="宋体" w:eastAsia="宋体" w:hint="default"/>
          <w:spacing w:val="-68"/>
        </w:rPr>
        <w:t> </w:t>
      </w:r>
      <w:r>
        <w:rPr/>
        <w:t>日</w:t>
      </w:r>
      <w:r>
        <w:rPr>
          <w:spacing w:val="-105"/>
        </w:rPr>
        <w:t>，</w:t>
      </w:r>
      <w:r>
        <w:rPr>
          <w:spacing w:val="-2"/>
        </w:rPr>
        <w:t>汇</w:t>
      </w:r>
      <w:r>
        <w:rPr/>
        <w:t>添富</w:t>
      </w:r>
      <w:r>
        <w:rPr>
          <w:rFonts w:ascii="宋体" w:hAnsi="宋体" w:cs="宋体" w:eastAsia="宋体" w:hint="default"/>
        </w:rPr>
        <w:t>-</w:t>
      </w:r>
      <w:r>
        <w:rPr/>
        <w:t>汉威</w:t>
      </w:r>
      <w:r>
        <w:rPr>
          <w:spacing w:val="-2"/>
        </w:rPr>
        <w:t>电</w:t>
      </w:r>
      <w:r>
        <w:rPr/>
        <w:t>子</w:t>
      </w:r>
      <w:r>
        <w:rPr>
          <w:rFonts w:ascii="宋体" w:hAnsi="宋体" w:cs="宋体" w:eastAsia="宋体" w:hint="default"/>
        </w:rPr>
        <w:t>-</w:t>
      </w:r>
      <w:r>
        <w:rPr/>
        <w:t>双喜盛世</w:t>
      </w:r>
      <w:r>
        <w:rPr>
          <w:spacing w:val="-69"/>
        </w:rPr>
        <w:t> </w:t>
      </w:r>
      <w:r>
        <w:rPr>
          <w:rFonts w:ascii="宋体" w:hAnsi="宋体" w:cs="宋体" w:eastAsia="宋体" w:hint="default"/>
        </w:rPr>
        <w:t>51</w:t>
      </w:r>
      <w:r>
        <w:rPr>
          <w:rFonts w:ascii="宋体" w:hAnsi="宋体" w:cs="宋体" w:eastAsia="宋体" w:hint="default"/>
          <w:spacing w:val="-68"/>
        </w:rPr>
        <w:t> </w:t>
      </w:r>
      <w:r>
        <w:rPr>
          <w:spacing w:val="-2"/>
        </w:rPr>
        <w:t>号</w:t>
      </w:r>
      <w:r>
        <w:rPr/>
        <w:t>资产</w:t>
      </w:r>
      <w:r>
        <w:rPr>
          <w:spacing w:val="-2"/>
        </w:rPr>
        <w:t>管</w:t>
      </w:r>
      <w:r>
        <w:rPr/>
        <w:t>理计划所持有的公司股票共计</w:t>
      </w:r>
      <w:r>
        <w:rPr>
          <w:spacing w:val="-68"/>
        </w:rPr>
        <w:t> </w:t>
      </w:r>
      <w:r>
        <w:rPr>
          <w:rFonts w:ascii="宋体" w:hAnsi="宋体" w:cs="宋体" w:eastAsia="宋体" w:hint="default"/>
        </w:rPr>
        <w:t>1,798,000</w:t>
      </w:r>
    </w:p>
    <w:p>
      <w:pPr>
        <w:spacing w:line="240" w:lineRule="auto" w:before="10"/>
        <w:rPr>
          <w:rFonts w:ascii="宋体" w:hAnsi="宋体" w:cs="宋体" w:eastAsia="宋体" w:hint="default"/>
          <w:sz w:val="14"/>
          <w:szCs w:val="14"/>
        </w:rPr>
      </w:pPr>
    </w:p>
    <w:p>
      <w:pPr>
        <w:pStyle w:val="BodyText"/>
        <w:spacing w:line="240" w:lineRule="auto" w:before="0"/>
        <w:ind w:right="0"/>
        <w:jc w:val="left"/>
        <w:rPr>
          <w:rFonts w:ascii="宋体" w:hAnsi="宋体" w:cs="宋体" w:eastAsia="宋体" w:hint="default"/>
        </w:rPr>
      </w:pPr>
      <w:r>
        <w:rPr/>
        <w:t>股已全部出售完毕。按照相关协议规定，公司第一期员工持股计划终止（具体内容请查阅公司于</w:t>
      </w:r>
      <w:r>
        <w:rPr>
          <w:spacing w:val="-78"/>
        </w:rPr>
        <w:t> </w:t>
      </w:r>
      <w:r>
        <w:rPr>
          <w:rFonts w:ascii="宋体" w:hAnsi="宋体" w:cs="宋体" w:eastAsia="宋体" w:hint="default"/>
        </w:rPr>
        <w:t>2017</w:t>
      </w:r>
      <w:r>
        <w:rPr>
          <w:rFonts w:ascii="宋体" w:hAnsi="宋体" w:cs="宋体" w:eastAsia="宋体" w:hint="default"/>
          <w:spacing w:val="-79"/>
        </w:rPr>
        <w:t> </w:t>
      </w:r>
      <w:r>
        <w:rPr/>
        <w:t>年</w:t>
      </w:r>
      <w:r>
        <w:rPr>
          <w:spacing w:val="-79"/>
        </w:rPr>
        <w:t> </w:t>
      </w:r>
      <w:r>
        <w:rPr>
          <w:rFonts w:ascii="宋体" w:hAnsi="宋体" w:cs="宋体" w:eastAsia="宋体" w:hint="default"/>
        </w:rPr>
        <w:t>3</w:t>
      </w:r>
    </w:p>
    <w:p>
      <w:pPr>
        <w:spacing w:line="240" w:lineRule="auto" w:before="10"/>
        <w:rPr>
          <w:rFonts w:ascii="宋体" w:hAnsi="宋体" w:cs="宋体" w:eastAsia="宋体" w:hint="default"/>
          <w:sz w:val="14"/>
          <w:szCs w:val="14"/>
        </w:rPr>
      </w:pPr>
    </w:p>
    <w:p>
      <w:pPr>
        <w:pStyle w:val="BodyText"/>
        <w:spacing w:line="240" w:lineRule="auto" w:before="0"/>
        <w:ind w:right="0"/>
        <w:jc w:val="left"/>
      </w:pPr>
      <w:r>
        <w:rPr/>
        <w:t>月</w:t>
      </w:r>
      <w:r>
        <w:rPr>
          <w:spacing w:val="-53"/>
        </w:rPr>
        <w:t> </w:t>
      </w:r>
      <w:r>
        <w:rPr>
          <w:rFonts w:ascii="宋体" w:hAnsi="宋体" w:cs="宋体" w:eastAsia="宋体" w:hint="default"/>
          <w:spacing w:val="-1"/>
        </w:rPr>
        <w:t>1</w:t>
      </w:r>
      <w:r>
        <w:rPr>
          <w:rFonts w:ascii="宋体" w:hAnsi="宋体" w:cs="宋体" w:eastAsia="宋体" w:hint="default"/>
        </w:rPr>
        <w:t>4</w:t>
      </w:r>
      <w:r>
        <w:rPr>
          <w:rFonts w:ascii="宋体" w:hAnsi="宋体" w:cs="宋体" w:eastAsia="宋体" w:hint="default"/>
          <w:spacing w:val="-52"/>
        </w:rPr>
        <w:t> </w:t>
      </w:r>
      <w:r>
        <w:rPr/>
        <w:t>日在</w:t>
      </w:r>
      <w:r>
        <w:rPr>
          <w:spacing w:val="-2"/>
        </w:rPr>
        <w:t>中</w:t>
      </w:r>
      <w:r>
        <w:rPr/>
        <w:t>国证监会指定创业板信息披露网站刊登的公告</w:t>
      </w:r>
      <w:r>
        <w:rPr>
          <w:spacing w:val="-106"/>
        </w:rPr>
        <w:t>）</w:t>
      </w:r>
      <w:r>
        <w:rPr/>
        <w:t>。</w:t>
      </w:r>
    </w:p>
    <w:p>
      <w:pPr>
        <w:spacing w:line="240" w:lineRule="auto" w:before="0"/>
        <w:rPr>
          <w:rFonts w:ascii="宋体" w:hAnsi="宋体" w:cs="宋体" w:eastAsia="宋体" w:hint="default"/>
          <w:sz w:val="20"/>
          <w:szCs w:val="20"/>
        </w:rPr>
      </w:pPr>
    </w:p>
    <w:p>
      <w:pPr>
        <w:pStyle w:val="Heading2"/>
        <w:spacing w:line="240" w:lineRule="auto" w:before="131"/>
        <w:ind w:right="0"/>
        <w:jc w:val="left"/>
        <w:rPr>
          <w:b w:val="0"/>
          <w:bCs w:val="0"/>
        </w:rPr>
      </w:pPr>
      <w:bookmarkStart w:name="十五、重大关联交易" w:id="77"/>
      <w:bookmarkEnd w:id="77"/>
      <w:r>
        <w:rPr>
          <w:b w:val="0"/>
          <w:bCs w:val="0"/>
        </w:rPr>
      </w:r>
      <w:r>
        <w:rPr/>
        <w:t>十五、重大关联交易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与日常经营相关的关联交易" w:id="78"/>
      <w:bookmarkEnd w:id="78"/>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spacing w:line="338" w:lineRule="auto" w:before="0"/>
        <w:ind w:left="1133" w:right="59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公司报告期未发生与日常经营相关的关联交易。</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2、资产或股权收购、出售发生的关联交易" w:id="79"/>
      <w:bookmarkEnd w:id="79"/>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8"/>
        <w:rPr>
          <w:rFonts w:ascii="宋体" w:hAnsi="宋体" w:cs="宋体" w:eastAsia="宋体" w:hint="default"/>
          <w:b/>
          <w:bCs/>
          <w:sz w:val="26"/>
          <w:szCs w:val="26"/>
        </w:rPr>
      </w:pPr>
    </w:p>
    <w:p>
      <w:pPr>
        <w:spacing w:line="340" w:lineRule="auto" w:before="0"/>
        <w:ind w:left="1133" w:right="64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公司报告期未发生资产或股权收购、出售的关联交易。</w:t>
      </w:r>
    </w:p>
    <w:p>
      <w:pPr>
        <w:spacing w:line="240" w:lineRule="auto" w:before="12"/>
        <w:rPr>
          <w:rFonts w:ascii="宋体" w:hAnsi="宋体" w:cs="宋体" w:eastAsia="宋体" w:hint="default"/>
          <w:sz w:val="20"/>
          <w:szCs w:val="20"/>
        </w:rPr>
      </w:pPr>
    </w:p>
    <w:p>
      <w:pPr>
        <w:pStyle w:val="Heading4"/>
        <w:spacing w:line="240" w:lineRule="auto"/>
        <w:ind w:left="1134" w:right="0"/>
        <w:jc w:val="left"/>
        <w:rPr>
          <w:b w:val="0"/>
          <w:bCs w:val="0"/>
        </w:rPr>
      </w:pPr>
      <w:bookmarkStart w:name="3、共同对外投资的关联交易" w:id="80"/>
      <w:bookmarkEnd w:id="80"/>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spacing w:line="338" w:lineRule="auto" w:before="0"/>
        <w:ind w:left="1133" w:right="7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公司报告期未发生共同对外投资的关联交易。</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4、关联债权债务往来" w:id="81"/>
      <w:bookmarkEnd w:id="81"/>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spacing w:line="340" w:lineRule="auto" w:before="0"/>
        <w:ind w:left="113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公司报告期不存在关联债权债务往来。</w:t>
      </w:r>
    </w:p>
    <w:p>
      <w:pPr>
        <w:spacing w:line="240" w:lineRule="auto" w:before="13"/>
        <w:rPr>
          <w:rFonts w:ascii="宋体" w:hAnsi="宋体" w:cs="宋体" w:eastAsia="宋体" w:hint="default"/>
          <w:sz w:val="20"/>
          <w:szCs w:val="20"/>
        </w:rPr>
      </w:pPr>
    </w:p>
    <w:p>
      <w:pPr>
        <w:pStyle w:val="Heading4"/>
        <w:spacing w:line="240" w:lineRule="auto"/>
        <w:ind w:right="0"/>
        <w:jc w:val="left"/>
        <w:rPr>
          <w:b w:val="0"/>
          <w:bCs w:val="0"/>
        </w:rPr>
      </w:pPr>
      <w:bookmarkStart w:name="5、其他重大关联交易" w:id="82"/>
      <w:bookmarkEnd w:id="82"/>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spacing w:before="44"/>
        <w:ind w:left="1133" w:right="0" w:firstLine="0"/>
        <w:jc w:val="left"/>
        <w:rPr>
          <w:rFonts w:ascii="宋体" w:hAnsi="宋体" w:cs="宋体" w:eastAsia="宋体" w:hint="default"/>
          <w:sz w:val="18"/>
          <w:szCs w:val="18"/>
        </w:rPr>
      </w:pPr>
      <w:r>
        <w:rPr>
          <w:rFonts w:ascii="宋体" w:hAnsi="宋体" w:cs="宋体" w:eastAsia="宋体" w:hint="default"/>
          <w:sz w:val="18"/>
          <w:szCs w:val="18"/>
        </w:rPr>
        <w:t>公司报告期无其他重大关联交易。</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十六、重大合同及其履行情况" w:id="83"/>
      <w:bookmarkEnd w:id="83"/>
      <w:r>
        <w:rPr>
          <w:b w:val="0"/>
          <w:bCs w:val="0"/>
        </w:rPr>
      </w:r>
      <w:r>
        <w:rPr/>
        <w:t>十六、重大合同及其履行情况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托管、承包、租赁事项情况" w:id="84"/>
      <w:bookmarkEnd w:id="84"/>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托管情况" w:id="85"/>
      <w:bookmarkEnd w:id="85"/>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13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公司报告期不存在托管情况。</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bookmarkStart w:name="（2）承包情况" w:id="86"/>
      <w:bookmarkEnd w:id="86"/>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13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公司报告期不存在承包情况。</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bookmarkStart w:name="（3）租赁情况" w:id="87"/>
      <w:bookmarkEnd w:id="87"/>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133" w:right="9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租赁情况说明</w:t>
      </w:r>
    </w:p>
    <w:p>
      <w:pPr>
        <w:pStyle w:val="BodyText"/>
        <w:spacing w:line="240" w:lineRule="auto" w:before="17"/>
        <w:ind w:left="1433" w:right="0"/>
        <w:jc w:val="left"/>
      </w:pPr>
      <w:r>
        <w:rPr/>
        <w:t>报告期内，公司充分利用闲置资产，将部分闲置房产对外进行出租，提高了资产使用效率。</w:t>
      </w:r>
    </w:p>
    <w:p>
      <w:pPr>
        <w:spacing w:before="103"/>
        <w:ind w:left="1133" w:right="0" w:firstLine="0"/>
        <w:jc w:val="left"/>
        <w:rPr>
          <w:rFonts w:ascii="宋体" w:hAnsi="宋体" w:cs="宋体" w:eastAsia="宋体" w:hint="default"/>
          <w:sz w:val="18"/>
          <w:szCs w:val="18"/>
        </w:rPr>
      </w:pPr>
      <w:r>
        <w:rPr>
          <w:rFonts w:ascii="宋体" w:hAnsi="宋体" w:cs="宋体" w:eastAsia="宋体" w:hint="default"/>
          <w:sz w:val="18"/>
          <w:szCs w:val="18"/>
        </w:rPr>
        <w:t>为公司带来的损益达到公司报告期利润总额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以上的项目</w:t>
      </w:r>
    </w:p>
    <w:p>
      <w:pPr>
        <w:spacing w:before="103"/>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1133" w:right="0" w:firstLine="0"/>
        <w:jc w:val="left"/>
        <w:rPr>
          <w:rFonts w:ascii="宋体" w:hAnsi="宋体" w:cs="宋体" w:eastAsia="宋体" w:hint="default"/>
          <w:sz w:val="18"/>
          <w:szCs w:val="18"/>
        </w:rPr>
      </w:pPr>
      <w:r>
        <w:rPr>
          <w:rFonts w:ascii="宋体" w:hAnsi="宋体" w:cs="宋体" w:eastAsia="宋体" w:hint="default"/>
          <w:sz w:val="18"/>
          <w:szCs w:val="18"/>
        </w:rPr>
        <w:t>公司报告期不存在为公司带来的损益达到公司报告期利润总额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以上的租赁项目。</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重大担保" w:id="88"/>
      <w:bookmarkEnd w:id="88"/>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1）担保情况" w:id="89"/>
      <w:bookmarkEnd w:id="89"/>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118" w:type="dxa"/>
        <w:tblLayout w:type="fixed"/>
        <w:tblCellMar>
          <w:top w:w="0" w:type="dxa"/>
          <w:left w:w="0" w:type="dxa"/>
          <w:bottom w:w="0" w:type="dxa"/>
          <w:right w:w="0" w:type="dxa"/>
        </w:tblCellMar>
        <w:tblLook w:val="01E0"/>
      </w:tblPr>
      <w:tblGrid>
        <w:gridCol w:w="1277"/>
        <w:gridCol w:w="1277"/>
        <w:gridCol w:w="991"/>
        <w:gridCol w:w="993"/>
        <w:gridCol w:w="994"/>
        <w:gridCol w:w="850"/>
        <w:gridCol w:w="1701"/>
        <w:gridCol w:w="716"/>
        <w:gridCol w:w="782"/>
      </w:tblGrid>
      <w:tr>
        <w:trPr>
          <w:trHeight w:val="412" w:hRule="exact"/>
        </w:trPr>
        <w:tc>
          <w:tcPr>
            <w:tcW w:w="9580" w:type="dxa"/>
            <w:gridSpan w:val="9"/>
            <w:tcBorders>
              <w:top w:val="single" w:sz="12"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51"/>
              <w:ind w:left="2524"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6" w:hRule="exact"/>
        </w:trPr>
        <w:tc>
          <w:tcPr>
            <w:tcW w:w="127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82"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91"/>
              <w:jc w:val="left"/>
              <w:rPr>
                <w:rFonts w:ascii="宋体" w:hAnsi="宋体" w:cs="宋体" w:eastAsia="宋体" w:hint="default"/>
                <w:sz w:val="18"/>
                <w:szCs w:val="18"/>
              </w:rPr>
            </w:pPr>
            <w:r>
              <w:rPr>
                <w:rFonts w:ascii="宋体" w:hAnsi="宋体" w:cs="宋体" w:eastAsia="宋体" w:hint="default"/>
                <w:sz w:val="18"/>
                <w:szCs w:val="18"/>
              </w:rPr>
              <w:t>担保额度相关 公告披露日期</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0"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2" w:right="39"/>
              <w:jc w:val="center"/>
              <w:rPr>
                <w:rFonts w:ascii="宋体" w:hAnsi="宋体" w:cs="宋体" w:eastAsia="宋体" w:hint="default"/>
                <w:sz w:val="18"/>
                <w:szCs w:val="18"/>
              </w:rPr>
            </w:pPr>
            <w:r>
              <w:rPr>
                <w:rFonts w:ascii="宋体" w:hAnsi="宋体" w:cs="宋体" w:eastAsia="宋体" w:hint="default"/>
                <w:sz w:val="18"/>
                <w:szCs w:val="18"/>
              </w:rPr>
              <w:t>实际发生日 期（协议签 署日）</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00" w:right="41"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9"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83" w:right="80"/>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782" w:type="dxa"/>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1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4" w:hRule="exact"/>
        </w:trPr>
        <w:tc>
          <w:tcPr>
            <w:tcW w:w="1277" w:type="dxa"/>
            <w:tcBorders>
              <w:top w:val="single" w:sz="4" w:space="0" w:color="000000"/>
              <w:left w:val="single" w:sz="12" w:space="0" w:color="000000"/>
              <w:bottom w:val="single" w:sz="4" w:space="0" w:color="000000"/>
              <w:right w:val="single" w:sz="4" w:space="0" w:color="000000"/>
            </w:tcBorders>
          </w:tcPr>
          <w:p>
            <w:pPr>
              <w:pStyle w:val="TableParagraph"/>
              <w:spacing w:line="319" w:lineRule="auto" w:before="51"/>
              <w:ind w:left="13" w:right="161"/>
              <w:jc w:val="left"/>
              <w:rPr>
                <w:rFonts w:ascii="宋体" w:hAnsi="宋体" w:cs="宋体" w:eastAsia="宋体" w:hint="default"/>
                <w:sz w:val="18"/>
                <w:szCs w:val="18"/>
              </w:rPr>
            </w:pPr>
            <w:r>
              <w:rPr>
                <w:rFonts w:ascii="宋体" w:hAnsi="宋体" w:cs="宋体" w:eastAsia="宋体" w:hint="default"/>
                <w:sz w:val="18"/>
                <w:szCs w:val="18"/>
              </w:rPr>
              <w:t>郑州高新梧桐 水务有限公司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4" w:right="0"/>
              <w:jc w:val="left"/>
              <w:rPr>
                <w:rFonts w:ascii="Times New Roman" w:hAnsi="Times New Roman" w:cs="Times New Roman" w:eastAsia="Times New Roman" w:hint="default"/>
                <w:sz w:val="18"/>
                <w:szCs w:val="18"/>
              </w:rPr>
            </w:pPr>
            <w:r>
              <w:rPr>
                <w:rFonts w:ascii="Times New Roman"/>
                <w:sz w:val="18"/>
              </w:rPr>
              <w:t>6,600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5" w:right="0"/>
              <w:jc w:val="left"/>
              <w:rPr>
                <w:rFonts w:ascii="Times New Roman" w:hAnsi="Times New Roman" w:cs="Times New Roman" w:eastAsia="Times New Roman" w:hint="default"/>
                <w:sz w:val="18"/>
                <w:szCs w:val="18"/>
              </w:rPr>
            </w:pPr>
            <w:r>
              <w:rPr>
                <w:rFonts w:ascii="Times New Roman"/>
                <w:sz w:val="18"/>
              </w:rPr>
              <w:t>6,500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日至</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545" w:type="dxa"/>
            <w:gridSpan w:val="3"/>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993" w:type="dxa"/>
            <w:tcBorders>
              <w:top w:val="single" w:sz="4" w:space="0" w:color="000000"/>
              <w:left w:val="single" w:sz="9" w:space="0" w:color="D2D2D2"/>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w:t>
            </w:r>
          </w:p>
        </w:tc>
        <w:tc>
          <w:tcPr>
            <w:tcW w:w="354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报告期内对外担保实际发生额合计（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1498" w:type="dxa"/>
            <w:gridSpan w:val="2"/>
            <w:tcBorders>
              <w:top w:val="single" w:sz="4" w:space="0" w:color="000000"/>
              <w:left w:val="single" w:sz="13" w:space="0" w:color="D2D2D2"/>
              <w:bottom w:val="single" w:sz="4"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0</w:t>
            </w:r>
          </w:p>
        </w:tc>
      </w:tr>
      <w:tr>
        <w:trPr>
          <w:trHeight w:val="407" w:hRule="exact"/>
        </w:trPr>
        <w:tc>
          <w:tcPr>
            <w:tcW w:w="3545" w:type="dxa"/>
            <w:gridSpan w:val="3"/>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993" w:type="dxa"/>
            <w:tcBorders>
              <w:top w:val="single" w:sz="4" w:space="0" w:color="000000"/>
              <w:left w:val="single" w:sz="9" w:space="0" w:color="D2D2D2"/>
              <w:bottom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6,600</w:t>
            </w:r>
          </w:p>
        </w:tc>
        <w:tc>
          <w:tcPr>
            <w:tcW w:w="354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报告期末实际对外担保余额合计（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1498" w:type="dxa"/>
            <w:gridSpan w:val="2"/>
            <w:tcBorders>
              <w:top w:val="single" w:sz="4" w:space="0" w:color="000000"/>
              <w:left w:val="single" w:sz="13" w:space="0" w:color="D2D2D2"/>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4,900</w:t>
            </w:r>
          </w:p>
        </w:tc>
      </w:tr>
      <w:tr>
        <w:trPr>
          <w:trHeight w:val="407" w:hRule="exact"/>
        </w:trPr>
        <w:tc>
          <w:tcPr>
            <w:tcW w:w="9580" w:type="dxa"/>
            <w:gridSpan w:val="9"/>
            <w:tcBorders>
              <w:top w:val="single" w:sz="4" w:space="0" w:color="000000"/>
              <w:left w:val="single" w:sz="12" w:space="0" w:color="000000"/>
              <w:bottom w:val="single" w:sz="12" w:space="0" w:color="000000"/>
              <w:right w:val="single" w:sz="12"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group style="position:absolute;margin-left:460.980011pt;margin-top:655.23999pt;width:73.3pt;height:20.85pt;mso-position-horizontal-relative:page;mso-position-vertical-relative:page;z-index:-971416" coordorigin="9220,13105" coordsize="1466,417">
            <v:group style="position:absolute;left:9232;top:13117;width:2;height:393" coordorigin="9232,13117" coordsize="2,393">
              <v:shape style="position:absolute;left:9232;top:13117;width:2;height:393" coordorigin="9232,13117" coordsize="0,393" path="m9232,13117l9232,13509e" filled="false" stroked="true" strokeweight="1.2pt" strokecolor="#ffffff">
                <v:path arrowok="t"/>
              </v:shape>
            </v:group>
            <v:group style="position:absolute;left:9244;top:13117;width:1442;height:393" coordorigin="9244,13117" coordsize="1442,393">
              <v:shape style="position:absolute;left:9244;top:13117;width:1442;height:393" coordorigin="9244,13117" coordsize="1442,393" path="m9244,13509l10685,13509,10685,13117,9244,13117,9244,13509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18" w:type="dxa"/>
        <w:tblLayout w:type="fixed"/>
        <w:tblCellMar>
          <w:top w:w="0" w:type="dxa"/>
          <w:left w:w="0" w:type="dxa"/>
          <w:bottom w:w="0" w:type="dxa"/>
          <w:right w:w="0" w:type="dxa"/>
        </w:tblCellMar>
        <w:tblLook w:val="01E0"/>
      </w:tblPr>
      <w:tblGrid>
        <w:gridCol w:w="852"/>
        <w:gridCol w:w="143"/>
        <w:gridCol w:w="1416"/>
        <w:gridCol w:w="143"/>
        <w:gridCol w:w="425"/>
        <w:gridCol w:w="142"/>
        <w:gridCol w:w="698"/>
        <w:gridCol w:w="725"/>
        <w:gridCol w:w="136"/>
        <w:gridCol w:w="568"/>
        <w:gridCol w:w="142"/>
        <w:gridCol w:w="1134"/>
        <w:gridCol w:w="143"/>
        <w:gridCol w:w="1413"/>
        <w:gridCol w:w="559"/>
        <w:gridCol w:w="157"/>
        <w:gridCol w:w="785"/>
      </w:tblGrid>
      <w:tr>
        <w:trPr>
          <w:trHeight w:val="724" w:hRule="exact"/>
        </w:trPr>
        <w:tc>
          <w:tcPr>
            <w:tcW w:w="995" w:type="dxa"/>
            <w:gridSpan w:val="2"/>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1"/>
              <w:ind w:left="391" w:right="41" w:hanging="360"/>
              <w:jc w:val="left"/>
              <w:rPr>
                <w:rFonts w:ascii="宋体" w:hAnsi="宋体" w:cs="宋体" w:eastAsia="宋体" w:hint="default"/>
                <w:sz w:val="18"/>
                <w:szCs w:val="18"/>
              </w:rPr>
            </w:pPr>
            <w:r>
              <w:rPr>
                <w:rFonts w:ascii="宋体" w:hAnsi="宋体" w:cs="宋体" w:eastAsia="宋体" w:hint="default"/>
                <w:sz w:val="18"/>
                <w:szCs w:val="18"/>
              </w:rPr>
              <w:t>担保对象名 称</w:t>
            </w:r>
          </w:p>
        </w:tc>
        <w:tc>
          <w:tcPr>
            <w:tcW w:w="1559" w:type="dxa"/>
            <w:gridSpan w:val="2"/>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3" w:right="53" w:hanging="360"/>
              <w:jc w:val="left"/>
              <w:rPr>
                <w:rFonts w:ascii="宋体" w:hAnsi="宋体" w:cs="宋体" w:eastAsia="宋体" w:hint="default"/>
                <w:sz w:val="18"/>
                <w:szCs w:val="18"/>
              </w:rPr>
            </w:pPr>
            <w:r>
              <w:rPr>
                <w:rFonts w:ascii="宋体" w:hAnsi="宋体" w:cs="宋体" w:eastAsia="宋体" w:hint="default"/>
                <w:sz w:val="18"/>
                <w:szCs w:val="18"/>
              </w:rPr>
              <w:t>担保额度相关公告 披露日期</w:t>
            </w:r>
          </w:p>
        </w:tc>
        <w:tc>
          <w:tcPr>
            <w:tcW w:w="566" w:type="dxa"/>
            <w:gridSpan w:val="2"/>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8" w:right="96"/>
              <w:jc w:val="left"/>
              <w:rPr>
                <w:rFonts w:ascii="宋体" w:hAnsi="宋体" w:cs="宋体" w:eastAsia="宋体" w:hint="default"/>
                <w:sz w:val="18"/>
                <w:szCs w:val="18"/>
              </w:rPr>
            </w:pPr>
            <w:r>
              <w:rPr>
                <w:rFonts w:ascii="宋体" w:hAnsi="宋体" w:cs="宋体" w:eastAsia="宋体" w:hint="default"/>
                <w:sz w:val="18"/>
                <w:szCs w:val="18"/>
              </w:rPr>
              <w:t>担保 额度</w:t>
            </w:r>
          </w:p>
        </w:tc>
        <w:tc>
          <w:tcPr>
            <w:tcW w:w="1559" w:type="dxa"/>
            <w:gridSpan w:val="3"/>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24" w:right="53" w:hanging="270"/>
              <w:jc w:val="left"/>
              <w:rPr>
                <w:rFonts w:ascii="宋体" w:hAnsi="宋体" w:cs="宋体" w:eastAsia="宋体" w:hint="default"/>
                <w:sz w:val="18"/>
                <w:szCs w:val="18"/>
              </w:rPr>
            </w:pPr>
            <w:r>
              <w:rPr>
                <w:rFonts w:ascii="宋体" w:hAnsi="宋体" w:cs="宋体" w:eastAsia="宋体" w:hint="default"/>
                <w:sz w:val="18"/>
                <w:szCs w:val="18"/>
              </w:rPr>
              <w:t>实际发生日期（协 议签署日）</w:t>
            </w:r>
          </w:p>
        </w:tc>
        <w:tc>
          <w:tcPr>
            <w:tcW w:w="709" w:type="dxa"/>
            <w:gridSpan w:val="2"/>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0" w:right="77"/>
              <w:jc w:val="left"/>
              <w:rPr>
                <w:rFonts w:ascii="宋体" w:hAnsi="宋体" w:cs="宋体" w:eastAsia="宋体" w:hint="default"/>
                <w:sz w:val="18"/>
                <w:szCs w:val="18"/>
              </w:rPr>
            </w:pPr>
            <w:r>
              <w:rPr>
                <w:rFonts w:ascii="宋体" w:hAnsi="宋体" w:cs="宋体" w:eastAsia="宋体" w:hint="default"/>
                <w:sz w:val="18"/>
                <w:szCs w:val="18"/>
              </w:rPr>
              <w:t>实际担 保金额</w:t>
            </w:r>
          </w:p>
        </w:tc>
        <w:tc>
          <w:tcPr>
            <w:tcW w:w="1277" w:type="dxa"/>
            <w:gridSpan w:val="2"/>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41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17" w:type="dxa"/>
            <w:gridSpan w:val="2"/>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7" w:right="77"/>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785"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316" w:lineRule="auto" w:before="51"/>
              <w:ind w:left="28" w:right="1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1026" w:hRule="exact"/>
        </w:trPr>
        <w:tc>
          <w:tcPr>
            <w:tcW w:w="995" w:type="dxa"/>
            <w:gridSpan w:val="2"/>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3" w:right="0"/>
              <w:jc w:val="left"/>
              <w:rPr>
                <w:rFonts w:ascii="宋体" w:hAnsi="宋体" w:cs="宋体" w:eastAsia="宋体" w:hint="default"/>
                <w:sz w:val="18"/>
                <w:szCs w:val="18"/>
              </w:rPr>
            </w:pPr>
            <w:r>
              <w:rPr>
                <w:rFonts w:ascii="宋体" w:hAnsi="宋体" w:cs="宋体" w:eastAsia="宋体" w:hint="default"/>
                <w:sz w:val="18"/>
                <w:szCs w:val="18"/>
              </w:rPr>
              <w:t>嘉园环保</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2,000</w:t>
            </w:r>
          </w:p>
        </w:tc>
        <w:tc>
          <w:tcPr>
            <w:tcW w:w="15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72" w:right="0"/>
              <w:jc w:val="left"/>
              <w:rPr>
                <w:rFonts w:ascii="Times New Roman" w:hAnsi="Times New Roman" w:cs="Times New Roman" w:eastAsia="Times New Roman" w:hint="default"/>
                <w:sz w:val="18"/>
                <w:szCs w:val="18"/>
              </w:rPr>
            </w:pPr>
            <w:r>
              <w:rPr>
                <w:rFonts w:ascii="Times New Roman"/>
                <w:sz w:val="18"/>
              </w:rPr>
              <w:t>2,000</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8"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995" w:type="dxa"/>
            <w:gridSpan w:val="2"/>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3" w:right="0"/>
              <w:jc w:val="left"/>
              <w:rPr>
                <w:rFonts w:ascii="宋体" w:hAnsi="宋体" w:cs="宋体" w:eastAsia="宋体" w:hint="default"/>
                <w:sz w:val="18"/>
                <w:szCs w:val="18"/>
              </w:rPr>
            </w:pPr>
            <w:r>
              <w:rPr>
                <w:rFonts w:ascii="宋体" w:hAnsi="宋体" w:cs="宋体" w:eastAsia="宋体" w:hint="default"/>
                <w:sz w:val="18"/>
                <w:szCs w:val="18"/>
              </w:rPr>
              <w:t>嘉园环保</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2,850</w:t>
            </w:r>
          </w:p>
        </w:tc>
        <w:tc>
          <w:tcPr>
            <w:tcW w:w="15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72" w:right="0"/>
              <w:jc w:val="left"/>
              <w:rPr>
                <w:rFonts w:ascii="Times New Roman" w:hAnsi="Times New Roman" w:cs="Times New Roman" w:eastAsia="Times New Roman" w:hint="default"/>
                <w:sz w:val="18"/>
                <w:szCs w:val="18"/>
              </w:rPr>
            </w:pPr>
            <w:r>
              <w:rPr>
                <w:rFonts w:ascii="Times New Roman"/>
                <w:sz w:val="18"/>
              </w:rPr>
              <w:t>2,850</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8"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995" w:type="dxa"/>
            <w:gridSpan w:val="2"/>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3" w:right="0"/>
              <w:jc w:val="left"/>
              <w:rPr>
                <w:rFonts w:ascii="宋体" w:hAnsi="宋体" w:cs="宋体" w:eastAsia="宋体" w:hint="default"/>
                <w:sz w:val="18"/>
                <w:szCs w:val="18"/>
              </w:rPr>
            </w:pPr>
            <w:r>
              <w:rPr>
                <w:rFonts w:ascii="宋体" w:hAnsi="宋体" w:cs="宋体" w:eastAsia="宋体" w:hint="default"/>
                <w:sz w:val="18"/>
                <w:szCs w:val="18"/>
              </w:rPr>
              <w:t>嘉园环保</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3,000</w:t>
            </w:r>
          </w:p>
        </w:tc>
        <w:tc>
          <w:tcPr>
            <w:tcW w:w="15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72" w:right="0"/>
              <w:jc w:val="left"/>
              <w:rPr>
                <w:rFonts w:ascii="Times New Roman" w:hAnsi="Times New Roman" w:cs="Times New Roman" w:eastAsia="Times New Roman" w:hint="default"/>
                <w:sz w:val="18"/>
                <w:szCs w:val="18"/>
              </w:rPr>
            </w:pPr>
            <w:r>
              <w:rPr>
                <w:rFonts w:ascii="Times New Roman"/>
                <w:sz w:val="18"/>
              </w:rPr>
              <w:t>3,000</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8"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995" w:type="dxa"/>
            <w:gridSpan w:val="2"/>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3" w:right="0"/>
              <w:jc w:val="left"/>
              <w:rPr>
                <w:rFonts w:ascii="宋体" w:hAnsi="宋体" w:cs="宋体" w:eastAsia="宋体" w:hint="default"/>
                <w:sz w:val="18"/>
                <w:szCs w:val="18"/>
              </w:rPr>
            </w:pPr>
            <w:r>
              <w:rPr>
                <w:rFonts w:ascii="宋体" w:hAnsi="宋体" w:cs="宋体" w:eastAsia="宋体" w:hint="default"/>
                <w:sz w:val="18"/>
                <w:szCs w:val="18"/>
              </w:rPr>
              <w:t>嘉园环保</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2,850</w:t>
            </w:r>
          </w:p>
        </w:tc>
        <w:tc>
          <w:tcPr>
            <w:tcW w:w="15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72" w:right="0"/>
              <w:jc w:val="left"/>
              <w:rPr>
                <w:rFonts w:ascii="Times New Roman" w:hAnsi="Times New Roman" w:cs="Times New Roman" w:eastAsia="Times New Roman" w:hint="default"/>
                <w:sz w:val="18"/>
                <w:szCs w:val="18"/>
              </w:rPr>
            </w:pPr>
            <w:r>
              <w:rPr>
                <w:rFonts w:ascii="Times New Roman"/>
                <w:sz w:val="18"/>
              </w:rPr>
              <w:t>2,850</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8"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995" w:type="dxa"/>
            <w:gridSpan w:val="2"/>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3" w:right="0"/>
              <w:jc w:val="left"/>
              <w:rPr>
                <w:rFonts w:ascii="宋体" w:hAnsi="宋体" w:cs="宋体" w:eastAsia="宋体" w:hint="default"/>
                <w:sz w:val="18"/>
                <w:szCs w:val="18"/>
              </w:rPr>
            </w:pPr>
            <w:r>
              <w:rPr>
                <w:rFonts w:ascii="宋体" w:hAnsi="宋体" w:cs="宋体" w:eastAsia="宋体" w:hint="default"/>
                <w:sz w:val="18"/>
                <w:szCs w:val="18"/>
              </w:rPr>
              <w:t>嘉园环保</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2,000</w:t>
            </w:r>
          </w:p>
        </w:tc>
        <w:tc>
          <w:tcPr>
            <w:tcW w:w="15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72" w:right="0"/>
              <w:jc w:val="left"/>
              <w:rPr>
                <w:rFonts w:ascii="Times New Roman" w:hAnsi="Times New Roman" w:cs="Times New Roman" w:eastAsia="Times New Roman" w:hint="default"/>
                <w:sz w:val="18"/>
                <w:szCs w:val="18"/>
              </w:rPr>
            </w:pPr>
            <w:r>
              <w:rPr>
                <w:rFonts w:ascii="Times New Roman"/>
                <w:sz w:val="18"/>
              </w:rPr>
              <w:t>2,000</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8"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995" w:type="dxa"/>
            <w:gridSpan w:val="2"/>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3" w:right="0"/>
              <w:jc w:val="left"/>
              <w:rPr>
                <w:rFonts w:ascii="宋体" w:hAnsi="宋体" w:cs="宋体" w:eastAsia="宋体" w:hint="default"/>
                <w:sz w:val="18"/>
                <w:szCs w:val="18"/>
              </w:rPr>
            </w:pPr>
            <w:r>
              <w:rPr>
                <w:rFonts w:ascii="宋体" w:hAnsi="宋体" w:cs="宋体" w:eastAsia="宋体" w:hint="default"/>
                <w:sz w:val="18"/>
                <w:szCs w:val="18"/>
              </w:rPr>
              <w:t>雪城软件</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1,000</w:t>
            </w:r>
          </w:p>
        </w:tc>
        <w:tc>
          <w:tcPr>
            <w:tcW w:w="15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06" w:right="0"/>
              <w:jc w:val="left"/>
              <w:rPr>
                <w:rFonts w:ascii="Times New Roman" w:hAnsi="Times New Roman" w:cs="Times New Roman" w:eastAsia="Times New Roman" w:hint="default"/>
                <w:sz w:val="18"/>
                <w:szCs w:val="18"/>
              </w:rPr>
            </w:pPr>
            <w:r>
              <w:rPr>
                <w:rFonts w:ascii="Times New Roman"/>
                <w:sz w:val="18"/>
              </w:rPr>
              <w:t>600</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8"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995" w:type="dxa"/>
            <w:gridSpan w:val="2"/>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3" w:right="0"/>
              <w:jc w:val="left"/>
              <w:rPr>
                <w:rFonts w:ascii="宋体" w:hAnsi="宋体" w:cs="宋体" w:eastAsia="宋体" w:hint="default"/>
                <w:sz w:val="18"/>
                <w:szCs w:val="18"/>
              </w:rPr>
            </w:pPr>
            <w:r>
              <w:rPr>
                <w:rFonts w:ascii="宋体" w:hAnsi="宋体" w:cs="宋体" w:eastAsia="宋体" w:hint="default"/>
                <w:sz w:val="18"/>
                <w:szCs w:val="18"/>
              </w:rPr>
              <w:t>苏州能斯达</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64" w:right="0"/>
              <w:jc w:val="left"/>
              <w:rPr>
                <w:rFonts w:ascii="Times New Roman" w:hAnsi="Times New Roman" w:cs="Times New Roman" w:eastAsia="Times New Roman" w:hint="default"/>
                <w:sz w:val="18"/>
                <w:szCs w:val="18"/>
              </w:rPr>
            </w:pPr>
            <w:r>
              <w:rPr>
                <w:rFonts w:ascii="Times New Roman"/>
                <w:sz w:val="18"/>
              </w:rPr>
              <w:t>150</w:t>
            </w:r>
          </w:p>
        </w:tc>
        <w:tc>
          <w:tcPr>
            <w:tcW w:w="15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06" w:right="0"/>
              <w:jc w:val="left"/>
              <w:rPr>
                <w:rFonts w:ascii="Times New Roman" w:hAnsi="Times New Roman" w:cs="Times New Roman" w:eastAsia="Times New Roman" w:hint="default"/>
                <w:sz w:val="18"/>
                <w:szCs w:val="18"/>
              </w:rPr>
            </w:pPr>
            <w:r>
              <w:rPr>
                <w:rFonts w:ascii="Times New Roman"/>
                <w:sz w:val="18"/>
              </w:rPr>
              <w:t>150</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8"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5" w:type="dxa"/>
            <w:gridSpan w:val="2"/>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沈阳金建</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3,000</w:t>
            </w:r>
          </w:p>
        </w:tc>
        <w:tc>
          <w:tcPr>
            <w:tcW w:w="15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w:t>
            </w:r>
          </w:p>
        </w:tc>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7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818" w:type="dxa"/>
            <w:gridSpan w:val="7"/>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861"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left="412" w:right="0"/>
              <w:jc w:val="left"/>
              <w:rPr>
                <w:rFonts w:ascii="Times New Roman" w:hAnsi="Times New Roman" w:cs="Times New Roman" w:eastAsia="Times New Roman" w:hint="default"/>
                <w:sz w:val="18"/>
                <w:szCs w:val="18"/>
              </w:rPr>
            </w:pPr>
            <w:r>
              <w:rPr>
                <w:rFonts w:ascii="Times New Roman"/>
                <w:sz w:val="18"/>
              </w:rPr>
              <w:t>9,000</w:t>
            </w:r>
          </w:p>
        </w:tc>
        <w:tc>
          <w:tcPr>
            <w:tcW w:w="395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报告期内对子公司担保实际发生额合计（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943" w:type="dxa"/>
            <w:gridSpan w:val="2"/>
            <w:tcBorders>
              <w:top w:val="single" w:sz="4" w:space="0" w:color="000000"/>
              <w:left w:val="single" w:sz="13" w:space="0" w:color="D2D2D2"/>
              <w:bottom w:val="single" w:sz="4" w:space="0" w:color="000000"/>
              <w:right w:val="single" w:sz="12" w:space="0" w:color="000000"/>
            </w:tcBorders>
          </w:tcPr>
          <w:p>
            <w:pPr>
              <w:pStyle w:val="TableParagraph"/>
              <w:spacing w:line="240" w:lineRule="auto" w:before="91"/>
              <w:ind w:left="493" w:right="0"/>
              <w:jc w:val="left"/>
              <w:rPr>
                <w:rFonts w:ascii="Times New Roman" w:hAnsi="Times New Roman" w:cs="Times New Roman" w:eastAsia="Times New Roman" w:hint="default"/>
                <w:sz w:val="18"/>
                <w:szCs w:val="18"/>
              </w:rPr>
            </w:pPr>
            <w:r>
              <w:rPr>
                <w:rFonts w:ascii="Times New Roman"/>
                <w:sz w:val="18"/>
              </w:rPr>
              <w:t>5,600</w:t>
            </w:r>
          </w:p>
        </w:tc>
      </w:tr>
      <w:tr>
        <w:trPr>
          <w:trHeight w:val="407" w:hRule="exact"/>
        </w:trPr>
        <w:tc>
          <w:tcPr>
            <w:tcW w:w="3818" w:type="dxa"/>
            <w:gridSpan w:val="7"/>
            <w:tcBorders>
              <w:top w:val="single" w:sz="4" w:space="0" w:color="000000"/>
              <w:left w:val="single" w:sz="12" w:space="0" w:color="000000"/>
              <w:bottom w:val="single" w:sz="4" w:space="0" w:color="000000"/>
              <w:right w:val="single" w:sz="13" w:space="0" w:color="FFFFFF"/>
            </w:tcBorders>
            <w:shd w:val="clear" w:color="auto" w:fill="D2D2D2"/>
          </w:tcPr>
          <w:p>
            <w:pPr>
              <w:pStyle w:val="TableParagraph"/>
              <w:spacing w:line="240" w:lineRule="auto" w:before="51"/>
              <w:ind w:left="13" w:right="-37"/>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861" w:type="dxa"/>
            <w:gridSpan w:val="2"/>
            <w:tcBorders>
              <w:top w:val="single" w:sz="4" w:space="0" w:color="000000"/>
              <w:left w:val="single" w:sz="9" w:space="0" w:color="FFFFFF"/>
              <w:bottom w:val="single" w:sz="4" w:space="0" w:color="000000"/>
              <w:right w:val="single" w:sz="13" w:space="0" w:color="D2D2D2"/>
            </w:tcBorders>
          </w:tcPr>
          <w:p>
            <w:pPr>
              <w:pStyle w:val="TableParagraph"/>
              <w:spacing w:line="240" w:lineRule="auto" w:before="91"/>
              <w:ind w:left="327" w:right="0"/>
              <w:jc w:val="left"/>
              <w:rPr>
                <w:rFonts w:ascii="Times New Roman" w:hAnsi="Times New Roman" w:cs="Times New Roman" w:eastAsia="Times New Roman" w:hint="default"/>
                <w:sz w:val="18"/>
                <w:szCs w:val="18"/>
              </w:rPr>
            </w:pPr>
            <w:r>
              <w:rPr>
                <w:rFonts w:ascii="Times New Roman"/>
                <w:sz w:val="18"/>
              </w:rPr>
              <w:t>12,000</w:t>
            </w:r>
          </w:p>
        </w:tc>
        <w:tc>
          <w:tcPr>
            <w:tcW w:w="395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报告期末对子公司实际担保余额合计（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943" w:type="dxa"/>
            <w:gridSpan w:val="2"/>
            <w:tcBorders>
              <w:top w:val="single" w:sz="4" w:space="0" w:color="000000"/>
              <w:left w:val="single" w:sz="13" w:space="0" w:color="D2D2D2"/>
              <w:bottom w:val="single" w:sz="4" w:space="0" w:color="000000"/>
              <w:right w:val="single" w:sz="12" w:space="0" w:color="000000"/>
            </w:tcBorders>
          </w:tcPr>
          <w:p>
            <w:pPr>
              <w:pStyle w:val="TableParagraph"/>
              <w:spacing w:line="240" w:lineRule="auto" w:before="91"/>
              <w:ind w:left="493" w:right="0"/>
              <w:jc w:val="left"/>
              <w:rPr>
                <w:rFonts w:ascii="Times New Roman" w:hAnsi="Times New Roman" w:cs="Times New Roman" w:eastAsia="Times New Roman" w:hint="default"/>
                <w:sz w:val="18"/>
                <w:szCs w:val="18"/>
              </w:rPr>
            </w:pPr>
            <w:r>
              <w:rPr>
                <w:rFonts w:ascii="Times New Roman"/>
                <w:sz w:val="18"/>
              </w:rPr>
              <w:t>6,100</w:t>
            </w:r>
          </w:p>
        </w:tc>
      </w:tr>
      <w:tr>
        <w:trPr>
          <w:trHeight w:val="392" w:hRule="exact"/>
        </w:trPr>
        <w:tc>
          <w:tcPr>
            <w:tcW w:w="9580" w:type="dxa"/>
            <w:gridSpan w:val="17"/>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6" w:hRule="exact"/>
        </w:trPr>
        <w:tc>
          <w:tcPr>
            <w:tcW w:w="852" w:type="dxa"/>
            <w:vMerge w:val="restart"/>
            <w:tcBorders>
              <w:top w:val="single" w:sz="4" w:space="0" w:color="000000"/>
              <w:left w:val="single" w:sz="12" w:space="0" w:color="000000"/>
              <w:right w:val="single" w:sz="4" w:space="0" w:color="000000"/>
            </w:tcBorders>
            <w:shd w:val="clear" w:color="auto" w:fill="D2D2D2"/>
          </w:tcPr>
          <w:p>
            <w:pPr>
              <w:pStyle w:val="TableParagraph"/>
              <w:spacing w:line="316" w:lineRule="auto" w:before="56"/>
              <w:ind w:left="230" w:right="59" w:hanging="180"/>
              <w:jc w:val="left"/>
              <w:rPr>
                <w:rFonts w:ascii="宋体" w:hAnsi="宋体" w:cs="宋体" w:eastAsia="宋体" w:hint="default"/>
                <w:sz w:val="18"/>
                <w:szCs w:val="18"/>
              </w:rPr>
            </w:pPr>
            <w:r>
              <w:rPr>
                <w:rFonts w:ascii="宋体" w:hAnsi="宋体" w:cs="宋体" w:eastAsia="宋体" w:hint="default"/>
                <w:sz w:val="18"/>
                <w:szCs w:val="18"/>
              </w:rPr>
              <w:t>担保对象 名称</w:t>
            </w:r>
          </w:p>
        </w:tc>
        <w:tc>
          <w:tcPr>
            <w:tcW w:w="155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414" w:right="53" w:hanging="360"/>
              <w:jc w:val="left"/>
              <w:rPr>
                <w:rFonts w:ascii="宋体" w:hAnsi="宋体" w:cs="宋体" w:eastAsia="宋体" w:hint="default"/>
                <w:sz w:val="18"/>
                <w:szCs w:val="18"/>
              </w:rPr>
            </w:pPr>
            <w:r>
              <w:rPr>
                <w:rFonts w:ascii="宋体" w:hAnsi="宋体" w:cs="宋体" w:eastAsia="宋体" w:hint="default"/>
                <w:sz w:val="18"/>
                <w:szCs w:val="18"/>
              </w:rPr>
              <w:t>担保额度相关公告 披露日期</w:t>
            </w:r>
          </w:p>
        </w:tc>
        <w:tc>
          <w:tcPr>
            <w:tcW w:w="56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99" w:right="96"/>
              <w:jc w:val="left"/>
              <w:rPr>
                <w:rFonts w:ascii="宋体" w:hAnsi="宋体" w:cs="宋体" w:eastAsia="宋体" w:hint="default"/>
                <w:sz w:val="18"/>
                <w:szCs w:val="18"/>
              </w:rPr>
            </w:pPr>
            <w:r>
              <w:rPr>
                <w:rFonts w:ascii="宋体" w:hAnsi="宋体" w:cs="宋体" w:eastAsia="宋体" w:hint="default"/>
                <w:sz w:val="18"/>
                <w:szCs w:val="18"/>
              </w:rPr>
              <w:t>担保 额度</w:t>
            </w:r>
          </w:p>
        </w:tc>
        <w:tc>
          <w:tcPr>
            <w:tcW w:w="156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324" w:right="59" w:hanging="270"/>
              <w:jc w:val="left"/>
              <w:rPr>
                <w:rFonts w:ascii="宋体" w:hAnsi="宋体" w:cs="宋体" w:eastAsia="宋体" w:hint="default"/>
                <w:sz w:val="18"/>
                <w:szCs w:val="18"/>
              </w:rPr>
            </w:pPr>
            <w:r>
              <w:rPr>
                <w:rFonts w:ascii="宋体" w:hAnsi="宋体" w:cs="宋体" w:eastAsia="宋体" w:hint="default"/>
                <w:sz w:val="18"/>
                <w:szCs w:val="18"/>
              </w:rPr>
              <w:t>实际发生日期（协 议签署日）</w:t>
            </w:r>
          </w:p>
        </w:tc>
        <w:tc>
          <w:tcPr>
            <w:tcW w:w="70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73" w:right="78"/>
              <w:jc w:val="left"/>
              <w:rPr>
                <w:rFonts w:ascii="宋体" w:hAnsi="宋体" w:cs="宋体" w:eastAsia="宋体" w:hint="default"/>
                <w:sz w:val="18"/>
                <w:szCs w:val="18"/>
              </w:rPr>
            </w:pPr>
            <w:r>
              <w:rPr>
                <w:rFonts w:ascii="宋体" w:hAnsi="宋体" w:cs="宋体" w:eastAsia="宋体" w:hint="default"/>
                <w:sz w:val="18"/>
                <w:szCs w:val="18"/>
              </w:rPr>
              <w:t>实际担 保金额</w:t>
            </w:r>
          </w:p>
        </w:tc>
        <w:tc>
          <w:tcPr>
            <w:tcW w:w="1276"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55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84" w:right="80"/>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785" w:type="dxa"/>
            <w:vMerge w:val="restart"/>
            <w:tcBorders>
              <w:top w:val="single" w:sz="4" w:space="0" w:color="000000"/>
              <w:left w:val="single" w:sz="4" w:space="0" w:color="000000"/>
              <w:right w:val="single" w:sz="12" w:space="0" w:color="000000"/>
            </w:tcBorders>
            <w:shd w:val="clear" w:color="auto" w:fill="D2D2D2"/>
          </w:tcPr>
          <w:p>
            <w:pPr>
              <w:pStyle w:val="TableParagraph"/>
              <w:spacing w:line="316" w:lineRule="auto" w:before="56"/>
              <w:ind w:left="25" w:right="18"/>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852" w:type="dxa"/>
            <w:vMerge/>
            <w:tcBorders>
              <w:left w:val="single" w:sz="12" w:space="0" w:color="000000"/>
              <w:right w:val="single" w:sz="4" w:space="0" w:color="000000"/>
            </w:tcBorders>
            <w:shd w:val="clear" w:color="auto" w:fill="D2D2D2"/>
          </w:tcPr>
          <w:p>
            <w:pPr/>
          </w:p>
        </w:tc>
        <w:tc>
          <w:tcPr>
            <w:tcW w:w="1559" w:type="dxa"/>
            <w:gridSpan w:val="2"/>
            <w:vMerge/>
            <w:tcBorders>
              <w:left w:val="single" w:sz="4" w:space="0" w:color="000000"/>
              <w:right w:val="single" w:sz="4" w:space="0" w:color="000000"/>
            </w:tcBorders>
            <w:shd w:val="clear" w:color="auto" w:fill="D2D2D2"/>
          </w:tcPr>
          <w:p>
            <w:pPr/>
          </w:p>
        </w:tc>
        <w:tc>
          <w:tcPr>
            <w:tcW w:w="568" w:type="dxa"/>
            <w:gridSpan w:val="2"/>
            <w:vMerge/>
            <w:tcBorders>
              <w:left w:val="single" w:sz="4" w:space="0" w:color="000000"/>
              <w:right w:val="single" w:sz="4" w:space="0" w:color="000000"/>
            </w:tcBorders>
            <w:shd w:val="clear" w:color="auto" w:fill="D2D2D2"/>
          </w:tcPr>
          <w:p>
            <w:pPr/>
          </w:p>
        </w:tc>
        <w:tc>
          <w:tcPr>
            <w:tcW w:w="1565" w:type="dxa"/>
            <w:gridSpan w:val="3"/>
            <w:vMerge/>
            <w:tcBorders>
              <w:left w:val="single" w:sz="4" w:space="0" w:color="000000"/>
              <w:right w:val="single" w:sz="4" w:space="0" w:color="000000"/>
            </w:tcBorders>
            <w:shd w:val="clear" w:color="auto" w:fill="D2D2D2"/>
          </w:tcPr>
          <w:p>
            <w:pPr/>
          </w:p>
        </w:tc>
        <w:tc>
          <w:tcPr>
            <w:tcW w:w="703" w:type="dxa"/>
            <w:gridSpan w:val="2"/>
            <w:vMerge/>
            <w:tcBorders>
              <w:left w:val="single" w:sz="4" w:space="0" w:color="000000"/>
              <w:right w:val="single" w:sz="4" w:space="0" w:color="000000"/>
            </w:tcBorders>
            <w:shd w:val="clear" w:color="auto" w:fill="D2D2D2"/>
          </w:tcPr>
          <w:p>
            <w:pPr/>
          </w:p>
        </w:tc>
        <w:tc>
          <w:tcPr>
            <w:tcW w:w="1276"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555"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04"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17" w:type="dxa"/>
            <w:gridSpan w:val="2"/>
            <w:vMerge/>
            <w:tcBorders>
              <w:left w:val="single" w:sz="4" w:space="0" w:color="000000"/>
              <w:right w:val="single" w:sz="4" w:space="0" w:color="000000"/>
            </w:tcBorders>
            <w:shd w:val="clear" w:color="auto" w:fill="D2D2D2"/>
          </w:tcPr>
          <w:p>
            <w:pPr/>
          </w:p>
        </w:tc>
        <w:tc>
          <w:tcPr>
            <w:tcW w:w="785" w:type="dxa"/>
            <w:vMerge/>
            <w:tcBorders>
              <w:left w:val="single" w:sz="4" w:space="0" w:color="000000"/>
              <w:right w:val="single" w:sz="12" w:space="0" w:color="000000"/>
            </w:tcBorders>
            <w:shd w:val="clear" w:color="auto" w:fill="D2D2D2"/>
          </w:tcPr>
          <w:p>
            <w:pPr/>
          </w:p>
        </w:tc>
      </w:tr>
      <w:tr>
        <w:trPr>
          <w:trHeight w:val="161" w:hRule="exact"/>
        </w:trPr>
        <w:tc>
          <w:tcPr>
            <w:tcW w:w="852" w:type="dxa"/>
            <w:vMerge/>
            <w:tcBorders>
              <w:left w:val="single" w:sz="12" w:space="0" w:color="000000"/>
              <w:bottom w:val="single" w:sz="4" w:space="0" w:color="000000"/>
              <w:right w:val="single" w:sz="4" w:space="0" w:color="000000"/>
            </w:tcBorders>
            <w:shd w:val="clear" w:color="auto" w:fill="D2D2D2"/>
          </w:tcPr>
          <w:p>
            <w:pPr/>
          </w:p>
        </w:tc>
        <w:tc>
          <w:tcPr>
            <w:tcW w:w="1559" w:type="dxa"/>
            <w:gridSpan w:val="2"/>
            <w:vMerge/>
            <w:tcBorders>
              <w:left w:val="single" w:sz="4" w:space="0" w:color="000000"/>
              <w:bottom w:val="single" w:sz="4" w:space="0" w:color="000000"/>
              <w:right w:val="single" w:sz="4" w:space="0" w:color="000000"/>
            </w:tcBorders>
            <w:shd w:val="clear" w:color="auto" w:fill="D2D2D2"/>
          </w:tcPr>
          <w:p>
            <w:pPr/>
          </w:p>
        </w:tc>
        <w:tc>
          <w:tcPr>
            <w:tcW w:w="568" w:type="dxa"/>
            <w:gridSpan w:val="2"/>
            <w:vMerge/>
            <w:tcBorders>
              <w:left w:val="single" w:sz="4" w:space="0" w:color="000000"/>
              <w:bottom w:val="single" w:sz="4" w:space="0" w:color="000000"/>
              <w:right w:val="single" w:sz="4" w:space="0" w:color="000000"/>
            </w:tcBorders>
            <w:shd w:val="clear" w:color="auto" w:fill="D2D2D2"/>
          </w:tcPr>
          <w:p>
            <w:pPr/>
          </w:p>
        </w:tc>
        <w:tc>
          <w:tcPr>
            <w:tcW w:w="1565" w:type="dxa"/>
            <w:gridSpan w:val="3"/>
            <w:vMerge/>
            <w:tcBorders>
              <w:left w:val="single" w:sz="4" w:space="0" w:color="000000"/>
              <w:bottom w:val="single" w:sz="4" w:space="0" w:color="000000"/>
              <w:right w:val="single" w:sz="4" w:space="0" w:color="000000"/>
            </w:tcBorders>
            <w:shd w:val="clear" w:color="auto" w:fill="D2D2D2"/>
          </w:tcPr>
          <w:p>
            <w:pPr/>
          </w:p>
        </w:tc>
        <w:tc>
          <w:tcPr>
            <w:tcW w:w="703" w:type="dxa"/>
            <w:gridSpan w:val="2"/>
            <w:vMerge/>
            <w:tcBorders>
              <w:left w:val="single" w:sz="4" w:space="0" w:color="000000"/>
              <w:bottom w:val="single" w:sz="4" w:space="0" w:color="000000"/>
              <w:right w:val="single" w:sz="4" w:space="0" w:color="000000"/>
            </w:tcBorders>
            <w:shd w:val="clear" w:color="auto" w:fill="D2D2D2"/>
          </w:tcPr>
          <w:p>
            <w:pPr/>
          </w:p>
        </w:tc>
        <w:tc>
          <w:tcPr>
            <w:tcW w:w="1276"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55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17" w:type="dxa"/>
            <w:gridSpan w:val="2"/>
            <w:vMerge/>
            <w:tcBorders>
              <w:left w:val="single" w:sz="4" w:space="0" w:color="000000"/>
              <w:bottom w:val="single" w:sz="4" w:space="0" w:color="000000"/>
              <w:right w:val="single" w:sz="4" w:space="0" w:color="000000"/>
            </w:tcBorders>
            <w:shd w:val="clear" w:color="auto" w:fill="D2D2D2"/>
          </w:tcPr>
          <w:p>
            <w:pPr/>
          </w:p>
        </w:tc>
        <w:tc>
          <w:tcPr>
            <w:tcW w:w="785" w:type="dxa"/>
            <w:vMerge/>
            <w:tcBorders>
              <w:left w:val="single" w:sz="4" w:space="0" w:color="000000"/>
              <w:bottom w:val="single" w:sz="4" w:space="0" w:color="000000"/>
              <w:right w:val="single" w:sz="12" w:space="0" w:color="000000"/>
            </w:tcBorders>
            <w:shd w:val="clear" w:color="auto" w:fill="D2D2D2"/>
          </w:tcPr>
          <w:p>
            <w:pPr/>
          </w:p>
        </w:tc>
      </w:tr>
      <w:tr>
        <w:trPr>
          <w:trHeight w:val="714" w:hRule="exact"/>
        </w:trPr>
        <w:tc>
          <w:tcPr>
            <w:tcW w:w="85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83"/>
              <w:jc w:val="center"/>
              <w:rPr>
                <w:rFonts w:ascii="宋体" w:hAnsi="宋体" w:cs="宋体" w:eastAsia="宋体" w:hint="default"/>
                <w:sz w:val="18"/>
                <w:szCs w:val="18"/>
              </w:rPr>
            </w:pPr>
            <w:r>
              <w:rPr>
                <w:rFonts w:ascii="宋体" w:hAnsi="宋体" w:cs="宋体" w:eastAsia="宋体" w:hint="default"/>
                <w:sz w:val="18"/>
                <w:szCs w:val="18"/>
              </w:rPr>
              <w:t>光山嘉园</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5,000</w:t>
            </w:r>
          </w:p>
        </w:tc>
        <w:tc>
          <w:tcPr>
            <w:tcW w:w="156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5,000</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15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日至</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9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85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83"/>
              <w:jc w:val="center"/>
              <w:rPr>
                <w:rFonts w:ascii="宋体" w:hAnsi="宋体" w:cs="宋体" w:eastAsia="宋体" w:hint="default"/>
                <w:sz w:val="18"/>
                <w:szCs w:val="18"/>
              </w:rPr>
            </w:pPr>
            <w:r>
              <w:rPr>
                <w:rFonts w:ascii="宋体" w:hAnsi="宋体" w:cs="宋体" w:eastAsia="宋体" w:hint="default"/>
                <w:sz w:val="18"/>
                <w:szCs w:val="18"/>
              </w:rPr>
              <w:t>东山嘉园</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2,500</w:t>
            </w:r>
          </w:p>
        </w:tc>
        <w:tc>
          <w:tcPr>
            <w:tcW w:w="156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2,500</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15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日至</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7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9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818" w:type="dxa"/>
            <w:gridSpan w:val="7"/>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报告期内审批对子公司担保额度合计（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725"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7,500</w:t>
            </w:r>
          </w:p>
        </w:tc>
        <w:tc>
          <w:tcPr>
            <w:tcW w:w="353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报告期内对子公司担保实际发生额合计（</w:t>
            </w:r>
            <w:r>
              <w:rPr>
                <w:rFonts w:ascii="Times New Roman" w:hAnsi="Times New Roman" w:cs="Times New Roman" w:eastAsia="Times New Roman" w:hint="default"/>
                <w:spacing w:val="-3"/>
                <w:sz w:val="18"/>
                <w:szCs w:val="18"/>
              </w:rPr>
              <w:t>C2</w:t>
            </w:r>
            <w:r>
              <w:rPr>
                <w:rFonts w:ascii="Times New Roman" w:hAnsi="Times New Roman" w:cs="Times New Roman" w:eastAsia="Times New Roman" w:hint="default"/>
                <w:sz w:val="18"/>
                <w:szCs w:val="18"/>
              </w:rPr>
            </w:r>
          </w:p>
        </w:tc>
        <w:tc>
          <w:tcPr>
            <w:tcW w:w="559"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w:t>
            </w:r>
          </w:p>
        </w:tc>
        <w:tc>
          <w:tcPr>
            <w:tcW w:w="157" w:type="dxa"/>
            <w:tcBorders>
              <w:top w:val="single" w:sz="4" w:space="0" w:color="000000"/>
              <w:left w:val="nil" w:sz="6" w:space="0" w:color="auto"/>
              <w:bottom w:val="single" w:sz="4" w:space="0" w:color="000000"/>
              <w:right w:val="nil" w:sz="6" w:space="0" w:color="auto"/>
            </w:tcBorders>
          </w:tcPr>
          <w:p>
            <w:pPr/>
          </w:p>
        </w:tc>
        <w:tc>
          <w:tcPr>
            <w:tcW w:w="785" w:type="dxa"/>
            <w:tcBorders>
              <w:top w:val="single" w:sz="4" w:space="0" w:color="000000"/>
              <w:left w:val="nil" w:sz="6" w:space="0" w:color="auto"/>
              <w:bottom w:val="single" w:sz="4" w:space="0" w:color="000000"/>
              <w:right w:val="single" w:sz="12" w:space="0" w:color="000000"/>
            </w:tcBorders>
          </w:tcPr>
          <w:p>
            <w:pPr>
              <w:pStyle w:val="TableParagraph"/>
              <w:spacing w:line="240" w:lineRule="auto" w:before="91"/>
              <w:ind w:left="354" w:right="0"/>
              <w:jc w:val="left"/>
              <w:rPr>
                <w:rFonts w:ascii="Times New Roman" w:hAnsi="Times New Roman" w:cs="Times New Roman" w:eastAsia="Times New Roman" w:hint="default"/>
                <w:sz w:val="18"/>
                <w:szCs w:val="18"/>
              </w:rPr>
            </w:pPr>
            <w:r>
              <w:rPr>
                <w:rFonts w:ascii="Times New Roman"/>
                <w:sz w:val="18"/>
              </w:rPr>
              <w:t>7,500</w:t>
            </w:r>
          </w:p>
        </w:tc>
      </w:tr>
      <w:tr>
        <w:trPr>
          <w:trHeight w:val="407" w:hRule="exact"/>
        </w:trPr>
        <w:tc>
          <w:tcPr>
            <w:tcW w:w="3818" w:type="dxa"/>
            <w:gridSpan w:val="7"/>
            <w:tcBorders>
              <w:top w:val="single" w:sz="4" w:space="0" w:color="000000"/>
              <w:left w:val="single" w:sz="12" w:space="0" w:color="000000"/>
              <w:bottom w:val="single" w:sz="4" w:space="0" w:color="000000"/>
              <w:right w:val="single" w:sz="13" w:space="0" w:color="FFFFFF"/>
            </w:tcBorders>
            <w:shd w:val="clear" w:color="auto" w:fill="D2D2D2"/>
          </w:tcPr>
          <w:p>
            <w:pPr>
              <w:pStyle w:val="TableParagraph"/>
              <w:spacing w:line="240" w:lineRule="auto" w:before="51"/>
              <w:ind w:left="13" w:right="-37"/>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报告期末已审批的对子公司担保额度合计（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725" w:type="dxa"/>
            <w:tcBorders>
              <w:top w:val="single" w:sz="4" w:space="0" w:color="000000"/>
              <w:left w:val="single" w:sz="9" w:space="0" w:color="FFFFFF"/>
              <w:bottom w:val="single" w:sz="4" w:space="0" w:color="000000"/>
              <w:right w:val="single" w:sz="9" w:space="0" w:color="D2D2D2"/>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7,500</w:t>
            </w:r>
          </w:p>
        </w:tc>
        <w:tc>
          <w:tcPr>
            <w:tcW w:w="353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报告期末对子公司实际担保余额合计（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1502" w:type="dxa"/>
            <w:gridSpan w:val="3"/>
            <w:tcBorders>
              <w:top w:val="single" w:sz="4" w:space="0" w:color="000000"/>
              <w:left w:val="single" w:sz="13" w:space="0" w:color="D2D2D2"/>
              <w:bottom w:val="single" w:sz="4" w:space="0" w:color="000000"/>
              <w:right w:val="single" w:sz="12" w:space="0" w:color="000000"/>
            </w:tcBorders>
          </w:tcPr>
          <w:p>
            <w:pPr>
              <w:pStyle w:val="TableParagraph"/>
              <w:spacing w:line="240" w:lineRule="auto" w:before="91"/>
              <w:ind w:left="828" w:right="0"/>
              <w:jc w:val="left"/>
              <w:rPr>
                <w:rFonts w:ascii="Times New Roman" w:hAnsi="Times New Roman" w:cs="Times New Roman" w:eastAsia="Times New Roman" w:hint="default"/>
                <w:sz w:val="18"/>
                <w:szCs w:val="18"/>
              </w:rPr>
            </w:pPr>
            <w:r>
              <w:rPr>
                <w:rFonts w:ascii="Times New Roman"/>
                <w:sz w:val="18"/>
              </w:rPr>
              <w:t>7,387.43</w:t>
            </w:r>
          </w:p>
        </w:tc>
      </w:tr>
      <w:tr>
        <w:trPr>
          <w:trHeight w:val="393" w:hRule="exact"/>
        </w:trPr>
        <w:tc>
          <w:tcPr>
            <w:tcW w:w="9580" w:type="dxa"/>
            <w:gridSpan w:val="17"/>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407" w:hRule="exact"/>
        </w:trPr>
        <w:tc>
          <w:tcPr>
            <w:tcW w:w="3818" w:type="dxa"/>
            <w:gridSpan w:val="7"/>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6"/>
              <w:ind w:left="13"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725"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16,500</w:t>
            </w:r>
          </w:p>
        </w:tc>
        <w:tc>
          <w:tcPr>
            <w:tcW w:w="3534" w:type="dxa"/>
            <w:gridSpan w:val="6"/>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6"/>
              <w:ind w:left="17" w:right="-49"/>
              <w:jc w:val="left"/>
              <w:rPr>
                <w:rFonts w:ascii="宋体" w:hAnsi="宋体" w:cs="宋体" w:eastAsia="宋体" w:hint="default"/>
                <w:sz w:val="18"/>
                <w:szCs w:val="18"/>
              </w:rPr>
            </w:pPr>
            <w:r>
              <w:rPr>
                <w:rFonts w:ascii="宋体" w:hAnsi="宋体" w:cs="宋体" w:eastAsia="宋体" w:hint="default"/>
                <w:sz w:val="18"/>
                <w:szCs w:val="18"/>
              </w:rPr>
              <w:t>报告期内担保实际发生额合计（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1502" w:type="dxa"/>
            <w:gridSpan w:val="3"/>
            <w:tcBorders>
              <w:top w:val="single" w:sz="4" w:space="0" w:color="000000"/>
              <w:left w:val="single" w:sz="10" w:space="0" w:color="FFFFFF"/>
              <w:bottom w:val="single" w:sz="4" w:space="0" w:color="000000"/>
              <w:right w:val="single" w:sz="12" w:space="0" w:color="000000"/>
            </w:tcBorders>
          </w:tcPr>
          <w:p>
            <w:pPr>
              <w:pStyle w:val="TableParagraph"/>
              <w:spacing w:line="240" w:lineRule="auto" w:before="96"/>
              <w:ind w:left="968" w:right="0"/>
              <w:jc w:val="left"/>
              <w:rPr>
                <w:rFonts w:ascii="Times New Roman" w:hAnsi="Times New Roman" w:cs="Times New Roman" w:eastAsia="Times New Roman" w:hint="default"/>
                <w:sz w:val="18"/>
                <w:szCs w:val="18"/>
              </w:rPr>
            </w:pPr>
            <w:r>
              <w:rPr>
                <w:rFonts w:ascii="Times New Roman"/>
                <w:sz w:val="18"/>
              </w:rPr>
              <w:t>13,100</w:t>
            </w:r>
          </w:p>
        </w:tc>
      </w:tr>
      <w:tr>
        <w:trPr>
          <w:trHeight w:val="412" w:hRule="exact"/>
        </w:trPr>
        <w:tc>
          <w:tcPr>
            <w:tcW w:w="3818" w:type="dxa"/>
            <w:gridSpan w:val="7"/>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725" w:type="dxa"/>
            <w:tcBorders>
              <w:top w:val="single" w:sz="4" w:space="0" w:color="000000"/>
              <w:left w:val="single" w:sz="13" w:space="0" w:color="D2D2D2"/>
              <w:bottom w:val="single" w:sz="12" w:space="0" w:color="000000"/>
              <w:right w:val="single" w:sz="9" w:space="0" w:color="D2D2D2"/>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26,100</w:t>
            </w:r>
          </w:p>
        </w:tc>
        <w:tc>
          <w:tcPr>
            <w:tcW w:w="3534" w:type="dxa"/>
            <w:gridSpan w:val="6"/>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报告期末实际担保余额合计（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1502" w:type="dxa"/>
            <w:gridSpan w:val="3"/>
            <w:tcBorders>
              <w:top w:val="single" w:sz="4" w:space="0" w:color="000000"/>
              <w:left w:val="single" w:sz="13" w:space="0" w:color="D2D2D2"/>
              <w:bottom w:val="single" w:sz="12" w:space="0" w:color="000000"/>
              <w:right w:val="single" w:sz="12" w:space="0" w:color="000000"/>
            </w:tcBorders>
          </w:tcPr>
          <w:p>
            <w:pPr>
              <w:pStyle w:val="TableParagraph"/>
              <w:spacing w:line="240" w:lineRule="auto" w:before="91"/>
              <w:ind w:left="738" w:right="0"/>
              <w:jc w:val="left"/>
              <w:rPr>
                <w:rFonts w:ascii="Times New Roman" w:hAnsi="Times New Roman" w:cs="Times New Roman" w:eastAsia="Times New Roman" w:hint="default"/>
                <w:sz w:val="18"/>
                <w:szCs w:val="18"/>
              </w:rPr>
            </w:pPr>
            <w:r>
              <w:rPr>
                <w:rFonts w:ascii="Times New Roman"/>
                <w:sz w:val="18"/>
              </w:rPr>
              <w:t>18,387.43</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5" w:type="dxa"/>
        <w:tblLayout w:type="fixed"/>
        <w:tblCellMar>
          <w:top w:w="0" w:type="dxa"/>
          <w:left w:w="0" w:type="dxa"/>
          <w:bottom w:w="0" w:type="dxa"/>
          <w:right w:w="0" w:type="dxa"/>
        </w:tblCellMar>
        <w:tblLook w:val="01E0"/>
      </w:tblPr>
      <w:tblGrid>
        <w:gridCol w:w="4519"/>
        <w:gridCol w:w="2552"/>
        <w:gridCol w:w="2501"/>
      </w:tblGrid>
      <w:tr>
        <w:trPr>
          <w:trHeight w:val="417" w:hRule="exact"/>
        </w:trPr>
        <w:tc>
          <w:tcPr>
            <w:tcW w:w="4519"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5054" w:type="dxa"/>
            <w:gridSpan w:val="2"/>
            <w:tcBorders>
              <w:top w:val="single" w:sz="12" w:space="0" w:color="000000"/>
              <w:left w:val="single" w:sz="13" w:space="0" w:color="D2D2D2"/>
              <w:bottom w:val="single" w:sz="4"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13.17%</w:t>
            </w:r>
          </w:p>
        </w:tc>
      </w:tr>
      <w:tr>
        <w:trPr>
          <w:trHeight w:val="397" w:hRule="exact"/>
        </w:trPr>
        <w:tc>
          <w:tcPr>
            <w:tcW w:w="9573" w:type="dxa"/>
            <w:gridSpan w:val="3"/>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46"/>
              <w:ind w:left="6"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2" w:hRule="exact"/>
        </w:trPr>
        <w:tc>
          <w:tcPr>
            <w:tcW w:w="7072" w:type="dxa"/>
            <w:gridSpan w:val="2"/>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2501" w:type="dxa"/>
            <w:tcBorders>
              <w:top w:val="single" w:sz="4" w:space="0" w:color="000000"/>
              <w:left w:val="single" w:sz="13" w:space="0" w:color="D2D2D2"/>
              <w:bottom w:val="single" w:sz="4"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072" w:type="dxa"/>
            <w:gridSpan w:val="2"/>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2501" w:type="dxa"/>
            <w:tcBorders>
              <w:top w:val="single" w:sz="4" w:space="0" w:color="000000"/>
              <w:left w:val="single" w:sz="13" w:space="0" w:color="D2D2D2"/>
              <w:bottom w:val="single" w:sz="4"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072" w:type="dxa"/>
            <w:gridSpan w:val="2"/>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2501" w:type="dxa"/>
            <w:tcBorders>
              <w:top w:val="single" w:sz="4" w:space="0" w:color="000000"/>
              <w:left w:val="single" w:sz="13" w:space="0" w:color="D2D2D2"/>
              <w:bottom w:val="single" w:sz="4"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072" w:type="dxa"/>
            <w:gridSpan w:val="2"/>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2501" w:type="dxa"/>
            <w:tcBorders>
              <w:top w:val="single" w:sz="4" w:space="0" w:color="000000"/>
              <w:left w:val="single" w:sz="13" w:space="0" w:color="D2D2D2"/>
              <w:bottom w:val="single" w:sz="4"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072" w:type="dxa"/>
            <w:gridSpan w:val="2"/>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对未到期担保，报告期内已发生担保责任或可能承担连带清偿责任的情况说明（如有）</w:t>
            </w:r>
          </w:p>
        </w:tc>
        <w:tc>
          <w:tcPr>
            <w:tcW w:w="2501" w:type="dxa"/>
            <w:tcBorders>
              <w:top w:val="single" w:sz="4" w:space="0" w:color="000000"/>
              <w:left w:val="single" w:sz="13" w:space="0" w:color="D2D2D2"/>
              <w:bottom w:val="single" w:sz="4"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412" w:hRule="exact"/>
        </w:trPr>
        <w:tc>
          <w:tcPr>
            <w:tcW w:w="7072" w:type="dxa"/>
            <w:gridSpan w:val="2"/>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2501" w:type="dxa"/>
            <w:tcBorders>
              <w:top w:val="single" w:sz="4" w:space="0" w:color="000000"/>
              <w:left w:val="single" w:sz="13" w:space="0" w:color="D2D2D2"/>
              <w:bottom w:val="single" w:sz="12" w:space="0" w:color="000000"/>
              <w:right w:val="single" w:sz="12"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采用复合方式担保的具体情况说明</w:t>
      </w:r>
    </w:p>
    <w:p>
      <w:pPr>
        <w:spacing w:line="240" w:lineRule="auto" w:before="10"/>
        <w:rPr>
          <w:rFonts w:ascii="宋体" w:hAnsi="宋体" w:cs="宋体" w:eastAsia="宋体" w:hint="default"/>
          <w:sz w:val="26"/>
          <w:szCs w:val="26"/>
        </w:rPr>
      </w:pPr>
    </w:p>
    <w:p>
      <w:pPr>
        <w:pStyle w:val="Heading4"/>
        <w:spacing w:line="240" w:lineRule="auto"/>
        <w:ind w:left="1134" w:right="0"/>
        <w:jc w:val="left"/>
        <w:rPr>
          <w:b w:val="0"/>
          <w:bCs w:val="0"/>
        </w:rPr>
      </w:pPr>
      <w:bookmarkStart w:name="（2）违规对外担保情况" w:id="90"/>
      <w:bookmarkEnd w:id="90"/>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13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公司报告期无违规对外担保情况。</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3、委托他人进行现金资产管理情况" w:id="91"/>
      <w:bookmarkEnd w:id="91"/>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委托理财情况" w:id="92"/>
      <w:bookmarkEnd w:id="92"/>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spacing w:line="338" w:lineRule="auto" w:before="44"/>
        <w:ind w:left="1133"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单位：万元</w:t>
      </w:r>
    </w:p>
    <w:p>
      <w:pPr>
        <w:spacing w:after="0"/>
        <w:jc w:val="center"/>
        <w:rPr>
          <w:rFonts w:ascii="宋体" w:hAnsi="宋体" w:cs="宋体" w:eastAsia="宋体" w:hint="default"/>
          <w:sz w:val="18"/>
          <w:szCs w:val="18"/>
        </w:rPr>
        <w:sectPr>
          <w:type w:val="continuous"/>
          <w:pgSz w:w="11910" w:h="16840"/>
          <w:pgMar w:top="1060" w:bottom="1160" w:left="0" w:right="0"/>
          <w:cols w:num="2" w:equalWidth="0">
            <w:col w:w="2935" w:space="5805"/>
            <w:col w:w="3170"/>
          </w:cols>
        </w:sectPr>
      </w:pPr>
    </w:p>
    <w:p>
      <w:pPr>
        <w:spacing w:line="240" w:lineRule="auto" w:before="1"/>
        <w:rPr>
          <w:rFonts w:ascii="宋体" w:hAnsi="宋体" w:cs="宋体" w:eastAsia="宋体" w:hint="default"/>
          <w:sz w:val="8"/>
          <w:szCs w:val="8"/>
        </w:rPr>
      </w:pPr>
    </w:p>
    <w:tbl>
      <w:tblPr>
        <w:tblW w:w="0" w:type="auto"/>
        <w:jc w:val="left"/>
        <w:tblInd w:w="1118" w:type="dxa"/>
        <w:tblLayout w:type="fixed"/>
        <w:tblCellMar>
          <w:top w:w="0" w:type="dxa"/>
          <w:left w:w="0" w:type="dxa"/>
          <w:bottom w:w="0" w:type="dxa"/>
          <w:right w:w="0" w:type="dxa"/>
        </w:tblCellMar>
        <w:tblLook w:val="01E0"/>
      </w:tblPr>
      <w:tblGrid>
        <w:gridCol w:w="1869"/>
        <w:gridCol w:w="1962"/>
        <w:gridCol w:w="1981"/>
        <w:gridCol w:w="1908"/>
        <w:gridCol w:w="1847"/>
      </w:tblGrid>
      <w:tr>
        <w:trPr>
          <w:trHeight w:val="411" w:hRule="exact"/>
        </w:trPr>
        <w:tc>
          <w:tcPr>
            <w:tcW w:w="1869"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55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2"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7"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186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41,468</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250</w:t>
            </w:r>
          </w:p>
        </w:tc>
        <w:tc>
          <w:tcPr>
            <w:tcW w:w="18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z w:val="18"/>
              </w:rPr>
              <w:t>0</w:t>
            </w:r>
          </w:p>
        </w:tc>
      </w:tr>
      <w:tr>
        <w:trPr>
          <w:trHeight w:val="412" w:hRule="exact"/>
        </w:trPr>
        <w:tc>
          <w:tcPr>
            <w:tcW w:w="3832" w:type="dxa"/>
            <w:gridSpan w:val="2"/>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41,468</w:t>
            </w:r>
          </w:p>
        </w:tc>
        <w:tc>
          <w:tcPr>
            <w:tcW w:w="19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250</w:t>
            </w:r>
          </w:p>
        </w:tc>
        <w:tc>
          <w:tcPr>
            <w:tcW w:w="184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z w:val="18"/>
              </w:rPr>
              <w:t>0</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委托理财出现预期无法收回本金或存在其他可能导致减值的情形</w:t>
      </w:r>
    </w:p>
    <w:p>
      <w:pPr>
        <w:spacing w:before="117"/>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委托贷款情况" w:id="93"/>
      <w:bookmarkEnd w:id="93"/>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13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公司报告期不存在委托贷款。</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4、其他重大合同" w:id="94"/>
      <w:bookmarkEnd w:id="94"/>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8"/>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118" w:type="dxa"/>
        <w:tblLayout w:type="fixed"/>
        <w:tblCellMar>
          <w:top w:w="0" w:type="dxa"/>
          <w:left w:w="0" w:type="dxa"/>
          <w:bottom w:w="0" w:type="dxa"/>
          <w:right w:w="0" w:type="dxa"/>
        </w:tblCellMar>
        <w:tblLook w:val="01E0"/>
      </w:tblPr>
      <w:tblGrid>
        <w:gridCol w:w="637"/>
        <w:gridCol w:w="640"/>
        <w:gridCol w:w="638"/>
        <w:gridCol w:w="640"/>
        <w:gridCol w:w="640"/>
        <w:gridCol w:w="639"/>
        <w:gridCol w:w="640"/>
        <w:gridCol w:w="638"/>
        <w:gridCol w:w="637"/>
        <w:gridCol w:w="638"/>
        <w:gridCol w:w="639"/>
        <w:gridCol w:w="637"/>
        <w:gridCol w:w="638"/>
        <w:gridCol w:w="638"/>
        <w:gridCol w:w="635"/>
      </w:tblGrid>
      <w:tr>
        <w:trPr>
          <w:trHeight w:val="1318" w:hRule="exact"/>
        </w:trPr>
        <w:tc>
          <w:tcPr>
            <w:tcW w:w="637" w:type="dxa"/>
            <w:tcBorders>
              <w:top w:val="single" w:sz="12"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316" w:lineRule="auto"/>
              <w:ind w:left="32" w:right="42"/>
              <w:jc w:val="both"/>
              <w:rPr>
                <w:rFonts w:ascii="宋体" w:hAnsi="宋体" w:cs="宋体" w:eastAsia="宋体" w:hint="default"/>
                <w:sz w:val="18"/>
                <w:szCs w:val="18"/>
              </w:rPr>
            </w:pPr>
            <w:r>
              <w:rPr>
                <w:rFonts w:ascii="宋体" w:hAnsi="宋体" w:cs="宋体" w:eastAsia="宋体" w:hint="default"/>
                <w:sz w:val="18"/>
                <w:szCs w:val="18"/>
              </w:rPr>
              <w:t>合同订 立公司 方名称</w:t>
            </w:r>
          </w:p>
        </w:tc>
        <w:tc>
          <w:tcPr>
            <w:tcW w:w="640" w:type="dxa"/>
            <w:tcBorders>
              <w:top w:val="single" w:sz="12"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316" w:lineRule="auto"/>
              <w:ind w:left="44" w:right="43"/>
              <w:jc w:val="both"/>
              <w:rPr>
                <w:rFonts w:ascii="宋体" w:hAnsi="宋体" w:cs="宋体" w:eastAsia="宋体" w:hint="default"/>
                <w:sz w:val="18"/>
                <w:szCs w:val="18"/>
              </w:rPr>
            </w:pPr>
            <w:r>
              <w:rPr>
                <w:rFonts w:ascii="宋体" w:hAnsi="宋体" w:cs="宋体" w:eastAsia="宋体" w:hint="default"/>
                <w:sz w:val="18"/>
                <w:szCs w:val="18"/>
              </w:rPr>
              <w:t>合同订 立对方 名称</w:t>
            </w:r>
          </w:p>
        </w:tc>
        <w:tc>
          <w:tcPr>
            <w:tcW w:w="638" w:type="dxa"/>
            <w:tcBorders>
              <w:top w:val="single" w:sz="12"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6"/>
                <w:szCs w:val="26"/>
              </w:rPr>
            </w:pPr>
          </w:p>
          <w:p>
            <w:pPr>
              <w:pStyle w:val="TableParagraph"/>
              <w:spacing w:line="316" w:lineRule="auto"/>
              <w:ind w:left="224" w:right="42" w:hanging="180"/>
              <w:jc w:val="left"/>
              <w:rPr>
                <w:rFonts w:ascii="宋体" w:hAnsi="宋体" w:cs="宋体" w:eastAsia="宋体" w:hint="default"/>
                <w:sz w:val="18"/>
                <w:szCs w:val="18"/>
              </w:rPr>
            </w:pPr>
            <w:r>
              <w:rPr>
                <w:rFonts w:ascii="宋体" w:hAnsi="宋体" w:cs="宋体" w:eastAsia="宋体" w:hint="default"/>
                <w:sz w:val="18"/>
                <w:szCs w:val="18"/>
              </w:rPr>
              <w:t>合同标 的</w:t>
            </w:r>
          </w:p>
        </w:tc>
        <w:tc>
          <w:tcPr>
            <w:tcW w:w="640" w:type="dxa"/>
            <w:tcBorders>
              <w:top w:val="single" w:sz="12"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6"/>
                <w:szCs w:val="26"/>
              </w:rPr>
            </w:pPr>
          </w:p>
          <w:p>
            <w:pPr>
              <w:pStyle w:val="TableParagraph"/>
              <w:spacing w:line="316" w:lineRule="auto"/>
              <w:ind w:left="44" w:right="43"/>
              <w:jc w:val="left"/>
              <w:rPr>
                <w:rFonts w:ascii="宋体" w:hAnsi="宋体" w:cs="宋体" w:eastAsia="宋体" w:hint="default"/>
                <w:sz w:val="18"/>
                <w:szCs w:val="18"/>
              </w:rPr>
            </w:pPr>
            <w:r>
              <w:rPr>
                <w:rFonts w:ascii="宋体" w:hAnsi="宋体" w:cs="宋体" w:eastAsia="宋体" w:hint="default"/>
                <w:sz w:val="18"/>
                <w:szCs w:val="18"/>
              </w:rPr>
              <w:t>合同签 订日期</w:t>
            </w:r>
          </w:p>
        </w:tc>
        <w:tc>
          <w:tcPr>
            <w:tcW w:w="640" w:type="dxa"/>
            <w:tcBorders>
              <w:top w:val="single" w:sz="12" w:space="0" w:color="000000"/>
              <w:left w:val="single" w:sz="4" w:space="0" w:color="000000"/>
              <w:bottom w:val="single" w:sz="12" w:space="0" w:color="000000"/>
              <w:right w:val="single" w:sz="4" w:space="0" w:color="000000"/>
            </w:tcBorders>
            <w:shd w:val="clear" w:color="auto" w:fill="D2D2D2"/>
          </w:tcPr>
          <w:p>
            <w:pPr>
              <w:pStyle w:val="TableParagraph"/>
              <w:spacing w:line="316" w:lineRule="auto" w:before="51"/>
              <w:ind w:left="45" w:right="42"/>
              <w:jc w:val="both"/>
              <w:rPr>
                <w:rFonts w:ascii="宋体" w:hAnsi="宋体" w:cs="宋体" w:eastAsia="宋体" w:hint="default"/>
                <w:sz w:val="18"/>
                <w:szCs w:val="18"/>
              </w:rPr>
            </w:pPr>
            <w:r>
              <w:rPr>
                <w:rFonts w:ascii="宋体" w:hAnsi="宋体" w:cs="宋体" w:eastAsia="宋体" w:hint="default"/>
                <w:sz w:val="18"/>
                <w:szCs w:val="18"/>
              </w:rPr>
              <w:t>合同涉 及资产 的账面 价值</w:t>
            </w:r>
          </w:p>
        </w:tc>
        <w:tc>
          <w:tcPr>
            <w:tcW w:w="639" w:type="dxa"/>
            <w:tcBorders>
              <w:top w:val="single" w:sz="12" w:space="0" w:color="000000"/>
              <w:left w:val="single" w:sz="4" w:space="0" w:color="000000"/>
              <w:bottom w:val="single" w:sz="12" w:space="0" w:color="000000"/>
              <w:right w:val="single" w:sz="4" w:space="0" w:color="000000"/>
            </w:tcBorders>
            <w:shd w:val="clear" w:color="auto" w:fill="D2D2D2"/>
          </w:tcPr>
          <w:p>
            <w:pPr>
              <w:pStyle w:val="TableParagraph"/>
              <w:spacing w:line="316" w:lineRule="auto" w:before="51"/>
              <w:ind w:left="44" w:right="42"/>
              <w:jc w:val="both"/>
              <w:rPr>
                <w:rFonts w:ascii="宋体" w:hAnsi="宋体" w:cs="宋体" w:eastAsia="宋体" w:hint="default"/>
                <w:sz w:val="18"/>
                <w:szCs w:val="18"/>
              </w:rPr>
            </w:pPr>
            <w:r>
              <w:rPr>
                <w:rFonts w:ascii="宋体" w:hAnsi="宋体" w:cs="宋体" w:eastAsia="宋体" w:hint="default"/>
                <w:sz w:val="18"/>
                <w:szCs w:val="18"/>
              </w:rPr>
              <w:t>合同涉 及资产 的评估 价值</w:t>
            </w:r>
          </w:p>
        </w:tc>
        <w:tc>
          <w:tcPr>
            <w:tcW w:w="640" w:type="dxa"/>
            <w:tcBorders>
              <w:top w:val="single" w:sz="12"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5" w:right="42"/>
              <w:jc w:val="left"/>
              <w:rPr>
                <w:rFonts w:ascii="宋体" w:hAnsi="宋体" w:cs="宋体" w:eastAsia="宋体" w:hint="default"/>
                <w:sz w:val="18"/>
                <w:szCs w:val="18"/>
              </w:rPr>
            </w:pPr>
            <w:r>
              <w:rPr>
                <w:rFonts w:ascii="宋体" w:hAnsi="宋体" w:cs="宋体" w:eastAsia="宋体" w:hint="default"/>
                <w:sz w:val="18"/>
                <w:szCs w:val="18"/>
              </w:rPr>
              <w:t>评估机 构名称</w:t>
            </w:r>
          </w:p>
          <w:p>
            <w:pPr>
              <w:pStyle w:val="TableParagraph"/>
              <w:spacing w:line="240" w:lineRule="auto" w:before="19"/>
              <w:ind w:left="135" w:right="0"/>
              <w:jc w:val="left"/>
              <w:rPr>
                <w:rFonts w:ascii="宋体" w:hAnsi="宋体" w:cs="宋体" w:eastAsia="宋体" w:hint="default"/>
                <w:sz w:val="18"/>
                <w:szCs w:val="18"/>
              </w:rPr>
            </w:pPr>
            <w:r>
              <w:rPr>
                <w:rFonts w:ascii="宋体" w:hAnsi="宋体" w:cs="宋体" w:eastAsia="宋体" w:hint="default"/>
                <w:sz w:val="18"/>
                <w:szCs w:val="18"/>
              </w:rPr>
              <w:t>（如</w:t>
            </w:r>
          </w:p>
        </w:tc>
        <w:tc>
          <w:tcPr>
            <w:tcW w:w="638" w:type="dxa"/>
            <w:tcBorders>
              <w:top w:val="single" w:sz="12"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33" w:right="43" w:hanging="90"/>
              <w:jc w:val="left"/>
              <w:rPr>
                <w:rFonts w:ascii="宋体" w:hAnsi="宋体" w:cs="宋体" w:eastAsia="宋体" w:hint="default"/>
                <w:sz w:val="18"/>
                <w:szCs w:val="18"/>
              </w:rPr>
            </w:pPr>
            <w:r>
              <w:rPr>
                <w:rFonts w:ascii="宋体" w:hAnsi="宋体" w:cs="宋体" w:eastAsia="宋体" w:hint="default"/>
                <w:sz w:val="18"/>
                <w:szCs w:val="18"/>
              </w:rPr>
              <w:t>评估基 准日</w:t>
            </w:r>
          </w:p>
          <w:p>
            <w:pPr>
              <w:pStyle w:val="TableParagraph"/>
              <w:spacing w:line="240" w:lineRule="auto" w:before="19"/>
              <w:ind w:left="133" w:right="0"/>
              <w:jc w:val="left"/>
              <w:rPr>
                <w:rFonts w:ascii="宋体" w:hAnsi="宋体" w:cs="宋体" w:eastAsia="宋体" w:hint="default"/>
                <w:sz w:val="18"/>
                <w:szCs w:val="18"/>
              </w:rPr>
            </w:pPr>
            <w:r>
              <w:rPr>
                <w:rFonts w:ascii="宋体" w:hAnsi="宋体" w:cs="宋体" w:eastAsia="宋体" w:hint="default"/>
                <w:sz w:val="18"/>
                <w:szCs w:val="18"/>
              </w:rPr>
              <w:t>（如</w:t>
            </w:r>
          </w:p>
        </w:tc>
        <w:tc>
          <w:tcPr>
            <w:tcW w:w="637" w:type="dxa"/>
            <w:tcBorders>
              <w:top w:val="single" w:sz="12"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6"/>
                <w:szCs w:val="26"/>
              </w:rPr>
            </w:pPr>
          </w:p>
          <w:p>
            <w:pPr>
              <w:pStyle w:val="TableParagraph"/>
              <w:spacing w:line="316" w:lineRule="auto"/>
              <w:ind w:left="223" w:right="42" w:hanging="180"/>
              <w:jc w:val="left"/>
              <w:rPr>
                <w:rFonts w:ascii="宋体" w:hAnsi="宋体" w:cs="宋体" w:eastAsia="宋体" w:hint="default"/>
                <w:sz w:val="18"/>
                <w:szCs w:val="18"/>
              </w:rPr>
            </w:pPr>
            <w:r>
              <w:rPr>
                <w:rFonts w:ascii="宋体" w:hAnsi="宋体" w:cs="宋体" w:eastAsia="宋体" w:hint="default"/>
                <w:sz w:val="18"/>
                <w:szCs w:val="18"/>
              </w:rPr>
              <w:t>定价原 则</w:t>
            </w:r>
          </w:p>
        </w:tc>
        <w:tc>
          <w:tcPr>
            <w:tcW w:w="638" w:type="dxa"/>
            <w:tcBorders>
              <w:top w:val="single" w:sz="12"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316" w:lineRule="auto"/>
              <w:ind w:left="43" w:right="43"/>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39" w:type="dxa"/>
            <w:tcBorders>
              <w:top w:val="single" w:sz="12"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6"/>
                <w:szCs w:val="26"/>
              </w:rPr>
            </w:pPr>
          </w:p>
          <w:p>
            <w:pPr>
              <w:pStyle w:val="TableParagraph"/>
              <w:spacing w:line="316" w:lineRule="auto"/>
              <w:ind w:left="43" w:right="45"/>
              <w:jc w:val="left"/>
              <w:rPr>
                <w:rFonts w:ascii="宋体" w:hAnsi="宋体" w:cs="宋体" w:eastAsia="宋体" w:hint="default"/>
                <w:sz w:val="18"/>
                <w:szCs w:val="18"/>
              </w:rPr>
            </w:pPr>
            <w:r>
              <w:rPr>
                <w:rFonts w:ascii="宋体" w:hAnsi="宋体" w:cs="宋体" w:eastAsia="宋体" w:hint="default"/>
                <w:sz w:val="18"/>
                <w:szCs w:val="18"/>
              </w:rPr>
              <w:t>是否关 联交易</w:t>
            </w:r>
          </w:p>
        </w:tc>
        <w:tc>
          <w:tcPr>
            <w:tcW w:w="637" w:type="dxa"/>
            <w:tcBorders>
              <w:top w:val="single" w:sz="12"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6"/>
                <w:szCs w:val="26"/>
              </w:rPr>
            </w:pPr>
          </w:p>
          <w:p>
            <w:pPr>
              <w:pStyle w:val="TableParagraph"/>
              <w:spacing w:line="316" w:lineRule="auto"/>
              <w:ind w:left="223" w:right="42"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38" w:type="dxa"/>
            <w:tcBorders>
              <w:top w:val="single" w:sz="12"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 w:right="43"/>
              <w:jc w:val="both"/>
              <w:rPr>
                <w:rFonts w:ascii="宋体" w:hAnsi="宋体" w:cs="宋体" w:eastAsia="宋体" w:hint="default"/>
                <w:sz w:val="18"/>
                <w:szCs w:val="18"/>
              </w:rPr>
            </w:pPr>
            <w:r>
              <w:rPr>
                <w:rFonts w:ascii="宋体" w:hAnsi="宋体" w:cs="宋体" w:eastAsia="宋体" w:hint="default"/>
                <w:sz w:val="18"/>
                <w:szCs w:val="18"/>
              </w:rPr>
              <w:t>截至报 告期末 的执行</w:t>
            </w:r>
          </w:p>
        </w:tc>
        <w:tc>
          <w:tcPr>
            <w:tcW w:w="638" w:type="dxa"/>
            <w:tcBorders>
              <w:top w:val="single" w:sz="12"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6"/>
                <w:szCs w:val="26"/>
              </w:rPr>
            </w:pPr>
          </w:p>
          <w:p>
            <w:pPr>
              <w:pStyle w:val="TableParagraph"/>
              <w:spacing w:line="316" w:lineRule="auto"/>
              <w:ind w:left="223" w:right="43"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35" w:type="dxa"/>
            <w:tcBorders>
              <w:top w:val="single" w:sz="12" w:space="0" w:color="000000"/>
              <w:left w:val="single" w:sz="4" w:space="0" w:color="000000"/>
              <w:bottom w:val="single" w:sz="12" w:space="0" w:color="000000"/>
              <w:right w:val="single" w:sz="12" w:space="0" w:color="000000"/>
            </w:tcBorders>
            <w:shd w:val="clear" w:color="auto" w:fill="D2D2D2"/>
          </w:tcPr>
          <w:p>
            <w:pPr>
              <w:pStyle w:val="TableParagraph"/>
              <w:spacing w:line="240" w:lineRule="auto" w:before="3"/>
              <w:ind w:right="0"/>
              <w:jc w:val="left"/>
              <w:rPr>
                <w:rFonts w:ascii="宋体" w:hAnsi="宋体" w:cs="宋体" w:eastAsia="宋体" w:hint="default"/>
                <w:sz w:val="26"/>
                <w:szCs w:val="26"/>
              </w:rPr>
            </w:pPr>
          </w:p>
          <w:p>
            <w:pPr>
              <w:pStyle w:val="TableParagraph"/>
              <w:spacing w:line="316" w:lineRule="auto"/>
              <w:ind w:left="222" w:right="31"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bl>
    <w:p>
      <w:pPr>
        <w:spacing w:after="0" w:line="316" w:lineRule="auto"/>
        <w:jc w:val="left"/>
        <w:rPr>
          <w:rFonts w:ascii="宋体" w:hAnsi="宋体" w:cs="宋体" w:eastAsia="宋体"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18" w:type="dxa"/>
        <w:tblLayout w:type="fixed"/>
        <w:tblCellMar>
          <w:top w:w="0" w:type="dxa"/>
          <w:left w:w="0" w:type="dxa"/>
          <w:bottom w:w="0" w:type="dxa"/>
          <w:right w:w="0" w:type="dxa"/>
        </w:tblCellMar>
        <w:tblLook w:val="01E0"/>
      </w:tblPr>
      <w:tblGrid>
        <w:gridCol w:w="637"/>
        <w:gridCol w:w="640"/>
        <w:gridCol w:w="638"/>
        <w:gridCol w:w="640"/>
        <w:gridCol w:w="640"/>
        <w:gridCol w:w="639"/>
        <w:gridCol w:w="640"/>
        <w:gridCol w:w="638"/>
        <w:gridCol w:w="637"/>
        <w:gridCol w:w="638"/>
        <w:gridCol w:w="639"/>
        <w:gridCol w:w="637"/>
        <w:gridCol w:w="638"/>
        <w:gridCol w:w="638"/>
        <w:gridCol w:w="635"/>
      </w:tblGrid>
      <w:tr>
        <w:trPr>
          <w:trHeight w:val="995" w:hRule="exact"/>
        </w:trPr>
        <w:tc>
          <w:tcPr>
            <w:tcW w:w="637" w:type="dxa"/>
            <w:tcBorders>
              <w:top w:val="single" w:sz="12" w:space="0" w:color="000000"/>
              <w:left w:val="single" w:sz="12" w:space="0" w:color="000000"/>
              <w:bottom w:val="single" w:sz="4" w:space="0" w:color="000000"/>
              <w:right w:val="single" w:sz="4" w:space="0" w:color="000000"/>
            </w:tcBorders>
            <w:shd w:val="clear" w:color="auto" w:fill="D2D2D2"/>
          </w:tcPr>
          <w:p>
            <w:pPr/>
          </w:p>
        </w:tc>
        <w:tc>
          <w:tcPr>
            <w:tcW w:w="640" w:type="dxa"/>
            <w:tcBorders>
              <w:top w:val="single" w:sz="12" w:space="0" w:color="000000"/>
              <w:left w:val="single" w:sz="4" w:space="0" w:color="000000"/>
              <w:bottom w:val="single" w:sz="4" w:space="0" w:color="000000"/>
              <w:right w:val="single" w:sz="4" w:space="0" w:color="000000"/>
            </w:tcBorders>
            <w:shd w:val="clear" w:color="auto" w:fill="D2D2D2"/>
          </w:tcPr>
          <w:p>
            <w:pPr/>
          </w:p>
        </w:tc>
        <w:tc>
          <w:tcPr>
            <w:tcW w:w="638" w:type="dxa"/>
            <w:tcBorders>
              <w:top w:val="single" w:sz="12" w:space="0" w:color="000000"/>
              <w:left w:val="single" w:sz="4" w:space="0" w:color="000000"/>
              <w:bottom w:val="single" w:sz="4" w:space="0" w:color="000000"/>
              <w:right w:val="single" w:sz="4" w:space="0" w:color="000000"/>
            </w:tcBorders>
            <w:shd w:val="clear" w:color="auto" w:fill="D2D2D2"/>
          </w:tcPr>
          <w:p>
            <w:pPr/>
          </w:p>
        </w:tc>
        <w:tc>
          <w:tcPr>
            <w:tcW w:w="640" w:type="dxa"/>
            <w:tcBorders>
              <w:top w:val="single" w:sz="12" w:space="0" w:color="000000"/>
              <w:left w:val="single" w:sz="4" w:space="0" w:color="000000"/>
              <w:bottom w:val="single" w:sz="4" w:space="0" w:color="000000"/>
              <w:right w:val="single" w:sz="4" w:space="0" w:color="000000"/>
            </w:tcBorders>
            <w:shd w:val="clear" w:color="auto" w:fill="D2D2D2"/>
          </w:tcPr>
          <w:p>
            <w:pPr/>
          </w:p>
        </w:tc>
        <w:tc>
          <w:tcPr>
            <w:tcW w:w="64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4" w:right="20"/>
              <w:jc w:val="center"/>
              <w:rPr>
                <w:rFonts w:ascii="宋体" w:hAnsi="宋体" w:cs="宋体" w:eastAsia="宋体" w:hint="default"/>
                <w:sz w:val="18"/>
                <w:szCs w:val="18"/>
              </w:rPr>
            </w:pPr>
            <w:r>
              <w:rPr>
                <w:rFonts w:ascii="宋体" w:hAnsi="宋体" w:cs="宋体" w:eastAsia="宋体" w:hint="default"/>
                <w:sz w:val="18"/>
                <w:szCs w:val="18"/>
              </w:rPr>
              <w:t>（万 </w:t>
            </w:r>
            <w:r>
              <w:rPr>
                <w:rFonts w:ascii="宋体" w:hAnsi="宋体" w:cs="宋体" w:eastAsia="宋体" w:hint="default"/>
                <w:spacing w:val="-35"/>
                <w:sz w:val="18"/>
                <w:szCs w:val="18"/>
              </w:rPr>
              <w:t>元）（如</w:t>
            </w:r>
            <w:r>
              <w:rPr>
                <w:rFonts w:ascii="宋体" w:hAnsi="宋体" w:cs="宋体" w:eastAsia="宋体" w:hint="default"/>
                <w:sz w:val="18"/>
                <w:szCs w:val="18"/>
              </w:rPr>
              <w:t> 有）</w:t>
            </w:r>
          </w:p>
        </w:tc>
        <w:tc>
          <w:tcPr>
            <w:tcW w:w="639"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21"/>
              <w:jc w:val="center"/>
              <w:rPr>
                <w:rFonts w:ascii="宋体" w:hAnsi="宋体" w:cs="宋体" w:eastAsia="宋体" w:hint="default"/>
                <w:sz w:val="18"/>
                <w:szCs w:val="18"/>
              </w:rPr>
            </w:pPr>
            <w:r>
              <w:rPr>
                <w:rFonts w:ascii="宋体" w:hAnsi="宋体" w:cs="宋体" w:eastAsia="宋体" w:hint="default"/>
                <w:sz w:val="18"/>
                <w:szCs w:val="18"/>
              </w:rPr>
              <w:t>（万 </w:t>
            </w:r>
            <w:r>
              <w:rPr>
                <w:rFonts w:ascii="宋体" w:hAnsi="宋体" w:cs="宋体" w:eastAsia="宋体" w:hint="default"/>
                <w:spacing w:val="-35"/>
                <w:sz w:val="18"/>
                <w:szCs w:val="18"/>
              </w:rPr>
              <w:t>元）（如</w:t>
            </w:r>
            <w:r>
              <w:rPr>
                <w:rFonts w:ascii="宋体" w:hAnsi="宋体" w:cs="宋体" w:eastAsia="宋体" w:hint="default"/>
                <w:sz w:val="18"/>
                <w:szCs w:val="18"/>
              </w:rPr>
              <w:t> 有）</w:t>
            </w:r>
          </w:p>
        </w:tc>
        <w:tc>
          <w:tcPr>
            <w:tcW w:w="64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有）</w:t>
            </w:r>
          </w:p>
        </w:tc>
        <w:tc>
          <w:tcPr>
            <w:tcW w:w="63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有）</w:t>
            </w:r>
          </w:p>
        </w:tc>
        <w:tc>
          <w:tcPr>
            <w:tcW w:w="637" w:type="dxa"/>
            <w:tcBorders>
              <w:top w:val="single" w:sz="12" w:space="0" w:color="000000"/>
              <w:left w:val="single" w:sz="4" w:space="0" w:color="000000"/>
              <w:bottom w:val="single" w:sz="4" w:space="0" w:color="000000"/>
              <w:right w:val="single" w:sz="4" w:space="0" w:color="000000"/>
            </w:tcBorders>
            <w:shd w:val="clear" w:color="auto" w:fill="D2D2D2"/>
          </w:tcPr>
          <w:p>
            <w:pPr/>
          </w:p>
        </w:tc>
        <w:tc>
          <w:tcPr>
            <w:tcW w:w="638" w:type="dxa"/>
            <w:tcBorders>
              <w:top w:val="single" w:sz="12" w:space="0" w:color="000000"/>
              <w:left w:val="single" w:sz="4" w:space="0" w:color="000000"/>
              <w:bottom w:val="single" w:sz="4" w:space="0" w:color="000000"/>
              <w:right w:val="single" w:sz="4" w:space="0" w:color="000000"/>
            </w:tcBorders>
            <w:shd w:val="clear" w:color="auto" w:fill="D2D2D2"/>
          </w:tcPr>
          <w:p>
            <w:pPr/>
          </w:p>
        </w:tc>
        <w:tc>
          <w:tcPr>
            <w:tcW w:w="639" w:type="dxa"/>
            <w:tcBorders>
              <w:top w:val="single" w:sz="12" w:space="0" w:color="000000"/>
              <w:left w:val="single" w:sz="4" w:space="0" w:color="000000"/>
              <w:bottom w:val="single" w:sz="4" w:space="0" w:color="000000"/>
              <w:right w:val="single" w:sz="4" w:space="0" w:color="000000"/>
            </w:tcBorders>
            <w:shd w:val="clear" w:color="auto" w:fill="D2D2D2"/>
          </w:tcPr>
          <w:p>
            <w:pPr/>
          </w:p>
        </w:tc>
        <w:tc>
          <w:tcPr>
            <w:tcW w:w="637" w:type="dxa"/>
            <w:tcBorders>
              <w:top w:val="single" w:sz="12" w:space="0" w:color="000000"/>
              <w:left w:val="single" w:sz="4" w:space="0" w:color="000000"/>
              <w:bottom w:val="single" w:sz="4" w:space="0" w:color="000000"/>
              <w:right w:val="single" w:sz="4" w:space="0" w:color="000000"/>
            </w:tcBorders>
            <w:shd w:val="clear" w:color="auto" w:fill="D2D2D2"/>
          </w:tcPr>
          <w:p>
            <w:pPr/>
          </w:p>
        </w:tc>
        <w:tc>
          <w:tcPr>
            <w:tcW w:w="63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33" w:right="0"/>
              <w:jc w:val="left"/>
              <w:rPr>
                <w:rFonts w:ascii="宋体" w:hAnsi="宋体" w:cs="宋体" w:eastAsia="宋体" w:hint="default"/>
                <w:sz w:val="18"/>
                <w:szCs w:val="18"/>
              </w:rPr>
            </w:pPr>
            <w:r>
              <w:rPr>
                <w:rFonts w:ascii="宋体" w:hAnsi="宋体" w:cs="宋体" w:eastAsia="宋体" w:hint="default"/>
                <w:sz w:val="18"/>
                <w:szCs w:val="18"/>
              </w:rPr>
              <w:t>情况</w:t>
            </w:r>
          </w:p>
        </w:tc>
        <w:tc>
          <w:tcPr>
            <w:tcW w:w="638" w:type="dxa"/>
            <w:tcBorders>
              <w:top w:val="single" w:sz="12" w:space="0" w:color="000000"/>
              <w:left w:val="single" w:sz="4" w:space="0" w:color="000000"/>
              <w:bottom w:val="single" w:sz="4" w:space="0" w:color="000000"/>
              <w:right w:val="single" w:sz="4" w:space="0" w:color="000000"/>
            </w:tcBorders>
            <w:shd w:val="clear" w:color="auto" w:fill="D2D2D2"/>
          </w:tcPr>
          <w:p>
            <w:pPr/>
          </w:p>
        </w:tc>
        <w:tc>
          <w:tcPr>
            <w:tcW w:w="635" w:type="dxa"/>
            <w:tcBorders>
              <w:top w:val="single" w:sz="12" w:space="0" w:color="000000"/>
              <w:left w:val="single" w:sz="4" w:space="0" w:color="000000"/>
              <w:bottom w:val="single" w:sz="4" w:space="0" w:color="000000"/>
              <w:right w:val="single" w:sz="12" w:space="0" w:color="000000"/>
            </w:tcBorders>
            <w:shd w:val="clear" w:color="auto" w:fill="D2D2D2"/>
          </w:tcPr>
          <w:p>
            <w:pPr/>
          </w:p>
        </w:tc>
      </w:tr>
      <w:tr>
        <w:trPr>
          <w:trHeight w:val="2909" w:hRule="exact"/>
        </w:trPr>
        <w:tc>
          <w:tcPr>
            <w:tcW w:w="637"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13" w:right="63"/>
              <w:jc w:val="left"/>
              <w:rPr>
                <w:rFonts w:ascii="宋体" w:hAnsi="宋体" w:cs="宋体" w:eastAsia="宋体" w:hint="default"/>
                <w:sz w:val="18"/>
                <w:szCs w:val="18"/>
              </w:rPr>
            </w:pPr>
            <w:r>
              <w:rPr>
                <w:rFonts w:ascii="宋体" w:hAnsi="宋体" w:cs="宋体" w:eastAsia="宋体" w:hint="default"/>
                <w:sz w:val="18"/>
                <w:szCs w:val="18"/>
              </w:rPr>
              <w:t>广东龙 泉</w:t>
            </w:r>
          </w:p>
        </w:tc>
        <w:tc>
          <w:tcPr>
            <w:tcW w:w="6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2" w:right="65"/>
              <w:jc w:val="both"/>
              <w:rPr>
                <w:rFonts w:ascii="宋体" w:hAnsi="宋体" w:cs="宋体" w:eastAsia="宋体" w:hint="default"/>
                <w:sz w:val="18"/>
                <w:szCs w:val="18"/>
              </w:rPr>
            </w:pPr>
            <w:r>
              <w:rPr>
                <w:rFonts w:ascii="宋体" w:hAnsi="宋体" w:cs="宋体" w:eastAsia="宋体" w:hint="default"/>
                <w:sz w:val="18"/>
                <w:szCs w:val="18"/>
              </w:rPr>
              <w:t>广州开 发区供 水管理 中心</w:t>
            </w:r>
          </w:p>
        </w:tc>
        <w:tc>
          <w:tcPr>
            <w:tcW w:w="638" w:type="dxa"/>
            <w:tcBorders>
              <w:top w:val="single" w:sz="4" w:space="0" w:color="000000"/>
              <w:left w:val="single" w:sz="4" w:space="0" w:color="000000"/>
              <w:bottom w:val="single" w:sz="12" w:space="0" w:color="000000"/>
              <w:right w:val="single" w:sz="4" w:space="0" w:color="000000"/>
            </w:tcBorders>
          </w:tcPr>
          <w:p>
            <w:pPr>
              <w:pStyle w:val="TableParagraph"/>
              <w:spacing w:line="316" w:lineRule="auto" w:before="52"/>
              <w:ind w:left="22" w:right="65"/>
              <w:jc w:val="both"/>
              <w:rPr>
                <w:rFonts w:ascii="宋体" w:hAnsi="宋体" w:cs="宋体" w:eastAsia="宋体" w:hint="default"/>
                <w:sz w:val="18"/>
                <w:szCs w:val="18"/>
              </w:rPr>
            </w:pPr>
            <w:r>
              <w:rPr>
                <w:rFonts w:ascii="宋体" w:hAnsi="宋体" w:cs="宋体" w:eastAsia="宋体" w:hint="default"/>
                <w:sz w:val="18"/>
                <w:szCs w:val="18"/>
              </w:rPr>
              <w:t>广州开 发区供 水管理 中心区 供水调 度管理 系统</w:t>
            </w:r>
          </w:p>
          <w:p>
            <w:pPr>
              <w:pStyle w:val="TableParagraph"/>
              <w:spacing w:line="319" w:lineRule="auto" w:before="19"/>
              <w:ind w:left="22" w:right="245"/>
              <w:jc w:val="left"/>
              <w:rPr>
                <w:rFonts w:ascii="宋体" w:hAnsi="宋体" w:cs="宋体" w:eastAsia="宋体" w:hint="default"/>
                <w:sz w:val="18"/>
                <w:szCs w:val="18"/>
              </w:rPr>
            </w:pPr>
            <w:r>
              <w:rPr>
                <w:rFonts w:ascii="宋体" w:hAnsi="宋体" w:cs="宋体" w:eastAsia="宋体" w:hint="default"/>
                <w:sz w:val="18"/>
                <w:szCs w:val="18"/>
              </w:rPr>
              <w:t>（一 期）</w:t>
            </w:r>
          </w:p>
        </w:tc>
        <w:tc>
          <w:tcPr>
            <w:tcW w:w="6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45"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4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3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
              <w:jc w:val="center"/>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1,530.9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63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
              <w:jc w:val="center"/>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38" w:lineRule="auto"/>
              <w:ind w:left="22" w:right="65"/>
              <w:jc w:val="both"/>
              <w:rPr>
                <w:rFonts w:ascii="Times New Roman" w:hAnsi="Times New Roman" w:cs="Times New Roman" w:eastAsia="Times New Roman" w:hint="default"/>
                <w:sz w:val="18"/>
                <w:szCs w:val="18"/>
              </w:rPr>
            </w:pPr>
            <w:r>
              <w:rPr>
                <w:rFonts w:ascii="宋体" w:hAnsi="宋体" w:cs="宋体" w:eastAsia="宋体" w:hint="default"/>
                <w:sz w:val="18"/>
                <w:szCs w:val="18"/>
              </w:rPr>
              <w:t>已完成 项目的 </w:t>
            </w:r>
            <w:r>
              <w:rPr>
                <w:rFonts w:ascii="Times New Roman" w:hAnsi="Times New Roman" w:cs="Times New Roman" w:eastAsia="Times New Roman" w:hint="default"/>
                <w:sz w:val="18"/>
                <w:szCs w:val="18"/>
              </w:rPr>
              <w:t>60%</w:t>
            </w:r>
          </w:p>
        </w:tc>
        <w:tc>
          <w:tcPr>
            <w:tcW w:w="6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5" w:type="dxa"/>
            <w:tcBorders>
              <w:top w:val="single" w:sz="4" w:space="0" w:color="000000"/>
              <w:left w:val="single" w:sz="4" w:space="0" w:color="000000"/>
              <w:bottom w:val="single" w:sz="12" w:space="0" w:color="000000"/>
              <w:right w:val="single" w:sz="12" w:space="0" w:color="000000"/>
            </w:tcBorders>
          </w:tcPr>
          <w:p>
            <w:pPr>
              <w:pStyle w:val="TableParagraph"/>
              <w:spacing w:line="338" w:lineRule="auto" w:before="52"/>
              <w:ind w:left="22" w:right="5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 讯网 </w:t>
            </w:r>
            <w:r>
              <w:rPr>
                <w:rFonts w:ascii="Times New Roman" w:hAnsi="Times New Roman" w:cs="Times New Roman" w:eastAsia="Times New Roman" w:hint="default"/>
                <w:spacing w:val="-3"/>
                <w:sz w:val="18"/>
                <w:szCs w:val="18"/>
              </w:rPr>
              <w:t>www.c</w:t>
            </w:r>
          </w:p>
          <w:p>
            <w:pPr>
              <w:pStyle w:val="TableParagraph"/>
              <w:spacing w:line="338" w:lineRule="auto" w:before="23"/>
              <w:ind w:left="22" w:right="50"/>
              <w:jc w:val="both"/>
              <w:rPr>
                <w:rFonts w:ascii="宋体" w:hAnsi="宋体" w:cs="宋体" w:eastAsia="宋体" w:hint="default"/>
                <w:sz w:val="18"/>
                <w:szCs w:val="18"/>
              </w:rPr>
            </w:pPr>
            <w:r>
              <w:rPr>
                <w:rFonts w:ascii="Times New Roman" w:hAnsi="Times New Roman" w:cs="Times New Roman" w:eastAsia="Times New Roman" w:hint="default"/>
                <w:sz w:val="18"/>
                <w:szCs w:val="18"/>
              </w:rPr>
              <w:t>ninfo.c</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om.cn,</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公告编</w:t>
            </w:r>
          </w:p>
          <w:p>
            <w:pPr>
              <w:pStyle w:val="TableParagraph"/>
              <w:spacing w:line="240" w:lineRule="auto" w:before="2"/>
              <w:ind w:left="22" w:right="0"/>
              <w:jc w:val="left"/>
              <w:rPr>
                <w:rFonts w:ascii="宋体" w:hAnsi="宋体" w:cs="宋体" w:eastAsia="宋体" w:hint="default"/>
                <w:sz w:val="18"/>
                <w:szCs w:val="18"/>
              </w:rPr>
            </w:pPr>
            <w:r>
              <w:rPr>
                <w:rFonts w:ascii="宋体" w:hAnsi="宋体" w:cs="宋体" w:eastAsia="宋体" w:hint="default"/>
                <w:sz w:val="18"/>
                <w:szCs w:val="18"/>
              </w:rPr>
              <w:t>号为</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2017-0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19</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十七、社会责任情况" w:id="95"/>
      <w:bookmarkEnd w:id="95"/>
      <w:r>
        <w:rPr>
          <w:b w:val="0"/>
          <w:bCs w:val="0"/>
        </w:rPr>
      </w:r>
      <w:r>
        <w:rPr/>
        <w:t>十七、社会责任情况</w:t>
      </w:r>
      <w:r>
        <w:rPr>
          <w:b w:val="0"/>
          <w:bCs w:val="0"/>
        </w:rPr>
      </w:r>
    </w:p>
    <w:p>
      <w:pPr>
        <w:spacing w:line="240" w:lineRule="auto" w:before="8"/>
        <w:rPr>
          <w:rFonts w:ascii="宋体" w:hAnsi="宋体" w:cs="宋体" w:eastAsia="宋体" w:hint="default"/>
          <w:b/>
          <w:bCs/>
          <w:sz w:val="24"/>
          <w:szCs w:val="24"/>
        </w:rPr>
      </w:pPr>
    </w:p>
    <w:p>
      <w:pPr>
        <w:spacing w:line="506" w:lineRule="auto" w:before="0"/>
        <w:ind w:left="1553" w:right="3613" w:hanging="420"/>
        <w:jc w:val="left"/>
        <w:rPr>
          <w:rFonts w:ascii="宋体" w:hAnsi="宋体" w:cs="宋体" w:eastAsia="宋体" w:hint="default"/>
          <w:sz w:val="21"/>
          <w:szCs w:val="21"/>
        </w:rPr>
      </w:pPr>
      <w:bookmarkStart w:name="1、履行社会责任情况" w:id="96"/>
      <w:bookmarkEnd w:id="9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、履行社会责任情况</w:t>
      </w:r>
      <w:r>
        <w:rPr>
          <w:rFonts w:ascii="宋体" w:hAnsi="宋体" w:cs="宋体" w:eastAsia="宋体" w:hint="default"/>
          <w:b/>
          <w:bCs/>
          <w:w w:val="99"/>
          <w:sz w:val="21"/>
          <w:szCs w:val="21"/>
        </w:rPr>
        <w:t> </w:t>
      </w:r>
      <w:r>
        <w:rPr>
          <w:rFonts w:ascii="宋体" w:hAnsi="宋体" w:cs="宋体" w:eastAsia="宋体" w:hint="default"/>
          <w:sz w:val="21"/>
          <w:szCs w:val="21"/>
        </w:rPr>
        <w:t>具体内容请查看公司于在巨潮资讯网刊登的《</w:t>
      </w:r>
      <w:r>
        <w:rPr>
          <w:rFonts w:ascii="Times New Roman" w:hAnsi="Times New Roman" w:cs="Times New Roman" w:eastAsia="Times New Roman" w:hint="default"/>
          <w:sz w:val="21"/>
          <w:szCs w:val="21"/>
        </w:rPr>
        <w:t>2017</w:t>
      </w:r>
      <w:r>
        <w:rPr>
          <w:rFonts w:ascii="宋体" w:hAnsi="宋体" w:cs="宋体" w:eastAsia="宋体" w:hint="default"/>
          <w:sz w:val="21"/>
          <w:szCs w:val="21"/>
        </w:rPr>
        <w:t>年度社会责任报告》。</w:t>
      </w:r>
    </w:p>
    <w:p>
      <w:pPr>
        <w:spacing w:line="506" w:lineRule="auto" w:before="64"/>
        <w:ind w:left="1553" w:right="4243" w:hanging="420"/>
        <w:jc w:val="left"/>
        <w:rPr>
          <w:rFonts w:ascii="宋体" w:hAnsi="宋体" w:cs="宋体" w:eastAsia="宋体" w:hint="default"/>
          <w:sz w:val="21"/>
          <w:szCs w:val="21"/>
        </w:rPr>
      </w:pPr>
      <w:bookmarkStart w:name="2、履行精准扶贫社会责任情况" w:id="97"/>
      <w:bookmarkEnd w:id="97"/>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、履行精准扶贫社会责任情况</w:t>
      </w:r>
      <w:r>
        <w:rPr>
          <w:rFonts w:ascii="宋体" w:hAnsi="宋体" w:cs="宋体" w:eastAsia="宋体" w:hint="default"/>
          <w:b/>
          <w:bCs/>
          <w:w w:val="99"/>
          <w:sz w:val="21"/>
          <w:szCs w:val="21"/>
        </w:rPr>
        <w:t> </w:t>
      </w:r>
      <w:r>
        <w:rPr>
          <w:rFonts w:ascii="宋体" w:hAnsi="宋体" w:cs="宋体" w:eastAsia="宋体" w:hint="default"/>
          <w:sz w:val="21"/>
          <w:szCs w:val="21"/>
        </w:rPr>
        <w:t>公司报告年度暂未开展精准扶贫工作，也暂无后续精准扶贫计划。</w:t>
      </w:r>
    </w:p>
    <w:p>
      <w:pPr>
        <w:pStyle w:val="Heading4"/>
        <w:spacing w:line="240" w:lineRule="auto" w:before="105"/>
        <w:ind w:right="0"/>
        <w:jc w:val="left"/>
        <w:rPr>
          <w:b w:val="0"/>
          <w:bCs w:val="0"/>
        </w:rPr>
      </w:pPr>
      <w:bookmarkStart w:name="3、环境保护相关的情况" w:id="98"/>
      <w:bookmarkEnd w:id="98"/>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8"/>
        <w:rPr>
          <w:rFonts w:ascii="宋体" w:hAnsi="宋体" w:cs="宋体" w:eastAsia="宋体" w:hint="default"/>
          <w:b/>
          <w:bCs/>
          <w:sz w:val="26"/>
          <w:szCs w:val="26"/>
        </w:rPr>
      </w:pPr>
    </w:p>
    <w:p>
      <w:pPr>
        <w:spacing w:line="357" w:lineRule="auto" w:before="0"/>
        <w:ind w:left="1134" w:right="5712"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上市公司及其子公司是否属于环境保护部门公布的重点排污单位 不适用</w:t>
      </w:r>
    </w:p>
    <w:p>
      <w:pPr>
        <w:pStyle w:val="BodyText"/>
        <w:spacing w:line="408" w:lineRule="auto" w:before="79"/>
        <w:ind w:left="1134" w:right="0" w:firstLine="420"/>
        <w:jc w:val="left"/>
      </w:pPr>
      <w:r>
        <w:rPr>
          <w:spacing w:val="-1"/>
        </w:rPr>
        <w:t>公司及其子公司在日常生产经营中认真执行环保方面的法律法规，报告期内未出现因违法违规而受到</w:t>
      </w:r>
      <w:r>
        <w:rPr/>
        <w:t> 处罚的情况。</w:t>
      </w:r>
    </w:p>
    <w:p>
      <w:pPr>
        <w:spacing w:line="240" w:lineRule="auto" w:before="11"/>
        <w:rPr>
          <w:rFonts w:ascii="宋体" w:hAnsi="宋体" w:cs="宋体" w:eastAsia="宋体" w:hint="default"/>
          <w:sz w:val="18"/>
          <w:szCs w:val="18"/>
        </w:rPr>
      </w:pPr>
    </w:p>
    <w:p>
      <w:pPr>
        <w:pStyle w:val="Heading2"/>
        <w:spacing w:line="240" w:lineRule="auto"/>
        <w:ind w:left="1134" w:right="0"/>
        <w:jc w:val="left"/>
        <w:rPr>
          <w:b w:val="0"/>
          <w:bCs w:val="0"/>
        </w:rPr>
      </w:pPr>
      <w:bookmarkStart w:name="十八、其他重大事项的说明" w:id="99"/>
      <w:bookmarkEnd w:id="99"/>
      <w:r>
        <w:rPr>
          <w:b w:val="0"/>
          <w:bCs w:val="0"/>
        </w:rPr>
      </w:r>
      <w:r>
        <w:rPr/>
        <w:t>十八、其他重大事项的说明</w:t>
      </w:r>
      <w:r>
        <w:rPr>
          <w:b w:val="0"/>
          <w:bCs w:val="0"/>
        </w:rPr>
      </w:r>
    </w:p>
    <w:p>
      <w:pPr>
        <w:spacing w:line="240" w:lineRule="auto" w:before="7"/>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08" w:lineRule="auto" w:before="155"/>
        <w:ind w:left="1553" w:right="1116"/>
        <w:jc w:val="left"/>
      </w:pPr>
      <w:r>
        <w:rPr>
          <w:rFonts w:ascii="宋体" w:hAnsi="宋体" w:cs="宋体" w:eastAsia="宋体" w:hint="default"/>
        </w:rPr>
        <w:t>1</w:t>
      </w:r>
      <w:r>
        <w:rPr/>
        <w:t>、入选“2017</w:t>
      </w:r>
      <w:r>
        <w:rPr>
          <w:spacing w:val="-53"/>
        </w:rPr>
        <w:t> </w:t>
      </w:r>
      <w:r>
        <w:rPr/>
        <w:t>年新一代信息基础设施建设工程和‘互联网+’重大工程项目”</w:t>
      </w:r>
      <w:r>
        <w:rPr/>
        <w:t> 公司作为以传感器为核心领先的物联网上市公司，积极参与了国家发改委组织实施的 </w:t>
      </w:r>
      <w:r>
        <w:rPr>
          <w:rFonts w:ascii="宋体" w:hAnsi="宋体" w:cs="宋体" w:eastAsia="宋体" w:hint="default"/>
        </w:rPr>
        <w:t>2017</w:t>
      </w:r>
      <w:r>
        <w:rPr>
          <w:rFonts w:ascii="宋体" w:hAnsi="宋体" w:cs="宋体" w:eastAsia="宋体" w:hint="default"/>
          <w:spacing w:val="-23"/>
        </w:rPr>
        <w:t> </w:t>
      </w:r>
      <w:r>
        <w:rPr/>
        <w:t>年新一代</w:t>
      </w:r>
    </w:p>
    <w:p>
      <w:pPr>
        <w:pStyle w:val="BodyText"/>
        <w:spacing w:line="408" w:lineRule="auto"/>
        <w:ind w:right="0"/>
        <w:jc w:val="left"/>
      </w:pPr>
      <w:r>
        <w:rPr/>
        <w:t>信息基础设施建设工程和“互联网+”重大工程项目的申报工作。报告期内，公司收到了《国家发展改革</w:t>
      </w:r>
      <w:r>
        <w:rPr>
          <w:spacing w:val="-33"/>
        </w:rPr>
        <w:t> </w:t>
      </w:r>
      <w:r>
        <w:rPr>
          <w:spacing w:val="-33"/>
        </w:rPr>
      </w:r>
      <w:r>
        <w:rPr>
          <w:spacing w:val="3"/>
        </w:rPr>
        <w:t>委办公厅关于</w:t>
      </w:r>
      <w:r>
        <w:rPr/>
        <w:t> </w:t>
      </w:r>
      <w:r>
        <w:rPr>
          <w:rFonts w:ascii="宋体" w:hAnsi="宋体" w:cs="宋体" w:eastAsia="宋体" w:hint="default"/>
        </w:rPr>
        <w:t>2017</w:t>
      </w:r>
      <w:r>
        <w:rPr>
          <w:rFonts w:ascii="宋体" w:hAnsi="宋体" w:cs="宋体" w:eastAsia="宋体" w:hint="default"/>
          <w:spacing w:val="41"/>
        </w:rPr>
        <w:t> </w:t>
      </w:r>
      <w:r>
        <w:rPr/>
        <w:t>年新一代信息基础设施建设工程和“互联网+”重大工程项目的复函》（发改办高技</w:t>
      </w:r>
    </w:p>
    <w:p>
      <w:pPr>
        <w:pStyle w:val="BodyText"/>
        <w:spacing w:line="408" w:lineRule="auto"/>
        <w:ind w:right="1121"/>
        <w:jc w:val="left"/>
      </w:pPr>
      <w:r>
        <w:rPr>
          <w:spacing w:val="-1"/>
        </w:rPr>
        <w:t>〔</w:t>
      </w:r>
      <w:r>
        <w:rPr>
          <w:rFonts w:ascii="宋体" w:hAnsi="宋体" w:cs="宋体" w:eastAsia="宋体" w:hint="default"/>
          <w:spacing w:val="-1"/>
        </w:rPr>
        <w:t>2017</w:t>
      </w:r>
      <w:r>
        <w:rPr>
          <w:spacing w:val="-1"/>
        </w:rPr>
        <w:t>〕</w:t>
      </w:r>
      <w:r>
        <w:rPr>
          <w:rFonts w:ascii="宋体" w:hAnsi="宋体" w:cs="宋体" w:eastAsia="宋体" w:hint="default"/>
          <w:spacing w:val="-1"/>
        </w:rPr>
        <w:t>425</w:t>
      </w:r>
      <w:r>
        <w:rPr>
          <w:rFonts w:ascii="宋体" w:hAnsi="宋体" w:cs="宋体" w:eastAsia="宋体" w:hint="default"/>
          <w:spacing w:val="-40"/>
        </w:rPr>
        <w:t> </w:t>
      </w:r>
      <w:r>
        <w:rPr>
          <w:spacing w:val="-3"/>
        </w:rPr>
        <w:t>号），公司申报的“基于智能传感的城市综合管理云平台项目”成功入选国家发改委</w:t>
      </w:r>
      <w:r>
        <w:rPr>
          <w:spacing w:val="-39"/>
        </w:rPr>
        <w:t> </w:t>
      </w:r>
      <w:r>
        <w:rPr>
          <w:rFonts w:ascii="宋体" w:hAnsi="宋体" w:cs="宋体" w:eastAsia="宋体" w:hint="default"/>
        </w:rPr>
        <w:t>2017</w:t>
      </w:r>
      <w:r>
        <w:rPr>
          <w:rFonts w:ascii="宋体" w:hAnsi="宋体" w:cs="宋体" w:eastAsia="宋体" w:hint="default"/>
          <w:spacing w:val="-39"/>
        </w:rPr>
        <w:t> </w:t>
      </w:r>
      <w:r>
        <w:rPr/>
        <w:t>年 新一代信息基础设施建设工程和“互联网+”重大工程项目。未来该项目的顺利实施，将进一步完善公司</w:t>
      </w:r>
    </w:p>
    <w:p>
      <w:pPr>
        <w:spacing w:after="0" w:line="408"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right="1121"/>
        <w:jc w:val="left"/>
      </w:pPr>
      <w:r>
        <w:rPr/>
        <w:t>基于物联网行业应用的云平台服务能力，增强公司的核心竞争力。具体信息请查阅公司于</w:t>
      </w:r>
      <w:r>
        <w:rPr>
          <w:spacing w:val="-46"/>
        </w:rPr>
        <w:t> </w:t>
      </w:r>
      <w:r>
        <w:rPr>
          <w:rFonts w:ascii="宋体" w:hAnsi="宋体" w:cs="宋体" w:eastAsia="宋体" w:hint="default"/>
        </w:rPr>
        <w:t>2017</w:t>
      </w:r>
      <w:r>
        <w:rPr>
          <w:rFonts w:ascii="宋体" w:hAnsi="宋体" w:cs="宋体" w:eastAsia="宋体" w:hint="default"/>
          <w:spacing w:val="-48"/>
        </w:rPr>
        <w:t> </w:t>
      </w:r>
      <w:r>
        <w:rPr/>
        <w:t>年</w:t>
      </w:r>
      <w:r>
        <w:rPr>
          <w:spacing w:val="-49"/>
        </w:rPr>
        <w:t> </w:t>
      </w:r>
      <w:r>
        <w:rPr>
          <w:rFonts w:ascii="宋体" w:hAnsi="宋体" w:cs="宋体" w:eastAsia="宋体" w:hint="default"/>
        </w:rPr>
        <w:t>4</w:t>
      </w:r>
      <w:r>
        <w:rPr>
          <w:rFonts w:ascii="宋体" w:hAnsi="宋体" w:cs="宋体" w:eastAsia="宋体" w:hint="default"/>
          <w:spacing w:val="-47"/>
        </w:rPr>
        <w:t> </w:t>
      </w:r>
      <w:r>
        <w:rPr/>
        <w:t>月</w:t>
      </w:r>
      <w:r>
        <w:rPr>
          <w:spacing w:val="-48"/>
        </w:rPr>
        <w:t> </w:t>
      </w:r>
      <w:r>
        <w:rPr>
          <w:rFonts w:ascii="宋体" w:hAnsi="宋体" w:cs="宋体" w:eastAsia="宋体" w:hint="default"/>
        </w:rPr>
        <w:t>27</w:t>
      </w:r>
      <w:r>
        <w:rPr>
          <w:rFonts w:ascii="宋体" w:hAnsi="宋体" w:cs="宋体" w:eastAsia="宋体" w:hint="default"/>
          <w:spacing w:val="-1"/>
        </w:rPr>
        <w:t> </w:t>
      </w:r>
      <w:r>
        <w:rPr/>
        <w:t>日在巨潮资讯网刊登的公告。</w:t>
      </w:r>
    </w:p>
    <w:p>
      <w:pPr>
        <w:pStyle w:val="BodyText"/>
        <w:spacing w:line="240" w:lineRule="auto"/>
        <w:ind w:left="1553" w:right="0"/>
        <w:jc w:val="left"/>
      </w:pPr>
      <w:r>
        <w:rPr>
          <w:rFonts w:ascii="宋体" w:hAnsi="宋体" w:cs="宋体" w:eastAsia="宋体" w:hint="default"/>
        </w:rPr>
        <w:t>2</w:t>
      </w:r>
      <w:r>
        <w:rPr/>
        <w:t>、使用自有资金继续投资北京威果</w:t>
      </w:r>
    </w:p>
    <w:p>
      <w:pPr>
        <w:spacing w:line="240" w:lineRule="auto" w:before="10"/>
        <w:rPr>
          <w:rFonts w:ascii="宋体" w:hAnsi="宋体" w:cs="宋体" w:eastAsia="宋体" w:hint="default"/>
          <w:sz w:val="14"/>
          <w:szCs w:val="14"/>
        </w:rPr>
      </w:pPr>
    </w:p>
    <w:p>
      <w:pPr>
        <w:pStyle w:val="BodyText"/>
        <w:spacing w:line="408" w:lineRule="auto" w:before="0"/>
        <w:ind w:right="1130" w:firstLine="420"/>
        <w:jc w:val="both"/>
      </w:pPr>
      <w:r>
        <w:rPr>
          <w:rFonts w:ascii="宋体" w:hAnsi="宋体" w:cs="宋体" w:eastAsia="宋体" w:hint="default"/>
        </w:rPr>
        <w:t>2017</w:t>
      </w:r>
      <w:r>
        <w:rPr>
          <w:rFonts w:ascii="宋体" w:hAnsi="宋体" w:cs="宋体" w:eastAsia="宋体" w:hint="default"/>
          <w:spacing w:val="-46"/>
        </w:rPr>
        <w:t> </w:t>
      </w:r>
      <w:r>
        <w:rPr/>
        <w:t>年</w:t>
      </w:r>
      <w:r>
        <w:rPr>
          <w:spacing w:val="-49"/>
        </w:rPr>
        <w:t> </w:t>
      </w:r>
      <w:r>
        <w:rPr>
          <w:rFonts w:ascii="宋体" w:hAnsi="宋体" w:cs="宋体" w:eastAsia="宋体" w:hint="default"/>
        </w:rPr>
        <w:t>4</w:t>
      </w:r>
      <w:r>
        <w:rPr>
          <w:rFonts w:ascii="宋体" w:hAnsi="宋体" w:cs="宋体" w:eastAsia="宋体" w:hint="default"/>
          <w:spacing w:val="-47"/>
        </w:rPr>
        <w:t> </w:t>
      </w:r>
      <w:r>
        <w:rPr/>
        <w:t>月</w:t>
      </w:r>
      <w:r>
        <w:rPr>
          <w:spacing w:val="-49"/>
        </w:rPr>
        <w:t> </w:t>
      </w:r>
      <w:r>
        <w:rPr>
          <w:rFonts w:ascii="宋体" w:hAnsi="宋体" w:cs="宋体" w:eastAsia="宋体" w:hint="default"/>
        </w:rPr>
        <w:t>24</w:t>
      </w:r>
      <w:r>
        <w:rPr>
          <w:rFonts w:ascii="宋体" w:hAnsi="宋体" w:cs="宋体" w:eastAsia="宋体" w:hint="default"/>
          <w:spacing w:val="-47"/>
        </w:rPr>
        <w:t> </w:t>
      </w:r>
      <w:r>
        <w:rPr/>
        <w:t>日，公司第四届董事会第五次会议审议通过了《关于使用自有资金继续投资北京威果 </w:t>
      </w:r>
      <w:r>
        <w:rPr>
          <w:spacing w:val="-1"/>
        </w:rPr>
        <w:t>智能科技有限公司的议案》，同意公司使用自有资金与控股子公司北京威果原股东共同对北京威果进行增</w:t>
      </w:r>
      <w:r>
        <w:rPr>
          <w:spacing w:val="-85"/>
        </w:rPr>
        <w:t> </w:t>
      </w:r>
      <w:r>
        <w:rPr>
          <w:spacing w:val="-85"/>
        </w:rPr>
      </w:r>
      <w:r>
        <w:rPr>
          <w:spacing w:val="-1"/>
        </w:rPr>
        <w:t>资。截至本报告披露日，北京威果完成了相应的工商变更并收到了工商登记机关核发的营业执照。具体信</w:t>
      </w:r>
      <w:r>
        <w:rPr>
          <w:spacing w:val="-83"/>
        </w:rPr>
        <w:t> </w:t>
      </w:r>
      <w:r>
        <w:rPr>
          <w:spacing w:val="-83"/>
        </w:rPr>
      </w:r>
      <w:r>
        <w:rPr/>
        <w:t>息请查阅公司于</w:t>
      </w:r>
      <w:r>
        <w:rPr>
          <w:spacing w:val="-53"/>
        </w:rPr>
        <w:t> </w:t>
      </w:r>
      <w:r>
        <w:rPr>
          <w:rFonts w:ascii="宋体" w:hAnsi="宋体" w:cs="宋体" w:eastAsia="宋体" w:hint="default"/>
        </w:rPr>
        <w:t>2017</w:t>
      </w:r>
      <w:r>
        <w:rPr>
          <w:rFonts w:ascii="宋体" w:hAnsi="宋体" w:cs="宋体" w:eastAsia="宋体" w:hint="default"/>
          <w:spacing w:val="-54"/>
        </w:rPr>
        <w:t> </w:t>
      </w:r>
      <w:r>
        <w:rPr/>
        <w:t>年</w:t>
      </w:r>
      <w:r>
        <w:rPr>
          <w:spacing w:val="-55"/>
        </w:rPr>
        <w:t> </w:t>
      </w:r>
      <w:r>
        <w:rPr>
          <w:rFonts w:ascii="宋体" w:hAnsi="宋体" w:cs="宋体" w:eastAsia="宋体" w:hint="default"/>
        </w:rPr>
        <w:t>4</w:t>
      </w:r>
      <w:r>
        <w:rPr>
          <w:rFonts w:ascii="宋体" w:hAnsi="宋体" w:cs="宋体" w:eastAsia="宋体" w:hint="default"/>
          <w:spacing w:val="-53"/>
        </w:rPr>
        <w:t> </w:t>
      </w:r>
      <w:r>
        <w:rPr/>
        <w:t>月</w:t>
      </w:r>
      <w:r>
        <w:rPr>
          <w:spacing w:val="-55"/>
        </w:rPr>
        <w:t> </w:t>
      </w:r>
      <w:r>
        <w:rPr>
          <w:rFonts w:ascii="宋体" w:hAnsi="宋体" w:cs="宋体" w:eastAsia="宋体" w:hint="default"/>
        </w:rPr>
        <w:t>25</w:t>
      </w:r>
      <w:r>
        <w:rPr>
          <w:rFonts w:ascii="宋体" w:hAnsi="宋体" w:cs="宋体" w:eastAsia="宋体" w:hint="default"/>
          <w:spacing w:val="-53"/>
        </w:rPr>
        <w:t> </w:t>
      </w:r>
      <w:r>
        <w:rPr/>
        <w:t>日、</w:t>
      </w:r>
      <w:r>
        <w:rPr>
          <w:rFonts w:ascii="宋体" w:hAnsi="宋体" w:cs="宋体" w:eastAsia="宋体" w:hint="default"/>
        </w:rPr>
        <w:t>7</w:t>
      </w:r>
      <w:r>
        <w:rPr>
          <w:rFonts w:ascii="宋体" w:hAnsi="宋体" w:cs="宋体" w:eastAsia="宋体" w:hint="default"/>
          <w:spacing w:val="-53"/>
        </w:rPr>
        <w:t> </w:t>
      </w:r>
      <w:r>
        <w:rPr/>
        <w:t>月</w:t>
      </w:r>
      <w:r>
        <w:rPr>
          <w:spacing w:val="-54"/>
        </w:rPr>
        <w:t> </w:t>
      </w:r>
      <w:r>
        <w:rPr>
          <w:rFonts w:ascii="宋体" w:hAnsi="宋体" w:cs="宋体" w:eastAsia="宋体" w:hint="default"/>
        </w:rPr>
        <w:t>11</w:t>
      </w:r>
      <w:r>
        <w:rPr>
          <w:rFonts w:ascii="宋体" w:hAnsi="宋体" w:cs="宋体" w:eastAsia="宋体" w:hint="default"/>
          <w:spacing w:val="-53"/>
        </w:rPr>
        <w:t> </w:t>
      </w:r>
      <w:r>
        <w:rPr/>
        <w:t>日在巨潮资讯网刊登的公告。</w:t>
      </w:r>
    </w:p>
    <w:p>
      <w:pPr>
        <w:pStyle w:val="BodyText"/>
        <w:spacing w:line="240" w:lineRule="auto"/>
        <w:ind w:left="1553" w:right="0"/>
        <w:jc w:val="left"/>
      </w:pPr>
      <w:r>
        <w:rPr>
          <w:rFonts w:ascii="宋体" w:hAnsi="宋体" w:cs="宋体" w:eastAsia="宋体" w:hint="default"/>
        </w:rPr>
        <w:t>3</w:t>
      </w:r>
      <w:r>
        <w:rPr/>
        <w:t>、变更公司名称及证券简称</w:t>
      </w:r>
    </w:p>
    <w:p>
      <w:pPr>
        <w:spacing w:line="240" w:lineRule="auto" w:before="10"/>
        <w:rPr>
          <w:rFonts w:ascii="宋体" w:hAnsi="宋体" w:cs="宋体" w:eastAsia="宋体" w:hint="default"/>
          <w:sz w:val="14"/>
          <w:szCs w:val="14"/>
        </w:rPr>
      </w:pPr>
    </w:p>
    <w:p>
      <w:pPr>
        <w:pStyle w:val="BodyText"/>
        <w:spacing w:line="408" w:lineRule="auto" w:before="0"/>
        <w:ind w:right="1130" w:firstLine="420"/>
        <w:jc w:val="both"/>
      </w:pPr>
      <w:r>
        <w:rPr>
          <w:rFonts w:ascii="宋体" w:hAnsi="宋体" w:cs="宋体" w:eastAsia="宋体" w:hint="default"/>
        </w:rPr>
        <w:t>2017</w:t>
      </w:r>
      <w:r>
        <w:rPr>
          <w:rFonts w:ascii="宋体" w:hAnsi="宋体" w:cs="宋体" w:eastAsia="宋体" w:hint="default"/>
          <w:spacing w:val="-50"/>
        </w:rPr>
        <w:t> </w:t>
      </w:r>
      <w:r>
        <w:rPr/>
        <w:t>年</w:t>
      </w:r>
      <w:r>
        <w:rPr>
          <w:spacing w:val="-51"/>
        </w:rPr>
        <w:t> </w:t>
      </w:r>
      <w:r>
        <w:rPr>
          <w:rFonts w:ascii="宋体" w:hAnsi="宋体" w:cs="宋体" w:eastAsia="宋体" w:hint="default"/>
        </w:rPr>
        <w:t>5</w:t>
      </w:r>
      <w:r>
        <w:rPr>
          <w:rFonts w:ascii="宋体" w:hAnsi="宋体" w:cs="宋体" w:eastAsia="宋体" w:hint="default"/>
          <w:spacing w:val="-49"/>
        </w:rPr>
        <w:t> </w:t>
      </w:r>
      <w:r>
        <w:rPr/>
        <w:t>月</w:t>
      </w:r>
      <w:r>
        <w:rPr>
          <w:spacing w:val="-51"/>
        </w:rPr>
        <w:t> </w:t>
      </w:r>
      <w:r>
        <w:rPr>
          <w:rFonts w:ascii="宋体" w:hAnsi="宋体" w:cs="宋体" w:eastAsia="宋体" w:hint="default"/>
        </w:rPr>
        <w:t>15</w:t>
      </w:r>
      <w:r>
        <w:rPr>
          <w:rFonts w:ascii="宋体" w:hAnsi="宋体" w:cs="宋体" w:eastAsia="宋体" w:hint="default"/>
          <w:spacing w:val="-49"/>
        </w:rPr>
        <w:t> </w:t>
      </w:r>
      <w:r>
        <w:rPr/>
        <w:t>日、</w:t>
      </w:r>
      <w:r>
        <w:rPr>
          <w:rFonts w:ascii="宋体" w:hAnsi="宋体" w:cs="宋体" w:eastAsia="宋体" w:hint="default"/>
        </w:rPr>
        <w:t>6</w:t>
      </w:r>
      <w:r>
        <w:rPr>
          <w:rFonts w:ascii="宋体" w:hAnsi="宋体" w:cs="宋体" w:eastAsia="宋体" w:hint="default"/>
          <w:spacing w:val="-51"/>
        </w:rPr>
        <w:t> </w:t>
      </w:r>
      <w:r>
        <w:rPr/>
        <w:t>月</w:t>
      </w:r>
      <w:r>
        <w:rPr>
          <w:spacing w:val="-51"/>
        </w:rPr>
        <w:t> </w:t>
      </w:r>
      <w:r>
        <w:rPr>
          <w:rFonts w:ascii="宋体" w:hAnsi="宋体" w:cs="宋体" w:eastAsia="宋体" w:hint="default"/>
        </w:rPr>
        <w:t>9</w:t>
      </w:r>
      <w:r>
        <w:rPr>
          <w:rFonts w:ascii="宋体" w:hAnsi="宋体" w:cs="宋体" w:eastAsia="宋体" w:hint="default"/>
          <w:spacing w:val="-49"/>
        </w:rPr>
        <w:t> </w:t>
      </w:r>
      <w:r>
        <w:rPr/>
        <w:t>日，公司第四届董事会第六次会议、</w:t>
      </w:r>
      <w:r>
        <w:rPr>
          <w:rFonts w:ascii="宋体" w:hAnsi="宋体" w:cs="宋体" w:eastAsia="宋体" w:hint="default"/>
        </w:rPr>
        <w:t>2016</w:t>
      </w:r>
      <w:r>
        <w:rPr>
          <w:rFonts w:ascii="宋体" w:hAnsi="宋体" w:cs="宋体" w:eastAsia="宋体" w:hint="default"/>
          <w:spacing w:val="-49"/>
        </w:rPr>
        <w:t> </w:t>
      </w:r>
      <w:r>
        <w:rPr/>
        <w:t>年年度股东大会审议通过了《关 </w:t>
      </w:r>
      <w:r>
        <w:rPr>
          <w:spacing w:val="-1"/>
        </w:rPr>
        <w:t>于变更公司名称、证券简称的议案》，同意对公司名称、证券简称进行变更。经公司申请，并经深圳证券</w:t>
      </w:r>
      <w:r>
        <w:rPr>
          <w:spacing w:val="-94"/>
        </w:rPr>
        <w:t> </w:t>
      </w:r>
      <w:r>
        <w:rPr>
          <w:spacing w:val="-94"/>
        </w:rPr>
      </w:r>
      <w:r>
        <w:rPr/>
        <w:t>交易所核准，自</w:t>
      </w:r>
      <w:r>
        <w:rPr>
          <w:spacing w:val="-40"/>
        </w:rPr>
        <w:t> </w:t>
      </w:r>
      <w:r>
        <w:rPr>
          <w:rFonts w:ascii="宋体" w:hAnsi="宋体" w:cs="宋体" w:eastAsia="宋体" w:hint="default"/>
        </w:rPr>
        <w:t>2017</w:t>
      </w:r>
      <w:r>
        <w:rPr>
          <w:rFonts w:ascii="宋体" w:hAnsi="宋体" w:cs="宋体" w:eastAsia="宋体" w:hint="default"/>
          <w:spacing w:val="-41"/>
        </w:rPr>
        <w:t> </w:t>
      </w:r>
      <w:r>
        <w:rPr/>
        <w:t>年</w:t>
      </w:r>
      <w:r>
        <w:rPr>
          <w:spacing w:val="-40"/>
        </w:rPr>
        <w:t> </w:t>
      </w:r>
      <w:r>
        <w:rPr>
          <w:rFonts w:ascii="宋体" w:hAnsi="宋体" w:cs="宋体" w:eastAsia="宋体" w:hint="default"/>
        </w:rPr>
        <w:t>7</w:t>
      </w:r>
      <w:r>
        <w:rPr>
          <w:rFonts w:ascii="宋体" w:hAnsi="宋体" w:cs="宋体" w:eastAsia="宋体" w:hint="default"/>
          <w:spacing w:val="-40"/>
        </w:rPr>
        <w:t> </w:t>
      </w:r>
      <w:r>
        <w:rPr/>
        <w:t>月</w:t>
      </w:r>
      <w:r>
        <w:rPr>
          <w:spacing w:val="-40"/>
        </w:rPr>
        <w:t> </w:t>
      </w:r>
      <w:r>
        <w:rPr>
          <w:rFonts w:ascii="宋体" w:hAnsi="宋体" w:cs="宋体" w:eastAsia="宋体" w:hint="default"/>
        </w:rPr>
        <w:t>7</w:t>
      </w:r>
      <w:r>
        <w:rPr>
          <w:rFonts w:ascii="宋体" w:hAnsi="宋体" w:cs="宋体" w:eastAsia="宋体" w:hint="default"/>
          <w:spacing w:val="-40"/>
        </w:rPr>
        <w:t> </w:t>
      </w:r>
      <w:r>
        <w:rPr/>
        <w:t>日起，公司证券简称由“汉威电子”变更为“汉威科技”，公司证券代码 </w:t>
      </w:r>
      <w:r>
        <w:rPr>
          <w:spacing w:val="-1"/>
        </w:rPr>
        <w:t>不变，仍为“300007”，同时公司完成了企业集团的申请及相关工商变更登记手续，取得了由工商登记机</w:t>
      </w:r>
      <w:r>
        <w:rPr>
          <w:spacing w:val="-81"/>
        </w:rPr>
        <w:t> </w:t>
      </w:r>
      <w:r>
        <w:rPr>
          <w:spacing w:val="-81"/>
        </w:rPr>
      </w:r>
      <w:r>
        <w:rPr>
          <w:spacing w:val="-1"/>
        </w:rPr>
        <w:t>关颁发的《企业集团登记证》。本次更名的目的是为了更加贴切目前公司的主营业务及发展战略，使投资</w:t>
      </w:r>
      <w:r>
        <w:rPr>
          <w:spacing w:val="-94"/>
        </w:rPr>
        <w:t> </w:t>
      </w:r>
      <w:r>
        <w:rPr>
          <w:spacing w:val="-94"/>
        </w:rPr>
      </w:r>
      <w:r>
        <w:rPr>
          <w:spacing w:val="-1"/>
        </w:rPr>
        <w:t>者更加了解公司的发展情况，同时也为了使公司名称能够准确体现公司当前业务和发展战略。具体信息请</w:t>
      </w:r>
      <w:r>
        <w:rPr>
          <w:spacing w:val="-81"/>
        </w:rPr>
        <w:t> </w:t>
      </w:r>
      <w:r>
        <w:rPr>
          <w:spacing w:val="-81"/>
        </w:rPr>
      </w:r>
      <w:r>
        <w:rPr/>
        <w:t>查阅公司于</w:t>
      </w:r>
      <w:r>
        <w:rPr>
          <w:spacing w:val="-53"/>
        </w:rPr>
        <w:t> </w:t>
      </w:r>
      <w:r>
        <w:rPr>
          <w:rFonts w:ascii="宋体" w:hAnsi="宋体" w:cs="宋体" w:eastAsia="宋体" w:hint="default"/>
        </w:rPr>
        <w:t>2017</w:t>
      </w:r>
      <w:r>
        <w:rPr>
          <w:rFonts w:ascii="宋体" w:hAnsi="宋体" w:cs="宋体" w:eastAsia="宋体" w:hint="default"/>
          <w:spacing w:val="-54"/>
        </w:rPr>
        <w:t> </w:t>
      </w:r>
      <w:r>
        <w:rPr/>
        <w:t>年</w:t>
      </w:r>
      <w:r>
        <w:rPr>
          <w:spacing w:val="-55"/>
        </w:rPr>
        <w:t> </w:t>
      </w:r>
      <w:r>
        <w:rPr>
          <w:rFonts w:ascii="宋体" w:hAnsi="宋体" w:cs="宋体" w:eastAsia="宋体" w:hint="default"/>
        </w:rPr>
        <w:t>5</w:t>
      </w:r>
      <w:r>
        <w:rPr>
          <w:rFonts w:ascii="宋体" w:hAnsi="宋体" w:cs="宋体" w:eastAsia="宋体" w:hint="default"/>
          <w:spacing w:val="-53"/>
        </w:rPr>
        <w:t> </w:t>
      </w:r>
      <w:r>
        <w:rPr/>
        <w:t>月</w:t>
      </w:r>
      <w:r>
        <w:rPr>
          <w:spacing w:val="-55"/>
        </w:rPr>
        <w:t> </w:t>
      </w:r>
      <w:r>
        <w:rPr>
          <w:rFonts w:ascii="宋体" w:hAnsi="宋体" w:cs="宋体" w:eastAsia="宋体" w:hint="default"/>
        </w:rPr>
        <w:t>16</w:t>
      </w:r>
      <w:r>
        <w:rPr>
          <w:rFonts w:ascii="宋体" w:hAnsi="宋体" w:cs="宋体" w:eastAsia="宋体" w:hint="default"/>
          <w:spacing w:val="-53"/>
        </w:rPr>
        <w:t> </w:t>
      </w:r>
      <w:r>
        <w:rPr/>
        <w:t>日、</w:t>
      </w:r>
      <w:r>
        <w:rPr>
          <w:rFonts w:ascii="宋体" w:hAnsi="宋体" w:cs="宋体" w:eastAsia="宋体" w:hint="default"/>
        </w:rPr>
        <w:t>6</w:t>
      </w:r>
      <w:r>
        <w:rPr>
          <w:rFonts w:ascii="宋体" w:hAnsi="宋体" w:cs="宋体" w:eastAsia="宋体" w:hint="default"/>
          <w:spacing w:val="-53"/>
        </w:rPr>
        <w:t> </w:t>
      </w:r>
      <w:r>
        <w:rPr/>
        <w:t>月</w:t>
      </w:r>
      <w:r>
        <w:rPr>
          <w:spacing w:val="-55"/>
        </w:rPr>
        <w:t> </w:t>
      </w:r>
      <w:r>
        <w:rPr>
          <w:rFonts w:ascii="宋体" w:hAnsi="宋体" w:cs="宋体" w:eastAsia="宋体" w:hint="default"/>
        </w:rPr>
        <w:t>9</w:t>
      </w:r>
      <w:r>
        <w:rPr>
          <w:rFonts w:ascii="宋体" w:hAnsi="宋体" w:cs="宋体" w:eastAsia="宋体" w:hint="default"/>
          <w:spacing w:val="-54"/>
        </w:rPr>
        <w:t> </w:t>
      </w:r>
      <w:r>
        <w:rPr/>
        <w:t>日、</w:t>
      </w:r>
      <w:r>
        <w:rPr>
          <w:rFonts w:ascii="宋体" w:hAnsi="宋体" w:cs="宋体" w:eastAsia="宋体" w:hint="default"/>
        </w:rPr>
        <w:t>7</w:t>
      </w:r>
      <w:r>
        <w:rPr>
          <w:rFonts w:ascii="宋体" w:hAnsi="宋体" w:cs="宋体" w:eastAsia="宋体" w:hint="default"/>
          <w:spacing w:val="-53"/>
        </w:rPr>
        <w:t> </w:t>
      </w:r>
      <w:r>
        <w:rPr/>
        <w:t>月</w:t>
      </w:r>
      <w:r>
        <w:rPr>
          <w:spacing w:val="-55"/>
        </w:rPr>
        <w:t> </w:t>
      </w:r>
      <w:r>
        <w:rPr>
          <w:rFonts w:ascii="宋体" w:hAnsi="宋体" w:cs="宋体" w:eastAsia="宋体" w:hint="default"/>
        </w:rPr>
        <w:t>6</w:t>
      </w:r>
      <w:r>
        <w:rPr>
          <w:rFonts w:ascii="宋体" w:hAnsi="宋体" w:cs="宋体" w:eastAsia="宋体" w:hint="default"/>
          <w:spacing w:val="-53"/>
        </w:rPr>
        <w:t> </w:t>
      </w:r>
      <w:r>
        <w:rPr/>
        <w:t>日在巨潮资讯网刊登的公告。</w:t>
      </w:r>
    </w:p>
    <w:p>
      <w:pPr>
        <w:pStyle w:val="BodyText"/>
        <w:spacing w:line="240" w:lineRule="auto"/>
        <w:ind w:left="1554" w:right="0"/>
        <w:jc w:val="left"/>
      </w:pPr>
      <w:r>
        <w:rPr>
          <w:rFonts w:ascii="宋体" w:hAnsi="宋体" w:cs="宋体" w:eastAsia="宋体" w:hint="default"/>
        </w:rPr>
        <w:t>4</w:t>
      </w:r>
      <w:r>
        <w:rPr/>
        <w:t>、收购雪城软件少数股权</w:t>
      </w:r>
    </w:p>
    <w:p>
      <w:pPr>
        <w:spacing w:line="240" w:lineRule="auto" w:before="10"/>
        <w:rPr>
          <w:rFonts w:ascii="宋体" w:hAnsi="宋体" w:cs="宋体" w:eastAsia="宋体" w:hint="default"/>
          <w:sz w:val="14"/>
          <w:szCs w:val="14"/>
        </w:rPr>
      </w:pPr>
    </w:p>
    <w:p>
      <w:pPr>
        <w:pStyle w:val="BodyText"/>
        <w:spacing w:line="240" w:lineRule="auto" w:before="0"/>
        <w:ind w:left="1554" w:right="0"/>
        <w:jc w:val="left"/>
      </w:pPr>
      <w:r>
        <w:rPr>
          <w:rFonts w:ascii="宋体" w:hAnsi="宋体" w:cs="宋体" w:eastAsia="宋体" w:hint="default"/>
        </w:rPr>
        <w:t>2017</w:t>
      </w:r>
      <w:r>
        <w:rPr>
          <w:rFonts w:ascii="宋体" w:hAnsi="宋体" w:cs="宋体" w:eastAsia="宋体" w:hint="default"/>
          <w:spacing w:val="-46"/>
        </w:rPr>
        <w:t> </w:t>
      </w:r>
      <w:r>
        <w:rPr/>
        <w:t>年</w:t>
      </w:r>
      <w:r>
        <w:rPr>
          <w:spacing w:val="-49"/>
        </w:rPr>
        <w:t> </w:t>
      </w:r>
      <w:r>
        <w:rPr>
          <w:rFonts w:ascii="宋体" w:hAnsi="宋体" w:cs="宋体" w:eastAsia="宋体" w:hint="default"/>
        </w:rPr>
        <w:t>12</w:t>
      </w:r>
      <w:r>
        <w:rPr>
          <w:rFonts w:ascii="宋体" w:hAnsi="宋体" w:cs="宋体" w:eastAsia="宋体" w:hint="default"/>
          <w:spacing w:val="-48"/>
        </w:rPr>
        <w:t> </w:t>
      </w:r>
      <w:r>
        <w:rPr/>
        <w:t>月</w:t>
      </w:r>
      <w:r>
        <w:rPr>
          <w:spacing w:val="-48"/>
        </w:rPr>
        <w:t> </w:t>
      </w:r>
      <w:r>
        <w:rPr>
          <w:rFonts w:ascii="宋体" w:hAnsi="宋体" w:cs="宋体" w:eastAsia="宋体" w:hint="default"/>
        </w:rPr>
        <w:t>4</w:t>
      </w:r>
      <w:r>
        <w:rPr>
          <w:rFonts w:ascii="宋体" w:hAnsi="宋体" w:cs="宋体" w:eastAsia="宋体" w:hint="default"/>
          <w:spacing w:val="-47"/>
        </w:rPr>
        <w:t> </w:t>
      </w:r>
      <w:r>
        <w:rPr/>
        <w:t>日，第四届董事会第十一次会议审议通过了《关于使用自有资金继续收购河南雪城软</w:t>
      </w:r>
    </w:p>
    <w:p>
      <w:pPr>
        <w:spacing w:line="240" w:lineRule="auto" w:before="10"/>
        <w:rPr>
          <w:rFonts w:ascii="宋体" w:hAnsi="宋体" w:cs="宋体" w:eastAsia="宋体" w:hint="default"/>
          <w:sz w:val="14"/>
          <w:szCs w:val="14"/>
        </w:rPr>
      </w:pPr>
    </w:p>
    <w:p>
      <w:pPr>
        <w:pStyle w:val="BodyText"/>
        <w:spacing w:line="240" w:lineRule="auto" w:before="0"/>
        <w:ind w:right="0"/>
        <w:jc w:val="left"/>
      </w:pPr>
      <w:r>
        <w:rPr>
          <w:spacing w:val="2"/>
        </w:rPr>
        <w:t>件有限</w:t>
      </w:r>
      <w:r>
        <w:rPr>
          <w:spacing w:val="1"/>
        </w:rPr>
        <w:t>公司</w:t>
      </w:r>
      <w:r>
        <w:rPr>
          <w:spacing w:val="2"/>
        </w:rPr>
        <w:t>少数股</w:t>
      </w:r>
      <w:r>
        <w:rPr>
          <w:spacing w:val="1"/>
        </w:rPr>
        <w:t>权的</w:t>
      </w:r>
      <w:r>
        <w:rPr>
          <w:spacing w:val="2"/>
        </w:rPr>
        <w:t>议案</w:t>
      </w:r>
      <w:r>
        <w:rPr>
          <w:spacing w:val="-104"/>
        </w:rPr>
        <w:t>》</w:t>
      </w:r>
      <w:r>
        <w:rPr>
          <w:spacing w:val="2"/>
        </w:rPr>
        <w:t>，同</w:t>
      </w:r>
      <w:r>
        <w:rPr>
          <w:spacing w:val="1"/>
        </w:rPr>
        <w:t>意</w:t>
      </w:r>
      <w:r>
        <w:rPr>
          <w:spacing w:val="2"/>
        </w:rPr>
        <w:t>公司以</w:t>
      </w:r>
      <w:r>
        <w:rPr>
          <w:spacing w:val="1"/>
        </w:rPr>
        <w:t>自有</w:t>
      </w:r>
      <w:r>
        <w:rPr>
          <w:spacing w:val="2"/>
        </w:rPr>
        <w:t>资</w:t>
      </w:r>
      <w:r>
        <w:rPr/>
        <w:t>金</w:t>
      </w:r>
      <w:r>
        <w:rPr>
          <w:spacing w:val="7"/>
        </w:rPr>
        <w:t> </w:t>
      </w:r>
      <w:r>
        <w:rPr>
          <w:rFonts w:ascii="宋体" w:hAnsi="宋体" w:cs="宋体" w:eastAsia="宋体" w:hint="default"/>
        </w:rPr>
        <w:t>1</w:t>
      </w:r>
      <w:r>
        <w:rPr>
          <w:rFonts w:ascii="宋体" w:hAnsi="宋体" w:cs="宋体" w:eastAsia="宋体" w:hint="default"/>
          <w:spacing w:val="-1"/>
        </w:rPr>
        <w:t>,</w:t>
      </w:r>
      <w:r>
        <w:rPr>
          <w:rFonts w:ascii="宋体" w:hAnsi="宋体" w:cs="宋体" w:eastAsia="宋体" w:hint="default"/>
        </w:rPr>
        <w:t>952.87</w:t>
      </w:r>
      <w:r>
        <w:rPr>
          <w:rFonts w:ascii="宋体" w:hAnsi="宋体" w:cs="宋体" w:eastAsia="宋体" w:hint="default"/>
          <w:spacing w:val="3"/>
        </w:rPr>
        <w:t> </w:t>
      </w:r>
      <w:r>
        <w:rPr>
          <w:spacing w:val="2"/>
        </w:rPr>
        <w:t>万</w:t>
      </w:r>
      <w:r>
        <w:rPr>
          <w:spacing w:val="1"/>
        </w:rPr>
        <w:t>元</w:t>
      </w:r>
      <w:r>
        <w:rPr>
          <w:spacing w:val="2"/>
        </w:rPr>
        <w:t>继</w:t>
      </w:r>
      <w:r>
        <w:rPr>
          <w:spacing w:val="1"/>
        </w:rPr>
        <w:t>续</w:t>
      </w:r>
      <w:r>
        <w:rPr>
          <w:spacing w:val="2"/>
        </w:rPr>
        <w:t>收购雪</w:t>
      </w:r>
      <w:r>
        <w:rPr>
          <w:spacing w:val="1"/>
        </w:rPr>
        <w:t>城软</w:t>
      </w:r>
      <w:r>
        <w:rPr>
          <w:spacing w:val="2"/>
        </w:rPr>
        <w:t>件股东</w:t>
      </w:r>
      <w:r>
        <w:rPr>
          <w:spacing w:val="1"/>
        </w:rPr>
        <w:t>施晓</w:t>
      </w:r>
      <w:r>
        <w:rPr>
          <w:spacing w:val="2"/>
        </w:rPr>
        <w:t>雯持</w:t>
      </w:r>
      <w:r>
        <w:rPr>
          <w:spacing w:val="3"/>
        </w:rPr>
        <w:t>有</w:t>
      </w:r>
      <w:r>
        <w:rPr/>
        <w:t>的</w:t>
      </w:r>
    </w:p>
    <w:p>
      <w:pPr>
        <w:spacing w:line="240" w:lineRule="auto" w:before="10"/>
        <w:rPr>
          <w:rFonts w:ascii="宋体" w:hAnsi="宋体" w:cs="宋体" w:eastAsia="宋体" w:hint="default"/>
          <w:sz w:val="14"/>
          <w:szCs w:val="14"/>
        </w:rPr>
      </w:pPr>
    </w:p>
    <w:p>
      <w:pPr>
        <w:pStyle w:val="BodyText"/>
        <w:spacing w:line="240" w:lineRule="auto" w:before="0"/>
        <w:ind w:right="0"/>
        <w:jc w:val="left"/>
      </w:pPr>
      <w:r>
        <w:rPr>
          <w:rFonts w:ascii="宋体" w:hAnsi="宋体" w:cs="宋体" w:eastAsia="宋体" w:hint="default"/>
        </w:rPr>
        <w:t>41.5%</w:t>
      </w:r>
      <w:r>
        <w:rPr/>
        <w:t>股权。具体信息请查阅公司于</w:t>
      </w:r>
      <w:r>
        <w:rPr>
          <w:spacing w:val="-54"/>
        </w:rPr>
        <w:t> </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5"/>
        </w:rPr>
        <w:t> </w:t>
      </w:r>
      <w:r>
        <w:rPr>
          <w:rFonts w:ascii="宋体" w:hAnsi="宋体" w:cs="宋体" w:eastAsia="宋体" w:hint="default"/>
        </w:rPr>
        <w:t>5</w:t>
      </w:r>
      <w:r>
        <w:rPr>
          <w:rFonts w:ascii="宋体" w:hAnsi="宋体" w:cs="宋体" w:eastAsia="宋体" w:hint="default"/>
          <w:spacing w:val="-53"/>
        </w:rPr>
        <w:t> </w:t>
      </w:r>
      <w:r>
        <w:rPr/>
        <w:t>日在巨潮资讯网刊登的公告。</w:t>
      </w:r>
    </w:p>
    <w:p>
      <w:pPr>
        <w:spacing w:line="240" w:lineRule="auto" w:before="10"/>
        <w:rPr>
          <w:rFonts w:ascii="宋体" w:hAnsi="宋体" w:cs="宋体" w:eastAsia="宋体" w:hint="default"/>
          <w:sz w:val="14"/>
          <w:szCs w:val="14"/>
        </w:rPr>
      </w:pPr>
    </w:p>
    <w:p>
      <w:pPr>
        <w:pStyle w:val="BodyText"/>
        <w:spacing w:line="240" w:lineRule="auto" w:before="0"/>
        <w:ind w:left="1553" w:right="0"/>
        <w:jc w:val="left"/>
      </w:pPr>
      <w:r>
        <w:rPr>
          <w:rFonts w:ascii="宋体" w:hAnsi="宋体" w:cs="宋体" w:eastAsia="宋体" w:hint="default"/>
        </w:rPr>
        <w:t>5</w:t>
      </w:r>
      <w:r>
        <w:rPr/>
        <w:t>、公司控股子公司沈阳汉威增加注册资本</w:t>
      </w:r>
    </w:p>
    <w:p>
      <w:pPr>
        <w:spacing w:line="240" w:lineRule="auto" w:before="10"/>
        <w:rPr>
          <w:rFonts w:ascii="宋体" w:hAnsi="宋体" w:cs="宋体" w:eastAsia="宋体" w:hint="default"/>
          <w:sz w:val="14"/>
          <w:szCs w:val="14"/>
        </w:rPr>
      </w:pPr>
    </w:p>
    <w:p>
      <w:pPr>
        <w:pStyle w:val="BodyText"/>
        <w:spacing w:line="240" w:lineRule="auto" w:before="0"/>
        <w:ind w:left="1553" w:right="0"/>
        <w:jc w:val="left"/>
      </w:pPr>
      <w:r>
        <w:rPr>
          <w:rFonts w:ascii="宋体" w:hAnsi="宋体" w:cs="宋体" w:eastAsia="宋体" w:hint="default"/>
        </w:rPr>
        <w:t>2017</w:t>
      </w:r>
      <w:r>
        <w:rPr>
          <w:rFonts w:ascii="宋体" w:hAnsi="宋体" w:cs="宋体" w:eastAsia="宋体" w:hint="default"/>
          <w:spacing w:val="-46"/>
        </w:rPr>
        <w:t> </w:t>
      </w:r>
      <w:r>
        <w:rPr/>
        <w:t>年</w:t>
      </w:r>
      <w:r>
        <w:rPr>
          <w:spacing w:val="-49"/>
        </w:rPr>
        <w:t> </w:t>
      </w:r>
      <w:r>
        <w:rPr>
          <w:rFonts w:ascii="宋体" w:hAnsi="宋体" w:cs="宋体" w:eastAsia="宋体" w:hint="default"/>
        </w:rPr>
        <w:t>11</w:t>
      </w:r>
      <w:r>
        <w:rPr>
          <w:rFonts w:ascii="宋体" w:hAnsi="宋体" w:cs="宋体" w:eastAsia="宋体" w:hint="default"/>
          <w:spacing w:val="-47"/>
        </w:rPr>
        <w:t> </w:t>
      </w:r>
      <w:r>
        <w:rPr/>
        <w:t>月，公司与沈阳汉威其他股东按照原出资比例进行增资，沈阳汉威注册资本由</w:t>
      </w:r>
      <w:r>
        <w:rPr>
          <w:spacing w:val="-47"/>
        </w:rPr>
        <w:t> </w:t>
      </w:r>
      <w:r>
        <w:rPr>
          <w:rFonts w:ascii="宋体" w:hAnsi="宋体" w:cs="宋体" w:eastAsia="宋体" w:hint="default"/>
        </w:rPr>
        <w:t>200</w:t>
      </w:r>
      <w:r>
        <w:rPr>
          <w:rFonts w:ascii="宋体" w:hAnsi="宋体" w:cs="宋体" w:eastAsia="宋体" w:hint="default"/>
          <w:spacing w:val="-48"/>
        </w:rPr>
        <w:t> </w:t>
      </w:r>
      <w:r>
        <w:rPr/>
        <w:t>万元增</w:t>
      </w:r>
    </w:p>
    <w:p>
      <w:pPr>
        <w:spacing w:line="240" w:lineRule="auto" w:before="10"/>
        <w:rPr>
          <w:rFonts w:ascii="宋体" w:hAnsi="宋体" w:cs="宋体" w:eastAsia="宋体" w:hint="default"/>
          <w:sz w:val="14"/>
          <w:szCs w:val="14"/>
        </w:rPr>
      </w:pPr>
    </w:p>
    <w:p>
      <w:pPr>
        <w:pStyle w:val="BodyText"/>
        <w:spacing w:line="408" w:lineRule="auto" w:before="0"/>
        <w:ind w:left="1554" w:right="4090" w:hanging="420"/>
        <w:jc w:val="left"/>
      </w:pPr>
      <w:r>
        <w:rPr/>
        <w:t>至</w:t>
      </w:r>
      <w:r>
        <w:rPr>
          <w:spacing w:val="-54"/>
        </w:rPr>
        <w:t> </w:t>
      </w:r>
      <w:r>
        <w:rPr>
          <w:rFonts w:ascii="宋体" w:hAnsi="宋体" w:cs="宋体" w:eastAsia="宋体" w:hint="default"/>
        </w:rPr>
        <w:t>600</w:t>
      </w:r>
      <w:r>
        <w:rPr>
          <w:rFonts w:ascii="宋体" w:hAnsi="宋体" w:cs="宋体" w:eastAsia="宋体" w:hint="default"/>
          <w:spacing w:val="-53"/>
        </w:rPr>
        <w:t> </w:t>
      </w:r>
      <w:r>
        <w:rPr/>
        <w:t>万。增资完成后，公司的出资额为</w:t>
      </w:r>
      <w:r>
        <w:rPr>
          <w:spacing w:val="-53"/>
        </w:rPr>
        <w:t> </w:t>
      </w:r>
      <w:r>
        <w:rPr>
          <w:rFonts w:ascii="宋体" w:hAnsi="宋体" w:cs="宋体" w:eastAsia="宋体" w:hint="default"/>
        </w:rPr>
        <w:t>306</w:t>
      </w:r>
      <w:r>
        <w:rPr>
          <w:rFonts w:ascii="宋体" w:hAnsi="宋体" w:cs="宋体" w:eastAsia="宋体" w:hint="default"/>
          <w:spacing w:val="-54"/>
        </w:rPr>
        <w:t> </w:t>
      </w:r>
      <w:r>
        <w:rPr/>
        <w:t>万元，持股比例仍为</w:t>
      </w:r>
      <w:r>
        <w:rPr>
          <w:spacing w:val="-54"/>
        </w:rPr>
        <w:t> </w:t>
      </w:r>
      <w:r>
        <w:rPr>
          <w:rFonts w:ascii="宋体" w:hAnsi="宋体" w:cs="宋体" w:eastAsia="宋体" w:hint="default"/>
        </w:rPr>
        <w:t>51%</w:t>
      </w:r>
      <w:r>
        <w:rPr/>
        <w:t>。 </w:t>
      </w:r>
      <w:r>
        <w:rPr>
          <w:rFonts w:ascii="宋体" w:hAnsi="宋体" w:cs="宋体" w:eastAsia="宋体" w:hint="default"/>
        </w:rPr>
        <w:t>6</w:t>
      </w:r>
      <w:r>
        <w:rPr/>
        <w:t>、回购前提下的股权融资</w:t>
      </w:r>
    </w:p>
    <w:p>
      <w:pPr>
        <w:pStyle w:val="BodyText"/>
        <w:spacing w:line="240" w:lineRule="auto"/>
        <w:ind w:left="1554" w:right="0"/>
        <w:jc w:val="left"/>
      </w:pPr>
      <w:r>
        <w:rPr>
          <w:rFonts w:ascii="宋体" w:hAnsi="宋体" w:cs="宋体" w:eastAsia="宋体" w:hint="default"/>
        </w:rPr>
        <w:t>2018</w:t>
      </w:r>
      <w:r>
        <w:rPr>
          <w:rFonts w:ascii="宋体" w:hAnsi="宋体" w:cs="宋体" w:eastAsia="宋体" w:hint="default"/>
          <w:spacing w:val="-45"/>
        </w:rPr>
        <w:t> </w:t>
      </w:r>
      <w:r>
        <w:rPr/>
        <w:t>年</w:t>
      </w:r>
      <w:r>
        <w:rPr>
          <w:spacing w:val="-46"/>
        </w:rPr>
        <w:t> </w:t>
      </w:r>
      <w:r>
        <w:rPr>
          <w:rFonts w:ascii="宋体" w:hAnsi="宋体" w:cs="宋体" w:eastAsia="宋体" w:hint="default"/>
        </w:rPr>
        <w:t>1</w:t>
      </w:r>
      <w:r>
        <w:rPr>
          <w:rFonts w:ascii="宋体" w:hAnsi="宋体" w:cs="宋体" w:eastAsia="宋体" w:hint="default"/>
          <w:spacing w:val="-46"/>
        </w:rPr>
        <w:t> </w:t>
      </w:r>
      <w:r>
        <w:rPr/>
        <w:t>月</w:t>
      </w:r>
      <w:r>
        <w:rPr>
          <w:spacing w:val="-47"/>
        </w:rPr>
        <w:t> </w:t>
      </w:r>
      <w:r>
        <w:rPr>
          <w:rFonts w:ascii="宋体" w:hAnsi="宋体" w:cs="宋体" w:eastAsia="宋体" w:hint="default"/>
        </w:rPr>
        <w:t>8</w:t>
      </w:r>
      <w:r>
        <w:rPr>
          <w:rFonts w:ascii="宋体" w:hAnsi="宋体" w:cs="宋体" w:eastAsia="宋体" w:hint="default"/>
          <w:spacing w:val="-45"/>
        </w:rPr>
        <w:t> </w:t>
      </w:r>
      <w:r>
        <w:rPr>
          <w:spacing w:val="-3"/>
        </w:rPr>
        <w:t>日，公司在股权回购前提下通过向招商证券资产管理有限公司转让公司持有的嘉园环保</w:t>
      </w:r>
    </w:p>
    <w:p>
      <w:pPr>
        <w:spacing w:line="240" w:lineRule="auto" w:before="10"/>
        <w:rPr>
          <w:rFonts w:ascii="宋体" w:hAnsi="宋体" w:cs="宋体" w:eastAsia="宋体" w:hint="default"/>
          <w:sz w:val="14"/>
          <w:szCs w:val="14"/>
        </w:rPr>
      </w:pPr>
    </w:p>
    <w:p>
      <w:pPr>
        <w:pStyle w:val="BodyText"/>
        <w:spacing w:line="240" w:lineRule="auto" w:before="0"/>
        <w:ind w:left="1134" w:right="0"/>
        <w:jc w:val="left"/>
        <w:rPr>
          <w:rFonts w:ascii="宋体" w:hAnsi="宋体" w:cs="宋体" w:eastAsia="宋体" w:hint="default"/>
        </w:rPr>
      </w:pPr>
      <w:r>
        <w:rPr>
          <w:rFonts w:ascii="宋体" w:hAnsi="宋体" w:cs="宋体" w:eastAsia="宋体" w:hint="default"/>
        </w:rPr>
        <w:t>29%</w:t>
      </w:r>
      <w:r>
        <w:rPr/>
        <w:t>股权的方式向其申请融资</w:t>
      </w:r>
      <w:r>
        <w:rPr>
          <w:spacing w:val="-33"/>
        </w:rPr>
        <w:t> </w:t>
      </w:r>
      <w:r>
        <w:rPr>
          <w:rFonts w:ascii="宋体" w:hAnsi="宋体" w:cs="宋体" w:eastAsia="宋体" w:hint="default"/>
        </w:rPr>
        <w:t>30,000</w:t>
      </w:r>
      <w:r>
        <w:rPr>
          <w:rFonts w:ascii="宋体" w:hAnsi="宋体" w:cs="宋体" w:eastAsia="宋体" w:hint="default"/>
          <w:spacing w:val="-34"/>
        </w:rPr>
        <w:t> </w:t>
      </w:r>
      <w:r>
        <w:rPr/>
        <w:t>万元，期限为</w:t>
      </w:r>
      <w:r>
        <w:rPr>
          <w:spacing w:val="-33"/>
        </w:rPr>
        <w:t> </w:t>
      </w:r>
      <w:r>
        <w:rPr>
          <w:rFonts w:ascii="宋体" w:hAnsi="宋体" w:cs="宋体" w:eastAsia="宋体" w:hint="default"/>
        </w:rPr>
        <w:t>36</w:t>
      </w:r>
      <w:r>
        <w:rPr>
          <w:rFonts w:ascii="宋体" w:hAnsi="宋体" w:cs="宋体" w:eastAsia="宋体" w:hint="default"/>
          <w:spacing w:val="-33"/>
        </w:rPr>
        <w:t> </w:t>
      </w:r>
      <w:r>
        <w:rPr/>
        <w:t>个月，此笔融资主要用于补充公司流动资金。</w:t>
      </w:r>
      <w:r>
        <w:rPr>
          <w:rFonts w:ascii="宋体" w:hAnsi="宋体" w:cs="宋体" w:eastAsia="宋体" w:hint="default"/>
        </w:rPr>
        <w:t>2018</w:t>
      </w:r>
    </w:p>
    <w:p>
      <w:pPr>
        <w:spacing w:line="240" w:lineRule="auto" w:before="10"/>
        <w:rPr>
          <w:rFonts w:ascii="宋体" w:hAnsi="宋体" w:cs="宋体" w:eastAsia="宋体" w:hint="default"/>
          <w:sz w:val="14"/>
          <w:szCs w:val="14"/>
        </w:rPr>
      </w:pPr>
    </w:p>
    <w:p>
      <w:pPr>
        <w:pStyle w:val="BodyText"/>
        <w:spacing w:line="240" w:lineRule="auto" w:before="0"/>
        <w:ind w:left="1134" w:right="0"/>
        <w:jc w:val="left"/>
      </w:pPr>
      <w:r>
        <w:rPr/>
        <w:t>年</w:t>
      </w:r>
      <w:r>
        <w:rPr>
          <w:spacing w:val="-32"/>
        </w:rPr>
        <w:t> </w:t>
      </w:r>
      <w:r>
        <w:rPr>
          <w:rFonts w:ascii="宋体" w:hAnsi="宋体" w:cs="宋体" w:eastAsia="宋体" w:hint="default"/>
        </w:rPr>
        <w:t>2</w:t>
      </w:r>
      <w:r>
        <w:rPr>
          <w:rFonts w:ascii="宋体" w:hAnsi="宋体" w:cs="宋体" w:eastAsia="宋体" w:hint="default"/>
          <w:spacing w:val="-32"/>
        </w:rPr>
        <w:t> </w:t>
      </w:r>
      <w:r>
        <w:rPr/>
        <w:t>月</w:t>
      </w:r>
      <w:r>
        <w:rPr>
          <w:spacing w:val="-32"/>
        </w:rPr>
        <w:t> </w:t>
      </w:r>
      <w:r>
        <w:rPr>
          <w:rFonts w:ascii="宋体" w:hAnsi="宋体" w:cs="宋体" w:eastAsia="宋体" w:hint="default"/>
        </w:rPr>
        <w:t>14</w:t>
      </w:r>
      <w:r>
        <w:rPr>
          <w:rFonts w:ascii="宋体" w:hAnsi="宋体" w:cs="宋体" w:eastAsia="宋体" w:hint="default"/>
          <w:spacing w:val="-33"/>
        </w:rPr>
        <w:t> </w:t>
      </w:r>
      <w:r>
        <w:rPr/>
        <w:t>日，根据资金划拨的实际情况，公司与招商证券资产管理有限公司签订补充协议。具体信息请</w:t>
      </w:r>
    </w:p>
    <w:p>
      <w:pPr>
        <w:spacing w:line="240" w:lineRule="auto" w:before="10"/>
        <w:rPr>
          <w:rFonts w:ascii="宋体" w:hAnsi="宋体" w:cs="宋体" w:eastAsia="宋体" w:hint="default"/>
          <w:sz w:val="14"/>
          <w:szCs w:val="14"/>
        </w:rPr>
      </w:pPr>
    </w:p>
    <w:p>
      <w:pPr>
        <w:pStyle w:val="BodyText"/>
        <w:spacing w:line="408" w:lineRule="auto" w:before="0"/>
        <w:ind w:left="1553" w:right="3681" w:hanging="420"/>
        <w:jc w:val="left"/>
      </w:pPr>
      <w:r>
        <w:rPr/>
        <w:t>查阅公司于</w:t>
      </w:r>
      <w:r>
        <w:rPr>
          <w:spacing w:val="-53"/>
        </w:rPr>
        <w:t> </w:t>
      </w:r>
      <w:r>
        <w:rPr>
          <w:rFonts w:ascii="宋体" w:hAnsi="宋体" w:cs="宋体" w:eastAsia="宋体" w:hint="default"/>
        </w:rPr>
        <w:t>2018</w:t>
      </w:r>
      <w:r>
        <w:rPr>
          <w:rFonts w:ascii="宋体" w:hAnsi="宋体" w:cs="宋体" w:eastAsia="宋体" w:hint="default"/>
          <w:spacing w:val="-54"/>
        </w:rPr>
        <w:t> </w:t>
      </w:r>
      <w:r>
        <w:rPr/>
        <w:t>年</w:t>
      </w:r>
      <w:r>
        <w:rPr>
          <w:spacing w:val="-55"/>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10</w:t>
      </w:r>
      <w:r>
        <w:rPr>
          <w:rFonts w:ascii="宋体" w:hAnsi="宋体" w:cs="宋体" w:eastAsia="宋体" w:hint="default"/>
          <w:spacing w:val="-53"/>
        </w:rPr>
        <w:t> </w:t>
      </w:r>
      <w:r>
        <w:rPr/>
        <w:t>日、</w:t>
      </w:r>
      <w:r>
        <w:rPr>
          <w:rFonts w:ascii="宋体" w:hAnsi="宋体" w:cs="宋体" w:eastAsia="宋体" w:hint="default"/>
        </w:rPr>
        <w:t>2018</w:t>
      </w:r>
      <w:r>
        <w:rPr>
          <w:rFonts w:ascii="宋体" w:hAnsi="宋体" w:cs="宋体" w:eastAsia="宋体" w:hint="default"/>
          <w:spacing w:val="-55"/>
        </w:rPr>
        <w:t> </w:t>
      </w:r>
      <w:r>
        <w:rPr/>
        <w:t>年</w:t>
      </w:r>
      <w:r>
        <w:rPr>
          <w:spacing w:val="-54"/>
        </w:rPr>
        <w:t> </w:t>
      </w:r>
      <w:r>
        <w:rPr>
          <w:rFonts w:ascii="宋体" w:hAnsi="宋体" w:cs="宋体" w:eastAsia="宋体" w:hint="default"/>
        </w:rPr>
        <w:t>2</w:t>
      </w:r>
      <w:r>
        <w:rPr>
          <w:rFonts w:ascii="宋体" w:hAnsi="宋体" w:cs="宋体" w:eastAsia="宋体" w:hint="default"/>
          <w:spacing w:val="-53"/>
        </w:rPr>
        <w:t> </w:t>
      </w:r>
      <w:r>
        <w:rPr/>
        <w:t>月</w:t>
      </w:r>
      <w:r>
        <w:rPr>
          <w:spacing w:val="-55"/>
        </w:rPr>
        <w:t> </w:t>
      </w:r>
      <w:r>
        <w:rPr>
          <w:rFonts w:ascii="宋体" w:hAnsi="宋体" w:cs="宋体" w:eastAsia="宋体" w:hint="default"/>
        </w:rPr>
        <w:t>26</w:t>
      </w:r>
      <w:r>
        <w:rPr>
          <w:rFonts w:ascii="宋体" w:hAnsi="宋体" w:cs="宋体" w:eastAsia="宋体" w:hint="default"/>
          <w:spacing w:val="-53"/>
        </w:rPr>
        <w:t> </w:t>
      </w:r>
      <w:r>
        <w:rPr/>
        <w:t>日在巨潮资讯网刊登的公告。 </w:t>
      </w:r>
      <w:r>
        <w:rPr>
          <w:rFonts w:ascii="宋体" w:hAnsi="宋体" w:cs="宋体" w:eastAsia="宋体" w:hint="default"/>
        </w:rPr>
        <w:t>7</w:t>
      </w:r>
      <w:r>
        <w:rPr/>
        <w:t>、公司控股子公司雪城软件增加注册资本</w:t>
      </w:r>
    </w:p>
    <w:p>
      <w:pPr>
        <w:pStyle w:val="BodyText"/>
        <w:spacing w:line="240" w:lineRule="auto"/>
        <w:ind w:left="1553" w:right="0"/>
        <w:jc w:val="left"/>
      </w:pPr>
      <w:r>
        <w:rPr>
          <w:rFonts w:ascii="宋体" w:hAnsi="宋体" w:cs="宋体" w:eastAsia="宋体" w:hint="default"/>
        </w:rPr>
        <w:t>2018</w:t>
      </w:r>
      <w:r>
        <w:rPr>
          <w:rFonts w:ascii="宋体" w:hAnsi="宋体" w:cs="宋体" w:eastAsia="宋体" w:hint="default"/>
          <w:spacing w:val="-45"/>
        </w:rPr>
        <w:t> </w:t>
      </w:r>
      <w:r>
        <w:rPr/>
        <w:t>年</w:t>
      </w:r>
      <w:r>
        <w:rPr>
          <w:spacing w:val="-46"/>
        </w:rPr>
        <w:t> </w:t>
      </w:r>
      <w:r>
        <w:rPr>
          <w:rFonts w:ascii="宋体" w:hAnsi="宋体" w:cs="宋体" w:eastAsia="宋体" w:hint="default"/>
        </w:rPr>
        <w:t>2</w:t>
      </w:r>
      <w:r>
        <w:rPr>
          <w:rFonts w:ascii="宋体" w:hAnsi="宋体" w:cs="宋体" w:eastAsia="宋体" w:hint="default"/>
          <w:spacing w:val="-46"/>
        </w:rPr>
        <w:t> </w:t>
      </w:r>
      <w:r>
        <w:rPr/>
        <w:t>月</w:t>
      </w:r>
      <w:r>
        <w:rPr>
          <w:spacing w:val="-47"/>
        </w:rPr>
        <w:t> </w:t>
      </w:r>
      <w:r>
        <w:rPr>
          <w:rFonts w:ascii="宋体" w:hAnsi="宋体" w:cs="宋体" w:eastAsia="宋体" w:hint="default"/>
        </w:rPr>
        <w:t>1</w:t>
      </w:r>
      <w:r>
        <w:rPr>
          <w:rFonts w:ascii="宋体" w:hAnsi="宋体" w:cs="宋体" w:eastAsia="宋体" w:hint="default"/>
          <w:spacing w:val="-45"/>
        </w:rPr>
        <w:t> </w:t>
      </w:r>
      <w:r>
        <w:rPr>
          <w:spacing w:val="-3"/>
        </w:rPr>
        <w:t>日，公司与雪城软件签署了《汉威科技集团股份有限公司与河南雪城软件有限公司关于</w:t>
      </w:r>
    </w:p>
    <w:p>
      <w:pPr>
        <w:spacing w:line="240" w:lineRule="auto" w:before="10"/>
        <w:rPr>
          <w:rFonts w:ascii="宋体" w:hAnsi="宋体" w:cs="宋体" w:eastAsia="宋体" w:hint="default"/>
          <w:sz w:val="14"/>
          <w:szCs w:val="14"/>
        </w:rPr>
      </w:pPr>
    </w:p>
    <w:p>
      <w:pPr>
        <w:pStyle w:val="BodyText"/>
        <w:spacing w:line="240" w:lineRule="auto" w:before="0"/>
        <w:ind w:right="0"/>
        <w:jc w:val="left"/>
      </w:pPr>
      <w:r>
        <w:rPr/>
        <w:t>河南雪城软件有限公司增资协议书</w:t>
      </w:r>
      <w:r>
        <w:rPr>
          <w:spacing w:val="-106"/>
        </w:rPr>
        <w:t>》</w:t>
      </w:r>
      <w:r>
        <w:rPr/>
        <w:t>。公司以自有资金</w:t>
      </w:r>
      <w:r>
        <w:rPr>
          <w:spacing w:val="-31"/>
        </w:rPr>
        <w:t> </w:t>
      </w:r>
      <w:r>
        <w:rPr>
          <w:rFonts w:ascii="宋体" w:hAnsi="宋体" w:cs="宋体" w:eastAsia="宋体" w:hint="default"/>
        </w:rPr>
        <w:t>990</w:t>
      </w:r>
      <w:r>
        <w:rPr>
          <w:rFonts w:ascii="宋体" w:hAnsi="宋体" w:cs="宋体" w:eastAsia="宋体" w:hint="default"/>
          <w:spacing w:val="-33"/>
        </w:rPr>
        <w:t> </w:t>
      </w:r>
      <w:r>
        <w:rPr/>
        <w:t>万元认缴雪城软件新增注册资本</w:t>
      </w:r>
      <w:r>
        <w:rPr>
          <w:spacing w:val="-32"/>
        </w:rPr>
        <w:t> </w:t>
      </w:r>
      <w:r>
        <w:rPr>
          <w:rFonts w:ascii="宋体" w:hAnsi="宋体" w:cs="宋体" w:eastAsia="宋体" w:hint="default"/>
        </w:rPr>
        <w:t>990</w:t>
      </w:r>
      <w:r>
        <w:rPr>
          <w:rFonts w:ascii="宋体" w:hAnsi="宋体" w:cs="宋体" w:eastAsia="宋体" w:hint="default"/>
          <w:spacing w:val="-32"/>
        </w:rPr>
        <w:t> </w:t>
      </w:r>
      <w:r>
        <w:rPr/>
        <w:t>万元，增</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left="1553" w:right="6710" w:hanging="420"/>
        <w:jc w:val="left"/>
      </w:pPr>
      <w:r>
        <w:rPr/>
        <w:t>资完成后，公司持有雪城软件</w:t>
      </w:r>
      <w:r>
        <w:rPr>
          <w:spacing w:val="-52"/>
        </w:rPr>
        <w:t> </w:t>
      </w:r>
      <w:r>
        <w:rPr>
          <w:rFonts w:ascii="宋体" w:hAnsi="宋体" w:cs="宋体" w:eastAsia="宋体" w:hint="default"/>
        </w:rPr>
        <w:t>99.09%</w:t>
      </w:r>
      <w:r>
        <w:rPr/>
        <w:t>股权。 </w:t>
      </w:r>
      <w:r>
        <w:rPr>
          <w:rFonts w:ascii="宋体" w:hAnsi="宋体" w:cs="宋体" w:eastAsia="宋体" w:hint="default"/>
        </w:rPr>
        <w:t>8</w:t>
      </w:r>
      <w:r>
        <w:rPr/>
        <w:t>、设立汉威智慧消防</w:t>
      </w:r>
    </w:p>
    <w:p>
      <w:pPr>
        <w:pStyle w:val="BodyText"/>
        <w:spacing w:line="240" w:lineRule="auto"/>
        <w:ind w:left="1553" w:right="0"/>
        <w:jc w:val="left"/>
      </w:pPr>
      <w:r>
        <w:rPr>
          <w:rFonts w:ascii="宋体" w:hAnsi="宋体" w:cs="宋体" w:eastAsia="宋体" w:hint="default"/>
        </w:rPr>
        <w:t>2018</w:t>
      </w:r>
      <w:r>
        <w:rPr>
          <w:rFonts w:ascii="宋体" w:hAnsi="宋体" w:cs="宋体" w:eastAsia="宋体" w:hint="default"/>
          <w:spacing w:val="-46"/>
        </w:rPr>
        <w:t> </w:t>
      </w:r>
      <w:r>
        <w:rPr/>
        <w:t>年</w:t>
      </w:r>
      <w:r>
        <w:rPr>
          <w:spacing w:val="-49"/>
        </w:rPr>
        <w:t> </w:t>
      </w:r>
      <w:r>
        <w:rPr>
          <w:rFonts w:ascii="宋体" w:hAnsi="宋体" w:cs="宋体" w:eastAsia="宋体" w:hint="default"/>
        </w:rPr>
        <w:t>2</w:t>
      </w:r>
      <w:r>
        <w:rPr>
          <w:rFonts w:ascii="宋体" w:hAnsi="宋体" w:cs="宋体" w:eastAsia="宋体" w:hint="default"/>
          <w:spacing w:val="-47"/>
        </w:rPr>
        <w:t> </w:t>
      </w:r>
      <w:r>
        <w:rPr/>
        <w:t>月</w:t>
      </w:r>
      <w:r>
        <w:rPr>
          <w:spacing w:val="-49"/>
        </w:rPr>
        <w:t> </w:t>
      </w:r>
      <w:r>
        <w:rPr>
          <w:rFonts w:ascii="宋体" w:hAnsi="宋体" w:cs="宋体" w:eastAsia="宋体" w:hint="default"/>
        </w:rPr>
        <w:t>27</w:t>
      </w:r>
      <w:r>
        <w:rPr>
          <w:rFonts w:ascii="宋体" w:hAnsi="宋体" w:cs="宋体" w:eastAsia="宋体" w:hint="default"/>
          <w:spacing w:val="-47"/>
        </w:rPr>
        <w:t> </w:t>
      </w:r>
      <w:r>
        <w:rPr/>
        <w:t>日，公司与河南华夏海纳创业投资集团有限公司合资成立汉威智慧消防。汉威智慧消</w:t>
      </w:r>
    </w:p>
    <w:p>
      <w:pPr>
        <w:spacing w:line="240" w:lineRule="auto" w:before="10"/>
        <w:rPr>
          <w:rFonts w:ascii="宋体" w:hAnsi="宋体" w:cs="宋体" w:eastAsia="宋体" w:hint="default"/>
          <w:sz w:val="14"/>
          <w:szCs w:val="14"/>
        </w:rPr>
      </w:pPr>
    </w:p>
    <w:p>
      <w:pPr>
        <w:pStyle w:val="BodyText"/>
        <w:spacing w:line="408" w:lineRule="auto" w:before="0"/>
        <w:ind w:right="1132"/>
        <w:jc w:val="both"/>
      </w:pPr>
      <w:r>
        <w:rPr/>
        <w:t>防注册资本</w:t>
      </w:r>
      <w:r>
        <w:rPr>
          <w:spacing w:val="-48"/>
        </w:rPr>
        <w:t> </w:t>
      </w:r>
      <w:r>
        <w:rPr>
          <w:rFonts w:ascii="宋体" w:hAnsi="宋体" w:cs="宋体" w:eastAsia="宋体" w:hint="default"/>
        </w:rPr>
        <w:t>1,000</w:t>
      </w:r>
      <w:r>
        <w:rPr>
          <w:rFonts w:ascii="宋体" w:hAnsi="宋体" w:cs="宋体" w:eastAsia="宋体" w:hint="default"/>
          <w:spacing w:val="-48"/>
        </w:rPr>
        <w:t> </w:t>
      </w:r>
      <w:r>
        <w:rPr/>
        <w:t>万元，其中公司出资</w:t>
      </w:r>
      <w:r>
        <w:rPr>
          <w:spacing w:val="-49"/>
        </w:rPr>
        <w:t> </w:t>
      </w:r>
      <w:r>
        <w:rPr>
          <w:rFonts w:ascii="宋体" w:hAnsi="宋体" w:cs="宋体" w:eastAsia="宋体" w:hint="default"/>
        </w:rPr>
        <w:t>600</w:t>
      </w:r>
      <w:r>
        <w:rPr>
          <w:rFonts w:ascii="宋体" w:hAnsi="宋体" w:cs="宋体" w:eastAsia="宋体" w:hint="default"/>
          <w:spacing w:val="-48"/>
        </w:rPr>
        <w:t> </w:t>
      </w:r>
      <w:r>
        <w:rPr/>
        <w:t>万元，持有</w:t>
      </w:r>
      <w:r>
        <w:rPr>
          <w:spacing w:val="-49"/>
        </w:rPr>
        <w:t> </w:t>
      </w:r>
      <w:r>
        <w:rPr>
          <w:rFonts w:ascii="宋体" w:hAnsi="宋体" w:cs="宋体" w:eastAsia="宋体" w:hint="default"/>
        </w:rPr>
        <w:t>60%</w:t>
      </w:r>
      <w:r>
        <w:rPr/>
        <w:t>股权。根据深圳证券交易所《创业板股票上市 </w:t>
      </w:r>
      <w:r>
        <w:rPr>
          <w:spacing w:val="-1"/>
        </w:rPr>
        <w:t>规则》，公司设立汉威智慧消防的投资金额对公司影响较小，未达到公司董事会审议和披露标准。按照公</w:t>
      </w:r>
      <w:r>
        <w:rPr>
          <w:spacing w:val="-93"/>
        </w:rPr>
        <w:t> </w:t>
      </w:r>
      <w:r>
        <w:rPr>
          <w:spacing w:val="-93"/>
        </w:rPr>
      </w:r>
      <w:r>
        <w:rPr>
          <w:spacing w:val="-1"/>
        </w:rPr>
        <w:t>司《对外投资管理制度》的规定，上述投资事项在董事长权限范围内，经由总经理会议讨论后由董事长批</w:t>
      </w:r>
      <w:r>
        <w:rPr>
          <w:spacing w:val="-84"/>
        </w:rPr>
        <w:t> </w:t>
      </w:r>
      <w:r>
        <w:rPr>
          <w:spacing w:val="-84"/>
        </w:rPr>
      </w:r>
      <w:r>
        <w:rPr/>
        <w:t>准执行。</w:t>
      </w:r>
    </w:p>
    <w:p>
      <w:pPr>
        <w:spacing w:line="240" w:lineRule="auto" w:before="11"/>
        <w:rPr>
          <w:rFonts w:ascii="宋体" w:hAnsi="宋体" w:cs="宋体" w:eastAsia="宋体" w:hint="default"/>
          <w:sz w:val="18"/>
          <w:szCs w:val="18"/>
        </w:rPr>
      </w:pPr>
    </w:p>
    <w:p>
      <w:pPr>
        <w:pStyle w:val="Heading2"/>
        <w:spacing w:line="240" w:lineRule="auto"/>
        <w:ind w:right="0"/>
        <w:jc w:val="both"/>
        <w:rPr>
          <w:b w:val="0"/>
          <w:bCs w:val="0"/>
        </w:rPr>
      </w:pPr>
      <w:bookmarkStart w:name="十九、公司子公司重大事项" w:id="100"/>
      <w:bookmarkEnd w:id="100"/>
      <w:r>
        <w:rPr>
          <w:b w:val="0"/>
          <w:bCs w:val="0"/>
        </w:rPr>
      </w:r>
      <w:r>
        <w:rPr/>
        <w:t>十九、公司子公司重大事项</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153"/>
        <w:ind w:left="1553" w:right="0"/>
        <w:jc w:val="left"/>
      </w:pPr>
      <w:r>
        <w:rPr>
          <w:rFonts w:ascii="宋体" w:hAnsi="宋体" w:cs="宋体" w:eastAsia="宋体" w:hint="default"/>
        </w:rPr>
        <w:t>1</w:t>
      </w:r>
      <w:r>
        <w:rPr/>
        <w:t>、北京威果设立全资子公司</w:t>
      </w:r>
    </w:p>
    <w:p>
      <w:pPr>
        <w:spacing w:line="240" w:lineRule="auto" w:before="10"/>
        <w:rPr>
          <w:rFonts w:ascii="宋体" w:hAnsi="宋体" w:cs="宋体" w:eastAsia="宋体" w:hint="default"/>
          <w:sz w:val="14"/>
          <w:szCs w:val="14"/>
        </w:rPr>
      </w:pPr>
    </w:p>
    <w:p>
      <w:pPr>
        <w:pStyle w:val="BodyText"/>
        <w:spacing w:line="408" w:lineRule="auto" w:before="0"/>
        <w:ind w:right="1025" w:firstLine="420"/>
        <w:jc w:val="both"/>
      </w:pPr>
      <w:r>
        <w:rPr>
          <w:rFonts w:ascii="宋体" w:hAnsi="宋体" w:cs="宋体" w:eastAsia="宋体" w:hint="default"/>
        </w:rPr>
        <w:t>2017</w:t>
      </w:r>
      <w:r>
        <w:rPr>
          <w:rFonts w:ascii="宋体" w:hAnsi="宋体" w:cs="宋体" w:eastAsia="宋体" w:hint="default"/>
          <w:spacing w:val="-46"/>
        </w:rPr>
        <w:t> </w:t>
      </w:r>
      <w:r>
        <w:rPr/>
        <w:t>年</w:t>
      </w:r>
      <w:r>
        <w:rPr>
          <w:spacing w:val="-49"/>
        </w:rPr>
        <w:t> </w:t>
      </w:r>
      <w:r>
        <w:rPr>
          <w:rFonts w:ascii="宋体" w:hAnsi="宋体" w:cs="宋体" w:eastAsia="宋体" w:hint="default"/>
        </w:rPr>
        <w:t>3</w:t>
      </w:r>
      <w:r>
        <w:rPr>
          <w:rFonts w:ascii="宋体" w:hAnsi="宋体" w:cs="宋体" w:eastAsia="宋体" w:hint="default"/>
          <w:spacing w:val="-47"/>
        </w:rPr>
        <w:t> </w:t>
      </w:r>
      <w:r>
        <w:rPr/>
        <w:t>月</w:t>
      </w:r>
      <w:r>
        <w:rPr>
          <w:spacing w:val="-49"/>
        </w:rPr>
        <w:t> </w:t>
      </w:r>
      <w:r>
        <w:rPr>
          <w:rFonts w:ascii="宋体" w:hAnsi="宋体" w:cs="宋体" w:eastAsia="宋体" w:hint="default"/>
        </w:rPr>
        <w:t>10</w:t>
      </w:r>
      <w:r>
        <w:rPr>
          <w:rFonts w:ascii="宋体" w:hAnsi="宋体" w:cs="宋体" w:eastAsia="宋体" w:hint="default"/>
          <w:spacing w:val="-47"/>
        </w:rPr>
        <w:t> </w:t>
      </w:r>
      <w:r>
        <w:rPr/>
        <w:t>日，公司第四届董事会第三次会议审议通过了《关于北京威果智能科技有限公司拟设 </w:t>
      </w:r>
      <w:r>
        <w:rPr>
          <w:spacing w:val="-1"/>
        </w:rPr>
        <w:t>立全资子公司的议案》，同意北京威果智能科技有限公司使用自有资金设立全资子公司。报告期内，河南</w:t>
      </w:r>
      <w:r>
        <w:rPr>
          <w:spacing w:val="-94"/>
        </w:rPr>
        <w:t> </w:t>
      </w:r>
      <w:r>
        <w:rPr>
          <w:spacing w:val="-94"/>
        </w:rPr>
      </w:r>
      <w:r>
        <w:rPr/>
        <w:t>威果智能科技有限公司收到了工商登记机关核发的营业执照。具体信息请查阅公司于</w:t>
      </w:r>
      <w:r>
        <w:rPr>
          <w:spacing w:val="-38"/>
        </w:rPr>
        <w:t> </w:t>
      </w:r>
      <w:r>
        <w:rPr>
          <w:rFonts w:ascii="宋体" w:hAnsi="宋体" w:cs="宋体" w:eastAsia="宋体" w:hint="default"/>
        </w:rPr>
        <w:t>2017</w:t>
      </w:r>
      <w:r>
        <w:rPr>
          <w:rFonts w:ascii="宋体" w:hAnsi="宋体" w:cs="宋体" w:eastAsia="宋体" w:hint="default"/>
          <w:spacing w:val="-40"/>
        </w:rPr>
        <w:t> </w:t>
      </w:r>
      <w:r>
        <w:rPr/>
        <w:t>年</w:t>
      </w:r>
      <w:r>
        <w:rPr>
          <w:spacing w:val="-39"/>
        </w:rPr>
        <w:t> </w:t>
      </w:r>
      <w:r>
        <w:rPr>
          <w:rFonts w:ascii="宋体" w:hAnsi="宋体" w:cs="宋体" w:eastAsia="宋体" w:hint="default"/>
        </w:rPr>
        <w:t>3</w:t>
      </w:r>
      <w:r>
        <w:rPr>
          <w:rFonts w:ascii="宋体" w:hAnsi="宋体" w:cs="宋体" w:eastAsia="宋体" w:hint="default"/>
          <w:spacing w:val="-39"/>
        </w:rPr>
        <w:t> </w:t>
      </w:r>
      <w:r>
        <w:rPr/>
        <w:t>月</w:t>
      </w:r>
      <w:r>
        <w:rPr>
          <w:spacing w:val="-39"/>
        </w:rPr>
        <w:t> </w:t>
      </w:r>
      <w:r>
        <w:rPr>
          <w:rFonts w:ascii="宋体" w:hAnsi="宋体" w:cs="宋体" w:eastAsia="宋体" w:hint="default"/>
        </w:rPr>
        <w:t>10</w:t>
      </w:r>
      <w:r>
        <w:rPr>
          <w:rFonts w:ascii="宋体" w:hAnsi="宋体" w:cs="宋体" w:eastAsia="宋体" w:hint="default"/>
          <w:spacing w:val="-39"/>
        </w:rPr>
        <w:t> </w:t>
      </w:r>
      <w:r>
        <w:rPr/>
        <w:t>日、</w:t>
      </w:r>
    </w:p>
    <w:p>
      <w:pPr>
        <w:pStyle w:val="BodyText"/>
        <w:spacing w:line="240" w:lineRule="auto"/>
        <w:ind w:left="1134" w:right="0"/>
        <w:jc w:val="both"/>
      </w:pPr>
      <w:r>
        <w:rPr>
          <w:rFonts w:ascii="宋体" w:hAnsi="宋体" w:cs="宋体" w:eastAsia="宋体" w:hint="default"/>
        </w:rPr>
        <w:t>5</w:t>
      </w:r>
      <w:r>
        <w:rPr>
          <w:rFonts w:ascii="宋体" w:hAnsi="宋体" w:cs="宋体" w:eastAsia="宋体" w:hint="default"/>
          <w:spacing w:val="-53"/>
        </w:rPr>
        <w:t> </w:t>
      </w:r>
      <w:r>
        <w:rPr/>
        <w:t>月</w:t>
      </w:r>
      <w:r>
        <w:rPr>
          <w:spacing w:val="-55"/>
        </w:rPr>
        <w:t> </w:t>
      </w:r>
      <w:r>
        <w:rPr>
          <w:rFonts w:ascii="宋体" w:hAnsi="宋体" w:cs="宋体" w:eastAsia="宋体" w:hint="default"/>
        </w:rPr>
        <w:t>9</w:t>
      </w:r>
      <w:r>
        <w:rPr>
          <w:rFonts w:ascii="宋体" w:hAnsi="宋体" w:cs="宋体" w:eastAsia="宋体" w:hint="default"/>
          <w:spacing w:val="-53"/>
        </w:rPr>
        <w:t> </w:t>
      </w:r>
      <w:r>
        <w:rPr/>
        <w:t>日在巨潮资讯网刊登的公告。</w:t>
      </w:r>
    </w:p>
    <w:p>
      <w:pPr>
        <w:spacing w:line="240" w:lineRule="auto" w:before="10"/>
        <w:rPr>
          <w:rFonts w:ascii="宋体" w:hAnsi="宋体" w:cs="宋体" w:eastAsia="宋体" w:hint="default"/>
          <w:sz w:val="14"/>
          <w:szCs w:val="14"/>
        </w:rPr>
      </w:pPr>
    </w:p>
    <w:p>
      <w:pPr>
        <w:pStyle w:val="BodyText"/>
        <w:spacing w:line="240" w:lineRule="auto" w:before="0"/>
        <w:ind w:left="1554" w:right="0"/>
        <w:jc w:val="left"/>
      </w:pPr>
      <w:r>
        <w:rPr>
          <w:rFonts w:ascii="宋体" w:hAnsi="宋体" w:cs="宋体" w:eastAsia="宋体" w:hint="default"/>
        </w:rPr>
        <w:t>2</w:t>
      </w:r>
      <w:r>
        <w:rPr/>
        <w:t>、投资设立产业并购基金完成私募投资基金备案</w:t>
      </w:r>
    </w:p>
    <w:p>
      <w:pPr>
        <w:spacing w:line="240" w:lineRule="auto" w:before="10"/>
        <w:rPr>
          <w:rFonts w:ascii="宋体" w:hAnsi="宋体" w:cs="宋体" w:eastAsia="宋体" w:hint="default"/>
          <w:sz w:val="14"/>
          <w:szCs w:val="14"/>
        </w:rPr>
      </w:pPr>
    </w:p>
    <w:p>
      <w:pPr>
        <w:pStyle w:val="BodyText"/>
        <w:spacing w:line="408" w:lineRule="auto" w:before="0"/>
        <w:ind w:right="1130" w:firstLine="420"/>
        <w:jc w:val="both"/>
      </w:pPr>
      <w:r>
        <w:rPr>
          <w:rFonts w:ascii="宋体" w:hAnsi="宋体" w:cs="宋体" w:eastAsia="宋体" w:hint="default"/>
        </w:rPr>
        <w:t>2016</w:t>
      </w:r>
      <w:r>
        <w:rPr>
          <w:rFonts w:ascii="宋体" w:hAnsi="宋体" w:cs="宋体" w:eastAsia="宋体" w:hint="default"/>
          <w:spacing w:val="-46"/>
        </w:rPr>
        <w:t> </w:t>
      </w:r>
      <w:r>
        <w:rPr/>
        <w:t>年</w:t>
      </w:r>
      <w:r>
        <w:rPr>
          <w:spacing w:val="-49"/>
        </w:rPr>
        <w:t> </w:t>
      </w:r>
      <w:r>
        <w:rPr>
          <w:rFonts w:ascii="宋体" w:hAnsi="宋体" w:cs="宋体" w:eastAsia="宋体" w:hint="default"/>
        </w:rPr>
        <w:t>6</w:t>
      </w:r>
      <w:r>
        <w:rPr>
          <w:rFonts w:ascii="宋体" w:hAnsi="宋体" w:cs="宋体" w:eastAsia="宋体" w:hint="default"/>
          <w:spacing w:val="-47"/>
        </w:rPr>
        <w:t> </w:t>
      </w:r>
      <w:r>
        <w:rPr/>
        <w:t>月</w:t>
      </w:r>
      <w:r>
        <w:rPr>
          <w:spacing w:val="-49"/>
        </w:rPr>
        <w:t> </w:t>
      </w:r>
      <w:r>
        <w:rPr>
          <w:rFonts w:ascii="宋体" w:hAnsi="宋体" w:cs="宋体" w:eastAsia="宋体" w:hint="default"/>
        </w:rPr>
        <w:t>21</w:t>
      </w:r>
      <w:r>
        <w:rPr>
          <w:rFonts w:ascii="宋体" w:hAnsi="宋体" w:cs="宋体" w:eastAsia="宋体" w:hint="default"/>
          <w:spacing w:val="-47"/>
        </w:rPr>
        <w:t> </w:t>
      </w:r>
      <w:r>
        <w:rPr/>
        <w:t>日，公司召开了第三届董事会第二十三次会议，审议通过《关于使用自有资金参与投 </w:t>
      </w:r>
      <w:r>
        <w:rPr>
          <w:spacing w:val="-1"/>
        </w:rPr>
        <w:t>资设立产业并购基金的议案》，同意公司与木华资本管理</w:t>
      </w:r>
      <w:r>
        <w:rPr>
          <w:rFonts w:ascii="宋体" w:hAnsi="宋体" w:cs="宋体" w:eastAsia="宋体" w:hint="default"/>
          <w:spacing w:val="-1"/>
        </w:rPr>
        <w:t>(</w:t>
      </w:r>
      <w:r>
        <w:rPr>
          <w:spacing w:val="-1"/>
        </w:rPr>
        <w:t>昆山</w:t>
      </w:r>
      <w:r>
        <w:rPr>
          <w:rFonts w:ascii="宋体" w:hAnsi="宋体" w:cs="宋体" w:eastAsia="宋体" w:hint="default"/>
          <w:spacing w:val="-1"/>
        </w:rPr>
        <w:t>)</w:t>
      </w:r>
      <w:r>
        <w:rPr>
          <w:spacing w:val="-1"/>
        </w:rPr>
        <w:t>合伙企业、重庆四联投资管理有限公司、</w:t>
      </w:r>
      <w:r>
        <w:rPr>
          <w:spacing w:val="-87"/>
        </w:rPr>
        <w:t> </w:t>
      </w:r>
      <w:r>
        <w:rPr>
          <w:spacing w:val="-87"/>
        </w:rPr>
      </w:r>
      <w:r>
        <w:rPr>
          <w:spacing w:val="-1"/>
        </w:rPr>
        <w:t>苏州试验仪器总厂共同设立国仪投资</w:t>
      </w:r>
      <w:r>
        <w:rPr>
          <w:rFonts w:ascii="宋体" w:hAnsi="宋体" w:cs="宋体" w:eastAsia="宋体" w:hint="default"/>
          <w:spacing w:val="-1"/>
        </w:rPr>
        <w:t>(</w:t>
      </w:r>
      <w:r>
        <w:rPr>
          <w:spacing w:val="-1"/>
        </w:rPr>
        <w:t>深圳</w:t>
      </w:r>
      <w:r>
        <w:rPr>
          <w:rFonts w:ascii="宋体" w:hAnsi="宋体" w:cs="宋体" w:eastAsia="宋体" w:hint="default"/>
          <w:spacing w:val="-1"/>
        </w:rPr>
        <w:t>)</w:t>
      </w:r>
      <w:r>
        <w:rPr>
          <w:spacing w:val="-1"/>
        </w:rPr>
        <w:t>合伙企业（以下简称“国仪投资”）。报告期内，公司收到了</w:t>
      </w:r>
      <w:r>
        <w:rPr>
          <w:spacing w:val="-90"/>
        </w:rPr>
        <w:t> </w:t>
      </w:r>
      <w:r>
        <w:rPr>
          <w:spacing w:val="-90"/>
        </w:rPr>
      </w:r>
      <w:r>
        <w:rPr>
          <w:spacing w:val="-1"/>
        </w:rPr>
        <w:t>国仪投资的通知，该产业基金已在中国证券投资基金业协会完成备案手续，并取得了《私募投资基金备案</w:t>
      </w:r>
      <w:r>
        <w:rPr>
          <w:spacing w:val="-83"/>
        </w:rPr>
        <w:t> </w:t>
      </w:r>
      <w:r>
        <w:rPr>
          <w:spacing w:val="-83"/>
        </w:rPr>
      </w:r>
      <w:r>
        <w:rPr/>
        <w:t>证明》</w:t>
      </w:r>
      <w:r>
        <w:rPr>
          <w:rFonts w:ascii="宋体" w:hAnsi="宋体" w:cs="宋体" w:eastAsia="宋体" w:hint="default"/>
        </w:rPr>
        <w:t>(</w:t>
      </w:r>
      <w:r>
        <w:rPr/>
        <w:t>备案编码：</w:t>
      </w:r>
      <w:r>
        <w:rPr>
          <w:rFonts w:ascii="宋体" w:hAnsi="宋体" w:cs="宋体" w:eastAsia="宋体" w:hint="default"/>
        </w:rPr>
        <w:t>SR8500)</w:t>
      </w:r>
      <w:r>
        <w:rPr/>
        <w:t>。具体信息请查阅公司于</w:t>
      </w:r>
      <w:r>
        <w:rPr>
          <w:spacing w:val="-54"/>
        </w:rPr>
        <w:t> </w:t>
      </w:r>
      <w:r>
        <w:rPr>
          <w:rFonts w:ascii="宋体" w:hAnsi="宋体" w:cs="宋体" w:eastAsia="宋体" w:hint="default"/>
        </w:rPr>
        <w:t>2016</w:t>
      </w:r>
      <w:r>
        <w:rPr>
          <w:rFonts w:ascii="宋体" w:hAnsi="宋体" w:cs="宋体" w:eastAsia="宋体" w:hint="default"/>
          <w:spacing w:val="-55"/>
        </w:rPr>
        <w:t> </w:t>
      </w:r>
      <w:r>
        <w:rPr/>
        <w:t>年</w:t>
      </w:r>
      <w:r>
        <w:rPr>
          <w:spacing w:val="-56"/>
        </w:rPr>
        <w:t> </w:t>
      </w:r>
      <w:r>
        <w:rPr>
          <w:rFonts w:ascii="宋体" w:hAnsi="宋体" w:cs="宋体" w:eastAsia="宋体" w:hint="default"/>
        </w:rPr>
        <w:t>6</w:t>
      </w:r>
      <w:r>
        <w:rPr>
          <w:rFonts w:ascii="宋体" w:hAnsi="宋体" w:cs="宋体" w:eastAsia="宋体" w:hint="default"/>
          <w:spacing w:val="-54"/>
        </w:rPr>
        <w:t> </w:t>
      </w:r>
      <w:r>
        <w:rPr/>
        <w:t>月</w:t>
      </w:r>
      <w:r>
        <w:rPr>
          <w:spacing w:val="-56"/>
        </w:rPr>
        <w:t> </w:t>
      </w:r>
      <w:r>
        <w:rPr>
          <w:rFonts w:ascii="宋体" w:hAnsi="宋体" w:cs="宋体" w:eastAsia="宋体" w:hint="default"/>
        </w:rPr>
        <w:t>21</w:t>
      </w:r>
      <w:r>
        <w:rPr>
          <w:rFonts w:ascii="宋体" w:hAnsi="宋体" w:cs="宋体" w:eastAsia="宋体" w:hint="default"/>
          <w:spacing w:val="-54"/>
        </w:rPr>
        <w:t> </w:t>
      </w:r>
      <w:r>
        <w:rPr/>
        <w:t>日、</w:t>
      </w:r>
      <w:r>
        <w:rPr>
          <w:rFonts w:ascii="宋体" w:hAnsi="宋体" w:cs="宋体" w:eastAsia="宋体" w:hint="default"/>
        </w:rPr>
        <w:t>2016</w:t>
      </w:r>
      <w:r>
        <w:rPr>
          <w:rFonts w:ascii="宋体" w:hAnsi="宋体" w:cs="宋体" w:eastAsia="宋体" w:hint="default"/>
          <w:spacing w:val="-54"/>
        </w:rPr>
        <w:t> </w:t>
      </w:r>
      <w:r>
        <w:rPr/>
        <w:t>年</w:t>
      </w:r>
      <w:r>
        <w:rPr>
          <w:spacing w:val="-56"/>
        </w:rPr>
        <w:t> </w:t>
      </w:r>
      <w:r>
        <w:rPr>
          <w:rFonts w:ascii="宋体" w:hAnsi="宋体" w:cs="宋体" w:eastAsia="宋体" w:hint="default"/>
        </w:rPr>
        <w:t>6</w:t>
      </w:r>
      <w:r>
        <w:rPr>
          <w:rFonts w:ascii="宋体" w:hAnsi="宋体" w:cs="宋体" w:eastAsia="宋体" w:hint="default"/>
          <w:spacing w:val="-54"/>
        </w:rPr>
        <w:t> </w:t>
      </w:r>
      <w:r>
        <w:rPr/>
        <w:t>月</w:t>
      </w:r>
      <w:r>
        <w:rPr>
          <w:spacing w:val="-56"/>
        </w:rPr>
        <w:t> </w:t>
      </w:r>
      <w:r>
        <w:rPr>
          <w:rFonts w:ascii="宋体" w:hAnsi="宋体" w:cs="宋体" w:eastAsia="宋体" w:hint="default"/>
        </w:rPr>
        <w:t>30</w:t>
      </w:r>
      <w:r>
        <w:rPr>
          <w:rFonts w:ascii="宋体" w:hAnsi="宋体" w:cs="宋体" w:eastAsia="宋体" w:hint="default"/>
          <w:spacing w:val="-54"/>
        </w:rPr>
        <w:t> </w:t>
      </w:r>
      <w:r>
        <w:rPr/>
        <w:t>日、</w:t>
      </w:r>
      <w:r>
        <w:rPr>
          <w:rFonts w:ascii="宋体" w:hAnsi="宋体" w:cs="宋体" w:eastAsia="宋体" w:hint="default"/>
        </w:rPr>
        <w:t>2017</w:t>
      </w:r>
      <w:r>
        <w:rPr>
          <w:rFonts w:ascii="宋体" w:hAnsi="宋体" w:cs="宋体" w:eastAsia="宋体" w:hint="default"/>
          <w:spacing w:val="-56"/>
        </w:rPr>
        <w:t> </w:t>
      </w:r>
      <w:r>
        <w:rPr/>
        <w:t>年</w:t>
      </w:r>
      <w:r>
        <w:rPr>
          <w:spacing w:val="-55"/>
        </w:rPr>
        <w:t> </w:t>
      </w:r>
      <w:r>
        <w:rPr>
          <w:rFonts w:ascii="宋体" w:hAnsi="宋体" w:cs="宋体" w:eastAsia="宋体" w:hint="default"/>
        </w:rPr>
        <w:t>5</w:t>
      </w:r>
      <w:r>
        <w:rPr>
          <w:rFonts w:ascii="宋体" w:hAnsi="宋体" w:cs="宋体" w:eastAsia="宋体" w:hint="default"/>
          <w:spacing w:val="-54"/>
        </w:rPr>
        <w:t> </w:t>
      </w:r>
      <w:r>
        <w:rPr/>
        <w:t>月</w:t>
      </w:r>
    </w:p>
    <w:p>
      <w:pPr>
        <w:pStyle w:val="BodyText"/>
        <w:spacing w:line="240" w:lineRule="auto"/>
        <w:ind w:right="0"/>
        <w:jc w:val="both"/>
      </w:pPr>
      <w:r>
        <w:rPr>
          <w:rFonts w:ascii="宋体" w:hAnsi="宋体" w:cs="宋体" w:eastAsia="宋体" w:hint="default"/>
        </w:rPr>
        <w:t>26</w:t>
      </w:r>
      <w:r>
        <w:rPr>
          <w:rFonts w:ascii="宋体" w:hAnsi="宋体" w:cs="宋体" w:eastAsia="宋体" w:hint="default"/>
          <w:spacing w:val="-54"/>
        </w:rPr>
        <w:t> </w:t>
      </w:r>
      <w:r>
        <w:rPr/>
        <w:t>日在巨潮资讯网刊登的公告。</w:t>
      </w:r>
    </w:p>
    <w:p>
      <w:pPr>
        <w:spacing w:line="240" w:lineRule="auto" w:before="10"/>
        <w:rPr>
          <w:rFonts w:ascii="宋体" w:hAnsi="宋体" w:cs="宋体" w:eastAsia="宋体" w:hint="default"/>
          <w:sz w:val="14"/>
          <w:szCs w:val="14"/>
        </w:rPr>
      </w:pPr>
    </w:p>
    <w:p>
      <w:pPr>
        <w:pStyle w:val="BodyText"/>
        <w:spacing w:line="240" w:lineRule="auto" w:before="0"/>
        <w:ind w:left="1553" w:right="0"/>
        <w:jc w:val="left"/>
      </w:pPr>
      <w:r>
        <w:rPr>
          <w:rFonts w:ascii="宋体" w:hAnsi="宋体" w:cs="宋体" w:eastAsia="宋体" w:hint="default"/>
        </w:rPr>
        <w:t>3</w:t>
      </w:r>
      <w:r>
        <w:rPr/>
        <w:t>、子公司收到政府专项资金</w:t>
      </w:r>
    </w:p>
    <w:p>
      <w:pPr>
        <w:spacing w:line="240" w:lineRule="auto" w:before="10"/>
        <w:rPr>
          <w:rFonts w:ascii="宋体" w:hAnsi="宋体" w:cs="宋体" w:eastAsia="宋体" w:hint="default"/>
          <w:sz w:val="14"/>
          <w:szCs w:val="14"/>
        </w:rPr>
      </w:pPr>
    </w:p>
    <w:p>
      <w:pPr>
        <w:pStyle w:val="BodyText"/>
        <w:spacing w:line="240" w:lineRule="auto" w:before="0"/>
        <w:ind w:left="1553" w:right="0"/>
        <w:jc w:val="left"/>
      </w:pPr>
      <w:r>
        <w:rPr>
          <w:rFonts w:ascii="宋体" w:hAnsi="宋体" w:cs="宋体" w:eastAsia="宋体" w:hint="default"/>
        </w:rPr>
        <w:t>2017</w:t>
      </w:r>
      <w:r>
        <w:rPr>
          <w:rFonts w:ascii="宋体" w:hAnsi="宋体" w:cs="宋体" w:eastAsia="宋体" w:hint="default"/>
          <w:spacing w:val="-54"/>
        </w:rPr>
        <w:t> </w:t>
      </w:r>
      <w:r>
        <w:rPr/>
        <w:t>年</w:t>
      </w:r>
      <w:r>
        <w:rPr>
          <w:spacing w:val="-55"/>
        </w:rPr>
        <w:t> </w:t>
      </w:r>
      <w:r>
        <w:rPr>
          <w:rFonts w:ascii="宋体" w:hAnsi="宋体" w:cs="宋体" w:eastAsia="宋体" w:hint="default"/>
        </w:rPr>
        <w:t>6</w:t>
      </w:r>
      <w:r>
        <w:rPr>
          <w:rFonts w:ascii="宋体" w:hAnsi="宋体" w:cs="宋体" w:eastAsia="宋体" w:hint="default"/>
          <w:spacing w:val="-55"/>
        </w:rPr>
        <w:t> </w:t>
      </w:r>
      <w:r>
        <w:rPr/>
        <w:t>月</w:t>
      </w:r>
      <w:r>
        <w:rPr>
          <w:spacing w:val="-56"/>
        </w:rPr>
        <w:t> </w:t>
      </w:r>
      <w:r>
        <w:rPr>
          <w:rFonts w:ascii="宋体" w:hAnsi="宋体" w:cs="宋体" w:eastAsia="宋体" w:hint="default"/>
        </w:rPr>
        <w:t>27</w:t>
      </w:r>
      <w:r>
        <w:rPr>
          <w:rFonts w:ascii="宋体" w:hAnsi="宋体" w:cs="宋体" w:eastAsia="宋体" w:hint="default"/>
          <w:spacing w:val="-54"/>
        </w:rPr>
        <w:t> </w:t>
      </w:r>
      <w:r>
        <w:rPr>
          <w:spacing w:val="-5"/>
        </w:rPr>
        <w:t>日、</w:t>
      </w:r>
      <w:r>
        <w:rPr>
          <w:rFonts w:ascii="宋体" w:hAnsi="宋体" w:cs="宋体" w:eastAsia="宋体" w:hint="default"/>
          <w:spacing w:val="-5"/>
        </w:rPr>
        <w:t>2017</w:t>
      </w:r>
      <w:r>
        <w:rPr>
          <w:rFonts w:ascii="宋体" w:hAnsi="宋体" w:cs="宋体" w:eastAsia="宋体" w:hint="default"/>
          <w:spacing w:val="-56"/>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5"/>
        </w:rPr>
        <w:t> </w:t>
      </w:r>
      <w:r>
        <w:rPr>
          <w:rFonts w:ascii="宋体" w:hAnsi="宋体" w:cs="宋体" w:eastAsia="宋体" w:hint="default"/>
        </w:rPr>
        <w:t>29</w:t>
      </w:r>
      <w:r>
        <w:rPr>
          <w:rFonts w:ascii="宋体" w:hAnsi="宋体" w:cs="宋体" w:eastAsia="宋体" w:hint="default"/>
          <w:spacing w:val="-55"/>
        </w:rPr>
        <w:t> </w:t>
      </w:r>
      <w:r>
        <w:rPr>
          <w:spacing w:val="-5"/>
        </w:rPr>
        <w:t>日、</w:t>
      </w:r>
      <w:r>
        <w:rPr>
          <w:rFonts w:ascii="宋体" w:hAnsi="宋体" w:cs="宋体" w:eastAsia="宋体" w:hint="default"/>
          <w:spacing w:val="-5"/>
        </w:rPr>
        <w:t>2018</w:t>
      </w:r>
      <w:r>
        <w:rPr>
          <w:rFonts w:ascii="宋体" w:hAnsi="宋体" w:cs="宋体" w:eastAsia="宋体" w:hint="default"/>
          <w:spacing w:val="-55"/>
        </w:rPr>
        <w:t> </w:t>
      </w:r>
      <w:r>
        <w:rPr/>
        <w:t>年</w:t>
      </w:r>
      <w:r>
        <w:rPr>
          <w:spacing w:val="-56"/>
        </w:rPr>
        <w:t> </w:t>
      </w:r>
      <w:r>
        <w:rPr>
          <w:rFonts w:ascii="宋体" w:hAnsi="宋体" w:cs="宋体" w:eastAsia="宋体" w:hint="default"/>
        </w:rPr>
        <w:t>2</w:t>
      </w:r>
      <w:r>
        <w:rPr>
          <w:rFonts w:ascii="宋体" w:hAnsi="宋体" w:cs="宋体" w:eastAsia="宋体" w:hint="default"/>
          <w:spacing w:val="-54"/>
        </w:rPr>
        <w:t> </w:t>
      </w:r>
      <w:r>
        <w:rPr/>
        <w:t>月</w:t>
      </w:r>
      <w:r>
        <w:rPr>
          <w:spacing w:val="-56"/>
        </w:rPr>
        <w:t> </w:t>
      </w:r>
      <w:r>
        <w:rPr>
          <w:rFonts w:ascii="宋体" w:hAnsi="宋体" w:cs="宋体" w:eastAsia="宋体" w:hint="default"/>
        </w:rPr>
        <w:t>8</w:t>
      </w:r>
      <w:r>
        <w:rPr>
          <w:rFonts w:ascii="宋体" w:hAnsi="宋体" w:cs="宋体" w:eastAsia="宋体" w:hint="default"/>
          <w:spacing w:val="-54"/>
        </w:rPr>
        <w:t> </w:t>
      </w:r>
      <w:r>
        <w:rPr/>
        <w:t>日，汉威智源及汉威公用下属子公司分别收到</w:t>
      </w:r>
    </w:p>
    <w:p>
      <w:pPr>
        <w:spacing w:line="240" w:lineRule="auto" w:before="10"/>
        <w:rPr>
          <w:rFonts w:ascii="宋体" w:hAnsi="宋体" w:cs="宋体" w:eastAsia="宋体" w:hint="default"/>
          <w:sz w:val="14"/>
          <w:szCs w:val="14"/>
        </w:rPr>
      </w:pPr>
    </w:p>
    <w:p>
      <w:pPr>
        <w:pStyle w:val="BodyText"/>
        <w:spacing w:line="240" w:lineRule="auto" w:before="0"/>
        <w:ind w:right="0"/>
        <w:jc w:val="both"/>
        <w:rPr>
          <w:rFonts w:ascii="宋体" w:hAnsi="宋体" w:cs="宋体" w:eastAsia="宋体" w:hint="default"/>
        </w:rPr>
      </w:pPr>
      <w:r>
        <w:rPr>
          <w:spacing w:val="-8"/>
        </w:rPr>
        <w:t>了政府专项资金，共计</w:t>
      </w:r>
      <w:r>
        <w:rPr>
          <w:spacing w:val="-51"/>
        </w:rPr>
        <w:t> </w:t>
      </w:r>
      <w:r>
        <w:rPr>
          <w:rFonts w:ascii="宋体" w:hAnsi="宋体" w:cs="宋体" w:eastAsia="宋体" w:hint="default"/>
        </w:rPr>
        <w:t>40,088.08</w:t>
      </w:r>
      <w:r>
        <w:rPr>
          <w:rFonts w:ascii="宋体" w:hAnsi="宋体" w:cs="宋体" w:eastAsia="宋体" w:hint="default"/>
          <w:spacing w:val="-51"/>
        </w:rPr>
        <w:t> </w:t>
      </w:r>
      <w:r>
        <w:rPr>
          <w:spacing w:val="-6"/>
        </w:rPr>
        <w:t>万元。具体信息请查阅公司于</w:t>
      </w:r>
      <w:r>
        <w:rPr>
          <w:spacing w:val="-51"/>
        </w:rPr>
        <w:t> </w:t>
      </w:r>
      <w:r>
        <w:rPr>
          <w:rFonts w:ascii="宋体" w:hAnsi="宋体" w:cs="宋体" w:eastAsia="宋体" w:hint="default"/>
        </w:rPr>
        <w:t>2017</w:t>
      </w:r>
      <w:r>
        <w:rPr>
          <w:rFonts w:ascii="宋体" w:hAnsi="宋体" w:cs="宋体" w:eastAsia="宋体" w:hint="default"/>
          <w:spacing w:val="-52"/>
        </w:rPr>
        <w:t> </w:t>
      </w:r>
      <w:r>
        <w:rPr/>
        <w:t>年</w:t>
      </w:r>
      <w:r>
        <w:rPr>
          <w:spacing w:val="-53"/>
        </w:rPr>
        <w:t> </w:t>
      </w:r>
      <w:r>
        <w:rPr>
          <w:rFonts w:ascii="宋体" w:hAnsi="宋体" w:cs="宋体" w:eastAsia="宋体" w:hint="default"/>
        </w:rPr>
        <w:t>6</w:t>
      </w:r>
      <w:r>
        <w:rPr>
          <w:rFonts w:ascii="宋体" w:hAnsi="宋体" w:cs="宋体" w:eastAsia="宋体" w:hint="default"/>
          <w:spacing w:val="-52"/>
        </w:rPr>
        <w:t> </w:t>
      </w:r>
      <w:r>
        <w:rPr/>
        <w:t>月</w:t>
      </w:r>
      <w:r>
        <w:rPr>
          <w:spacing w:val="-52"/>
        </w:rPr>
        <w:t> </w:t>
      </w:r>
      <w:r>
        <w:rPr>
          <w:rFonts w:ascii="宋体" w:hAnsi="宋体" w:cs="宋体" w:eastAsia="宋体" w:hint="default"/>
        </w:rPr>
        <w:t>29</w:t>
      </w:r>
      <w:r>
        <w:rPr>
          <w:rFonts w:ascii="宋体" w:hAnsi="宋体" w:cs="宋体" w:eastAsia="宋体" w:hint="default"/>
          <w:spacing w:val="-51"/>
        </w:rPr>
        <w:t> </w:t>
      </w:r>
      <w:r>
        <w:rPr>
          <w:spacing w:val="-12"/>
        </w:rPr>
        <w:t>日、</w:t>
      </w:r>
      <w:r>
        <w:rPr>
          <w:rFonts w:ascii="宋体" w:hAnsi="宋体" w:cs="宋体" w:eastAsia="宋体" w:hint="default"/>
          <w:spacing w:val="-12"/>
        </w:rPr>
        <w:t>2018</w:t>
      </w:r>
      <w:r>
        <w:rPr>
          <w:rFonts w:ascii="宋体" w:hAnsi="宋体" w:cs="宋体" w:eastAsia="宋体" w:hint="default"/>
          <w:spacing w:val="-52"/>
        </w:rPr>
        <w:t> </w:t>
      </w:r>
      <w:r>
        <w:rPr/>
        <w:t>年</w:t>
      </w:r>
      <w:r>
        <w:rPr>
          <w:spacing w:val="-53"/>
        </w:rPr>
        <w:t> </w:t>
      </w:r>
      <w:r>
        <w:rPr>
          <w:rFonts w:ascii="宋体" w:hAnsi="宋体" w:cs="宋体" w:eastAsia="宋体" w:hint="default"/>
        </w:rPr>
        <w:t>1</w:t>
      </w:r>
      <w:r>
        <w:rPr>
          <w:rFonts w:ascii="宋体" w:hAnsi="宋体" w:cs="宋体" w:eastAsia="宋体" w:hint="default"/>
          <w:spacing w:val="-51"/>
        </w:rPr>
        <w:t> </w:t>
      </w:r>
      <w:r>
        <w:rPr/>
        <w:t>月</w:t>
      </w:r>
      <w:r>
        <w:rPr>
          <w:spacing w:val="-53"/>
        </w:rPr>
        <w:t> </w:t>
      </w:r>
      <w:r>
        <w:rPr>
          <w:rFonts w:ascii="宋体" w:hAnsi="宋体" w:cs="宋体" w:eastAsia="宋体" w:hint="default"/>
        </w:rPr>
        <w:t>2</w:t>
      </w:r>
      <w:r>
        <w:rPr>
          <w:rFonts w:ascii="宋体" w:hAnsi="宋体" w:cs="宋体" w:eastAsia="宋体" w:hint="default"/>
          <w:spacing w:val="-51"/>
        </w:rPr>
        <w:t> </w:t>
      </w:r>
      <w:r>
        <w:rPr>
          <w:spacing w:val="-13"/>
        </w:rPr>
        <w:t>日、</w:t>
      </w:r>
      <w:r>
        <w:rPr>
          <w:rFonts w:ascii="宋体" w:hAnsi="宋体" w:cs="宋体" w:eastAsia="宋体" w:hint="default"/>
          <w:spacing w:val="-13"/>
        </w:rPr>
        <w:t>2018</w:t>
      </w:r>
    </w:p>
    <w:p>
      <w:pPr>
        <w:spacing w:line="240" w:lineRule="auto" w:before="10"/>
        <w:rPr>
          <w:rFonts w:ascii="宋体" w:hAnsi="宋体" w:cs="宋体" w:eastAsia="宋体" w:hint="default"/>
          <w:sz w:val="14"/>
          <w:szCs w:val="14"/>
        </w:rPr>
      </w:pPr>
    </w:p>
    <w:p>
      <w:pPr>
        <w:pStyle w:val="BodyText"/>
        <w:spacing w:line="408" w:lineRule="auto" w:before="0"/>
        <w:ind w:left="1553" w:right="7082" w:hanging="420"/>
        <w:jc w:val="left"/>
      </w:pPr>
      <w:r>
        <w:rPr/>
        <w:t>年</w:t>
      </w:r>
      <w:r>
        <w:rPr>
          <w:spacing w:val="-54"/>
        </w:rPr>
        <w:t> </w:t>
      </w:r>
      <w:r>
        <w:rPr>
          <w:rFonts w:ascii="宋体" w:hAnsi="宋体" w:cs="宋体" w:eastAsia="宋体" w:hint="default"/>
        </w:rPr>
        <w:t>2</w:t>
      </w:r>
      <w:r>
        <w:rPr>
          <w:rFonts w:ascii="宋体" w:hAnsi="宋体" w:cs="宋体" w:eastAsia="宋体" w:hint="default"/>
          <w:spacing w:val="-53"/>
        </w:rPr>
        <w:t> </w:t>
      </w:r>
      <w:r>
        <w:rPr/>
        <w:t>月</w:t>
      </w:r>
      <w:r>
        <w:rPr>
          <w:spacing w:val="-54"/>
        </w:rPr>
        <w:t> </w:t>
      </w:r>
      <w:r>
        <w:rPr>
          <w:rFonts w:ascii="宋体" w:hAnsi="宋体" w:cs="宋体" w:eastAsia="宋体" w:hint="default"/>
        </w:rPr>
        <w:t>26</w:t>
      </w:r>
      <w:r>
        <w:rPr>
          <w:rFonts w:ascii="宋体" w:hAnsi="宋体" w:cs="宋体" w:eastAsia="宋体" w:hint="default"/>
          <w:spacing w:val="-53"/>
        </w:rPr>
        <w:t> </w:t>
      </w:r>
      <w:r>
        <w:rPr/>
        <w:t>日在巨潮资讯网刊登的公告。 </w:t>
      </w:r>
      <w:r>
        <w:rPr>
          <w:rFonts w:ascii="宋体" w:hAnsi="宋体" w:cs="宋体" w:eastAsia="宋体" w:hint="default"/>
        </w:rPr>
        <w:t>4</w:t>
      </w:r>
      <w:r>
        <w:rPr/>
        <w:t>、炜盛科技签署海外投资协议</w:t>
      </w:r>
    </w:p>
    <w:p>
      <w:pPr>
        <w:pStyle w:val="BodyText"/>
        <w:spacing w:line="408" w:lineRule="auto"/>
        <w:ind w:right="1132" w:firstLine="420"/>
        <w:jc w:val="both"/>
      </w:pPr>
      <w:r>
        <w:rPr>
          <w:rFonts w:ascii="宋体" w:hAnsi="宋体" w:cs="宋体" w:eastAsia="宋体" w:hint="default"/>
        </w:rPr>
        <w:t>2017</w:t>
      </w:r>
      <w:r>
        <w:rPr>
          <w:rFonts w:ascii="宋体" w:hAnsi="宋体" w:cs="宋体" w:eastAsia="宋体" w:hint="default"/>
          <w:spacing w:val="-45"/>
        </w:rPr>
        <w:t> </w:t>
      </w:r>
      <w:r>
        <w:rPr/>
        <w:t>年</w:t>
      </w:r>
      <w:r>
        <w:rPr>
          <w:spacing w:val="-47"/>
        </w:rPr>
        <w:t> </w:t>
      </w:r>
      <w:r>
        <w:rPr>
          <w:rFonts w:ascii="宋体" w:hAnsi="宋体" w:cs="宋体" w:eastAsia="宋体" w:hint="default"/>
        </w:rPr>
        <w:t>7</w:t>
      </w:r>
      <w:r>
        <w:rPr>
          <w:rFonts w:ascii="宋体" w:hAnsi="宋体" w:cs="宋体" w:eastAsia="宋体" w:hint="default"/>
          <w:spacing w:val="-47"/>
        </w:rPr>
        <w:t> </w:t>
      </w:r>
      <w:r>
        <w:rPr/>
        <w:t>月</w:t>
      </w:r>
      <w:r>
        <w:rPr>
          <w:spacing w:val="-48"/>
        </w:rPr>
        <w:t> </w:t>
      </w:r>
      <w:r>
        <w:rPr>
          <w:rFonts w:ascii="宋体" w:hAnsi="宋体" w:cs="宋体" w:eastAsia="宋体" w:hint="default"/>
        </w:rPr>
        <w:t>7</w:t>
      </w:r>
      <w:r>
        <w:rPr>
          <w:rFonts w:ascii="宋体" w:hAnsi="宋体" w:cs="宋体" w:eastAsia="宋体" w:hint="default"/>
          <w:spacing w:val="-45"/>
        </w:rPr>
        <w:t> </w:t>
      </w:r>
      <w:r>
        <w:rPr>
          <w:spacing w:val="-3"/>
        </w:rPr>
        <w:t>日，炜盛科技与周家伟博士、环球传感科技有限公司共同签署了《郑州炜盛电子科技有</w:t>
      </w:r>
      <w:r>
        <w:rPr/>
        <w:t> </w:t>
      </w:r>
      <w:r>
        <w:rPr>
          <w:spacing w:val="-1"/>
        </w:rPr>
        <w:t>限公司和周家伟博士和环球传感科技有限公司关于环球传感科技有限公司的股东协议》，炜盛科技以自有</w:t>
      </w:r>
      <w:r>
        <w:rPr>
          <w:spacing w:val="-94"/>
        </w:rPr>
        <w:t> </w:t>
      </w:r>
      <w:r>
        <w:rPr>
          <w:spacing w:val="-94"/>
        </w:rPr>
      </w:r>
      <w:r>
        <w:rPr/>
        <w:t>资金</w:t>
      </w:r>
      <w:r>
        <w:rPr>
          <w:spacing w:val="-55"/>
        </w:rPr>
        <w:t> </w:t>
      </w:r>
      <w:r>
        <w:rPr>
          <w:rFonts w:ascii="宋体" w:hAnsi="宋体" w:cs="宋体" w:eastAsia="宋体" w:hint="default"/>
        </w:rPr>
        <w:t>210,000</w:t>
      </w:r>
      <w:r>
        <w:rPr>
          <w:rFonts w:ascii="宋体" w:hAnsi="宋体" w:cs="宋体" w:eastAsia="宋体" w:hint="default"/>
          <w:spacing w:val="-54"/>
        </w:rPr>
        <w:t> </w:t>
      </w:r>
      <w:r>
        <w:rPr/>
        <w:t>英镑投资环球传感科技有限公司，获取其</w:t>
      </w:r>
      <w:r>
        <w:rPr>
          <w:spacing w:val="-54"/>
        </w:rPr>
        <w:t> </w:t>
      </w:r>
      <w:r>
        <w:rPr>
          <w:rFonts w:ascii="宋体" w:hAnsi="宋体" w:cs="宋体" w:eastAsia="宋体" w:hint="default"/>
        </w:rPr>
        <w:t>75%</w:t>
      </w:r>
      <w:r>
        <w:rPr/>
        <w:t>的股份。</w:t>
      </w:r>
    </w:p>
    <w:p>
      <w:pPr>
        <w:spacing w:after="0" w:line="408"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240" w:lineRule="auto" w:before="174"/>
        <w:ind w:left="1553" w:right="0"/>
        <w:jc w:val="left"/>
      </w:pPr>
      <w:r>
        <w:rPr>
          <w:rFonts w:ascii="宋体" w:hAnsi="宋体" w:cs="宋体" w:eastAsia="宋体" w:hint="default"/>
        </w:rPr>
        <w:t>5</w:t>
      </w:r>
      <w:r>
        <w:rPr/>
        <w:t>、炜盛科技对外投资上海芯物科技有限公司</w:t>
      </w:r>
    </w:p>
    <w:p>
      <w:pPr>
        <w:spacing w:line="240" w:lineRule="auto" w:before="10"/>
        <w:rPr>
          <w:rFonts w:ascii="宋体" w:hAnsi="宋体" w:cs="宋体" w:eastAsia="宋体" w:hint="default"/>
          <w:sz w:val="14"/>
          <w:szCs w:val="14"/>
        </w:rPr>
      </w:pPr>
    </w:p>
    <w:p>
      <w:pPr>
        <w:pStyle w:val="BodyText"/>
        <w:spacing w:line="240" w:lineRule="auto" w:before="0"/>
        <w:ind w:left="1553" w:right="0"/>
        <w:jc w:val="left"/>
      </w:pPr>
      <w:r>
        <w:rPr>
          <w:rFonts w:ascii="宋体" w:hAnsi="宋体" w:cs="宋体" w:eastAsia="宋体" w:hint="default"/>
        </w:rPr>
        <w:t>2017</w:t>
      </w:r>
      <w:r>
        <w:rPr>
          <w:rFonts w:ascii="宋体" w:hAnsi="宋体" w:cs="宋体" w:eastAsia="宋体" w:hint="default"/>
          <w:spacing w:val="-46"/>
        </w:rPr>
        <w:t> </w:t>
      </w:r>
      <w:r>
        <w:rPr/>
        <w:t>年</w:t>
      </w:r>
      <w:r>
        <w:rPr>
          <w:spacing w:val="-49"/>
        </w:rPr>
        <w:t> </w:t>
      </w:r>
      <w:r>
        <w:rPr>
          <w:rFonts w:ascii="宋体" w:hAnsi="宋体" w:cs="宋体" w:eastAsia="宋体" w:hint="default"/>
        </w:rPr>
        <w:t>9</w:t>
      </w:r>
      <w:r>
        <w:rPr>
          <w:rFonts w:ascii="宋体" w:hAnsi="宋体" w:cs="宋体" w:eastAsia="宋体" w:hint="default"/>
          <w:spacing w:val="-47"/>
        </w:rPr>
        <w:t> </w:t>
      </w:r>
      <w:r>
        <w:rPr/>
        <w:t>月</w:t>
      </w:r>
      <w:r>
        <w:rPr>
          <w:spacing w:val="-49"/>
        </w:rPr>
        <w:t> </w:t>
      </w:r>
      <w:r>
        <w:rPr>
          <w:rFonts w:ascii="宋体" w:hAnsi="宋体" w:cs="宋体" w:eastAsia="宋体" w:hint="default"/>
        </w:rPr>
        <w:t>13</w:t>
      </w:r>
      <w:r>
        <w:rPr>
          <w:rFonts w:ascii="宋体" w:hAnsi="宋体" w:cs="宋体" w:eastAsia="宋体" w:hint="default"/>
          <w:spacing w:val="-47"/>
        </w:rPr>
        <w:t> </w:t>
      </w:r>
      <w:r>
        <w:rPr/>
        <w:t>日，炜盛科技与上海新微技术研发中心有限公司、上海市嘉定区集体经济联合社、中</w:t>
      </w:r>
    </w:p>
    <w:p>
      <w:pPr>
        <w:spacing w:line="240" w:lineRule="auto" w:before="10"/>
        <w:rPr>
          <w:rFonts w:ascii="宋体" w:hAnsi="宋体" w:cs="宋体" w:eastAsia="宋体" w:hint="default"/>
          <w:sz w:val="14"/>
          <w:szCs w:val="14"/>
        </w:rPr>
      </w:pPr>
    </w:p>
    <w:p>
      <w:pPr>
        <w:pStyle w:val="BodyText"/>
        <w:spacing w:line="408" w:lineRule="auto" w:before="0"/>
        <w:ind w:right="1119"/>
        <w:jc w:val="left"/>
      </w:pPr>
      <w:r>
        <w:rPr>
          <w:spacing w:val="-3"/>
        </w:rPr>
        <w:t>电海康集团有限公司等签署了《上海芯物科技有限公司合资合同》。炜盛科技以自有资金</w:t>
      </w:r>
      <w:r>
        <w:rPr/>
        <w:t> </w:t>
      </w:r>
      <w:r>
        <w:rPr>
          <w:rFonts w:ascii="宋体" w:hAnsi="宋体" w:cs="宋体" w:eastAsia="宋体" w:hint="default"/>
        </w:rPr>
        <w:t>200</w:t>
      </w:r>
      <w:r>
        <w:rPr>
          <w:rFonts w:ascii="宋体" w:hAnsi="宋体" w:cs="宋体" w:eastAsia="宋体" w:hint="default"/>
          <w:spacing w:val="-14"/>
        </w:rPr>
        <w:t> </w:t>
      </w:r>
      <w:r>
        <w:rPr/>
        <w:t>万元投资上 海芯物科技有限公司，持有其</w:t>
      </w:r>
      <w:r>
        <w:rPr>
          <w:spacing w:val="-53"/>
        </w:rPr>
        <w:t> </w:t>
      </w:r>
      <w:r>
        <w:rPr>
          <w:rFonts w:ascii="宋体" w:hAnsi="宋体" w:cs="宋体" w:eastAsia="宋体" w:hint="default"/>
        </w:rPr>
        <w:t>1.88%</w:t>
      </w:r>
      <w:r>
        <w:rPr/>
        <w:t>股权。</w:t>
      </w:r>
    </w:p>
    <w:p>
      <w:pPr>
        <w:pStyle w:val="BodyText"/>
        <w:spacing w:line="240" w:lineRule="auto"/>
        <w:ind w:left="1553" w:right="0"/>
        <w:jc w:val="left"/>
      </w:pPr>
      <w:r>
        <w:rPr>
          <w:rFonts w:ascii="宋体" w:hAnsi="宋体" w:cs="宋体" w:eastAsia="宋体" w:hint="default"/>
        </w:rPr>
        <w:t>6</w:t>
      </w:r>
      <w:r>
        <w:rPr/>
        <w:t>、上海英吉森出售英吉森消防</w:t>
      </w:r>
    </w:p>
    <w:p>
      <w:pPr>
        <w:spacing w:line="240" w:lineRule="auto" w:before="10"/>
        <w:rPr>
          <w:rFonts w:ascii="宋体" w:hAnsi="宋体" w:cs="宋体" w:eastAsia="宋体" w:hint="default"/>
          <w:sz w:val="14"/>
          <w:szCs w:val="14"/>
        </w:rPr>
      </w:pPr>
    </w:p>
    <w:p>
      <w:pPr>
        <w:pStyle w:val="BodyText"/>
        <w:spacing w:line="408" w:lineRule="auto" w:before="0"/>
        <w:ind w:right="1125" w:firstLine="420"/>
        <w:jc w:val="left"/>
      </w:pPr>
      <w:r>
        <w:rPr>
          <w:rFonts w:ascii="宋体" w:hAnsi="宋体" w:cs="宋体" w:eastAsia="宋体" w:hint="default"/>
        </w:rPr>
        <w:t>2017</w:t>
      </w:r>
      <w:r>
        <w:rPr>
          <w:rFonts w:ascii="宋体" w:hAnsi="宋体" w:cs="宋体" w:eastAsia="宋体" w:hint="default"/>
          <w:spacing w:val="-46"/>
        </w:rPr>
        <w:t> </w:t>
      </w:r>
      <w:r>
        <w:rPr/>
        <w:t>年</w:t>
      </w:r>
      <w:r>
        <w:rPr>
          <w:spacing w:val="-48"/>
        </w:rPr>
        <w:t> </w:t>
      </w:r>
      <w:r>
        <w:rPr>
          <w:rFonts w:ascii="宋体" w:hAnsi="宋体" w:cs="宋体" w:eastAsia="宋体" w:hint="default"/>
        </w:rPr>
        <w:t>12</w:t>
      </w:r>
      <w:r>
        <w:rPr>
          <w:rFonts w:ascii="宋体" w:hAnsi="宋体" w:cs="宋体" w:eastAsia="宋体" w:hint="default"/>
          <w:spacing w:val="-48"/>
        </w:rPr>
        <w:t> </w:t>
      </w:r>
      <w:r>
        <w:rPr/>
        <w:t>月</w:t>
      </w:r>
      <w:r>
        <w:rPr>
          <w:spacing w:val="-48"/>
        </w:rPr>
        <w:t> </w:t>
      </w:r>
      <w:r>
        <w:rPr>
          <w:rFonts w:ascii="宋体" w:hAnsi="宋体" w:cs="宋体" w:eastAsia="宋体" w:hint="default"/>
        </w:rPr>
        <w:t>29</w:t>
      </w:r>
      <w:r>
        <w:rPr>
          <w:rFonts w:ascii="宋体" w:hAnsi="宋体" w:cs="宋体" w:eastAsia="宋体" w:hint="default"/>
          <w:spacing w:val="-46"/>
        </w:rPr>
        <w:t> </w:t>
      </w:r>
      <w:r>
        <w:rPr>
          <w:spacing w:val="-3"/>
        </w:rPr>
        <w:t>日，上海英吉森与杨帆、王钊三方签署了《关于上海英吉森消防设备有限公司之股权</w:t>
      </w:r>
      <w:r>
        <w:rPr/>
        <w:t> </w:t>
      </w:r>
      <w:r>
        <w:rPr>
          <w:spacing w:val="-9"/>
        </w:rPr>
        <w:t>收购协议》。扬帆及王钊以</w:t>
      </w:r>
      <w:r>
        <w:rPr>
          <w:spacing w:val="-47"/>
        </w:rPr>
        <w:t> </w:t>
      </w:r>
      <w:r>
        <w:rPr>
          <w:rFonts w:ascii="宋体" w:hAnsi="宋体" w:cs="宋体" w:eastAsia="宋体" w:hint="default"/>
        </w:rPr>
        <w:t>300</w:t>
      </w:r>
      <w:r>
        <w:rPr>
          <w:rFonts w:ascii="宋体" w:hAnsi="宋体" w:cs="宋体" w:eastAsia="宋体" w:hint="default"/>
          <w:spacing w:val="-47"/>
        </w:rPr>
        <w:t> </w:t>
      </w:r>
      <w:r>
        <w:rPr>
          <w:spacing w:val="-1"/>
        </w:rPr>
        <w:t>万元受让上海英吉森持有的英吉森消防</w:t>
      </w:r>
      <w:r>
        <w:rPr>
          <w:spacing w:val="-47"/>
        </w:rPr>
        <w:t> </w:t>
      </w:r>
      <w:r>
        <w:rPr>
          <w:rFonts w:ascii="宋体" w:hAnsi="宋体" w:cs="宋体" w:eastAsia="宋体" w:hint="default"/>
        </w:rPr>
        <w:t>100%</w:t>
      </w:r>
      <w:r>
        <w:rPr/>
        <w:t>股权。</w:t>
      </w:r>
    </w:p>
    <w:p>
      <w:pPr>
        <w:pStyle w:val="BodyText"/>
        <w:spacing w:line="240" w:lineRule="auto"/>
        <w:ind w:left="1553" w:right="0"/>
        <w:jc w:val="left"/>
      </w:pPr>
      <w:r>
        <w:rPr>
          <w:rFonts w:ascii="宋体" w:hAnsi="宋体" w:cs="宋体" w:eastAsia="宋体" w:hint="default"/>
        </w:rPr>
        <w:t>7</w:t>
      </w:r>
      <w:r>
        <w:rPr/>
        <w:t>、泰瑞数创完成</w:t>
      </w:r>
      <w:r>
        <w:rPr>
          <w:spacing w:val="-55"/>
        </w:rPr>
        <w:t> </w:t>
      </w:r>
      <w:r>
        <w:rPr>
          <w:rFonts w:ascii="宋体" w:hAnsi="宋体" w:cs="宋体" w:eastAsia="宋体" w:hint="default"/>
        </w:rPr>
        <w:t>B</w:t>
      </w:r>
      <w:r>
        <w:rPr>
          <w:rFonts w:ascii="宋体" w:hAnsi="宋体" w:cs="宋体" w:eastAsia="宋体" w:hint="default"/>
          <w:spacing w:val="-54"/>
        </w:rPr>
        <w:t> </w:t>
      </w:r>
      <w:r>
        <w:rPr/>
        <w:t>轮融资</w:t>
      </w:r>
    </w:p>
    <w:p>
      <w:pPr>
        <w:spacing w:line="240" w:lineRule="auto" w:before="10"/>
        <w:rPr>
          <w:rFonts w:ascii="宋体" w:hAnsi="宋体" w:cs="宋体" w:eastAsia="宋体" w:hint="default"/>
          <w:sz w:val="14"/>
          <w:szCs w:val="14"/>
        </w:rPr>
      </w:pPr>
    </w:p>
    <w:p>
      <w:pPr>
        <w:pStyle w:val="BodyText"/>
        <w:spacing w:line="408" w:lineRule="auto" w:before="0"/>
        <w:ind w:right="1131" w:firstLine="420"/>
        <w:jc w:val="both"/>
      </w:pPr>
      <w:r>
        <w:rPr>
          <w:rFonts w:ascii="宋体" w:hAnsi="宋体" w:cs="宋体" w:eastAsia="宋体" w:hint="default"/>
        </w:rPr>
        <w:t>2017</w:t>
      </w:r>
      <w:r>
        <w:rPr>
          <w:rFonts w:ascii="宋体" w:hAnsi="宋体" w:cs="宋体" w:eastAsia="宋体" w:hint="default"/>
          <w:spacing w:val="-45"/>
        </w:rPr>
        <w:t> </w:t>
      </w:r>
      <w:r>
        <w:rPr/>
        <w:t>年</w:t>
      </w:r>
      <w:r>
        <w:rPr>
          <w:spacing w:val="-48"/>
        </w:rPr>
        <w:t> </w:t>
      </w:r>
      <w:r>
        <w:rPr>
          <w:rFonts w:ascii="宋体" w:hAnsi="宋体" w:cs="宋体" w:eastAsia="宋体" w:hint="default"/>
          <w:spacing w:val="-1"/>
        </w:rPr>
        <w:t>11</w:t>
      </w:r>
      <w:r>
        <w:rPr>
          <w:rFonts w:ascii="宋体" w:hAnsi="宋体" w:cs="宋体" w:eastAsia="宋体" w:hint="default"/>
          <w:spacing w:val="-47"/>
        </w:rPr>
        <w:t> </w:t>
      </w:r>
      <w:r>
        <w:rPr/>
        <w:t>月</w:t>
      </w:r>
      <w:r>
        <w:rPr>
          <w:spacing w:val="-47"/>
        </w:rPr>
        <w:t> </w:t>
      </w:r>
      <w:r>
        <w:rPr>
          <w:rFonts w:ascii="宋体" w:hAnsi="宋体" w:cs="宋体" w:eastAsia="宋体" w:hint="default"/>
        </w:rPr>
        <w:t>16</w:t>
      </w:r>
      <w:r>
        <w:rPr>
          <w:rFonts w:ascii="宋体" w:hAnsi="宋体" w:cs="宋体" w:eastAsia="宋体" w:hint="default"/>
          <w:spacing w:val="-46"/>
        </w:rPr>
        <w:t> </w:t>
      </w:r>
      <w:r>
        <w:rPr>
          <w:spacing w:val="-3"/>
        </w:rPr>
        <w:t>日，公司与无锡润信股权投资中心（有限合伙）、共青城润信投资中心（有限合伙）</w:t>
      </w:r>
      <w:r>
        <w:rPr/>
        <w:t> </w:t>
      </w:r>
      <w:r>
        <w:rPr>
          <w:spacing w:val="-6"/>
        </w:rPr>
        <w:t>及泰瑞数创原股东签署了《关于泰瑞数创科技（北京）有限公司之增资协议》。无锡润信股权投资中心（有</w:t>
      </w:r>
      <w:r>
        <w:rPr>
          <w:spacing w:val="-60"/>
        </w:rPr>
        <w:t> </w:t>
      </w:r>
      <w:r>
        <w:rPr>
          <w:spacing w:val="-60"/>
        </w:rPr>
      </w:r>
      <w:r>
        <w:rPr/>
        <w:t>限合伙）及共青城润信投资中心（有限合伙）共计以</w:t>
      </w:r>
      <w:r>
        <w:rPr>
          <w:spacing w:val="-32"/>
        </w:rPr>
        <w:t> </w:t>
      </w:r>
      <w:r>
        <w:rPr>
          <w:rFonts w:ascii="宋体" w:hAnsi="宋体" w:cs="宋体" w:eastAsia="宋体" w:hint="default"/>
        </w:rPr>
        <w:t>4,000</w:t>
      </w:r>
      <w:r>
        <w:rPr>
          <w:rFonts w:ascii="宋体" w:hAnsi="宋体" w:cs="宋体" w:eastAsia="宋体" w:hint="default"/>
          <w:spacing w:val="-32"/>
        </w:rPr>
        <w:t> </w:t>
      </w:r>
      <w:r>
        <w:rPr/>
        <w:t>万元增资泰瑞数创，其中</w:t>
      </w:r>
      <w:r>
        <w:rPr>
          <w:spacing w:val="-33"/>
        </w:rPr>
        <w:t> </w:t>
      </w:r>
      <w:r>
        <w:rPr>
          <w:rFonts w:ascii="宋体" w:hAnsi="宋体" w:cs="宋体" w:eastAsia="宋体" w:hint="default"/>
        </w:rPr>
        <w:t>232.97</w:t>
      </w:r>
      <w:r>
        <w:rPr>
          <w:rFonts w:ascii="宋体" w:hAnsi="宋体" w:cs="宋体" w:eastAsia="宋体" w:hint="default"/>
          <w:spacing w:val="-33"/>
        </w:rPr>
        <w:t> </w:t>
      </w:r>
      <w:r>
        <w:rPr/>
        <w:t>万元作为泰 </w:t>
      </w:r>
      <w:r>
        <w:rPr>
          <w:spacing w:val="-2"/>
        </w:rPr>
        <w:t>瑞数创新增注册资本，占其增资后注册资本的</w:t>
      </w:r>
      <w:r>
        <w:rPr>
          <w:spacing w:val="-36"/>
        </w:rPr>
        <w:t> </w:t>
      </w:r>
      <w:r>
        <w:rPr>
          <w:rFonts w:ascii="宋体" w:hAnsi="宋体" w:cs="宋体" w:eastAsia="宋体" w:hint="default"/>
          <w:spacing w:val="-2"/>
        </w:rPr>
        <w:t>12.50%</w:t>
      </w:r>
      <w:r>
        <w:rPr>
          <w:spacing w:val="-2"/>
        </w:rPr>
        <w:t>。此次增资完成后，公司持有泰瑞数创的股权比例由</w:t>
      </w:r>
      <w:r>
        <w:rPr>
          <w:spacing w:val="-102"/>
        </w:rPr>
        <w:t> </w:t>
      </w:r>
      <w:r>
        <w:rPr>
          <w:spacing w:val="-102"/>
        </w:rPr>
      </w:r>
      <w:r>
        <w:rPr>
          <w:rFonts w:ascii="宋体" w:hAnsi="宋体" w:cs="宋体" w:eastAsia="宋体" w:hint="default"/>
        </w:rPr>
        <w:t>20%</w:t>
      </w:r>
      <w:r>
        <w:rPr/>
        <w:t>降至</w:t>
      </w:r>
      <w:r>
        <w:rPr>
          <w:spacing w:val="-53"/>
        </w:rPr>
        <w:t> </w:t>
      </w:r>
      <w:r>
        <w:rPr>
          <w:rFonts w:ascii="宋体" w:hAnsi="宋体" w:cs="宋体" w:eastAsia="宋体" w:hint="default"/>
        </w:rPr>
        <w:t>17.50%</w:t>
      </w:r>
      <w:r>
        <w:rPr/>
        <w:t>。</w:t>
      </w:r>
    </w:p>
    <w:p>
      <w:pPr>
        <w:pStyle w:val="BodyText"/>
        <w:spacing w:line="240" w:lineRule="auto"/>
        <w:ind w:left="1554" w:right="0"/>
        <w:jc w:val="left"/>
      </w:pPr>
      <w:r>
        <w:rPr>
          <w:rFonts w:ascii="宋体" w:hAnsi="宋体" w:cs="宋体" w:eastAsia="宋体" w:hint="default"/>
        </w:rPr>
        <w:t>8</w:t>
      </w:r>
      <w:r>
        <w:rPr/>
        <w:t>、广东龙泉投资设立合资公司</w:t>
      </w:r>
    </w:p>
    <w:p>
      <w:pPr>
        <w:spacing w:line="240" w:lineRule="auto" w:before="10"/>
        <w:rPr>
          <w:rFonts w:ascii="宋体" w:hAnsi="宋体" w:cs="宋体" w:eastAsia="宋体" w:hint="default"/>
          <w:sz w:val="14"/>
          <w:szCs w:val="14"/>
        </w:rPr>
      </w:pPr>
    </w:p>
    <w:p>
      <w:pPr>
        <w:pStyle w:val="BodyText"/>
        <w:spacing w:line="240" w:lineRule="auto" w:before="0"/>
        <w:ind w:left="1554" w:right="0"/>
        <w:jc w:val="left"/>
      </w:pPr>
      <w:r>
        <w:rPr>
          <w:rFonts w:ascii="宋体" w:hAnsi="宋体" w:cs="宋体" w:eastAsia="宋体" w:hint="default"/>
        </w:rPr>
        <w:t>2018</w:t>
      </w:r>
      <w:r>
        <w:rPr>
          <w:rFonts w:ascii="宋体" w:hAnsi="宋体" w:cs="宋体" w:eastAsia="宋体" w:hint="default"/>
          <w:spacing w:val="-46"/>
        </w:rPr>
        <w:t> </w:t>
      </w:r>
      <w:r>
        <w:rPr/>
        <w:t>年</w:t>
      </w:r>
      <w:r>
        <w:rPr>
          <w:spacing w:val="-49"/>
        </w:rPr>
        <w:t> </w:t>
      </w:r>
      <w:r>
        <w:rPr>
          <w:rFonts w:ascii="宋体" w:hAnsi="宋体" w:cs="宋体" w:eastAsia="宋体" w:hint="default"/>
        </w:rPr>
        <w:t>1</w:t>
      </w:r>
      <w:r>
        <w:rPr>
          <w:rFonts w:ascii="宋体" w:hAnsi="宋体" w:cs="宋体" w:eastAsia="宋体" w:hint="default"/>
          <w:spacing w:val="-47"/>
        </w:rPr>
        <w:t> </w:t>
      </w:r>
      <w:r>
        <w:rPr/>
        <w:t>月</w:t>
      </w:r>
      <w:r>
        <w:rPr>
          <w:spacing w:val="-49"/>
        </w:rPr>
        <w:t> </w:t>
      </w:r>
      <w:r>
        <w:rPr>
          <w:rFonts w:ascii="宋体" w:hAnsi="宋体" w:cs="宋体" w:eastAsia="宋体" w:hint="default"/>
        </w:rPr>
        <w:t>12</w:t>
      </w:r>
      <w:r>
        <w:rPr>
          <w:rFonts w:ascii="宋体" w:hAnsi="宋体" w:cs="宋体" w:eastAsia="宋体" w:hint="default"/>
          <w:spacing w:val="-47"/>
        </w:rPr>
        <w:t> </w:t>
      </w:r>
      <w:r>
        <w:rPr/>
        <w:t>日，广东龙泉与刘松利、张伟成立合资公司广州全通管道工程技术有限公司。该公司</w:t>
      </w:r>
    </w:p>
    <w:p>
      <w:pPr>
        <w:spacing w:line="240" w:lineRule="auto" w:before="10"/>
        <w:rPr>
          <w:rFonts w:ascii="宋体" w:hAnsi="宋体" w:cs="宋体" w:eastAsia="宋体" w:hint="default"/>
          <w:sz w:val="14"/>
          <w:szCs w:val="14"/>
        </w:rPr>
      </w:pPr>
    </w:p>
    <w:p>
      <w:pPr>
        <w:pStyle w:val="BodyText"/>
        <w:spacing w:line="408" w:lineRule="auto" w:before="0"/>
        <w:ind w:left="1553" w:right="4299" w:hanging="420"/>
        <w:jc w:val="left"/>
      </w:pPr>
      <w:r>
        <w:rPr/>
        <w:t>注册资本</w:t>
      </w:r>
      <w:r>
        <w:rPr>
          <w:spacing w:val="-53"/>
        </w:rPr>
        <w:t> </w:t>
      </w:r>
      <w:r>
        <w:rPr>
          <w:rFonts w:ascii="宋体" w:hAnsi="宋体" w:cs="宋体" w:eastAsia="宋体" w:hint="default"/>
        </w:rPr>
        <w:t>1,000</w:t>
      </w:r>
      <w:r>
        <w:rPr>
          <w:rFonts w:ascii="宋体" w:hAnsi="宋体" w:cs="宋体" w:eastAsia="宋体" w:hint="default"/>
          <w:spacing w:val="-53"/>
        </w:rPr>
        <w:t> </w:t>
      </w:r>
      <w:r>
        <w:rPr/>
        <w:t>万元，其中广东龙泉出资</w:t>
      </w:r>
      <w:r>
        <w:rPr>
          <w:spacing w:val="-53"/>
        </w:rPr>
        <w:t> </w:t>
      </w:r>
      <w:r>
        <w:rPr>
          <w:rFonts w:ascii="宋体" w:hAnsi="宋体" w:cs="宋体" w:eastAsia="宋体" w:hint="default"/>
        </w:rPr>
        <w:t>600</w:t>
      </w:r>
      <w:r>
        <w:rPr>
          <w:rFonts w:ascii="宋体" w:hAnsi="宋体" w:cs="宋体" w:eastAsia="宋体" w:hint="default"/>
          <w:spacing w:val="-53"/>
        </w:rPr>
        <w:t> </w:t>
      </w:r>
      <w:r>
        <w:rPr/>
        <w:t>万元，持有其</w:t>
      </w:r>
      <w:r>
        <w:rPr>
          <w:spacing w:val="-54"/>
        </w:rPr>
        <w:t> </w:t>
      </w:r>
      <w:r>
        <w:rPr>
          <w:rFonts w:ascii="宋体" w:hAnsi="宋体" w:cs="宋体" w:eastAsia="宋体" w:hint="default"/>
        </w:rPr>
        <w:t>60%</w:t>
      </w:r>
      <w:r>
        <w:rPr/>
        <w:t>股权。 </w:t>
      </w:r>
      <w:r>
        <w:rPr>
          <w:rFonts w:ascii="宋体" w:hAnsi="宋体" w:cs="宋体" w:eastAsia="宋体" w:hint="default"/>
        </w:rPr>
        <w:t>9</w:t>
      </w:r>
      <w:r>
        <w:rPr/>
        <w:t>、关于子公司涉诉进展事项</w:t>
      </w:r>
    </w:p>
    <w:p>
      <w:pPr>
        <w:pStyle w:val="BodyText"/>
        <w:spacing w:line="408" w:lineRule="auto"/>
        <w:ind w:right="1303" w:firstLine="420"/>
        <w:jc w:val="left"/>
      </w:pPr>
      <w:r>
        <w:rPr/>
        <w:t>近期，子公司嘉园环保收到合肥市包河区人民法院刑事判决书([2016]皖0111刑初639号），判决结</w:t>
      </w:r>
      <w:hyperlink r:id="rId11">
        <w:r>
          <w:rPr/>
          <w:t> 果维持一审原判。具体信息请查阅公司前期在巨潮资讯网（www.cninfo.com.cn）刊登的公告。</w:t>
        </w:r>
      </w:hyperlink>
    </w:p>
    <w:p>
      <w:pPr>
        <w:pStyle w:val="BodyText"/>
        <w:spacing w:line="240" w:lineRule="auto"/>
        <w:ind w:left="1553" w:right="0"/>
        <w:jc w:val="left"/>
      </w:pPr>
      <w:r>
        <w:rPr>
          <w:rFonts w:ascii="宋体" w:hAnsi="宋体" w:cs="宋体" w:eastAsia="宋体" w:hint="default"/>
        </w:rPr>
        <w:t>10</w:t>
      </w:r>
      <w:r>
        <w:rPr/>
        <w:t>、高新热力处置资产暨签署拆迁补偿协议</w:t>
      </w:r>
    </w:p>
    <w:p>
      <w:pPr>
        <w:spacing w:line="240" w:lineRule="auto" w:before="10"/>
        <w:rPr>
          <w:rFonts w:ascii="宋体" w:hAnsi="宋体" w:cs="宋体" w:eastAsia="宋体" w:hint="default"/>
          <w:sz w:val="14"/>
          <w:szCs w:val="14"/>
        </w:rPr>
      </w:pPr>
    </w:p>
    <w:p>
      <w:pPr>
        <w:pStyle w:val="BodyText"/>
        <w:spacing w:line="408" w:lineRule="auto" w:before="0"/>
        <w:ind w:right="1130" w:firstLine="420"/>
        <w:jc w:val="both"/>
      </w:pPr>
      <w:r>
        <w:rPr>
          <w:rFonts w:ascii="宋体" w:hAnsi="宋体" w:cs="宋体" w:eastAsia="宋体" w:hint="default"/>
        </w:rPr>
        <w:t>2018</w:t>
      </w:r>
      <w:r>
        <w:rPr>
          <w:rFonts w:ascii="宋体" w:hAnsi="宋体" w:cs="宋体" w:eastAsia="宋体" w:hint="default"/>
          <w:spacing w:val="-46"/>
        </w:rPr>
        <w:t> </w:t>
      </w:r>
      <w:r>
        <w:rPr/>
        <w:t>年</w:t>
      </w:r>
      <w:r>
        <w:rPr>
          <w:spacing w:val="-47"/>
        </w:rPr>
        <w:t> </w:t>
      </w:r>
      <w:r>
        <w:rPr>
          <w:rFonts w:ascii="宋体" w:hAnsi="宋体" w:cs="宋体" w:eastAsia="宋体" w:hint="default"/>
        </w:rPr>
        <w:t>1</w:t>
      </w:r>
      <w:r>
        <w:rPr>
          <w:rFonts w:ascii="宋体" w:hAnsi="宋体" w:cs="宋体" w:eastAsia="宋体" w:hint="default"/>
          <w:spacing w:val="-47"/>
        </w:rPr>
        <w:t> </w:t>
      </w:r>
      <w:r>
        <w:rPr/>
        <w:t>月</w:t>
      </w:r>
      <w:r>
        <w:rPr>
          <w:spacing w:val="-48"/>
        </w:rPr>
        <w:t> </w:t>
      </w:r>
      <w:r>
        <w:rPr>
          <w:rFonts w:ascii="宋体" w:hAnsi="宋体" w:cs="宋体" w:eastAsia="宋体" w:hint="default"/>
        </w:rPr>
        <w:t>8</w:t>
      </w:r>
      <w:r>
        <w:rPr>
          <w:rFonts w:ascii="宋体" w:hAnsi="宋体" w:cs="宋体" w:eastAsia="宋体" w:hint="default"/>
          <w:spacing w:val="-46"/>
        </w:rPr>
        <w:t> </w:t>
      </w:r>
      <w:r>
        <w:rPr>
          <w:spacing w:val="-3"/>
        </w:rPr>
        <w:t>日，高新热力与郑州高新区梧桐办事处秦庄村拆迁改造指挥部（以下称“拆迁改造指挥</w:t>
      </w:r>
      <w:r>
        <w:rPr/>
        <w:t> </w:t>
      </w:r>
      <w:r>
        <w:rPr>
          <w:spacing w:val="-1"/>
        </w:rPr>
        <w:t>部”）签署《拆迁补偿协议》。根据郑州市高新区新型城镇化建设总体工作部署，高新热力拥有的位于郑</w:t>
      </w:r>
      <w:r>
        <w:rPr>
          <w:spacing w:val="-94"/>
        </w:rPr>
        <w:t> </w:t>
      </w:r>
      <w:r>
        <w:rPr>
          <w:spacing w:val="-94"/>
        </w:rPr>
      </w:r>
      <w:r>
        <w:rPr>
          <w:spacing w:val="-1"/>
        </w:rPr>
        <w:t>州市高新区冬青街石楠路的一处厂院在郑州市秦庄片区项目改造的范围内。经过友好协商，高新热力与拆</w:t>
      </w:r>
      <w:r>
        <w:rPr>
          <w:spacing w:val="-80"/>
        </w:rPr>
        <w:t> </w:t>
      </w:r>
      <w:r>
        <w:rPr>
          <w:spacing w:val="-80"/>
        </w:rPr>
      </w:r>
      <w:r>
        <w:rPr/>
        <w:t>迁改造指挥部确认本次拆迁的补偿金额为</w:t>
      </w:r>
      <w:r>
        <w:rPr>
          <w:spacing w:val="-56"/>
        </w:rPr>
        <w:t> </w:t>
      </w:r>
      <w:r>
        <w:rPr>
          <w:rFonts w:ascii="宋体" w:hAnsi="宋体" w:cs="宋体" w:eastAsia="宋体" w:hint="default"/>
        </w:rPr>
        <w:t>2,486</w:t>
      </w:r>
      <w:r>
        <w:rPr>
          <w:rFonts w:ascii="宋体" w:hAnsi="宋体" w:cs="宋体" w:eastAsia="宋体" w:hint="default"/>
          <w:spacing w:val="-56"/>
        </w:rPr>
        <w:t> </w:t>
      </w:r>
      <w:r>
        <w:rPr/>
        <w:t>万元。具体信息请查阅公司于</w:t>
      </w:r>
      <w:r>
        <w:rPr>
          <w:spacing w:val="-56"/>
        </w:rPr>
        <w:t> </w:t>
      </w:r>
      <w:r>
        <w:rPr>
          <w:rFonts w:ascii="宋体" w:hAnsi="宋体" w:cs="宋体" w:eastAsia="宋体" w:hint="default"/>
        </w:rPr>
        <w:t>2018</w:t>
      </w:r>
      <w:r>
        <w:rPr>
          <w:rFonts w:ascii="宋体" w:hAnsi="宋体" w:cs="宋体" w:eastAsia="宋体" w:hint="default"/>
          <w:spacing w:val="-58"/>
        </w:rPr>
        <w:t> </w:t>
      </w:r>
      <w:r>
        <w:rPr/>
        <w:t>年</w:t>
      </w:r>
      <w:r>
        <w:rPr>
          <w:spacing w:val="-57"/>
        </w:rPr>
        <w:t> </w:t>
      </w:r>
      <w:r>
        <w:rPr>
          <w:rFonts w:ascii="宋体" w:hAnsi="宋体" w:cs="宋体" w:eastAsia="宋体" w:hint="default"/>
        </w:rPr>
        <w:t>1</w:t>
      </w:r>
      <w:r>
        <w:rPr>
          <w:rFonts w:ascii="宋体" w:hAnsi="宋体" w:cs="宋体" w:eastAsia="宋体" w:hint="default"/>
          <w:spacing w:val="-56"/>
        </w:rPr>
        <w:t> </w:t>
      </w:r>
      <w:r>
        <w:rPr/>
        <w:t>月</w:t>
      </w:r>
      <w:r>
        <w:rPr>
          <w:spacing w:val="-58"/>
        </w:rPr>
        <w:t> </w:t>
      </w:r>
      <w:r>
        <w:rPr>
          <w:rFonts w:ascii="宋体" w:hAnsi="宋体" w:cs="宋体" w:eastAsia="宋体" w:hint="default"/>
        </w:rPr>
        <w:t>10</w:t>
      </w:r>
      <w:r>
        <w:rPr>
          <w:rFonts w:ascii="宋体" w:hAnsi="宋体" w:cs="宋体" w:eastAsia="宋体" w:hint="default"/>
          <w:spacing w:val="-56"/>
        </w:rPr>
        <w:t> </w:t>
      </w:r>
      <w:r>
        <w:rPr/>
        <w:t>日在巨潮资 讯网刊登的公告。</w:t>
      </w:r>
    </w:p>
    <w:p>
      <w:pPr>
        <w:spacing w:after="0" w:line="408"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945" w:right="0"/>
        <w:jc w:val="left"/>
        <w:rPr>
          <w:b w:val="0"/>
          <w:bCs w:val="0"/>
        </w:rPr>
      </w:pPr>
      <w:bookmarkStart w:name="第六节 股份变动及股东情况" w:id="101"/>
      <w:bookmarkEnd w:id="101"/>
      <w:r>
        <w:rPr>
          <w:b w:val="0"/>
          <w:bCs w:val="0"/>
        </w:rPr>
      </w:r>
      <w:bookmarkStart w:name="_bookmark5" w:id="102"/>
      <w:bookmarkEnd w:id="102"/>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03"/>
      <w:bookmarkEnd w:id="103"/>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股份变动情况" w:id="104"/>
      <w:bookmarkEnd w:id="104"/>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125" w:type="dxa"/>
        <w:tblLayout w:type="fixed"/>
        <w:tblCellMar>
          <w:top w:w="0" w:type="dxa"/>
          <w:left w:w="0" w:type="dxa"/>
          <w:bottom w:w="0" w:type="dxa"/>
          <w:right w:w="0" w:type="dxa"/>
        </w:tblCellMar>
        <w:tblLook w:val="01E0"/>
      </w:tblPr>
      <w:tblGrid>
        <w:gridCol w:w="1968"/>
        <w:gridCol w:w="1004"/>
        <w:gridCol w:w="709"/>
        <w:gridCol w:w="850"/>
        <w:gridCol w:w="568"/>
        <w:gridCol w:w="1134"/>
        <w:gridCol w:w="708"/>
        <w:gridCol w:w="852"/>
        <w:gridCol w:w="980"/>
        <w:gridCol w:w="794"/>
      </w:tblGrid>
      <w:tr>
        <w:trPr>
          <w:trHeight w:val="215" w:hRule="exact"/>
        </w:trPr>
        <w:tc>
          <w:tcPr>
            <w:tcW w:w="1968" w:type="dxa"/>
            <w:tcBorders>
              <w:top w:val="single" w:sz="12" w:space="0" w:color="000000"/>
              <w:left w:val="single" w:sz="12" w:space="0" w:color="000000"/>
              <w:bottom w:val="nil" w:sz="6" w:space="0" w:color="auto"/>
              <w:right w:val="single" w:sz="4" w:space="0" w:color="000000"/>
            </w:tcBorders>
            <w:shd w:val="clear" w:color="auto" w:fill="D2D2D2"/>
          </w:tcPr>
          <w:p>
            <w:pPr/>
          </w:p>
        </w:tc>
        <w:tc>
          <w:tcPr>
            <w:tcW w:w="1713" w:type="dxa"/>
            <w:gridSpan w:val="2"/>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before="51"/>
              <w:ind w:left="406"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2" w:type="dxa"/>
            <w:gridSpan w:val="5"/>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74" w:type="dxa"/>
            <w:gridSpan w:val="2"/>
            <w:vMerge w:val="restart"/>
            <w:tcBorders>
              <w:top w:val="single" w:sz="12" w:space="0" w:color="000000"/>
              <w:left w:val="single" w:sz="4" w:space="0" w:color="000000"/>
              <w:right w:val="single" w:sz="12"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97" w:hRule="exact"/>
        </w:trPr>
        <w:tc>
          <w:tcPr>
            <w:tcW w:w="1968" w:type="dxa"/>
            <w:vMerge w:val="restart"/>
            <w:tcBorders>
              <w:top w:val="nil" w:sz="6" w:space="0" w:color="auto"/>
              <w:left w:val="single" w:sz="12" w:space="0" w:color="000000"/>
              <w:right w:val="single" w:sz="4" w:space="0" w:color="000000"/>
            </w:tcBorders>
            <w:shd w:val="clear" w:color="auto" w:fill="D2D2D2"/>
          </w:tcPr>
          <w:p>
            <w:pPr/>
          </w:p>
        </w:tc>
        <w:tc>
          <w:tcPr>
            <w:tcW w:w="1713" w:type="dxa"/>
            <w:gridSpan w:val="2"/>
            <w:vMerge/>
            <w:tcBorders>
              <w:left w:val="single" w:sz="4" w:space="0" w:color="000000"/>
              <w:bottom w:val="single" w:sz="4" w:space="0" w:color="000000"/>
              <w:right w:val="single" w:sz="4" w:space="0" w:color="000000"/>
            </w:tcBorders>
            <w:shd w:val="clear" w:color="auto" w:fill="D2D2D2"/>
          </w:tcPr>
          <w:p>
            <w:pPr/>
          </w:p>
        </w:tc>
        <w:tc>
          <w:tcPr>
            <w:tcW w:w="4112" w:type="dxa"/>
            <w:gridSpan w:val="5"/>
            <w:vMerge/>
            <w:tcBorders>
              <w:left w:val="single" w:sz="4" w:space="0" w:color="000000"/>
              <w:bottom w:val="single" w:sz="4" w:space="0" w:color="000000"/>
              <w:right w:val="single" w:sz="4" w:space="0" w:color="000000"/>
            </w:tcBorders>
            <w:shd w:val="clear" w:color="auto" w:fill="D2D2D2"/>
          </w:tcPr>
          <w:p>
            <w:pPr/>
          </w:p>
        </w:tc>
        <w:tc>
          <w:tcPr>
            <w:tcW w:w="1774" w:type="dxa"/>
            <w:gridSpan w:val="2"/>
            <w:vMerge/>
            <w:tcBorders>
              <w:left w:val="single" w:sz="4" w:space="0" w:color="000000"/>
              <w:bottom w:val="single" w:sz="4" w:space="0" w:color="000000"/>
              <w:right w:val="single" w:sz="12" w:space="0" w:color="000000"/>
            </w:tcBorders>
            <w:shd w:val="clear" w:color="auto" w:fill="D2D2D2"/>
          </w:tcPr>
          <w:p>
            <w:pPr/>
          </w:p>
        </w:tc>
      </w:tr>
      <w:tr>
        <w:trPr>
          <w:trHeight w:val="196" w:hRule="exact"/>
        </w:trPr>
        <w:tc>
          <w:tcPr>
            <w:tcW w:w="1968" w:type="dxa"/>
            <w:vMerge/>
            <w:tcBorders>
              <w:left w:val="single" w:sz="12" w:space="0" w:color="000000"/>
              <w:bottom w:val="nil" w:sz="6" w:space="0" w:color="auto"/>
              <w:right w:val="single" w:sz="4" w:space="0" w:color="000000"/>
            </w:tcBorders>
            <w:shd w:val="clear" w:color="auto" w:fill="D2D2D2"/>
          </w:tcPr>
          <w:p>
            <w:pPr/>
          </w:p>
        </w:tc>
        <w:tc>
          <w:tcPr>
            <w:tcW w:w="10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5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1"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4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04"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single" w:sz="4" w:space="0" w:color="000000"/>
              <w:left w:val="single" w:sz="4" w:space="0" w:color="000000"/>
              <w:right w:val="single" w:sz="12"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968" w:type="dxa"/>
            <w:tcBorders>
              <w:top w:val="nil" w:sz="6" w:space="0" w:color="auto"/>
              <w:left w:val="single" w:sz="12" w:space="0" w:color="000000"/>
              <w:bottom w:val="single" w:sz="4" w:space="0" w:color="000000"/>
              <w:right w:val="single" w:sz="4" w:space="0" w:color="000000"/>
            </w:tcBorders>
            <w:shd w:val="clear" w:color="auto" w:fill="D2D2D2"/>
          </w:tcPr>
          <w:p>
            <w:pPr/>
          </w:p>
        </w:tc>
        <w:tc>
          <w:tcPr>
            <w:tcW w:w="1004"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980" w:type="dxa"/>
            <w:vMerge/>
            <w:tcBorders>
              <w:left w:val="single" w:sz="4" w:space="0" w:color="000000"/>
              <w:bottom w:val="single" w:sz="4" w:space="0" w:color="000000"/>
              <w:right w:val="single" w:sz="4" w:space="0" w:color="000000"/>
            </w:tcBorders>
            <w:shd w:val="clear" w:color="auto" w:fill="D2D2D2"/>
          </w:tcPr>
          <w:p>
            <w:pPr/>
          </w:p>
        </w:tc>
        <w:tc>
          <w:tcPr>
            <w:tcW w:w="794" w:type="dxa"/>
            <w:vMerge/>
            <w:tcBorders>
              <w:left w:val="single" w:sz="4" w:space="0" w:color="000000"/>
              <w:bottom w:val="single" w:sz="4" w:space="0" w:color="000000"/>
              <w:right w:val="single" w:sz="12" w:space="0" w:color="000000"/>
            </w:tcBorders>
            <w:shd w:val="clear" w:color="auto" w:fill="D2D2D2"/>
          </w:tcPr>
          <w:p>
            <w:pPr/>
          </w:p>
        </w:tc>
      </w:tr>
      <w:tr>
        <w:trPr>
          <w:trHeight w:val="402" w:hRule="exact"/>
        </w:trPr>
        <w:tc>
          <w:tcPr>
            <w:tcW w:w="196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69,377,183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23.68%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-611,187</w:t>
            </w:r>
            <w:r>
              <w:rPr>
                <w:rFonts w:ascii="Times New Roman"/>
                <w:spacing w:val="-1"/>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-611,187</w:t>
            </w:r>
            <w:r>
              <w:rPr>
                <w:rFonts w:ascii="Times New Roman"/>
                <w:spacing w:val="-1"/>
                <w:sz w:val="18"/>
              </w:rPr>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68,765,996</w:t>
            </w:r>
          </w:p>
        </w:tc>
        <w:tc>
          <w:tcPr>
            <w:tcW w:w="7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23.47%</w:t>
            </w:r>
          </w:p>
        </w:tc>
      </w:tr>
      <w:tr>
        <w:trPr>
          <w:trHeight w:val="402" w:hRule="exact"/>
        </w:trPr>
        <w:tc>
          <w:tcPr>
            <w:tcW w:w="196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0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6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0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6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69,377,183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23.68%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-611,187</w:t>
            </w:r>
            <w:r>
              <w:rPr>
                <w:rFonts w:ascii="Times New Roman"/>
                <w:spacing w:val="-1"/>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-611,187</w:t>
            </w:r>
            <w:r>
              <w:rPr>
                <w:rFonts w:ascii="Times New Roman"/>
                <w:spacing w:val="-1"/>
                <w:sz w:val="18"/>
              </w:rPr>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68,765,996</w:t>
            </w:r>
          </w:p>
        </w:tc>
        <w:tc>
          <w:tcPr>
            <w:tcW w:w="7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23.47%</w:t>
            </w:r>
          </w:p>
        </w:tc>
      </w:tr>
      <w:tr>
        <w:trPr>
          <w:trHeight w:val="402" w:hRule="exact"/>
        </w:trPr>
        <w:tc>
          <w:tcPr>
            <w:tcW w:w="196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1,717,106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1,717,106</w:t>
            </w:r>
          </w:p>
        </w:tc>
        <w:tc>
          <w:tcPr>
            <w:tcW w:w="7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0.59%</w:t>
            </w:r>
          </w:p>
        </w:tc>
      </w:tr>
      <w:tr>
        <w:trPr>
          <w:trHeight w:val="402" w:hRule="exact"/>
        </w:trPr>
        <w:tc>
          <w:tcPr>
            <w:tcW w:w="196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right="140"/>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0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67,660,077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23.09%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-611,187</w:t>
            </w:r>
            <w:r>
              <w:rPr>
                <w:rFonts w:ascii="Times New Roman"/>
                <w:spacing w:val="-1"/>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-611,187</w:t>
            </w:r>
            <w:r>
              <w:rPr>
                <w:rFonts w:ascii="Times New Roman"/>
                <w:spacing w:val="-1"/>
                <w:sz w:val="18"/>
              </w:rPr>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67,048,890</w:t>
            </w:r>
          </w:p>
        </w:tc>
        <w:tc>
          <w:tcPr>
            <w:tcW w:w="7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22.88%</w:t>
            </w:r>
          </w:p>
        </w:tc>
      </w:tr>
      <w:tr>
        <w:trPr>
          <w:trHeight w:val="402" w:hRule="exact"/>
        </w:trPr>
        <w:tc>
          <w:tcPr>
            <w:tcW w:w="196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0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6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0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6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right="140"/>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0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6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223,645,623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76.32%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611,187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611,187</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224,256,810</w:t>
            </w:r>
          </w:p>
        </w:tc>
        <w:tc>
          <w:tcPr>
            <w:tcW w:w="7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76.53%</w:t>
            </w:r>
          </w:p>
        </w:tc>
      </w:tr>
      <w:tr>
        <w:trPr>
          <w:trHeight w:val="402" w:hRule="exact"/>
        </w:trPr>
        <w:tc>
          <w:tcPr>
            <w:tcW w:w="196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223,645,623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76.32%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611,187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611,187</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224,256,810</w:t>
            </w:r>
          </w:p>
        </w:tc>
        <w:tc>
          <w:tcPr>
            <w:tcW w:w="7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76.53%</w:t>
            </w:r>
          </w:p>
        </w:tc>
      </w:tr>
      <w:tr>
        <w:trPr>
          <w:trHeight w:val="402" w:hRule="exact"/>
        </w:trPr>
        <w:tc>
          <w:tcPr>
            <w:tcW w:w="196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0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6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0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6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0.00%</w:t>
            </w:r>
          </w:p>
        </w:tc>
      </w:tr>
      <w:tr>
        <w:trPr>
          <w:trHeight w:val="412" w:hRule="exact"/>
        </w:trPr>
        <w:tc>
          <w:tcPr>
            <w:tcW w:w="196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04" w:type="dxa"/>
            <w:tcBorders>
              <w:top w:val="single" w:sz="4" w:space="0" w:color="000000"/>
              <w:left w:val="single" w:sz="9" w:space="0" w:color="D2D2D2"/>
              <w:bottom w:val="single" w:sz="12"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293,022,806</w:t>
            </w:r>
          </w:p>
        </w:tc>
        <w:tc>
          <w:tcPr>
            <w:tcW w:w="7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8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293,022,806</w:t>
            </w:r>
          </w:p>
        </w:tc>
        <w:tc>
          <w:tcPr>
            <w:tcW w:w="794"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100.00%</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6"/>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08" w:lineRule="auto" w:before="155"/>
        <w:ind w:right="1131" w:firstLine="420"/>
        <w:jc w:val="both"/>
      </w:pPr>
      <w:r>
        <w:rPr>
          <w:rFonts w:ascii="宋体" w:hAnsi="宋体" w:cs="宋体" w:eastAsia="宋体" w:hint="default"/>
          <w:spacing w:val="-3"/>
        </w:rPr>
        <w:t>1</w:t>
      </w:r>
      <w:r>
        <w:rPr>
          <w:spacing w:val="-3"/>
        </w:rPr>
        <w:t>、报告期内，公司董事、监事、高级管理人员所持股份按照</w:t>
      </w:r>
      <w:r>
        <w:rPr>
          <w:spacing w:val="-52"/>
        </w:rPr>
        <w:t> </w:t>
      </w:r>
      <w:r>
        <w:rPr>
          <w:rFonts w:ascii="宋体" w:hAnsi="宋体" w:cs="宋体" w:eastAsia="宋体" w:hint="default"/>
        </w:rPr>
        <w:t>25%</w:t>
      </w:r>
      <w:r>
        <w:rPr/>
        <w:t>自动解除锁定，离任高管所持股份半 年后自动解除锁定。</w:t>
      </w:r>
    </w:p>
    <w:p>
      <w:pPr>
        <w:pStyle w:val="BodyText"/>
        <w:spacing w:line="408" w:lineRule="auto"/>
        <w:ind w:right="1131" w:firstLine="420"/>
        <w:jc w:val="both"/>
      </w:pPr>
      <w:r>
        <w:rPr>
          <w:rFonts w:ascii="宋体" w:hAnsi="宋体" w:cs="宋体" w:eastAsia="宋体" w:hint="default"/>
        </w:rPr>
        <w:t>2</w:t>
      </w:r>
      <w:r>
        <w:rPr/>
        <w:t>、经中国证券监督管理委员会《关于核准河南汉威电子股份有限公司向陈泽枝等发行股份购买资产 </w:t>
      </w:r>
      <w:r>
        <w:rPr>
          <w:spacing w:val="-5"/>
        </w:rPr>
        <w:t>并募集配套资金的批复》（证监许可</w:t>
      </w:r>
      <w:r>
        <w:rPr>
          <w:rFonts w:ascii="宋体" w:hAnsi="宋体" w:cs="宋体" w:eastAsia="宋体" w:hint="default"/>
          <w:spacing w:val="-5"/>
        </w:rPr>
        <w:t>[2014]937</w:t>
      </w:r>
      <w:r>
        <w:rPr>
          <w:rFonts w:ascii="宋体" w:hAnsi="宋体" w:cs="宋体" w:eastAsia="宋体" w:hint="default"/>
          <w:spacing w:val="-35"/>
        </w:rPr>
        <w:t> </w:t>
      </w:r>
      <w:r>
        <w:rPr>
          <w:spacing w:val="-3"/>
        </w:rPr>
        <w:t>号）核准，公司向交易对方陈泽枝、李泽清、高孔兴、芜湖</w:t>
      </w:r>
      <w:r>
        <w:rPr>
          <w:spacing w:val="-102"/>
        </w:rPr>
        <w:t> </w:t>
      </w:r>
      <w:r>
        <w:rPr>
          <w:spacing w:val="-102"/>
        </w:rPr>
      </w:r>
      <w:r>
        <w:rPr>
          <w:spacing w:val="-6"/>
        </w:rPr>
        <w:t>华顺置业投资有限责任公司、许金炉、刘智良、黄开坚、尚剑红、缪品章、李扬、叶明、梁一红、刘光江、</w:t>
      </w:r>
      <w:r>
        <w:rPr>
          <w:spacing w:val="-66"/>
        </w:rPr>
        <w:t> </w:t>
      </w:r>
      <w:r>
        <w:rPr>
          <w:spacing w:val="-66"/>
        </w:rPr>
      </w:r>
      <w:r>
        <w:rPr/>
        <w:t>邱宇、王锐共计发行股份</w:t>
      </w:r>
      <w:r>
        <w:rPr>
          <w:spacing w:val="-34"/>
        </w:rPr>
        <w:t> </w:t>
      </w:r>
      <w:r>
        <w:rPr>
          <w:rFonts w:ascii="宋体" w:hAnsi="宋体" w:cs="宋体" w:eastAsia="宋体" w:hint="default"/>
        </w:rPr>
        <w:t>22,820,347</w:t>
      </w:r>
      <w:r>
        <w:rPr>
          <w:rFonts w:ascii="宋体" w:hAnsi="宋体" w:cs="宋体" w:eastAsia="宋体" w:hint="default"/>
          <w:spacing w:val="-34"/>
        </w:rPr>
        <w:t> </w:t>
      </w:r>
      <w:r>
        <w:rPr/>
        <w:t>股，并向其他特定投资者发行</w:t>
      </w:r>
      <w:r>
        <w:rPr>
          <w:spacing w:val="-34"/>
        </w:rPr>
        <w:t> </w:t>
      </w:r>
      <w:r>
        <w:rPr>
          <w:rFonts w:ascii="宋体" w:hAnsi="宋体" w:cs="宋体" w:eastAsia="宋体" w:hint="default"/>
        </w:rPr>
        <w:t>5,691,056</w:t>
      </w:r>
      <w:r>
        <w:rPr>
          <w:rFonts w:ascii="宋体" w:hAnsi="宋体" w:cs="宋体" w:eastAsia="宋体" w:hint="default"/>
          <w:spacing w:val="-33"/>
        </w:rPr>
        <w:t> </w:t>
      </w:r>
      <w:r>
        <w:rPr/>
        <w:t>股募集配套资金。报告期 </w:t>
      </w:r>
      <w:r>
        <w:rPr>
          <w:spacing w:val="-1"/>
        </w:rPr>
        <w:t>内，根据重大资产重组非公开发行股票解锁条件，上述部分股东所持有的限售股票已逐步解除锁定。具体</w:t>
      </w:r>
    </w:p>
    <w:p>
      <w:pPr>
        <w:spacing w:after="0" w:line="408"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240" w:lineRule="auto" w:before="174"/>
        <w:ind w:right="0"/>
        <w:jc w:val="left"/>
      </w:pPr>
      <w:r>
        <w:rPr/>
        <w:t>信息请查阅公司于</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15</w:t>
      </w:r>
      <w:r>
        <w:rPr>
          <w:rFonts w:ascii="宋体" w:hAnsi="宋体" w:cs="宋体" w:eastAsia="宋体" w:hint="default"/>
          <w:spacing w:val="-54"/>
        </w:rPr>
        <w:t> </w:t>
      </w:r>
      <w:r>
        <w:rPr/>
        <w:t>日在巨潮资讯网刊登的公告。</w:t>
      </w:r>
    </w:p>
    <w:p>
      <w:pPr>
        <w:spacing w:line="240" w:lineRule="auto" w:before="11"/>
        <w:rPr>
          <w:rFonts w:ascii="宋体" w:hAnsi="宋体" w:cs="宋体" w:eastAsia="宋体" w:hint="default"/>
          <w:sz w:val="13"/>
          <w:szCs w:val="13"/>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line="338" w:lineRule="auto" w:before="117"/>
        <w:ind w:left="1133" w:right="9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股份变动的过户情况</w:t>
      </w:r>
    </w:p>
    <w:p>
      <w:pPr>
        <w:spacing w:line="340" w:lineRule="auto" w:before="42"/>
        <w:ind w:left="1133" w:right="13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股份变动对最近一年和最近一期基本每股收益和稀释每股收益、归属于公司普通股股东的每股净资产等财务指标的影响</w:t>
      </w:r>
    </w:p>
    <w:p>
      <w:pPr>
        <w:spacing w:line="338" w:lineRule="auto" w:before="40"/>
        <w:ind w:left="113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公司认为必要或证券监管机构要求披露的其他内容</w:t>
      </w:r>
    </w:p>
    <w:p>
      <w:pPr>
        <w:spacing w:before="43"/>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限售股份变动情况" w:id="105"/>
      <w:bookmarkEnd w:id="105"/>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spacing w:before="44"/>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118" w:type="dxa"/>
        <w:tblLayout w:type="fixed"/>
        <w:tblCellMar>
          <w:top w:w="0" w:type="dxa"/>
          <w:left w:w="0" w:type="dxa"/>
          <w:bottom w:w="0" w:type="dxa"/>
          <w:right w:w="0" w:type="dxa"/>
        </w:tblCellMar>
        <w:tblLook w:val="01E0"/>
      </w:tblPr>
      <w:tblGrid>
        <w:gridCol w:w="1363"/>
        <w:gridCol w:w="1190"/>
        <w:gridCol w:w="1548"/>
        <w:gridCol w:w="1570"/>
        <w:gridCol w:w="1168"/>
        <w:gridCol w:w="960"/>
        <w:gridCol w:w="1771"/>
      </w:tblGrid>
      <w:tr>
        <w:trPr>
          <w:trHeight w:val="412" w:hRule="exact"/>
        </w:trPr>
        <w:tc>
          <w:tcPr>
            <w:tcW w:w="1363"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0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9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9"/>
              <w:jc w:val="right"/>
              <w:rPr>
                <w:rFonts w:ascii="宋体" w:hAnsi="宋体" w:cs="宋体" w:eastAsia="宋体" w:hint="default"/>
                <w:sz w:val="18"/>
                <w:szCs w:val="18"/>
              </w:rPr>
            </w:pPr>
            <w:r>
              <w:rPr>
                <w:rFonts w:ascii="宋体" w:hAnsi="宋体" w:cs="宋体" w:eastAsia="宋体" w:hint="default"/>
                <w:sz w:val="18"/>
                <w:szCs w:val="18"/>
              </w:rPr>
              <w:t>期初限售股数</w:t>
            </w:r>
          </w:p>
        </w:tc>
        <w:tc>
          <w:tcPr>
            <w:tcW w:w="154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8"/>
              <w:jc w:val="right"/>
              <w:rPr>
                <w:rFonts w:ascii="宋体" w:hAnsi="宋体" w:cs="宋体" w:eastAsia="宋体" w:hint="default"/>
                <w:sz w:val="18"/>
                <w:szCs w:val="18"/>
              </w:rPr>
            </w:pPr>
            <w:r>
              <w:rPr>
                <w:rFonts w:ascii="宋体" w:hAnsi="宋体" w:cs="宋体" w:eastAsia="宋体" w:hint="default"/>
                <w:sz w:val="18"/>
                <w:szCs w:val="18"/>
              </w:rPr>
              <w:t>本期解除限售股数</w:t>
            </w:r>
          </w:p>
        </w:tc>
        <w:tc>
          <w:tcPr>
            <w:tcW w:w="157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9"/>
              <w:jc w:val="right"/>
              <w:rPr>
                <w:rFonts w:ascii="宋体" w:hAnsi="宋体" w:cs="宋体" w:eastAsia="宋体" w:hint="default"/>
                <w:sz w:val="18"/>
                <w:szCs w:val="18"/>
              </w:rPr>
            </w:pPr>
            <w:r>
              <w:rPr>
                <w:rFonts w:ascii="宋体" w:hAnsi="宋体" w:cs="宋体" w:eastAsia="宋体" w:hint="default"/>
                <w:sz w:val="18"/>
                <w:szCs w:val="18"/>
              </w:rPr>
              <w:t>本期增加限售股数</w:t>
            </w:r>
          </w:p>
        </w:tc>
        <w:tc>
          <w:tcPr>
            <w:tcW w:w="116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7"/>
              <w:jc w:val="right"/>
              <w:rPr>
                <w:rFonts w:ascii="宋体" w:hAnsi="宋体" w:cs="宋体" w:eastAsia="宋体" w:hint="default"/>
                <w:sz w:val="18"/>
                <w:szCs w:val="18"/>
              </w:rPr>
            </w:pPr>
            <w:r>
              <w:rPr>
                <w:rFonts w:ascii="宋体" w:hAnsi="宋体" w:cs="宋体" w:eastAsia="宋体" w:hint="default"/>
                <w:sz w:val="18"/>
                <w:szCs w:val="18"/>
              </w:rPr>
              <w:t>期末限售股数</w:t>
            </w:r>
          </w:p>
        </w:tc>
        <w:tc>
          <w:tcPr>
            <w:tcW w:w="96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771"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714" w:hRule="exact"/>
        </w:trPr>
        <w:tc>
          <w:tcPr>
            <w:tcW w:w="136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任红军</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47,767,972</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47,767,972</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17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在任期间按照每年</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解除锁定</w:t>
            </w:r>
          </w:p>
        </w:tc>
      </w:tr>
      <w:tr>
        <w:trPr>
          <w:trHeight w:val="714" w:hRule="exact"/>
        </w:trPr>
        <w:tc>
          <w:tcPr>
            <w:tcW w:w="136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尚剑红</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3,322,600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315,000</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3,007,600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17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在任期间按照每年</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解除锁定</w:t>
            </w:r>
          </w:p>
        </w:tc>
      </w:tr>
      <w:tr>
        <w:trPr>
          <w:trHeight w:val="714" w:hRule="exact"/>
        </w:trPr>
        <w:tc>
          <w:tcPr>
            <w:tcW w:w="136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刘瑞玲</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2,360,670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2,345,670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17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在任期间按照每年</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解除锁定</w:t>
            </w:r>
          </w:p>
        </w:tc>
      </w:tr>
      <w:tr>
        <w:trPr>
          <w:trHeight w:val="714" w:hRule="exact"/>
        </w:trPr>
        <w:tc>
          <w:tcPr>
            <w:tcW w:w="136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尚中锋</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2,061,126</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2,061,126</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17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在任期间按照每年</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解除锁定</w:t>
            </w:r>
          </w:p>
        </w:tc>
      </w:tr>
      <w:tr>
        <w:trPr>
          <w:trHeight w:val="714" w:hRule="exact"/>
        </w:trPr>
        <w:tc>
          <w:tcPr>
            <w:tcW w:w="136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张艳丽</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1,395,000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1,395,000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17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在任期间按照每年</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解除锁定</w:t>
            </w:r>
          </w:p>
        </w:tc>
      </w:tr>
      <w:tr>
        <w:trPr>
          <w:trHeight w:val="714" w:hRule="exact"/>
        </w:trPr>
        <w:tc>
          <w:tcPr>
            <w:tcW w:w="136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张小水</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174,351</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174,351</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17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在任期间按照每年</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解除锁定</w:t>
            </w:r>
          </w:p>
        </w:tc>
      </w:tr>
      <w:tr>
        <w:trPr>
          <w:trHeight w:val="714" w:hRule="exact"/>
        </w:trPr>
        <w:tc>
          <w:tcPr>
            <w:tcW w:w="136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焦桂东</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77,490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77,490</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1771" w:type="dxa"/>
            <w:tcBorders>
              <w:top w:val="single" w:sz="4" w:space="0" w:color="000000"/>
              <w:left w:val="single" w:sz="4" w:space="0" w:color="000000"/>
              <w:bottom w:val="single" w:sz="4" w:space="0" w:color="000000"/>
              <w:right w:val="single" w:sz="12" w:space="0" w:color="000000"/>
            </w:tcBorders>
          </w:tcPr>
          <w:p>
            <w:pPr>
              <w:pStyle w:val="TableParagraph"/>
              <w:spacing w:line="319"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离任后六个月已全部 解锁</w:t>
            </w:r>
          </w:p>
        </w:tc>
      </w:tr>
      <w:tr>
        <w:trPr>
          <w:trHeight w:val="1026" w:hRule="exact"/>
        </w:trPr>
        <w:tc>
          <w:tcPr>
            <w:tcW w:w="136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 w:right="0"/>
              <w:jc w:val="left"/>
              <w:rPr>
                <w:rFonts w:ascii="宋体" w:hAnsi="宋体" w:cs="宋体" w:eastAsia="宋体" w:hint="default"/>
                <w:sz w:val="18"/>
                <w:szCs w:val="18"/>
              </w:rPr>
            </w:pPr>
            <w:r>
              <w:rPr>
                <w:rFonts w:ascii="宋体" w:hAnsi="宋体" w:cs="宋体" w:eastAsia="宋体" w:hint="default"/>
                <w:sz w:val="18"/>
                <w:szCs w:val="18"/>
              </w:rPr>
              <w:t>陈泽枝</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5,112,906</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5,112,906</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非公开发行</w:t>
            </w:r>
          </w:p>
        </w:tc>
        <w:tc>
          <w:tcPr>
            <w:tcW w:w="1771" w:type="dxa"/>
            <w:tcBorders>
              <w:top w:val="single" w:sz="4" w:space="0" w:color="000000"/>
              <w:left w:val="single" w:sz="4" w:space="0" w:color="000000"/>
              <w:bottom w:val="single" w:sz="4" w:space="0" w:color="000000"/>
              <w:right w:val="single" w:sz="12" w:space="0" w:color="000000"/>
            </w:tcBorders>
          </w:tcPr>
          <w:p>
            <w:pPr>
              <w:pStyle w:val="TableParagraph"/>
              <w:spacing w:line="319" w:lineRule="auto" w:before="51"/>
              <w:ind w:left="22" w:right="107"/>
              <w:jc w:val="both"/>
              <w:rPr>
                <w:rFonts w:ascii="宋体" w:hAnsi="宋体" w:cs="宋体" w:eastAsia="宋体" w:hint="default"/>
                <w:sz w:val="18"/>
                <w:szCs w:val="18"/>
              </w:rPr>
            </w:pPr>
            <w:r>
              <w:rPr>
                <w:rFonts w:ascii="宋体" w:hAnsi="宋体" w:cs="宋体" w:eastAsia="宋体" w:hint="default"/>
                <w:sz w:val="18"/>
                <w:szCs w:val="18"/>
              </w:rPr>
              <w:t>根据资产重大重组非 公开发行股票解锁条 件分三次进行解锁</w:t>
            </w:r>
          </w:p>
        </w:tc>
      </w:tr>
      <w:tr>
        <w:trPr>
          <w:trHeight w:val="1026" w:hRule="exact"/>
        </w:trPr>
        <w:tc>
          <w:tcPr>
            <w:tcW w:w="136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 w:right="0"/>
              <w:jc w:val="left"/>
              <w:rPr>
                <w:rFonts w:ascii="宋体" w:hAnsi="宋体" w:cs="宋体" w:eastAsia="宋体" w:hint="default"/>
                <w:sz w:val="18"/>
                <w:szCs w:val="18"/>
              </w:rPr>
            </w:pPr>
            <w:r>
              <w:rPr>
                <w:rFonts w:ascii="宋体" w:hAnsi="宋体" w:cs="宋体" w:eastAsia="宋体" w:hint="default"/>
                <w:sz w:val="18"/>
                <w:szCs w:val="18"/>
              </w:rPr>
              <w:t>李泽清</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2,364,200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2,364,200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非公开发行</w:t>
            </w:r>
          </w:p>
        </w:tc>
        <w:tc>
          <w:tcPr>
            <w:tcW w:w="1771" w:type="dxa"/>
            <w:tcBorders>
              <w:top w:val="single" w:sz="4" w:space="0" w:color="000000"/>
              <w:left w:val="single" w:sz="4" w:space="0" w:color="000000"/>
              <w:bottom w:val="single" w:sz="4" w:space="0" w:color="000000"/>
              <w:right w:val="single" w:sz="12" w:space="0" w:color="000000"/>
            </w:tcBorders>
          </w:tcPr>
          <w:p>
            <w:pPr>
              <w:pStyle w:val="TableParagraph"/>
              <w:spacing w:line="319" w:lineRule="auto" w:before="51"/>
              <w:ind w:left="22" w:right="107"/>
              <w:jc w:val="both"/>
              <w:rPr>
                <w:rFonts w:ascii="宋体" w:hAnsi="宋体" w:cs="宋体" w:eastAsia="宋体" w:hint="default"/>
                <w:sz w:val="18"/>
                <w:szCs w:val="18"/>
              </w:rPr>
            </w:pPr>
            <w:r>
              <w:rPr>
                <w:rFonts w:ascii="宋体" w:hAnsi="宋体" w:cs="宋体" w:eastAsia="宋体" w:hint="default"/>
                <w:sz w:val="18"/>
                <w:szCs w:val="18"/>
              </w:rPr>
              <w:t>根据资产重大重组非 公开发行股票解锁条 件分三次进行解锁</w:t>
            </w:r>
          </w:p>
        </w:tc>
      </w:tr>
      <w:tr>
        <w:trPr>
          <w:trHeight w:val="1026" w:hRule="exact"/>
        </w:trPr>
        <w:tc>
          <w:tcPr>
            <w:tcW w:w="136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 w:right="0"/>
              <w:jc w:val="left"/>
              <w:rPr>
                <w:rFonts w:ascii="宋体" w:hAnsi="宋体" w:cs="宋体" w:eastAsia="宋体" w:hint="default"/>
                <w:sz w:val="18"/>
                <w:szCs w:val="18"/>
              </w:rPr>
            </w:pPr>
            <w:r>
              <w:rPr>
                <w:rFonts w:ascii="宋体" w:hAnsi="宋体" w:cs="宋体" w:eastAsia="宋体" w:hint="default"/>
                <w:sz w:val="18"/>
                <w:szCs w:val="18"/>
              </w:rPr>
              <w:t>高孔兴</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1,476,789</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1,476,789</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非公开发行</w:t>
            </w:r>
          </w:p>
        </w:tc>
        <w:tc>
          <w:tcPr>
            <w:tcW w:w="1771" w:type="dxa"/>
            <w:tcBorders>
              <w:top w:val="single" w:sz="4" w:space="0" w:color="000000"/>
              <w:left w:val="single" w:sz="4" w:space="0" w:color="000000"/>
              <w:bottom w:val="single" w:sz="4" w:space="0" w:color="000000"/>
              <w:right w:val="single" w:sz="12" w:space="0" w:color="000000"/>
            </w:tcBorders>
          </w:tcPr>
          <w:p>
            <w:pPr>
              <w:pStyle w:val="TableParagraph"/>
              <w:spacing w:line="319" w:lineRule="auto" w:before="51"/>
              <w:ind w:left="22" w:right="107"/>
              <w:jc w:val="both"/>
              <w:rPr>
                <w:rFonts w:ascii="宋体" w:hAnsi="宋体" w:cs="宋体" w:eastAsia="宋体" w:hint="default"/>
                <w:sz w:val="18"/>
                <w:szCs w:val="18"/>
              </w:rPr>
            </w:pPr>
            <w:r>
              <w:rPr>
                <w:rFonts w:ascii="宋体" w:hAnsi="宋体" w:cs="宋体" w:eastAsia="宋体" w:hint="default"/>
                <w:sz w:val="18"/>
                <w:szCs w:val="18"/>
              </w:rPr>
              <w:t>根据资产重大重组非 公开发行股票解锁条 件分三次进行解锁</w:t>
            </w:r>
          </w:p>
        </w:tc>
      </w:tr>
      <w:tr>
        <w:trPr>
          <w:trHeight w:val="412" w:hRule="exact"/>
        </w:trPr>
        <w:tc>
          <w:tcPr>
            <w:tcW w:w="1363"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许金炉</w:t>
            </w:r>
          </w:p>
        </w:tc>
        <w:tc>
          <w:tcPr>
            <w:tcW w:w="11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401,202</w:t>
            </w:r>
          </w:p>
        </w:tc>
        <w:tc>
          <w:tcPr>
            <w:tcW w:w="154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57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401,202</w:t>
            </w:r>
          </w:p>
        </w:tc>
        <w:tc>
          <w:tcPr>
            <w:tcW w:w="9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非公开发行</w:t>
            </w:r>
          </w:p>
        </w:tc>
        <w:tc>
          <w:tcPr>
            <w:tcW w:w="177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71"/>
              <w:ind w:right="83"/>
              <w:jc w:val="center"/>
              <w:rPr>
                <w:rFonts w:ascii="宋体" w:hAnsi="宋体" w:cs="宋体" w:eastAsia="宋体" w:hint="default"/>
                <w:sz w:val="18"/>
                <w:szCs w:val="18"/>
              </w:rPr>
            </w:pPr>
            <w:r>
              <w:rPr>
                <w:rFonts w:ascii="宋体" w:hAnsi="宋体" w:cs="宋体" w:eastAsia="宋体" w:hint="default"/>
                <w:sz w:val="18"/>
                <w:szCs w:val="18"/>
              </w:rPr>
              <w:t>根据资产重大重组非</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18" w:type="dxa"/>
        <w:tblLayout w:type="fixed"/>
        <w:tblCellMar>
          <w:top w:w="0" w:type="dxa"/>
          <w:left w:w="0" w:type="dxa"/>
          <w:bottom w:w="0" w:type="dxa"/>
          <w:right w:w="0" w:type="dxa"/>
        </w:tblCellMar>
        <w:tblLook w:val="01E0"/>
      </w:tblPr>
      <w:tblGrid>
        <w:gridCol w:w="1363"/>
        <w:gridCol w:w="1190"/>
        <w:gridCol w:w="1548"/>
        <w:gridCol w:w="1570"/>
        <w:gridCol w:w="1168"/>
        <w:gridCol w:w="960"/>
        <w:gridCol w:w="1771"/>
      </w:tblGrid>
      <w:tr>
        <w:trPr>
          <w:trHeight w:val="683" w:hRule="exact"/>
        </w:trPr>
        <w:tc>
          <w:tcPr>
            <w:tcW w:w="1363" w:type="dxa"/>
            <w:tcBorders>
              <w:top w:val="single" w:sz="12" w:space="0" w:color="000000"/>
              <w:left w:val="single" w:sz="12" w:space="0" w:color="000000"/>
              <w:bottom w:val="single" w:sz="4" w:space="0" w:color="000000"/>
              <w:right w:val="single" w:sz="4" w:space="0" w:color="000000"/>
            </w:tcBorders>
          </w:tcPr>
          <w:p>
            <w:pPr/>
          </w:p>
        </w:tc>
        <w:tc>
          <w:tcPr>
            <w:tcW w:w="1190" w:type="dxa"/>
            <w:tcBorders>
              <w:top w:val="single" w:sz="12" w:space="0" w:color="000000"/>
              <w:left w:val="single" w:sz="4" w:space="0" w:color="000000"/>
              <w:bottom w:val="single" w:sz="4" w:space="0" w:color="000000"/>
              <w:right w:val="single" w:sz="4" w:space="0" w:color="000000"/>
            </w:tcBorders>
          </w:tcPr>
          <w:p>
            <w:pPr/>
          </w:p>
        </w:tc>
        <w:tc>
          <w:tcPr>
            <w:tcW w:w="1548" w:type="dxa"/>
            <w:tcBorders>
              <w:top w:val="single" w:sz="12" w:space="0" w:color="000000"/>
              <w:left w:val="single" w:sz="4" w:space="0" w:color="000000"/>
              <w:bottom w:val="single" w:sz="4" w:space="0" w:color="000000"/>
              <w:right w:val="single" w:sz="4" w:space="0" w:color="000000"/>
            </w:tcBorders>
          </w:tcPr>
          <w:p>
            <w:pPr/>
          </w:p>
        </w:tc>
        <w:tc>
          <w:tcPr>
            <w:tcW w:w="1570" w:type="dxa"/>
            <w:tcBorders>
              <w:top w:val="single" w:sz="12" w:space="0" w:color="000000"/>
              <w:left w:val="single" w:sz="4" w:space="0" w:color="000000"/>
              <w:bottom w:val="single" w:sz="4" w:space="0" w:color="000000"/>
              <w:right w:val="single" w:sz="4" w:space="0" w:color="000000"/>
            </w:tcBorders>
          </w:tcPr>
          <w:p>
            <w:pPr/>
          </w:p>
        </w:tc>
        <w:tc>
          <w:tcPr>
            <w:tcW w:w="1168" w:type="dxa"/>
            <w:tcBorders>
              <w:top w:val="single" w:sz="12" w:space="0" w:color="000000"/>
              <w:left w:val="single" w:sz="4" w:space="0" w:color="000000"/>
              <w:bottom w:val="single" w:sz="4" w:space="0" w:color="000000"/>
              <w:right w:val="single" w:sz="4" w:space="0" w:color="000000"/>
            </w:tcBorders>
          </w:tcPr>
          <w:p>
            <w:pPr/>
          </w:p>
        </w:tc>
        <w:tc>
          <w:tcPr>
            <w:tcW w:w="960" w:type="dxa"/>
            <w:tcBorders>
              <w:top w:val="single" w:sz="12" w:space="0" w:color="000000"/>
              <w:left w:val="single" w:sz="4" w:space="0" w:color="000000"/>
              <w:bottom w:val="single" w:sz="4" w:space="0" w:color="000000"/>
              <w:right w:val="single" w:sz="4" w:space="0" w:color="000000"/>
            </w:tcBorders>
          </w:tcPr>
          <w:p>
            <w:pPr/>
          </w:p>
        </w:tc>
        <w:tc>
          <w:tcPr>
            <w:tcW w:w="1771" w:type="dxa"/>
            <w:tcBorders>
              <w:top w:val="single" w:sz="12" w:space="0" w:color="000000"/>
              <w:left w:val="single" w:sz="4" w:space="0" w:color="000000"/>
              <w:bottom w:val="single" w:sz="4" w:space="0" w:color="000000"/>
              <w:right w:val="single" w:sz="12" w:space="0" w:color="000000"/>
            </w:tcBorders>
          </w:tcPr>
          <w:p>
            <w:pPr>
              <w:pStyle w:val="TableParagraph"/>
              <w:spacing w:line="319" w:lineRule="auto" w:before="10"/>
              <w:ind w:left="22" w:right="107"/>
              <w:jc w:val="left"/>
              <w:rPr>
                <w:rFonts w:ascii="宋体" w:hAnsi="宋体" w:cs="宋体" w:eastAsia="宋体" w:hint="default"/>
                <w:sz w:val="18"/>
                <w:szCs w:val="18"/>
              </w:rPr>
            </w:pPr>
            <w:r>
              <w:rPr>
                <w:rFonts w:ascii="宋体" w:hAnsi="宋体" w:cs="宋体" w:eastAsia="宋体" w:hint="default"/>
                <w:sz w:val="18"/>
                <w:szCs w:val="18"/>
              </w:rPr>
              <w:t>公开发行股票解锁条 件分三次进行解锁</w:t>
            </w:r>
          </w:p>
        </w:tc>
      </w:tr>
      <w:tr>
        <w:trPr>
          <w:trHeight w:val="1026" w:hRule="exact"/>
        </w:trPr>
        <w:tc>
          <w:tcPr>
            <w:tcW w:w="136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3" w:right="0"/>
              <w:jc w:val="left"/>
              <w:rPr>
                <w:rFonts w:ascii="宋体" w:hAnsi="宋体" w:cs="宋体" w:eastAsia="宋体" w:hint="default"/>
                <w:sz w:val="18"/>
                <w:szCs w:val="18"/>
              </w:rPr>
            </w:pPr>
            <w:r>
              <w:rPr>
                <w:rFonts w:ascii="宋体" w:hAnsi="宋体" w:cs="宋体" w:eastAsia="宋体" w:hint="default"/>
                <w:sz w:val="18"/>
                <w:szCs w:val="18"/>
              </w:rPr>
              <w:t>刘智良</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942,074</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942,074</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非公开发行</w:t>
            </w:r>
          </w:p>
        </w:tc>
        <w:tc>
          <w:tcPr>
            <w:tcW w:w="1771" w:type="dxa"/>
            <w:tcBorders>
              <w:top w:val="single" w:sz="4" w:space="0" w:color="000000"/>
              <w:left w:val="single" w:sz="4" w:space="0" w:color="000000"/>
              <w:bottom w:val="single" w:sz="4" w:space="0" w:color="000000"/>
              <w:right w:val="single" w:sz="12" w:space="0" w:color="000000"/>
            </w:tcBorders>
          </w:tcPr>
          <w:p>
            <w:pPr>
              <w:pStyle w:val="TableParagraph"/>
              <w:spacing w:line="319" w:lineRule="auto" w:before="52"/>
              <w:ind w:left="22" w:right="107"/>
              <w:jc w:val="both"/>
              <w:rPr>
                <w:rFonts w:ascii="宋体" w:hAnsi="宋体" w:cs="宋体" w:eastAsia="宋体" w:hint="default"/>
                <w:sz w:val="18"/>
                <w:szCs w:val="18"/>
              </w:rPr>
            </w:pPr>
            <w:r>
              <w:rPr>
                <w:rFonts w:ascii="宋体" w:hAnsi="宋体" w:cs="宋体" w:eastAsia="宋体" w:hint="default"/>
                <w:sz w:val="18"/>
                <w:szCs w:val="18"/>
              </w:rPr>
              <w:t>根据资产重大重组非 公开发行股票解锁条 件分三次进行解锁</w:t>
            </w:r>
          </w:p>
        </w:tc>
      </w:tr>
      <w:tr>
        <w:trPr>
          <w:trHeight w:val="714" w:hRule="exact"/>
        </w:trPr>
        <w:tc>
          <w:tcPr>
            <w:tcW w:w="136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黄开坚</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203,697</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203,697</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非公开发行</w:t>
            </w:r>
          </w:p>
        </w:tc>
        <w:tc>
          <w:tcPr>
            <w:tcW w:w="1771" w:type="dxa"/>
            <w:tcBorders>
              <w:top w:val="single" w:sz="4" w:space="0" w:color="000000"/>
              <w:left w:val="single" w:sz="4" w:space="0" w:color="000000"/>
              <w:bottom w:val="single" w:sz="4" w:space="0" w:color="000000"/>
              <w:right w:val="single" w:sz="12" w:space="0" w:color="000000"/>
            </w:tcBorders>
          </w:tcPr>
          <w:p>
            <w:pPr>
              <w:pStyle w:val="TableParagraph"/>
              <w:spacing w:line="300" w:lineRule="auto" w:before="52"/>
              <w:ind w:left="22" w:right="61"/>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日已 解除限售</w:t>
            </w:r>
          </w:p>
        </w:tc>
      </w:tr>
      <w:tr>
        <w:trPr>
          <w:trHeight w:val="1026" w:hRule="exact"/>
        </w:trPr>
        <w:tc>
          <w:tcPr>
            <w:tcW w:w="136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3" w:right="69"/>
              <w:jc w:val="left"/>
              <w:rPr>
                <w:rFonts w:ascii="宋体" w:hAnsi="宋体" w:cs="宋体" w:eastAsia="宋体" w:hint="default"/>
                <w:sz w:val="18"/>
                <w:szCs w:val="18"/>
              </w:rPr>
            </w:pPr>
            <w:r>
              <w:rPr>
                <w:rFonts w:ascii="宋体" w:hAnsi="宋体" w:cs="宋体" w:eastAsia="宋体" w:hint="default"/>
                <w:sz w:val="18"/>
                <w:szCs w:val="18"/>
              </w:rPr>
              <w:t>芜湖华顺置业投 资有限责任公司</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1,717,106</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1,717,106</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非公开发行</w:t>
            </w:r>
          </w:p>
        </w:tc>
        <w:tc>
          <w:tcPr>
            <w:tcW w:w="1771" w:type="dxa"/>
            <w:tcBorders>
              <w:top w:val="single" w:sz="4" w:space="0" w:color="000000"/>
              <w:left w:val="single" w:sz="4" w:space="0" w:color="000000"/>
              <w:bottom w:val="single" w:sz="4" w:space="0" w:color="000000"/>
              <w:right w:val="single" w:sz="12" w:space="0" w:color="000000"/>
            </w:tcBorders>
          </w:tcPr>
          <w:p>
            <w:pPr>
              <w:pStyle w:val="TableParagraph"/>
              <w:spacing w:line="316" w:lineRule="auto" w:before="52"/>
              <w:ind w:left="22" w:right="107"/>
              <w:jc w:val="both"/>
              <w:rPr>
                <w:rFonts w:ascii="宋体" w:hAnsi="宋体" w:cs="宋体" w:eastAsia="宋体" w:hint="default"/>
                <w:sz w:val="18"/>
                <w:szCs w:val="18"/>
              </w:rPr>
            </w:pPr>
            <w:r>
              <w:rPr>
                <w:rFonts w:ascii="宋体" w:hAnsi="宋体" w:cs="宋体" w:eastAsia="宋体" w:hint="default"/>
                <w:sz w:val="18"/>
                <w:szCs w:val="18"/>
              </w:rPr>
              <w:t>根据资产重大重组非 公开发行股票解锁条 件分三次进行解锁</w:t>
            </w:r>
          </w:p>
        </w:tc>
      </w:tr>
      <w:tr>
        <w:trPr>
          <w:trHeight w:val="412" w:hRule="exact"/>
        </w:trPr>
        <w:tc>
          <w:tcPr>
            <w:tcW w:w="1363"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69,377,183</w:t>
            </w:r>
          </w:p>
        </w:tc>
        <w:tc>
          <w:tcPr>
            <w:tcW w:w="154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611,187</w:t>
            </w:r>
          </w:p>
        </w:tc>
        <w:tc>
          <w:tcPr>
            <w:tcW w:w="157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68,765,996</w:t>
            </w:r>
          </w:p>
        </w:tc>
        <w:tc>
          <w:tcPr>
            <w:tcW w:w="960"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771" w:type="dxa"/>
            <w:tcBorders>
              <w:top w:val="single" w:sz="4" w:space="0" w:color="000000"/>
              <w:left w:val="single" w:sz="4" w:space="0" w:color="000000"/>
              <w:bottom w:val="single" w:sz="12" w:space="0" w:color="000000"/>
              <w:right w:val="single" w:sz="12" w:space="0" w:color="000000"/>
            </w:tcBorders>
            <w:shd w:val="clear" w:color="auto" w:fill="D2D2D2"/>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二、证券发行与上市情况" w:id="106"/>
      <w:bookmarkEnd w:id="106"/>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报告期内证券发行（不含优先股）情况" w:id="107"/>
      <w:bookmarkEnd w:id="107"/>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公司股份总数及股东结构的变动、公司资产和负债结构的变动情况说明" w:id="108"/>
      <w:bookmarkEnd w:id="108"/>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现存的内部职工股情况" w:id="109"/>
      <w:bookmarkEnd w:id="109"/>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股东和实际控制人情况" w:id="110"/>
      <w:bookmarkEnd w:id="110"/>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公司股东数量及持股情况" w:id="111"/>
      <w:bookmarkEnd w:id="111"/>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pict>
          <v:group style="position:absolute;margin-left:375.940002pt;margin-top:48.111725pt;width:13.7pt;height:7.8pt;mso-position-horizontal-relative:page;mso-position-vertical-relative:paragraph;z-index:-971392" coordorigin="7519,962" coordsize="274,156">
            <v:shape style="position:absolute;left:7519;top:962;width:274;height:156" coordorigin="7519,962" coordsize="274,156" path="m7519,1118l7792,1118,7792,962,7519,962,7519,1118xe" filled="true" fillcolor="#ffffff" stroked="false">
              <v:path arrowok="t"/>
              <v:fill type="solid"/>
            </v:shape>
            <w10:wrap type="none"/>
          </v:group>
        </w:pict>
      </w:r>
      <w:r>
        <w:rPr/>
        <w:pict>
          <v:group style="position:absolute;margin-left:524.820007pt;margin-top:48.111725pt;width:9.550pt;height:7.8pt;mso-position-horizontal-relative:page;mso-position-vertical-relative:paragraph;z-index:-971368" coordorigin="10496,962" coordsize="191,156">
            <v:shape style="position:absolute;left:10496;top:962;width:191;height:156" coordorigin="10496,962" coordsize="191,156" path="m10496,1118l10687,1118,10687,962,10496,962,10496,1118xe" filled="true" fillcolor="#ffffff" stroked="false">
              <v:path arrowok="t"/>
              <v:fill type="solid"/>
            </v:shape>
            <w10:wrap type="none"/>
          </v:group>
        </w:pict>
      </w: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118" w:type="dxa"/>
        <w:tblLayout w:type="fixed"/>
        <w:tblCellMar>
          <w:top w:w="0" w:type="dxa"/>
          <w:left w:w="0" w:type="dxa"/>
          <w:bottom w:w="0" w:type="dxa"/>
          <w:right w:w="0" w:type="dxa"/>
        </w:tblCellMar>
        <w:tblLook w:val="01E0"/>
      </w:tblPr>
      <w:tblGrid>
        <w:gridCol w:w="1265"/>
        <w:gridCol w:w="296"/>
        <w:gridCol w:w="295"/>
        <w:gridCol w:w="698"/>
        <w:gridCol w:w="709"/>
        <w:gridCol w:w="555"/>
        <w:gridCol w:w="436"/>
        <w:gridCol w:w="154"/>
        <w:gridCol w:w="836"/>
        <w:gridCol w:w="1124"/>
        <w:gridCol w:w="154"/>
        <w:gridCol w:w="154"/>
        <w:gridCol w:w="1123"/>
        <w:gridCol w:w="850"/>
        <w:gridCol w:w="697"/>
        <w:gridCol w:w="223"/>
      </w:tblGrid>
      <w:tr>
        <w:trPr>
          <w:trHeight w:val="729" w:hRule="exact"/>
        </w:trPr>
        <w:tc>
          <w:tcPr>
            <w:tcW w:w="1265"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1"/>
              <w:ind w:left="13" w:right="150"/>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590" w:type="dxa"/>
            <w:gridSpan w:val="2"/>
            <w:tcBorders>
              <w:top w:val="single" w:sz="12"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22,602</w:t>
            </w:r>
          </w:p>
        </w:tc>
        <w:tc>
          <w:tcPr>
            <w:tcW w:w="1962" w:type="dxa"/>
            <w:gridSpan w:val="3"/>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39"/>
              <w:jc w:val="left"/>
              <w:rPr>
                <w:rFonts w:ascii="宋体" w:hAnsi="宋体" w:cs="宋体" w:eastAsia="宋体" w:hint="default"/>
                <w:sz w:val="18"/>
                <w:szCs w:val="18"/>
              </w:rPr>
            </w:pPr>
            <w:r>
              <w:rPr>
                <w:rFonts w:ascii="宋体" w:hAnsi="宋体" w:cs="宋体" w:eastAsia="宋体" w:hint="default"/>
                <w:sz w:val="18"/>
                <w:szCs w:val="18"/>
              </w:rPr>
              <w:t>年度报告披露日前上一 月末普通股股东总数</w:t>
            </w:r>
          </w:p>
        </w:tc>
        <w:tc>
          <w:tcPr>
            <w:tcW w:w="590" w:type="dxa"/>
            <w:gridSpan w:val="2"/>
            <w:tcBorders>
              <w:top w:val="single" w:sz="12"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 w:right="0"/>
              <w:jc w:val="left"/>
              <w:rPr>
                <w:rFonts w:ascii="Times New Roman" w:hAnsi="Times New Roman" w:cs="Times New Roman" w:eastAsia="Times New Roman" w:hint="default"/>
                <w:sz w:val="18"/>
                <w:szCs w:val="18"/>
              </w:rPr>
            </w:pPr>
            <w:r>
              <w:rPr>
                <w:rFonts w:ascii="Times New Roman"/>
                <w:sz w:val="18"/>
              </w:rPr>
              <w:t>23,992</w:t>
            </w:r>
          </w:p>
        </w:tc>
        <w:tc>
          <w:tcPr>
            <w:tcW w:w="1960" w:type="dxa"/>
            <w:gridSpan w:val="2"/>
            <w:tcBorders>
              <w:top w:val="single" w:sz="12" w:space="0" w:color="000000"/>
              <w:left w:val="single" w:sz="4" w:space="0" w:color="000000"/>
              <w:bottom w:val="single" w:sz="4" w:space="0" w:color="000000"/>
              <w:right w:val="single" w:sz="13" w:space="0" w:color="FFFFFF"/>
            </w:tcBorders>
            <w:shd w:val="clear" w:color="auto" w:fill="D2D2D2"/>
          </w:tcPr>
          <w:p>
            <w:pPr>
              <w:pStyle w:val="TableParagraph"/>
              <w:spacing w:line="316" w:lineRule="auto" w:before="51"/>
              <w:ind w:left="11" w:right="-53"/>
              <w:jc w:val="left"/>
              <w:rPr>
                <w:rFonts w:ascii="宋体" w:hAnsi="宋体" w:cs="宋体" w:eastAsia="宋体" w:hint="default"/>
                <w:sz w:val="18"/>
                <w:szCs w:val="18"/>
              </w:rPr>
            </w:pPr>
            <w:r>
              <w:rPr>
                <w:rFonts w:ascii="宋体" w:hAnsi="宋体" w:cs="宋体" w:eastAsia="宋体" w:hint="default"/>
                <w:sz w:val="18"/>
                <w:szCs w:val="18"/>
              </w:rPr>
              <w:t>报告期末表决权恢复的 优先股股东总数（如有）</w:t>
            </w:r>
          </w:p>
        </w:tc>
        <w:tc>
          <w:tcPr>
            <w:tcW w:w="308" w:type="dxa"/>
            <w:gridSpan w:val="2"/>
            <w:tcBorders>
              <w:top w:val="single" w:sz="12" w:space="0" w:color="000000"/>
              <w:left w:val="single" w:sz="23" w:space="0" w:color="FFFFFF"/>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9" w:right="0"/>
              <w:jc w:val="left"/>
              <w:rPr>
                <w:rFonts w:ascii="Times New Roman" w:hAnsi="Times New Roman" w:cs="Times New Roman" w:eastAsia="Times New Roman" w:hint="default"/>
                <w:sz w:val="18"/>
                <w:szCs w:val="18"/>
              </w:rPr>
            </w:pPr>
            <w:r>
              <w:rPr>
                <w:rFonts w:ascii="Times New Roman"/>
                <w:sz w:val="18"/>
              </w:rPr>
              <w:t>0</w:t>
            </w:r>
          </w:p>
        </w:tc>
        <w:tc>
          <w:tcPr>
            <w:tcW w:w="2670" w:type="dxa"/>
            <w:gridSpan w:val="3"/>
            <w:tcBorders>
              <w:top w:val="single" w:sz="12" w:space="0" w:color="000000"/>
              <w:left w:val="single" w:sz="4" w:space="0" w:color="000000"/>
              <w:bottom w:val="single" w:sz="4" w:space="0" w:color="000000"/>
              <w:right w:val="single" w:sz="13" w:space="0" w:color="FFFFFF"/>
            </w:tcBorders>
            <w:shd w:val="clear" w:color="auto" w:fill="D2D2D2"/>
          </w:tcPr>
          <w:p>
            <w:pPr>
              <w:pStyle w:val="TableParagraph"/>
              <w:spacing w:line="316" w:lineRule="auto" w:before="51"/>
              <w:ind w:left="11" w:right="115"/>
              <w:jc w:val="left"/>
              <w:rPr>
                <w:rFonts w:ascii="宋体" w:hAnsi="宋体" w:cs="宋体" w:eastAsia="宋体" w:hint="default"/>
                <w:sz w:val="18"/>
                <w:szCs w:val="18"/>
              </w:rPr>
            </w:pPr>
            <w:r>
              <w:rPr>
                <w:rFonts w:ascii="宋体" w:hAnsi="宋体" w:cs="宋体" w:eastAsia="宋体" w:hint="default"/>
                <w:sz w:val="18"/>
                <w:szCs w:val="18"/>
              </w:rPr>
              <w:t>年度报告披露日前上一月末表决 权恢复的优先股股东总数（如有</w:t>
            </w:r>
          </w:p>
        </w:tc>
        <w:tc>
          <w:tcPr>
            <w:tcW w:w="223" w:type="dxa"/>
            <w:tcBorders>
              <w:top w:val="single" w:sz="12" w:space="0" w:color="000000"/>
              <w:left w:val="single" w:sz="9" w:space="0" w:color="FFFFFF"/>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162" w:lineRule="exact"/>
              <w:ind w:left="93"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190" w:lineRule="exact"/>
              <w:ind w:left="-145"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392" w:hRule="exact"/>
        </w:trPr>
        <w:tc>
          <w:tcPr>
            <w:tcW w:w="9569" w:type="dxa"/>
            <w:gridSpan w:val="16"/>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46"/>
              <w:ind w:left="3052"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211" w:hRule="exact"/>
        </w:trPr>
        <w:tc>
          <w:tcPr>
            <w:tcW w:w="1561" w:type="dxa"/>
            <w:gridSpan w:val="2"/>
            <w:tcBorders>
              <w:top w:val="single" w:sz="4" w:space="0" w:color="000000"/>
              <w:left w:val="single" w:sz="12" w:space="0" w:color="000000"/>
              <w:bottom w:val="nil" w:sz="6" w:space="0" w:color="auto"/>
              <w:right w:val="single" w:sz="4" w:space="0" w:color="000000"/>
            </w:tcBorders>
            <w:shd w:val="clear" w:color="auto" w:fill="D2D2D2"/>
          </w:tcPr>
          <w:p>
            <w:pPr/>
          </w:p>
        </w:tc>
        <w:tc>
          <w:tcPr>
            <w:tcW w:w="99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59" w:right="78"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99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20" w:right="39"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99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9" w:right="38"/>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27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93" w:right="92"/>
              <w:jc w:val="left"/>
              <w:rPr>
                <w:rFonts w:ascii="宋体" w:hAnsi="宋体" w:cs="宋体" w:eastAsia="宋体" w:hint="default"/>
                <w:sz w:val="18"/>
                <w:szCs w:val="18"/>
              </w:rPr>
            </w:pPr>
            <w:r>
              <w:rPr>
                <w:rFonts w:ascii="宋体" w:hAnsi="宋体" w:cs="宋体" w:eastAsia="宋体" w:hint="default"/>
                <w:sz w:val="18"/>
                <w:szCs w:val="18"/>
              </w:rPr>
              <w:t>持有有限售条 件的股份数量</w:t>
            </w:r>
          </w:p>
        </w:tc>
        <w:tc>
          <w:tcPr>
            <w:tcW w:w="127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92" w:right="93"/>
              <w:jc w:val="left"/>
              <w:rPr>
                <w:rFonts w:ascii="宋体" w:hAnsi="宋体" w:cs="宋体" w:eastAsia="宋体" w:hint="default"/>
                <w:sz w:val="18"/>
                <w:szCs w:val="18"/>
              </w:rPr>
            </w:pPr>
            <w:r>
              <w:rPr>
                <w:rFonts w:ascii="宋体" w:hAnsi="宋体" w:cs="宋体" w:eastAsia="宋体" w:hint="default"/>
                <w:sz w:val="18"/>
                <w:szCs w:val="18"/>
              </w:rPr>
              <w:t>持有无限售条 件的股份数量</w:t>
            </w:r>
          </w:p>
        </w:tc>
        <w:tc>
          <w:tcPr>
            <w:tcW w:w="1769" w:type="dxa"/>
            <w:gridSpan w:val="3"/>
            <w:vMerge w:val="restart"/>
            <w:tcBorders>
              <w:top w:val="single" w:sz="4" w:space="0" w:color="000000"/>
              <w:left w:val="single" w:sz="4" w:space="0" w:color="000000"/>
              <w:right w:val="single" w:sz="12" w:space="0" w:color="000000"/>
            </w:tcBorders>
            <w:shd w:val="clear" w:color="auto" w:fill="D2D2D2"/>
          </w:tcPr>
          <w:p>
            <w:pPr>
              <w:pStyle w:val="TableParagraph"/>
              <w:spacing w:line="240" w:lineRule="auto" w:before="56"/>
              <w:ind w:left="249"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91" w:hRule="exact"/>
        </w:trPr>
        <w:tc>
          <w:tcPr>
            <w:tcW w:w="1561" w:type="dxa"/>
            <w:gridSpan w:val="2"/>
            <w:vMerge w:val="restart"/>
            <w:tcBorders>
              <w:top w:val="nil" w:sz="6" w:space="0" w:color="auto"/>
              <w:left w:val="single" w:sz="12" w:space="0" w:color="000000"/>
              <w:right w:val="single" w:sz="4" w:space="0" w:color="000000"/>
            </w:tcBorders>
            <w:shd w:val="clear" w:color="auto" w:fill="D2D2D2"/>
          </w:tcPr>
          <w:p>
            <w:pPr>
              <w:pStyle w:val="TableParagraph"/>
              <w:spacing w:line="240" w:lineRule="auto" w:before="51"/>
              <w:ind w:left="40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99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09" w:type="dxa"/>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990" w:type="dxa"/>
            <w:gridSpan w:val="2"/>
            <w:vMerge/>
            <w:tcBorders>
              <w:left w:val="single" w:sz="4" w:space="0" w:color="000000"/>
              <w:right w:val="single" w:sz="4" w:space="0" w:color="000000"/>
            </w:tcBorders>
            <w:shd w:val="clear" w:color="auto" w:fill="D2D2D2"/>
          </w:tcPr>
          <w:p>
            <w:pPr/>
          </w:p>
        </w:tc>
        <w:tc>
          <w:tcPr>
            <w:tcW w:w="1278" w:type="dxa"/>
            <w:gridSpan w:val="2"/>
            <w:vMerge/>
            <w:tcBorders>
              <w:left w:val="single" w:sz="4" w:space="0" w:color="000000"/>
              <w:right w:val="single" w:sz="4" w:space="0" w:color="000000"/>
            </w:tcBorders>
            <w:shd w:val="clear" w:color="auto" w:fill="D2D2D2"/>
          </w:tcPr>
          <w:p>
            <w:pPr/>
          </w:p>
        </w:tc>
        <w:tc>
          <w:tcPr>
            <w:tcW w:w="1277" w:type="dxa"/>
            <w:gridSpan w:val="2"/>
            <w:vMerge/>
            <w:tcBorders>
              <w:left w:val="single" w:sz="4" w:space="0" w:color="000000"/>
              <w:right w:val="single" w:sz="4" w:space="0" w:color="000000"/>
            </w:tcBorders>
            <w:shd w:val="clear" w:color="auto" w:fill="D2D2D2"/>
          </w:tcPr>
          <w:p>
            <w:pPr/>
          </w:p>
        </w:tc>
        <w:tc>
          <w:tcPr>
            <w:tcW w:w="1769" w:type="dxa"/>
            <w:gridSpan w:val="3"/>
            <w:vMerge/>
            <w:tcBorders>
              <w:left w:val="single" w:sz="4" w:space="0" w:color="000000"/>
              <w:bottom w:val="single" w:sz="4" w:space="0" w:color="000000"/>
              <w:right w:val="single" w:sz="12" w:space="0" w:color="000000"/>
            </w:tcBorders>
            <w:shd w:val="clear" w:color="auto" w:fill="D2D2D2"/>
          </w:tcPr>
          <w:p>
            <w:pPr/>
          </w:p>
        </w:tc>
      </w:tr>
      <w:tr>
        <w:trPr>
          <w:trHeight w:val="200" w:hRule="exact"/>
        </w:trPr>
        <w:tc>
          <w:tcPr>
            <w:tcW w:w="1561" w:type="dxa"/>
            <w:gridSpan w:val="2"/>
            <w:vMerge/>
            <w:tcBorders>
              <w:left w:val="single" w:sz="12" w:space="0" w:color="000000"/>
              <w:bottom w:val="nil" w:sz="6" w:space="0" w:color="auto"/>
              <w:right w:val="single" w:sz="4" w:space="0" w:color="000000"/>
            </w:tcBorders>
            <w:shd w:val="clear" w:color="auto" w:fill="D2D2D2"/>
          </w:tcPr>
          <w:p>
            <w:pPr/>
          </w:p>
        </w:tc>
        <w:tc>
          <w:tcPr>
            <w:tcW w:w="992" w:type="dxa"/>
            <w:gridSpan w:val="2"/>
            <w:vMerge/>
            <w:tcBorders>
              <w:left w:val="single" w:sz="4" w:space="0" w:color="000000"/>
              <w:bottom w:val="nil" w:sz="6" w:space="0" w:color="auto"/>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990" w:type="dxa"/>
            <w:gridSpan w:val="2"/>
            <w:vMerge/>
            <w:tcBorders>
              <w:left w:val="single" w:sz="4" w:space="0" w:color="000000"/>
              <w:right w:val="single" w:sz="4" w:space="0" w:color="000000"/>
            </w:tcBorders>
            <w:shd w:val="clear" w:color="auto" w:fill="D2D2D2"/>
          </w:tcPr>
          <w:p>
            <w:pPr/>
          </w:p>
        </w:tc>
        <w:tc>
          <w:tcPr>
            <w:tcW w:w="1278" w:type="dxa"/>
            <w:gridSpan w:val="2"/>
            <w:vMerge/>
            <w:tcBorders>
              <w:left w:val="single" w:sz="4" w:space="0" w:color="000000"/>
              <w:right w:val="single" w:sz="4" w:space="0" w:color="000000"/>
            </w:tcBorders>
            <w:shd w:val="clear" w:color="auto" w:fill="D2D2D2"/>
          </w:tcPr>
          <w:p>
            <w:pPr/>
          </w:p>
        </w:tc>
        <w:tc>
          <w:tcPr>
            <w:tcW w:w="1277" w:type="dxa"/>
            <w:gridSpan w:val="2"/>
            <w:vMerge/>
            <w:tcBorders>
              <w:left w:val="single" w:sz="4" w:space="0" w:color="000000"/>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0"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920" w:type="dxa"/>
            <w:gridSpan w:val="2"/>
            <w:vMerge w:val="restart"/>
            <w:tcBorders>
              <w:top w:val="single" w:sz="4" w:space="0" w:color="000000"/>
              <w:left w:val="single" w:sz="4" w:space="0" w:color="000000"/>
              <w:right w:val="single" w:sz="12" w:space="0" w:color="000000"/>
            </w:tcBorders>
            <w:shd w:val="clear" w:color="auto" w:fill="D2D2D2"/>
          </w:tcPr>
          <w:p>
            <w:pPr>
              <w:pStyle w:val="TableParagraph"/>
              <w:spacing w:line="240" w:lineRule="auto" w:before="56"/>
              <w:ind w:left="274"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84" w:hRule="exact"/>
        </w:trPr>
        <w:tc>
          <w:tcPr>
            <w:tcW w:w="1561" w:type="dxa"/>
            <w:gridSpan w:val="2"/>
            <w:tcBorders>
              <w:top w:val="nil" w:sz="6" w:space="0" w:color="auto"/>
              <w:left w:val="single" w:sz="12" w:space="0" w:color="000000"/>
              <w:bottom w:val="single" w:sz="4" w:space="0" w:color="000000"/>
              <w:right w:val="single" w:sz="4" w:space="0" w:color="000000"/>
            </w:tcBorders>
            <w:shd w:val="clear" w:color="auto" w:fill="D2D2D2"/>
          </w:tcPr>
          <w:p>
            <w:pPr/>
          </w:p>
        </w:tc>
        <w:tc>
          <w:tcPr>
            <w:tcW w:w="99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992" w:type="dxa"/>
            <w:gridSpan w:val="2"/>
            <w:vMerge/>
            <w:tcBorders>
              <w:left w:val="single" w:sz="4" w:space="0" w:color="000000"/>
              <w:bottom w:val="single" w:sz="4" w:space="0" w:color="000000"/>
              <w:right w:val="single" w:sz="4" w:space="0" w:color="000000"/>
            </w:tcBorders>
            <w:shd w:val="clear" w:color="auto" w:fill="D2D2D2"/>
          </w:tcPr>
          <w:p>
            <w:pPr/>
          </w:p>
        </w:tc>
        <w:tc>
          <w:tcPr>
            <w:tcW w:w="990" w:type="dxa"/>
            <w:gridSpan w:val="2"/>
            <w:vMerge/>
            <w:tcBorders>
              <w:left w:val="single" w:sz="4" w:space="0" w:color="000000"/>
              <w:bottom w:val="single" w:sz="4" w:space="0" w:color="000000"/>
              <w:right w:val="single" w:sz="4" w:space="0" w:color="000000"/>
            </w:tcBorders>
            <w:shd w:val="clear" w:color="auto" w:fill="D2D2D2"/>
          </w:tcPr>
          <w:p>
            <w:pPr/>
          </w:p>
        </w:tc>
        <w:tc>
          <w:tcPr>
            <w:tcW w:w="1278" w:type="dxa"/>
            <w:gridSpan w:val="2"/>
            <w:vMerge/>
            <w:tcBorders>
              <w:left w:val="single" w:sz="4" w:space="0" w:color="000000"/>
              <w:bottom w:val="single" w:sz="4" w:space="0" w:color="000000"/>
              <w:right w:val="single" w:sz="4" w:space="0" w:color="000000"/>
            </w:tcBorders>
            <w:shd w:val="clear" w:color="auto" w:fill="D2D2D2"/>
          </w:tcPr>
          <w:p>
            <w:pPr/>
          </w:p>
        </w:tc>
        <w:tc>
          <w:tcPr>
            <w:tcW w:w="1277" w:type="dxa"/>
            <w:gridSpan w:val="2"/>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920" w:type="dxa"/>
            <w:gridSpan w:val="2"/>
            <w:vMerge/>
            <w:tcBorders>
              <w:left w:val="single" w:sz="4" w:space="0" w:color="000000"/>
              <w:bottom w:val="single" w:sz="4" w:space="0" w:color="000000"/>
              <w:right w:val="single" w:sz="12" w:space="0" w:color="000000"/>
            </w:tcBorders>
            <w:shd w:val="clear" w:color="auto" w:fill="D2D2D2"/>
          </w:tcPr>
          <w:p>
            <w:pPr/>
          </w:p>
        </w:tc>
      </w:tr>
      <w:tr>
        <w:trPr>
          <w:trHeight w:val="425" w:hRule="exact"/>
        </w:trPr>
        <w:tc>
          <w:tcPr>
            <w:tcW w:w="1561" w:type="dxa"/>
            <w:gridSpan w:val="2"/>
            <w:tcBorders>
              <w:top w:val="single" w:sz="4" w:space="0" w:color="000000"/>
              <w:left w:val="single" w:sz="12" w:space="0" w:color="000000"/>
              <w:bottom w:val="single" w:sz="4" w:space="0" w:color="000000"/>
              <w:right w:val="single" w:sz="4" w:space="0" w:color="000000"/>
            </w:tcBorders>
          </w:tcPr>
          <w:p>
            <w:pPr>
              <w:pStyle w:val="TableParagraph"/>
              <w:spacing w:line="240" w:lineRule="auto" w:before="74"/>
              <w:ind w:left="13" w:right="0"/>
              <w:jc w:val="left"/>
              <w:rPr>
                <w:rFonts w:ascii="宋体" w:hAnsi="宋体" w:cs="宋体" w:eastAsia="宋体" w:hint="default"/>
                <w:sz w:val="18"/>
                <w:szCs w:val="18"/>
              </w:rPr>
            </w:pPr>
            <w:r>
              <w:rPr>
                <w:rFonts w:ascii="宋体" w:hAnsi="宋体" w:cs="宋体" w:eastAsia="宋体" w:hint="default"/>
                <w:sz w:val="18"/>
                <w:szCs w:val="18"/>
              </w:rPr>
              <w:t>任红军</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9" w:type="dxa"/>
            <w:tcBorders>
              <w:top w:val="single" w:sz="22" w:space="0" w:color="D2D2D2"/>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21.74%</w:t>
            </w:r>
          </w:p>
        </w:tc>
        <w:tc>
          <w:tcPr>
            <w:tcW w:w="992" w:type="dxa"/>
            <w:gridSpan w:val="2"/>
            <w:tcBorders>
              <w:top w:val="single" w:sz="22" w:space="0" w:color="D2D2D2"/>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63,690,629</w:t>
            </w:r>
          </w:p>
        </w:tc>
        <w:tc>
          <w:tcPr>
            <w:tcW w:w="990" w:type="dxa"/>
            <w:gridSpan w:val="2"/>
            <w:tcBorders>
              <w:top w:val="single" w:sz="22" w:space="0" w:color="D2D2D2"/>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8" w:type="dxa"/>
            <w:gridSpan w:val="2"/>
            <w:tcBorders>
              <w:top w:val="single" w:sz="22" w:space="0" w:color="D2D2D2"/>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47,767,972</w:t>
            </w:r>
          </w:p>
        </w:tc>
        <w:tc>
          <w:tcPr>
            <w:tcW w:w="1277" w:type="dxa"/>
            <w:gridSpan w:val="2"/>
            <w:tcBorders>
              <w:top w:val="single" w:sz="22" w:space="0" w:color="D2D2D2"/>
              <w:left w:val="single" w:sz="4" w:space="0" w:color="000000"/>
              <w:bottom w:val="single" w:sz="4" w:space="0" w:color="000000"/>
              <w:right w:val="single" w:sz="4" w:space="0" w:color="000000"/>
            </w:tcBorders>
          </w:tcPr>
          <w:p>
            <w:pPr>
              <w:pStyle w:val="TableParagraph"/>
              <w:spacing w:line="240" w:lineRule="auto" w:before="91"/>
              <w:ind w:left="433" w:right="0"/>
              <w:jc w:val="left"/>
              <w:rPr>
                <w:rFonts w:ascii="Times New Roman" w:hAnsi="Times New Roman" w:cs="Times New Roman" w:eastAsia="Times New Roman" w:hint="default"/>
                <w:sz w:val="18"/>
                <w:szCs w:val="18"/>
              </w:rPr>
            </w:pPr>
            <w:r>
              <w:rPr>
                <w:rFonts w:ascii="Times New Roman"/>
                <w:sz w:val="18"/>
              </w:rPr>
              <w:t>15,922,657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920" w:type="dxa"/>
            <w:gridSpan w:val="2"/>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4"/>
              <w:ind w:left="76" w:right="0"/>
              <w:jc w:val="left"/>
              <w:rPr>
                <w:rFonts w:ascii="Times New Roman" w:hAnsi="Times New Roman" w:cs="Times New Roman" w:eastAsia="Times New Roman" w:hint="default"/>
                <w:sz w:val="18"/>
                <w:szCs w:val="18"/>
              </w:rPr>
            </w:pPr>
            <w:r>
              <w:rPr>
                <w:rFonts w:ascii="Times New Roman"/>
                <w:sz w:val="18"/>
              </w:rPr>
              <w:t>30,000,000</w:t>
            </w:r>
          </w:p>
        </w:tc>
      </w:tr>
      <w:tr>
        <w:trPr>
          <w:trHeight w:val="402" w:hRule="exact"/>
        </w:trPr>
        <w:tc>
          <w:tcPr>
            <w:tcW w:w="1561" w:type="dxa"/>
            <w:gridSpan w:val="2"/>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钟超</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6.54%</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19,154,280</w:t>
            </w:r>
          </w:p>
        </w:tc>
        <w:tc>
          <w:tcPr>
            <w:tcW w:w="9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3" w:right="0"/>
              <w:jc w:val="left"/>
              <w:rPr>
                <w:rFonts w:ascii="Times New Roman" w:hAnsi="Times New Roman" w:cs="Times New Roman" w:eastAsia="Times New Roman" w:hint="default"/>
                <w:sz w:val="18"/>
                <w:szCs w:val="18"/>
              </w:rPr>
            </w:pPr>
            <w:r>
              <w:rPr>
                <w:rFonts w:ascii="Times New Roman"/>
                <w:sz w:val="18"/>
              </w:rPr>
              <w:t>19,154,280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920" w:type="dxa"/>
            <w:gridSpan w:val="2"/>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left="166" w:right="0"/>
              <w:jc w:val="left"/>
              <w:rPr>
                <w:rFonts w:ascii="Times New Roman" w:hAnsi="Times New Roman" w:cs="Times New Roman" w:eastAsia="Times New Roman" w:hint="default"/>
                <w:sz w:val="18"/>
                <w:szCs w:val="18"/>
              </w:rPr>
            </w:pPr>
            <w:r>
              <w:rPr>
                <w:rFonts w:ascii="Times New Roman"/>
                <w:sz w:val="18"/>
              </w:rPr>
              <w:t>9,346,000</w:t>
            </w:r>
          </w:p>
        </w:tc>
      </w:tr>
      <w:tr>
        <w:trPr>
          <w:trHeight w:val="402" w:hRule="exact"/>
        </w:trPr>
        <w:tc>
          <w:tcPr>
            <w:tcW w:w="1561" w:type="dxa"/>
            <w:gridSpan w:val="2"/>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陈泽枝</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4.42%</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12,962,906</w:t>
            </w:r>
          </w:p>
        </w:tc>
        <w:tc>
          <w:tcPr>
            <w:tcW w:w="9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3" w:right="0"/>
              <w:jc w:val="left"/>
              <w:rPr>
                <w:rFonts w:ascii="Times New Roman" w:hAnsi="Times New Roman" w:cs="Times New Roman" w:eastAsia="Times New Roman" w:hint="default"/>
                <w:sz w:val="18"/>
                <w:szCs w:val="18"/>
              </w:rPr>
            </w:pPr>
            <w:r>
              <w:rPr>
                <w:rFonts w:ascii="Times New Roman"/>
                <w:sz w:val="18"/>
              </w:rPr>
              <w:t>-1,180,116</w:t>
            </w:r>
          </w:p>
        </w:tc>
        <w:tc>
          <w:tcPr>
            <w:tcW w:w="12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1" w:right="0"/>
              <w:jc w:val="left"/>
              <w:rPr>
                <w:rFonts w:ascii="Times New Roman" w:hAnsi="Times New Roman" w:cs="Times New Roman" w:eastAsia="Times New Roman" w:hint="default"/>
                <w:sz w:val="18"/>
                <w:szCs w:val="18"/>
              </w:rPr>
            </w:pPr>
            <w:r>
              <w:rPr>
                <w:rFonts w:ascii="Times New Roman"/>
                <w:sz w:val="18"/>
              </w:rPr>
              <w:t>5,112,906</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7,850,000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920" w:type="dxa"/>
            <w:gridSpan w:val="2"/>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12,962,905</w:t>
            </w:r>
          </w:p>
        </w:tc>
      </w:tr>
      <w:tr>
        <w:trPr>
          <w:trHeight w:val="412" w:hRule="exact"/>
        </w:trPr>
        <w:tc>
          <w:tcPr>
            <w:tcW w:w="1561" w:type="dxa"/>
            <w:gridSpan w:val="2"/>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李泽清</w:t>
            </w:r>
          </w:p>
        </w:tc>
        <w:tc>
          <w:tcPr>
            <w:tcW w:w="992" w:type="dxa"/>
            <w:gridSpan w:val="2"/>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1.80%</w:t>
            </w:r>
          </w:p>
        </w:tc>
        <w:tc>
          <w:tcPr>
            <w:tcW w:w="992" w:type="dxa"/>
            <w:gridSpan w:val="2"/>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left="238" w:right="0"/>
              <w:jc w:val="left"/>
              <w:rPr>
                <w:rFonts w:ascii="Times New Roman" w:hAnsi="Times New Roman" w:cs="Times New Roman" w:eastAsia="Times New Roman" w:hint="default"/>
                <w:sz w:val="18"/>
                <w:szCs w:val="18"/>
              </w:rPr>
            </w:pPr>
            <w:r>
              <w:rPr>
                <w:rFonts w:ascii="Times New Roman"/>
                <w:sz w:val="18"/>
              </w:rPr>
              <w:t>5,281,826</w:t>
            </w:r>
          </w:p>
        </w:tc>
        <w:tc>
          <w:tcPr>
            <w:tcW w:w="990" w:type="dxa"/>
            <w:gridSpan w:val="2"/>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left="176" w:right="0"/>
              <w:jc w:val="left"/>
              <w:rPr>
                <w:rFonts w:ascii="Times New Roman" w:hAnsi="Times New Roman" w:cs="Times New Roman" w:eastAsia="Times New Roman" w:hint="default"/>
                <w:sz w:val="18"/>
                <w:szCs w:val="18"/>
              </w:rPr>
            </w:pPr>
            <w:r>
              <w:rPr>
                <w:rFonts w:ascii="Times New Roman"/>
                <w:sz w:val="18"/>
              </w:rPr>
              <w:t>-2,061,800</w:t>
            </w:r>
          </w:p>
        </w:tc>
        <w:tc>
          <w:tcPr>
            <w:tcW w:w="1278" w:type="dxa"/>
            <w:gridSpan w:val="2"/>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left="524" w:right="0"/>
              <w:jc w:val="left"/>
              <w:rPr>
                <w:rFonts w:ascii="Times New Roman" w:hAnsi="Times New Roman" w:cs="Times New Roman" w:eastAsia="Times New Roman" w:hint="default"/>
                <w:sz w:val="18"/>
                <w:szCs w:val="18"/>
              </w:rPr>
            </w:pPr>
            <w:r>
              <w:rPr>
                <w:rFonts w:ascii="Times New Roman"/>
                <w:sz w:val="18"/>
              </w:rPr>
              <w:t>2,364,200</w:t>
            </w:r>
          </w:p>
        </w:tc>
        <w:tc>
          <w:tcPr>
            <w:tcW w:w="1277" w:type="dxa"/>
            <w:gridSpan w:val="2"/>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2,917,626</w:t>
            </w:r>
          </w:p>
        </w:tc>
        <w:tc>
          <w:tcPr>
            <w:tcW w:w="8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920" w:type="dxa"/>
            <w:gridSpan w:val="2"/>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left="166" w:right="0"/>
              <w:jc w:val="left"/>
              <w:rPr>
                <w:rFonts w:ascii="Times New Roman" w:hAnsi="Times New Roman" w:cs="Times New Roman" w:eastAsia="Times New Roman" w:hint="default"/>
                <w:sz w:val="18"/>
                <w:szCs w:val="18"/>
              </w:rPr>
            </w:pPr>
            <w:r>
              <w:rPr>
                <w:rFonts w:ascii="Times New Roman"/>
                <w:sz w:val="18"/>
              </w:rPr>
              <w:t>5,000,000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p>
      <w:pPr>
        <w:spacing w:before="44"/>
        <w:ind w:left="0" w:right="1140" w:firstLine="0"/>
        <w:jc w:val="right"/>
        <w:rPr>
          <w:rFonts w:ascii="宋体" w:hAnsi="宋体" w:cs="宋体" w:eastAsia="宋体" w:hint="default"/>
          <w:sz w:val="18"/>
          <w:szCs w:val="18"/>
        </w:rPr>
      </w:pPr>
      <w:r>
        <w:rPr/>
        <w:pict>
          <v:shape style="position:absolute;margin-left:55.919998pt;margin-top:-548.748291pt;width:480.7pt;height:605.3pt;mso-position-horizontal-relative:page;mso-position-vertical-relative:paragraph;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61"/>
                    <w:gridCol w:w="992"/>
                    <w:gridCol w:w="709"/>
                    <w:gridCol w:w="992"/>
                    <w:gridCol w:w="990"/>
                    <w:gridCol w:w="427"/>
                    <w:gridCol w:w="851"/>
                    <w:gridCol w:w="851"/>
                    <w:gridCol w:w="426"/>
                    <w:gridCol w:w="850"/>
                    <w:gridCol w:w="920"/>
                  </w:tblGrid>
                  <w:tr>
                    <w:trPr>
                      <w:trHeight w:val="1348" w:hRule="exact"/>
                    </w:trPr>
                    <w:tc>
                      <w:tcPr>
                        <w:tcW w:w="1561" w:type="dxa"/>
                        <w:tcBorders>
                          <w:top w:val="single" w:sz="12" w:space="0" w:color="000000"/>
                          <w:left w:val="single" w:sz="12" w:space="0" w:color="000000"/>
                          <w:bottom w:val="single" w:sz="4" w:space="0" w:color="000000"/>
                          <w:right w:val="single" w:sz="4" w:space="0" w:color="000000"/>
                        </w:tcBorders>
                      </w:tcPr>
                      <w:p>
                        <w:pPr>
                          <w:pStyle w:val="TableParagraph"/>
                          <w:spacing w:line="316" w:lineRule="auto" w:before="51"/>
                          <w:ind w:left="13" w:right="87"/>
                          <w:jc w:val="both"/>
                          <w:rPr>
                            <w:rFonts w:ascii="宋体" w:hAnsi="宋体" w:cs="宋体" w:eastAsia="宋体" w:hint="default"/>
                            <w:sz w:val="18"/>
                            <w:szCs w:val="18"/>
                          </w:rPr>
                        </w:pPr>
                        <w:r>
                          <w:rPr>
                            <w:rFonts w:ascii="宋体" w:hAnsi="宋体" w:cs="宋体" w:eastAsia="宋体" w:hint="default"/>
                            <w:sz w:val="18"/>
                            <w:szCs w:val="18"/>
                          </w:rPr>
                          <w:t>中国建设银行股份 有限公司－富国国 家安全主题混合型 证券投资基金</w:t>
                        </w:r>
                      </w:p>
                    </w:tc>
                    <w:tc>
                      <w:tcPr>
                        <w:tcW w:w="99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1.62%</w:t>
                        </w:r>
                      </w:p>
                    </w:tc>
                    <w:tc>
                      <w:tcPr>
                        <w:tcW w:w="99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4,743,890</w:t>
                        </w:r>
                      </w:p>
                    </w:tc>
                    <w:tc>
                      <w:tcPr>
                        <w:tcW w:w="99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1,592,195</w:t>
                        </w:r>
                      </w:p>
                    </w:tc>
                    <w:tc>
                      <w:tcPr>
                        <w:tcW w:w="1278"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7"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4,743,890</w:t>
                        </w:r>
                      </w:p>
                    </w:tc>
                    <w:tc>
                      <w:tcPr>
                        <w:tcW w:w="850" w:type="dxa"/>
                        <w:tcBorders>
                          <w:top w:val="single" w:sz="12" w:space="0" w:color="000000"/>
                          <w:left w:val="single" w:sz="4" w:space="0" w:color="000000"/>
                          <w:bottom w:val="single" w:sz="4" w:space="0" w:color="000000"/>
                          <w:right w:val="single" w:sz="4" w:space="0" w:color="000000"/>
                        </w:tcBorders>
                      </w:tcPr>
                      <w:p>
                        <w:pPr/>
                      </w:p>
                    </w:tc>
                    <w:tc>
                      <w:tcPr>
                        <w:tcW w:w="920" w:type="dxa"/>
                        <w:tcBorders>
                          <w:top w:val="single" w:sz="12" w:space="0" w:color="000000"/>
                          <w:left w:val="single" w:sz="4" w:space="0" w:color="000000"/>
                          <w:bottom w:val="single" w:sz="4" w:space="0" w:color="000000"/>
                          <w:right w:val="single" w:sz="12" w:space="0" w:color="000000"/>
                        </w:tcBorders>
                      </w:tcPr>
                      <w:p>
                        <w:pPr/>
                      </w:p>
                    </w:tc>
                  </w:tr>
                  <w:tr>
                    <w:trPr>
                      <w:trHeight w:val="402" w:hRule="exact"/>
                    </w:trPr>
                    <w:tc>
                      <w:tcPr>
                        <w:tcW w:w="156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高孔兴</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4,044,630</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-258,000</w:t>
                        </w:r>
                      </w:p>
                    </w:tc>
                    <w:tc>
                      <w:tcPr>
                        <w:tcW w:w="12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4" w:right="0"/>
                          <w:jc w:val="left"/>
                          <w:rPr>
                            <w:rFonts w:ascii="Times New Roman" w:hAnsi="Times New Roman" w:cs="Times New Roman" w:eastAsia="Times New Roman" w:hint="default"/>
                            <w:sz w:val="18"/>
                            <w:szCs w:val="18"/>
                          </w:rPr>
                        </w:pPr>
                        <w:r>
                          <w:rPr>
                            <w:rFonts w:ascii="Times New Roman"/>
                            <w:sz w:val="18"/>
                          </w:rPr>
                          <w:t>1,476,789</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2,567,841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9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left="154" w:right="0"/>
                          <w:jc w:val="center"/>
                          <w:rPr>
                            <w:rFonts w:ascii="Times New Roman" w:hAnsi="Times New Roman" w:cs="Times New Roman" w:eastAsia="Times New Roman" w:hint="default"/>
                            <w:sz w:val="18"/>
                            <w:szCs w:val="18"/>
                          </w:rPr>
                        </w:pPr>
                        <w:r>
                          <w:rPr>
                            <w:rFonts w:ascii="Times New Roman"/>
                            <w:sz w:val="18"/>
                          </w:rPr>
                          <w:t>2,910,000</w:t>
                        </w:r>
                      </w:p>
                    </w:tc>
                  </w:tr>
                  <w:tr>
                    <w:trPr>
                      <w:trHeight w:val="402" w:hRule="exact"/>
                    </w:trPr>
                    <w:tc>
                      <w:tcPr>
                        <w:tcW w:w="156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尚剑红</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4,010,134</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4" w:right="0"/>
                          <w:jc w:val="left"/>
                          <w:rPr>
                            <w:rFonts w:ascii="Times New Roman" w:hAnsi="Times New Roman" w:cs="Times New Roman" w:eastAsia="Times New Roman" w:hint="default"/>
                            <w:sz w:val="18"/>
                            <w:szCs w:val="18"/>
                          </w:rPr>
                        </w:pPr>
                        <w:r>
                          <w:rPr>
                            <w:rFonts w:ascii="Times New Roman"/>
                            <w:sz w:val="18"/>
                          </w:rPr>
                          <w:t>3,007,600</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1,002,534</w:t>
                        </w:r>
                      </w:p>
                    </w:tc>
                    <w:tc>
                      <w:tcPr>
                        <w:tcW w:w="850"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156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钟克创</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3,497,320</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3,497,320</w:t>
                        </w:r>
                      </w:p>
                    </w:tc>
                    <w:tc>
                      <w:tcPr>
                        <w:tcW w:w="850"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156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刘瑞玲</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3,127,560</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4" w:right="0"/>
                          <w:jc w:val="left"/>
                          <w:rPr>
                            <w:rFonts w:ascii="Times New Roman" w:hAnsi="Times New Roman" w:cs="Times New Roman" w:eastAsia="Times New Roman" w:hint="default"/>
                            <w:sz w:val="18"/>
                            <w:szCs w:val="18"/>
                          </w:rPr>
                        </w:pPr>
                        <w:r>
                          <w:rPr>
                            <w:rFonts w:ascii="Times New Roman"/>
                            <w:sz w:val="18"/>
                          </w:rPr>
                          <w:t>2,345,670</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9" w:right="0"/>
                          <w:jc w:val="left"/>
                          <w:rPr>
                            <w:rFonts w:ascii="Times New Roman" w:hAnsi="Times New Roman" w:cs="Times New Roman" w:eastAsia="Times New Roman" w:hint="default"/>
                            <w:sz w:val="18"/>
                            <w:szCs w:val="18"/>
                          </w:rPr>
                        </w:pPr>
                        <w:r>
                          <w:rPr>
                            <w:rFonts w:ascii="Times New Roman"/>
                            <w:sz w:val="18"/>
                          </w:rPr>
                          <w:t>781,890</w:t>
                        </w:r>
                      </w:p>
                    </w:tc>
                    <w:tc>
                      <w:tcPr>
                        <w:tcW w:w="850"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156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陈爱萱</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2,950,000</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w:t>
                        </w:r>
                      </w:p>
                    </w:tc>
                    <w:tc>
                      <w:tcPr>
                        <w:tcW w:w="12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2,950,000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9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left="154" w:right="0"/>
                          <w:jc w:val="center"/>
                          <w:rPr>
                            <w:rFonts w:ascii="Times New Roman" w:hAnsi="Times New Roman" w:cs="Times New Roman" w:eastAsia="Times New Roman" w:hint="default"/>
                            <w:sz w:val="18"/>
                            <w:szCs w:val="18"/>
                          </w:rPr>
                        </w:pPr>
                        <w:r>
                          <w:rPr>
                            <w:rFonts w:ascii="Times New Roman"/>
                            <w:sz w:val="18"/>
                          </w:rPr>
                          <w:t>2,899,998</w:t>
                        </w:r>
                      </w:p>
                    </w:tc>
                  </w:tr>
                  <w:tr>
                    <w:trPr>
                      <w:trHeight w:val="1026" w:hRule="exact"/>
                    </w:trPr>
                    <w:tc>
                      <w:tcPr>
                        <w:tcW w:w="2553" w:type="dxa"/>
                        <w:gridSpan w:val="2"/>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09" w:lineRule="auto" w:before="51"/>
                          <w:ind w:left="13" w:right="23"/>
                          <w:jc w:val="left"/>
                          <w:rPr>
                            <w:rFonts w:ascii="宋体" w:hAnsi="宋体" w:cs="宋体" w:eastAsia="宋体" w:hint="default"/>
                            <w:sz w:val="18"/>
                            <w:szCs w:val="18"/>
                          </w:rPr>
                        </w:pPr>
                        <w:r>
                          <w:rPr>
                            <w:rFonts w:ascii="宋体" w:hAnsi="宋体" w:cs="宋体" w:eastAsia="宋体" w:hint="default"/>
                            <w:sz w:val="18"/>
                            <w:szCs w:val="18"/>
                          </w:rPr>
                          <w:t>战略投资者或一般法人因配售 新股成为前</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pacing w:val="-12"/>
                            <w:sz w:val="18"/>
                            <w:szCs w:val="18"/>
                          </w:rPr>
                          <w:t>名股东的情况（如</w:t>
                        </w:r>
                        <w:r>
                          <w:rPr>
                            <w:rFonts w:ascii="宋体" w:hAnsi="宋体" w:cs="宋体" w:eastAsia="宋体" w:hint="default"/>
                            <w:sz w:val="18"/>
                            <w:szCs w:val="18"/>
                          </w:rPr>
                          <w:t> 有）</w:t>
                        </w:r>
                      </w:p>
                    </w:tc>
                    <w:tc>
                      <w:tcPr>
                        <w:tcW w:w="7015" w:type="dxa"/>
                        <w:gridSpan w:val="9"/>
                        <w:tcBorders>
                          <w:top w:val="single" w:sz="4" w:space="0" w:color="000000"/>
                          <w:left w:val="single" w:sz="10" w:space="0" w:color="D2D2D2"/>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5"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1" w:hRule="exact"/>
                    </w:trPr>
                    <w:tc>
                      <w:tcPr>
                        <w:tcW w:w="2553" w:type="dxa"/>
                        <w:gridSpan w:val="2"/>
                        <w:tcBorders>
                          <w:top w:val="single" w:sz="4" w:space="0" w:color="000000"/>
                          <w:left w:val="single" w:sz="12" w:space="0" w:color="000000"/>
                          <w:bottom w:val="nil" w:sz="6" w:space="0" w:color="auto"/>
                          <w:right w:val="single" w:sz="4" w:space="0" w:color="000000"/>
                        </w:tcBorders>
                        <w:shd w:val="clear" w:color="auto" w:fill="D2D2D2"/>
                      </w:tcPr>
                      <w:p>
                        <w:pPr/>
                      </w:p>
                    </w:tc>
                    <w:tc>
                      <w:tcPr>
                        <w:tcW w:w="7015" w:type="dxa"/>
                        <w:gridSpan w:val="9"/>
                        <w:vMerge w:val="restart"/>
                        <w:tcBorders>
                          <w:top w:val="single" w:sz="4" w:space="0" w:color="000000"/>
                          <w:left w:val="single" w:sz="10" w:space="0" w:color="D2D2D2"/>
                          <w:right w:val="single" w:sz="12" w:space="0" w:color="000000"/>
                        </w:tcBorders>
                      </w:tcPr>
                      <w:p>
                        <w:pPr>
                          <w:pStyle w:val="TableParagraph"/>
                          <w:spacing w:line="316" w:lineRule="auto" w:before="51"/>
                          <w:ind w:left="15" w:right="-48"/>
                          <w:jc w:val="left"/>
                          <w:rPr>
                            <w:rFonts w:ascii="宋体" w:hAnsi="宋体" w:cs="宋体" w:eastAsia="宋体" w:hint="default"/>
                            <w:sz w:val="18"/>
                            <w:szCs w:val="18"/>
                          </w:rPr>
                        </w:pPr>
                        <w:r>
                          <w:rPr>
                            <w:rFonts w:ascii="宋体" w:hAnsi="宋体" w:cs="宋体" w:eastAsia="宋体" w:hint="default"/>
                            <w:spacing w:val="-2"/>
                            <w:sz w:val="18"/>
                            <w:szCs w:val="18"/>
                          </w:rPr>
                          <w:t>任红军与钟超系夫妻关系，钟超与钟克创系姐弟关系，陈泽枝与陈爱萱系兄妹关系，公司</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未知前十名其他股东之间是否存在关联关系，也未知是否属于《上市公司收购管理办法》 规定的一致行动人。</w:t>
                        </w:r>
                      </w:p>
                    </w:tc>
                  </w:tr>
                  <w:tr>
                    <w:trPr>
                      <w:trHeight w:val="704" w:hRule="exact"/>
                    </w:trPr>
                    <w:tc>
                      <w:tcPr>
                        <w:tcW w:w="2553" w:type="dxa"/>
                        <w:gridSpan w:val="2"/>
                        <w:tcBorders>
                          <w:top w:val="nil" w:sz="6" w:space="0" w:color="auto"/>
                          <w:left w:val="single" w:sz="12" w:space="0" w:color="000000"/>
                          <w:bottom w:val="nil" w:sz="6" w:space="0" w:color="auto"/>
                          <w:right w:val="single" w:sz="4" w:space="0" w:color="000000"/>
                        </w:tcBorders>
                        <w:shd w:val="clear" w:color="auto" w:fill="D2D2D2"/>
                      </w:tcPr>
                      <w:p>
                        <w:pPr>
                          <w:pStyle w:val="TableParagraph"/>
                          <w:spacing w:line="316" w:lineRule="auto" w:before="51"/>
                          <w:ind w:left="13" w:right="178"/>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tc>
                    <w:tc>
                      <w:tcPr>
                        <w:tcW w:w="7015" w:type="dxa"/>
                        <w:gridSpan w:val="9"/>
                        <w:vMerge/>
                        <w:tcBorders>
                          <w:left w:val="single" w:sz="10" w:space="0" w:color="D2D2D2"/>
                          <w:right w:val="single" w:sz="12" w:space="0" w:color="000000"/>
                        </w:tcBorders>
                      </w:tcPr>
                      <w:p>
                        <w:pPr/>
                      </w:p>
                    </w:tc>
                  </w:tr>
                  <w:tr>
                    <w:trPr>
                      <w:trHeight w:val="161" w:hRule="exact"/>
                    </w:trPr>
                    <w:tc>
                      <w:tcPr>
                        <w:tcW w:w="2553" w:type="dxa"/>
                        <w:gridSpan w:val="2"/>
                        <w:tcBorders>
                          <w:top w:val="nil" w:sz="6" w:space="0" w:color="auto"/>
                          <w:left w:val="single" w:sz="12" w:space="0" w:color="000000"/>
                          <w:bottom w:val="single" w:sz="4" w:space="0" w:color="000000"/>
                          <w:right w:val="single" w:sz="4" w:space="0" w:color="000000"/>
                        </w:tcBorders>
                        <w:shd w:val="clear" w:color="auto" w:fill="D2D2D2"/>
                      </w:tcPr>
                      <w:p>
                        <w:pPr/>
                      </w:p>
                    </w:tc>
                    <w:tc>
                      <w:tcPr>
                        <w:tcW w:w="7015" w:type="dxa"/>
                        <w:gridSpan w:val="9"/>
                        <w:vMerge/>
                        <w:tcBorders>
                          <w:left w:val="single" w:sz="10" w:space="0" w:color="D2D2D2"/>
                          <w:bottom w:val="single" w:sz="4" w:space="0" w:color="000000"/>
                          <w:right w:val="single" w:sz="12" w:space="0" w:color="000000"/>
                        </w:tcBorders>
                      </w:tcPr>
                      <w:p>
                        <w:pPr/>
                      </w:p>
                    </w:tc>
                  </w:tr>
                  <w:tr>
                    <w:trPr>
                      <w:trHeight w:val="397" w:hRule="exact"/>
                    </w:trPr>
                    <w:tc>
                      <w:tcPr>
                        <w:tcW w:w="9569" w:type="dxa"/>
                        <w:gridSpan w:val="11"/>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10" w:hRule="exact"/>
                    </w:trPr>
                    <w:tc>
                      <w:tcPr>
                        <w:tcW w:w="5671" w:type="dxa"/>
                        <w:gridSpan w:val="6"/>
                        <w:tcBorders>
                          <w:top w:val="single" w:sz="4" w:space="0" w:color="000000"/>
                          <w:left w:val="single" w:sz="12" w:space="0" w:color="000000"/>
                          <w:bottom w:val="nil" w:sz="6" w:space="0" w:color="auto"/>
                          <w:right w:val="single" w:sz="4" w:space="0" w:color="000000"/>
                        </w:tcBorders>
                        <w:shd w:val="clear" w:color="auto" w:fill="D2D2D2"/>
                      </w:tcPr>
                      <w:p>
                        <w:pPr/>
                      </w:p>
                    </w:tc>
                    <w:tc>
                      <w:tcPr>
                        <w:tcW w:w="170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0"/>
                          <w:ind w:left="304" w:right="35" w:hanging="270"/>
                          <w:jc w:val="left"/>
                          <w:rPr>
                            <w:rFonts w:ascii="宋体" w:hAnsi="宋体" w:cs="宋体" w:eastAsia="宋体" w:hint="default"/>
                            <w:sz w:val="18"/>
                            <w:szCs w:val="18"/>
                          </w:rPr>
                        </w:pPr>
                        <w:r>
                          <w:rPr>
                            <w:rFonts w:ascii="宋体" w:hAnsi="宋体" w:cs="宋体" w:eastAsia="宋体" w:hint="default"/>
                            <w:sz w:val="18"/>
                            <w:szCs w:val="18"/>
                          </w:rPr>
                          <w:t>报告期末持有无限售 条件股份数量</w:t>
                        </w:r>
                      </w:p>
                    </w:tc>
                    <w:tc>
                      <w:tcPr>
                        <w:tcW w:w="2195" w:type="dxa"/>
                        <w:gridSpan w:val="3"/>
                        <w:vMerge w:val="restart"/>
                        <w:tcBorders>
                          <w:top w:val="single" w:sz="4" w:space="0" w:color="000000"/>
                          <w:left w:val="single" w:sz="4" w:space="0" w:color="000000"/>
                          <w:right w:val="single" w:sz="12" w:space="0" w:color="000000"/>
                        </w:tcBorders>
                        <w:shd w:val="clear" w:color="auto" w:fill="D2D2D2"/>
                      </w:tcPr>
                      <w:p>
                        <w:pPr>
                          <w:pStyle w:val="TableParagraph"/>
                          <w:spacing w:line="240" w:lineRule="auto" w:before="56"/>
                          <w:ind w:left="731" w:right="0"/>
                          <w:jc w:val="left"/>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5671" w:type="dxa"/>
                        <w:gridSpan w:val="6"/>
                        <w:vMerge w:val="restart"/>
                        <w:tcBorders>
                          <w:top w:val="nil" w:sz="6" w:space="0" w:color="auto"/>
                          <w:left w:val="single" w:sz="12" w:space="0" w:color="000000"/>
                          <w:right w:val="single" w:sz="4" w:space="0" w:color="000000"/>
                        </w:tcBorders>
                        <w:shd w:val="clear" w:color="auto" w:fill="D2D2D2"/>
                      </w:tcPr>
                      <w:p>
                        <w:pPr>
                          <w:pStyle w:val="TableParagraph"/>
                          <w:spacing w:line="240" w:lineRule="auto" w:before="51"/>
                          <w:ind w:right="8"/>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702" w:type="dxa"/>
                        <w:gridSpan w:val="2"/>
                        <w:vMerge/>
                        <w:tcBorders>
                          <w:left w:val="single" w:sz="4" w:space="0" w:color="000000"/>
                          <w:right w:val="single" w:sz="4" w:space="0" w:color="000000"/>
                        </w:tcBorders>
                        <w:shd w:val="clear" w:color="auto" w:fill="D2D2D2"/>
                      </w:tcPr>
                      <w:p>
                        <w:pPr/>
                      </w:p>
                    </w:tc>
                    <w:tc>
                      <w:tcPr>
                        <w:tcW w:w="2195" w:type="dxa"/>
                        <w:gridSpan w:val="3"/>
                        <w:vMerge/>
                        <w:tcBorders>
                          <w:left w:val="single" w:sz="4" w:space="0" w:color="000000"/>
                          <w:bottom w:val="single" w:sz="4" w:space="0" w:color="000000"/>
                          <w:right w:val="single" w:sz="12" w:space="0" w:color="000000"/>
                        </w:tcBorders>
                        <w:shd w:val="clear" w:color="auto" w:fill="D2D2D2"/>
                      </w:tcPr>
                      <w:p>
                        <w:pPr/>
                      </w:p>
                    </w:tc>
                  </w:tr>
                  <w:tr>
                    <w:trPr>
                      <w:trHeight w:val="200" w:hRule="exact"/>
                    </w:trPr>
                    <w:tc>
                      <w:tcPr>
                        <w:tcW w:w="5671" w:type="dxa"/>
                        <w:gridSpan w:val="6"/>
                        <w:vMerge/>
                        <w:tcBorders>
                          <w:left w:val="single" w:sz="12" w:space="0" w:color="000000"/>
                          <w:bottom w:val="nil" w:sz="6" w:space="0" w:color="auto"/>
                          <w:right w:val="single" w:sz="4" w:space="0" w:color="000000"/>
                        </w:tcBorders>
                        <w:shd w:val="clear" w:color="auto" w:fill="D2D2D2"/>
                      </w:tcPr>
                      <w:p>
                        <w:pPr/>
                      </w:p>
                    </w:tc>
                    <w:tc>
                      <w:tcPr>
                        <w:tcW w:w="1702" w:type="dxa"/>
                        <w:gridSpan w:val="2"/>
                        <w:vMerge/>
                        <w:tcBorders>
                          <w:left w:val="single" w:sz="4" w:space="0" w:color="000000"/>
                          <w:right w:val="single" w:sz="4" w:space="0" w:color="000000"/>
                        </w:tcBorders>
                        <w:shd w:val="clear" w:color="auto" w:fill="D2D2D2"/>
                      </w:tcPr>
                      <w:p>
                        <w:pPr/>
                      </w:p>
                    </w:tc>
                    <w:tc>
                      <w:tcPr>
                        <w:tcW w:w="127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72"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920" w:type="dxa"/>
                        <w:vMerge w:val="restart"/>
                        <w:tcBorders>
                          <w:top w:val="single" w:sz="4" w:space="0" w:color="000000"/>
                          <w:left w:val="single" w:sz="4" w:space="0" w:color="000000"/>
                          <w:right w:val="single" w:sz="12" w:space="0" w:color="000000"/>
                        </w:tcBorders>
                        <w:shd w:val="clear" w:color="auto" w:fill="D2D2D2"/>
                      </w:tcPr>
                      <w:p>
                        <w:pPr>
                          <w:pStyle w:val="TableParagraph"/>
                          <w:spacing w:line="240" w:lineRule="auto" w:before="56"/>
                          <w:ind w:left="274"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5671" w:type="dxa"/>
                        <w:gridSpan w:val="6"/>
                        <w:tcBorders>
                          <w:top w:val="nil" w:sz="6" w:space="0" w:color="auto"/>
                          <w:left w:val="single" w:sz="12" w:space="0" w:color="000000"/>
                          <w:bottom w:val="single" w:sz="4" w:space="0" w:color="000000"/>
                          <w:right w:val="single" w:sz="4" w:space="0" w:color="000000"/>
                        </w:tcBorders>
                        <w:shd w:val="clear" w:color="auto" w:fill="D2D2D2"/>
                      </w:tcPr>
                      <w:p>
                        <w:pPr/>
                      </w:p>
                    </w:tc>
                    <w:tc>
                      <w:tcPr>
                        <w:tcW w:w="1702" w:type="dxa"/>
                        <w:gridSpan w:val="2"/>
                        <w:vMerge/>
                        <w:tcBorders>
                          <w:left w:val="single" w:sz="4" w:space="0" w:color="000000"/>
                          <w:bottom w:val="single" w:sz="4" w:space="0" w:color="000000"/>
                          <w:right w:val="single" w:sz="4" w:space="0" w:color="000000"/>
                        </w:tcBorders>
                        <w:shd w:val="clear" w:color="auto" w:fill="D2D2D2"/>
                      </w:tcPr>
                      <w:p>
                        <w:pPr/>
                      </w:p>
                    </w:tc>
                    <w:tc>
                      <w:tcPr>
                        <w:tcW w:w="1276" w:type="dxa"/>
                        <w:gridSpan w:val="2"/>
                        <w:vMerge/>
                        <w:tcBorders>
                          <w:left w:val="single" w:sz="4" w:space="0" w:color="000000"/>
                          <w:bottom w:val="single" w:sz="4" w:space="0" w:color="000000"/>
                          <w:right w:val="single" w:sz="4" w:space="0" w:color="000000"/>
                        </w:tcBorders>
                        <w:shd w:val="clear" w:color="auto" w:fill="D2D2D2"/>
                      </w:tcPr>
                      <w:p>
                        <w:pPr/>
                      </w:p>
                    </w:tc>
                    <w:tc>
                      <w:tcPr>
                        <w:tcW w:w="920" w:type="dxa"/>
                        <w:vMerge/>
                        <w:tcBorders>
                          <w:left w:val="single" w:sz="4" w:space="0" w:color="000000"/>
                          <w:bottom w:val="single" w:sz="4" w:space="0" w:color="000000"/>
                          <w:right w:val="single" w:sz="12" w:space="0" w:color="000000"/>
                        </w:tcBorders>
                        <w:shd w:val="clear" w:color="auto" w:fill="D2D2D2"/>
                      </w:tcPr>
                      <w:p>
                        <w:pPr/>
                      </w:p>
                    </w:tc>
                  </w:tr>
                  <w:tr>
                    <w:trPr>
                      <w:trHeight w:val="402" w:hRule="exact"/>
                    </w:trPr>
                    <w:tc>
                      <w:tcPr>
                        <w:tcW w:w="5671" w:type="dxa"/>
                        <w:gridSpan w:val="6"/>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钟超</w:t>
                        </w:r>
                      </w:p>
                    </w:tc>
                    <w:tc>
                      <w:tcPr>
                        <w:tcW w:w="1702" w:type="dxa"/>
                        <w:gridSpan w:val="2"/>
                        <w:tcBorders>
                          <w:top w:val="single" w:sz="18" w:space="0" w:color="D2D2D2"/>
                          <w:left w:val="single" w:sz="4" w:space="0" w:color="000000"/>
                          <w:bottom w:val="single" w:sz="4" w:space="0" w:color="000000"/>
                          <w:right w:val="single" w:sz="4" w:space="0" w:color="000000"/>
                        </w:tcBorders>
                      </w:tcPr>
                      <w:p>
                        <w:pPr>
                          <w:pStyle w:val="TableParagraph"/>
                          <w:spacing w:line="240" w:lineRule="auto" w:before="73"/>
                          <w:ind w:left="857" w:right="0"/>
                          <w:jc w:val="left"/>
                          <w:rPr>
                            <w:rFonts w:ascii="Times New Roman" w:hAnsi="Times New Roman" w:cs="Times New Roman" w:eastAsia="Times New Roman" w:hint="default"/>
                            <w:sz w:val="18"/>
                            <w:szCs w:val="18"/>
                          </w:rPr>
                        </w:pPr>
                        <w:r>
                          <w:rPr>
                            <w:rFonts w:ascii="Times New Roman"/>
                            <w:sz w:val="18"/>
                          </w:rPr>
                          <w:t>19,154,280</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left="64" w:right="0"/>
                          <w:jc w:val="center"/>
                          <w:rPr>
                            <w:rFonts w:ascii="Times New Roman" w:hAnsi="Times New Roman" w:cs="Times New Roman" w:eastAsia="Times New Roman" w:hint="default"/>
                            <w:sz w:val="18"/>
                            <w:szCs w:val="18"/>
                          </w:rPr>
                        </w:pPr>
                        <w:r>
                          <w:rPr>
                            <w:rFonts w:ascii="Times New Roman"/>
                            <w:sz w:val="18"/>
                          </w:rPr>
                          <w:t>19,154,280</w:t>
                        </w:r>
                      </w:p>
                    </w:tc>
                  </w:tr>
                  <w:tr>
                    <w:trPr>
                      <w:trHeight w:val="402" w:hRule="exact"/>
                    </w:trPr>
                    <w:tc>
                      <w:tcPr>
                        <w:tcW w:w="5671" w:type="dxa"/>
                        <w:gridSpan w:val="6"/>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任红军</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7" w:right="0"/>
                          <w:jc w:val="left"/>
                          <w:rPr>
                            <w:rFonts w:ascii="Times New Roman" w:hAnsi="Times New Roman" w:cs="Times New Roman" w:eastAsia="Times New Roman" w:hint="default"/>
                            <w:sz w:val="18"/>
                            <w:szCs w:val="18"/>
                          </w:rPr>
                        </w:pPr>
                        <w:r>
                          <w:rPr>
                            <w:rFonts w:ascii="Times New Roman"/>
                            <w:sz w:val="18"/>
                          </w:rPr>
                          <w:t>15,922,657</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left="64" w:right="0"/>
                          <w:jc w:val="center"/>
                          <w:rPr>
                            <w:rFonts w:ascii="Times New Roman" w:hAnsi="Times New Roman" w:cs="Times New Roman" w:eastAsia="Times New Roman" w:hint="default"/>
                            <w:sz w:val="18"/>
                            <w:szCs w:val="18"/>
                          </w:rPr>
                        </w:pPr>
                        <w:r>
                          <w:rPr>
                            <w:rFonts w:ascii="Times New Roman"/>
                            <w:sz w:val="18"/>
                          </w:rPr>
                          <w:t>15,922,657</w:t>
                        </w:r>
                      </w:p>
                    </w:tc>
                  </w:tr>
                  <w:tr>
                    <w:trPr>
                      <w:trHeight w:val="402" w:hRule="exact"/>
                    </w:trPr>
                    <w:tc>
                      <w:tcPr>
                        <w:tcW w:w="5671" w:type="dxa"/>
                        <w:gridSpan w:val="6"/>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陈泽枝</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7" w:right="0"/>
                          <w:jc w:val="left"/>
                          <w:rPr>
                            <w:rFonts w:ascii="Times New Roman" w:hAnsi="Times New Roman" w:cs="Times New Roman" w:eastAsia="Times New Roman" w:hint="default"/>
                            <w:sz w:val="18"/>
                            <w:szCs w:val="18"/>
                          </w:rPr>
                        </w:pPr>
                        <w:r>
                          <w:rPr>
                            <w:rFonts w:ascii="Times New Roman"/>
                            <w:sz w:val="18"/>
                          </w:rPr>
                          <w:t>7,850,000</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left="154" w:right="0"/>
                          <w:jc w:val="center"/>
                          <w:rPr>
                            <w:rFonts w:ascii="Times New Roman" w:hAnsi="Times New Roman" w:cs="Times New Roman" w:eastAsia="Times New Roman" w:hint="default"/>
                            <w:sz w:val="18"/>
                            <w:szCs w:val="18"/>
                          </w:rPr>
                        </w:pPr>
                        <w:r>
                          <w:rPr>
                            <w:rFonts w:ascii="Times New Roman"/>
                            <w:sz w:val="18"/>
                          </w:rPr>
                          <w:t>7,850,000</w:t>
                        </w:r>
                      </w:p>
                    </w:tc>
                  </w:tr>
                  <w:tr>
                    <w:trPr>
                      <w:trHeight w:val="402" w:hRule="exact"/>
                    </w:trPr>
                    <w:tc>
                      <w:tcPr>
                        <w:tcW w:w="5671" w:type="dxa"/>
                        <w:gridSpan w:val="6"/>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中国建设银行股份有限公司－富国国家安全主题混合型证券投资基金</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7" w:right="0"/>
                          <w:jc w:val="left"/>
                          <w:rPr>
                            <w:rFonts w:ascii="Times New Roman" w:hAnsi="Times New Roman" w:cs="Times New Roman" w:eastAsia="Times New Roman" w:hint="default"/>
                            <w:sz w:val="18"/>
                            <w:szCs w:val="18"/>
                          </w:rPr>
                        </w:pPr>
                        <w:r>
                          <w:rPr>
                            <w:rFonts w:ascii="Times New Roman"/>
                            <w:sz w:val="18"/>
                          </w:rPr>
                          <w:t>4,743,890</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left="154" w:right="0"/>
                          <w:jc w:val="center"/>
                          <w:rPr>
                            <w:rFonts w:ascii="Times New Roman" w:hAnsi="Times New Roman" w:cs="Times New Roman" w:eastAsia="Times New Roman" w:hint="default"/>
                            <w:sz w:val="18"/>
                            <w:szCs w:val="18"/>
                          </w:rPr>
                        </w:pPr>
                        <w:r>
                          <w:rPr>
                            <w:rFonts w:ascii="Times New Roman"/>
                            <w:sz w:val="18"/>
                          </w:rPr>
                          <w:t>4,743,890</w:t>
                        </w:r>
                      </w:p>
                    </w:tc>
                  </w:tr>
                  <w:tr>
                    <w:trPr>
                      <w:trHeight w:val="402" w:hRule="exact"/>
                    </w:trPr>
                    <w:tc>
                      <w:tcPr>
                        <w:tcW w:w="5671" w:type="dxa"/>
                        <w:gridSpan w:val="6"/>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钟克创</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7" w:right="0"/>
                          <w:jc w:val="left"/>
                          <w:rPr>
                            <w:rFonts w:ascii="Times New Roman" w:hAnsi="Times New Roman" w:cs="Times New Roman" w:eastAsia="Times New Roman" w:hint="default"/>
                            <w:sz w:val="18"/>
                            <w:szCs w:val="18"/>
                          </w:rPr>
                        </w:pPr>
                        <w:r>
                          <w:rPr>
                            <w:rFonts w:ascii="Times New Roman"/>
                            <w:sz w:val="18"/>
                          </w:rPr>
                          <w:t>3,497,320</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left="154" w:right="0"/>
                          <w:jc w:val="center"/>
                          <w:rPr>
                            <w:rFonts w:ascii="Times New Roman" w:hAnsi="Times New Roman" w:cs="Times New Roman" w:eastAsia="Times New Roman" w:hint="default"/>
                            <w:sz w:val="18"/>
                            <w:szCs w:val="18"/>
                          </w:rPr>
                        </w:pPr>
                        <w:r>
                          <w:rPr>
                            <w:rFonts w:ascii="Times New Roman"/>
                            <w:sz w:val="18"/>
                          </w:rPr>
                          <w:t>3,497,320</w:t>
                        </w:r>
                      </w:p>
                    </w:tc>
                  </w:tr>
                  <w:tr>
                    <w:trPr>
                      <w:trHeight w:val="402" w:hRule="exact"/>
                    </w:trPr>
                    <w:tc>
                      <w:tcPr>
                        <w:tcW w:w="5671" w:type="dxa"/>
                        <w:gridSpan w:val="6"/>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陈爱萱</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7" w:right="0"/>
                          <w:jc w:val="left"/>
                          <w:rPr>
                            <w:rFonts w:ascii="Times New Roman" w:hAnsi="Times New Roman" w:cs="Times New Roman" w:eastAsia="Times New Roman" w:hint="default"/>
                            <w:sz w:val="18"/>
                            <w:szCs w:val="18"/>
                          </w:rPr>
                        </w:pPr>
                        <w:r>
                          <w:rPr>
                            <w:rFonts w:ascii="Times New Roman"/>
                            <w:sz w:val="18"/>
                          </w:rPr>
                          <w:t>2,950,000</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left="154" w:right="0"/>
                          <w:jc w:val="center"/>
                          <w:rPr>
                            <w:rFonts w:ascii="Times New Roman" w:hAnsi="Times New Roman" w:cs="Times New Roman" w:eastAsia="Times New Roman" w:hint="default"/>
                            <w:sz w:val="18"/>
                            <w:szCs w:val="18"/>
                          </w:rPr>
                        </w:pPr>
                        <w:r>
                          <w:rPr>
                            <w:rFonts w:ascii="Times New Roman"/>
                            <w:sz w:val="18"/>
                          </w:rPr>
                          <w:t>2,950,000</w:t>
                        </w:r>
                      </w:p>
                    </w:tc>
                  </w:tr>
                  <w:tr>
                    <w:trPr>
                      <w:trHeight w:val="402" w:hRule="exact"/>
                    </w:trPr>
                    <w:tc>
                      <w:tcPr>
                        <w:tcW w:w="5671" w:type="dxa"/>
                        <w:gridSpan w:val="6"/>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中国工商银行股份有限公司－华安媒体互联网混合型证券投资基金</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7" w:right="0"/>
                          <w:jc w:val="left"/>
                          <w:rPr>
                            <w:rFonts w:ascii="Times New Roman" w:hAnsi="Times New Roman" w:cs="Times New Roman" w:eastAsia="Times New Roman" w:hint="default"/>
                            <w:sz w:val="18"/>
                            <w:szCs w:val="18"/>
                          </w:rPr>
                        </w:pPr>
                        <w:r>
                          <w:rPr>
                            <w:rFonts w:ascii="Times New Roman"/>
                            <w:sz w:val="18"/>
                          </w:rPr>
                          <w:t>2,924,000</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left="154" w:right="0"/>
                          <w:jc w:val="center"/>
                          <w:rPr>
                            <w:rFonts w:ascii="Times New Roman" w:hAnsi="Times New Roman" w:cs="Times New Roman" w:eastAsia="Times New Roman" w:hint="default"/>
                            <w:sz w:val="18"/>
                            <w:szCs w:val="18"/>
                          </w:rPr>
                        </w:pPr>
                        <w:r>
                          <w:rPr>
                            <w:rFonts w:ascii="Times New Roman"/>
                            <w:sz w:val="18"/>
                          </w:rPr>
                          <w:t>2,924,000</w:t>
                        </w:r>
                      </w:p>
                    </w:tc>
                  </w:tr>
                  <w:tr>
                    <w:trPr>
                      <w:trHeight w:val="402" w:hRule="exact"/>
                    </w:trPr>
                    <w:tc>
                      <w:tcPr>
                        <w:tcW w:w="5671" w:type="dxa"/>
                        <w:gridSpan w:val="6"/>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李泽清</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7" w:right="0"/>
                          <w:jc w:val="left"/>
                          <w:rPr>
                            <w:rFonts w:ascii="Times New Roman" w:hAnsi="Times New Roman" w:cs="Times New Roman" w:eastAsia="Times New Roman" w:hint="default"/>
                            <w:sz w:val="18"/>
                            <w:szCs w:val="18"/>
                          </w:rPr>
                        </w:pPr>
                        <w:r>
                          <w:rPr>
                            <w:rFonts w:ascii="Times New Roman"/>
                            <w:sz w:val="18"/>
                          </w:rPr>
                          <w:t>2,917,626</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left="154" w:right="0"/>
                          <w:jc w:val="center"/>
                          <w:rPr>
                            <w:rFonts w:ascii="Times New Roman" w:hAnsi="Times New Roman" w:cs="Times New Roman" w:eastAsia="Times New Roman" w:hint="default"/>
                            <w:sz w:val="18"/>
                            <w:szCs w:val="18"/>
                          </w:rPr>
                        </w:pPr>
                        <w:r>
                          <w:rPr>
                            <w:rFonts w:ascii="Times New Roman"/>
                            <w:sz w:val="18"/>
                          </w:rPr>
                          <w:t>2,917,626</w:t>
                        </w:r>
                      </w:p>
                    </w:tc>
                  </w:tr>
                  <w:tr>
                    <w:trPr>
                      <w:trHeight w:val="402" w:hRule="exact"/>
                    </w:trPr>
                    <w:tc>
                      <w:tcPr>
                        <w:tcW w:w="5671" w:type="dxa"/>
                        <w:gridSpan w:val="6"/>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高孔兴</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7" w:right="0"/>
                          <w:jc w:val="left"/>
                          <w:rPr>
                            <w:rFonts w:ascii="Times New Roman" w:hAnsi="Times New Roman" w:cs="Times New Roman" w:eastAsia="Times New Roman" w:hint="default"/>
                            <w:sz w:val="18"/>
                            <w:szCs w:val="18"/>
                          </w:rPr>
                        </w:pPr>
                        <w:r>
                          <w:rPr>
                            <w:rFonts w:ascii="Times New Roman"/>
                            <w:sz w:val="18"/>
                          </w:rPr>
                          <w:t>2,567,841</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left="154" w:right="0"/>
                          <w:jc w:val="center"/>
                          <w:rPr>
                            <w:rFonts w:ascii="Times New Roman" w:hAnsi="Times New Roman" w:cs="Times New Roman" w:eastAsia="Times New Roman" w:hint="default"/>
                            <w:sz w:val="18"/>
                            <w:szCs w:val="18"/>
                          </w:rPr>
                        </w:pPr>
                        <w:r>
                          <w:rPr>
                            <w:rFonts w:ascii="Times New Roman"/>
                            <w:sz w:val="18"/>
                          </w:rPr>
                          <w:t>2,567,841</w:t>
                        </w:r>
                      </w:p>
                    </w:tc>
                  </w:tr>
                  <w:tr>
                    <w:trPr>
                      <w:trHeight w:val="402" w:hRule="exact"/>
                    </w:trPr>
                    <w:tc>
                      <w:tcPr>
                        <w:tcW w:w="5671" w:type="dxa"/>
                        <w:gridSpan w:val="6"/>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肖延岭</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7" w:right="0"/>
                          <w:jc w:val="left"/>
                          <w:rPr>
                            <w:rFonts w:ascii="Times New Roman" w:hAnsi="Times New Roman" w:cs="Times New Roman" w:eastAsia="Times New Roman" w:hint="default"/>
                            <w:sz w:val="18"/>
                            <w:szCs w:val="18"/>
                          </w:rPr>
                        </w:pPr>
                        <w:r>
                          <w:rPr>
                            <w:rFonts w:ascii="Times New Roman"/>
                            <w:sz w:val="18"/>
                          </w:rPr>
                          <w:t>2,200,000</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left="154" w:right="0"/>
                          <w:jc w:val="center"/>
                          <w:rPr>
                            <w:rFonts w:ascii="Times New Roman" w:hAnsi="Times New Roman" w:cs="Times New Roman" w:eastAsia="Times New Roman" w:hint="default"/>
                            <w:sz w:val="18"/>
                            <w:szCs w:val="18"/>
                          </w:rPr>
                        </w:pPr>
                        <w:r>
                          <w:rPr>
                            <w:rFonts w:ascii="Times New Roman"/>
                            <w:sz w:val="18"/>
                          </w:rPr>
                          <w:t>2,200,000</w:t>
                        </w:r>
                      </w:p>
                    </w:tc>
                  </w:tr>
                  <w:tr>
                    <w:trPr>
                      <w:trHeight w:val="1026" w:hRule="exact"/>
                    </w:trPr>
                    <w:tc>
                      <w:tcPr>
                        <w:tcW w:w="4254" w:type="dxa"/>
                        <w:gridSpan w:val="4"/>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w:t>
                        </w:r>
                      </w:p>
                      <w:p>
                        <w:pPr>
                          <w:pStyle w:val="TableParagraph"/>
                          <w:spacing w:line="302" w:lineRule="auto" w:before="61"/>
                          <w:ind w:left="13" w:right="22"/>
                          <w:jc w:val="left"/>
                          <w:rPr>
                            <w:rFonts w:ascii="宋体" w:hAnsi="宋体" w:cs="宋体" w:eastAsia="宋体" w:hint="default"/>
                            <w:sz w:val="18"/>
                            <w:szCs w:val="18"/>
                          </w:rPr>
                        </w:pPr>
                        <w:r>
                          <w:rPr>
                            <w:rFonts w:ascii="宋体" w:hAnsi="宋体" w:cs="宋体" w:eastAsia="宋体" w:hint="default"/>
                            <w:sz w:val="18"/>
                            <w:szCs w:val="18"/>
                          </w:rPr>
                          <w:t>流通股股东和前</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名股东之间关联关系或一致行动的 说明</w:t>
                        </w:r>
                      </w:p>
                    </w:tc>
                    <w:tc>
                      <w:tcPr>
                        <w:tcW w:w="5315" w:type="dxa"/>
                        <w:gridSpan w:val="7"/>
                        <w:tcBorders>
                          <w:top w:val="single" w:sz="4" w:space="0" w:color="000000"/>
                          <w:left w:val="single" w:sz="4" w:space="0" w:color="000000"/>
                          <w:bottom w:val="single" w:sz="4" w:space="0" w:color="000000"/>
                          <w:right w:val="single" w:sz="12" w:space="0" w:color="000000"/>
                        </w:tcBorders>
                      </w:tcPr>
                      <w:p>
                        <w:pPr>
                          <w:pStyle w:val="TableParagraph"/>
                          <w:spacing w:line="316" w:lineRule="auto" w:before="51"/>
                          <w:ind w:left="22" w:right="51"/>
                          <w:jc w:val="both"/>
                          <w:rPr>
                            <w:rFonts w:ascii="宋体" w:hAnsi="宋体" w:cs="宋体" w:eastAsia="宋体" w:hint="default"/>
                            <w:sz w:val="18"/>
                            <w:szCs w:val="18"/>
                          </w:rPr>
                        </w:pPr>
                        <w:r>
                          <w:rPr>
                            <w:rFonts w:ascii="宋体" w:hAnsi="宋体" w:cs="宋体" w:eastAsia="宋体" w:hint="default"/>
                            <w:sz w:val="18"/>
                            <w:szCs w:val="18"/>
                          </w:rPr>
                          <w:t>任红军与钟超系夫妻关系，钟超与钟克创系姐弟关系，陈泽枝与陈 </w:t>
                        </w:r>
                        <w:r>
                          <w:rPr>
                            <w:rFonts w:ascii="宋体" w:hAnsi="宋体" w:cs="宋体" w:eastAsia="宋体" w:hint="default"/>
                            <w:spacing w:val="-2"/>
                            <w:sz w:val="18"/>
                            <w:szCs w:val="18"/>
                          </w:rPr>
                          <w:t>爱萱系兄妹关系，公司未知前十名其他股东之间是否存在关联关系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也未知是否属于《上市公司收购管理办法》规定的一致行动人。</w:t>
                        </w:r>
                      </w:p>
                    </w:tc>
                  </w:tr>
                  <w:tr>
                    <w:trPr>
                      <w:trHeight w:val="412" w:hRule="exact"/>
                    </w:trPr>
                    <w:tc>
                      <w:tcPr>
                        <w:tcW w:w="4254" w:type="dxa"/>
                        <w:gridSpan w:val="4"/>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参与融资融券业务股东情况说明（如有</w:t>
                        </w:r>
                        <w:r>
                          <w:rPr>
                            <w:rFonts w:ascii="宋体" w:hAnsi="宋体" w:cs="宋体" w:eastAsia="宋体" w:hint="default"/>
                            <w:spacing w:val="-90"/>
                            <w:sz w:val="18"/>
                            <w:szCs w:val="18"/>
                          </w:rPr>
                          <w:t>）</w:t>
                        </w:r>
                        <w:r>
                          <w:rPr>
                            <w:rFonts w:ascii="宋体" w:hAnsi="宋体" w:cs="宋体" w:eastAsia="宋体" w:hint="default"/>
                            <w:sz w:val="18"/>
                            <w:szCs w:val="18"/>
                          </w:rPr>
                          <w:t>（参见注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5315" w:type="dxa"/>
                        <w:gridSpan w:val="7"/>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spacing w:before="44"/>
        <w:ind w:left="113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3"/>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before="103"/>
        <w:ind w:left="1133"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2、公司控股股东情况" w:id="112"/>
      <w:bookmarkEnd w:id="112"/>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133" w:right="8593" w:firstLine="0"/>
        <w:jc w:val="left"/>
        <w:rPr>
          <w:rFonts w:ascii="宋体" w:hAnsi="宋体" w:cs="宋体" w:eastAsia="宋体" w:hint="default"/>
          <w:sz w:val="18"/>
          <w:szCs w:val="18"/>
        </w:rPr>
      </w:pPr>
      <w:r>
        <w:rPr>
          <w:rFonts w:ascii="宋体" w:hAnsi="宋体" w:cs="宋体" w:eastAsia="宋体" w:hint="default"/>
          <w:sz w:val="18"/>
          <w:szCs w:val="18"/>
        </w:rPr>
        <w:t>控股股东性质：自然人控股 控股股东类型：自然人</w:t>
      </w:r>
    </w:p>
    <w:tbl>
      <w:tblPr>
        <w:tblW w:w="0" w:type="auto"/>
        <w:jc w:val="left"/>
        <w:tblInd w:w="1118" w:type="dxa"/>
        <w:tblLayout w:type="fixed"/>
        <w:tblCellMar>
          <w:top w:w="0" w:type="dxa"/>
          <w:left w:w="0" w:type="dxa"/>
          <w:bottom w:w="0" w:type="dxa"/>
          <w:right w:w="0" w:type="dxa"/>
        </w:tblCellMar>
        <w:tblLook w:val="01E0"/>
      </w:tblPr>
      <w:tblGrid>
        <w:gridCol w:w="4397"/>
        <w:gridCol w:w="2268"/>
        <w:gridCol w:w="2904"/>
      </w:tblGrid>
      <w:tr>
        <w:trPr>
          <w:trHeight w:val="411" w:hRule="exact"/>
        </w:trPr>
        <w:tc>
          <w:tcPr>
            <w:tcW w:w="4397"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right="8"/>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26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904"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1"/>
              <w:ind w:left="185"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439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任红军</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90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43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5172" w:type="dxa"/>
            <w:gridSpan w:val="2"/>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r>
      <w:tr>
        <w:trPr>
          <w:trHeight w:val="412" w:hRule="exact"/>
        </w:trPr>
        <w:tc>
          <w:tcPr>
            <w:tcW w:w="4397"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报告期内控股和参股的其他境内外上市公司的股权情况</w:t>
            </w:r>
          </w:p>
        </w:tc>
        <w:tc>
          <w:tcPr>
            <w:tcW w:w="5172" w:type="dxa"/>
            <w:gridSpan w:val="2"/>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68"/>
        <w:ind w:left="1134"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38" w:lineRule="auto" w:before="117"/>
        <w:ind w:left="113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公司报告期控股股东未发生变更。</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3、公司实际控制人情况" w:id="113"/>
      <w:bookmarkEnd w:id="113"/>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8"/>
        <w:rPr>
          <w:rFonts w:ascii="宋体" w:hAnsi="宋体" w:cs="宋体" w:eastAsia="宋体" w:hint="default"/>
          <w:b/>
          <w:bCs/>
          <w:sz w:val="26"/>
          <w:szCs w:val="26"/>
        </w:rPr>
      </w:pPr>
    </w:p>
    <w:p>
      <w:pPr>
        <w:spacing w:line="360" w:lineRule="auto" w:before="0"/>
        <w:ind w:left="1133" w:right="8413" w:firstLine="0"/>
        <w:jc w:val="left"/>
        <w:rPr>
          <w:rFonts w:ascii="宋体" w:hAnsi="宋体" w:cs="宋体" w:eastAsia="宋体" w:hint="default"/>
          <w:sz w:val="18"/>
          <w:szCs w:val="18"/>
        </w:rPr>
      </w:pPr>
      <w:r>
        <w:rPr>
          <w:rFonts w:ascii="宋体" w:hAnsi="宋体" w:cs="宋体" w:eastAsia="宋体" w:hint="default"/>
          <w:sz w:val="18"/>
          <w:szCs w:val="18"/>
        </w:rPr>
        <w:t>实际控制人性质：境内自然人 实际控制人类型：自然人</w:t>
      </w:r>
    </w:p>
    <w:tbl>
      <w:tblPr>
        <w:tblW w:w="0" w:type="auto"/>
        <w:jc w:val="left"/>
        <w:tblInd w:w="1118" w:type="dxa"/>
        <w:tblLayout w:type="fixed"/>
        <w:tblCellMar>
          <w:top w:w="0" w:type="dxa"/>
          <w:left w:w="0" w:type="dxa"/>
          <w:bottom w:w="0" w:type="dxa"/>
          <w:right w:w="0" w:type="dxa"/>
        </w:tblCellMar>
        <w:tblLook w:val="01E0"/>
      </w:tblPr>
      <w:tblGrid>
        <w:gridCol w:w="3336"/>
        <w:gridCol w:w="2057"/>
        <w:gridCol w:w="4176"/>
      </w:tblGrid>
      <w:tr>
        <w:trPr>
          <w:trHeight w:val="412" w:hRule="exact"/>
        </w:trPr>
        <w:tc>
          <w:tcPr>
            <w:tcW w:w="3336"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02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57"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3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任红军</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3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钟超</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333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33" w:type="dxa"/>
            <w:gridSpan w:val="2"/>
            <w:tcBorders>
              <w:top w:val="single" w:sz="4" w:space="0" w:color="000000"/>
              <w:left w:val="single" w:sz="4" w:space="0" w:color="000000"/>
              <w:bottom w:val="single" w:sz="4" w:space="0" w:color="000000"/>
              <w:right w:val="single" w:sz="12" w:space="0" w:color="000000"/>
            </w:tcBorders>
          </w:tcPr>
          <w:p>
            <w:pPr>
              <w:pStyle w:val="TableParagraph"/>
              <w:spacing w:line="316" w:lineRule="auto" w:before="51"/>
              <w:ind w:left="22" w:right="68"/>
              <w:jc w:val="left"/>
              <w:rPr>
                <w:rFonts w:ascii="宋体" w:hAnsi="宋体" w:cs="宋体" w:eastAsia="宋体" w:hint="default"/>
                <w:sz w:val="18"/>
                <w:szCs w:val="18"/>
              </w:rPr>
            </w:pPr>
            <w:r>
              <w:rPr>
                <w:rFonts w:ascii="宋体" w:hAnsi="宋体" w:cs="宋体" w:eastAsia="宋体" w:hint="default"/>
                <w:sz w:val="18"/>
                <w:szCs w:val="18"/>
              </w:rPr>
              <w:t>任红军先生与钟超女士系夫妻关系。任红军先生目前任职公司董事长；钟超女 士不担任公司任何职务。</w:t>
            </w:r>
          </w:p>
        </w:tc>
      </w:tr>
      <w:tr>
        <w:trPr>
          <w:trHeight w:val="412" w:hRule="exact"/>
        </w:trPr>
        <w:tc>
          <w:tcPr>
            <w:tcW w:w="3336"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33" w:type="dxa"/>
            <w:gridSpan w:val="2"/>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65"/>
        <w:ind w:left="1134" w:right="0"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48" w:lineRule="auto" w:before="116"/>
        <w:ind w:left="113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line="240" w:lineRule="auto" w:before="6"/>
        <w:rPr>
          <w:rFonts w:ascii="宋体" w:hAnsi="宋体" w:cs="宋体" w:eastAsia="宋体" w:hint="default"/>
          <w:sz w:val="19"/>
          <w:szCs w:val="19"/>
        </w:rPr>
      </w:pPr>
    </w:p>
    <w:p>
      <w:pPr>
        <w:spacing w:line="3588" w:lineRule="exact"/>
        <w:ind w:left="3058" w:right="0" w:firstLine="0"/>
        <w:rPr>
          <w:rFonts w:ascii="宋体" w:hAnsi="宋体" w:cs="宋体" w:eastAsia="宋体" w:hint="default"/>
          <w:sz w:val="20"/>
          <w:szCs w:val="20"/>
        </w:rPr>
      </w:pPr>
      <w:r>
        <w:rPr>
          <w:rFonts w:ascii="宋体" w:hAnsi="宋体" w:cs="宋体" w:eastAsia="宋体" w:hint="default"/>
          <w:position w:val="-71"/>
          <w:sz w:val="20"/>
          <w:szCs w:val="20"/>
        </w:rPr>
        <w:drawing>
          <wp:inline distT="0" distB="0" distL="0" distR="0">
            <wp:extent cx="3679726" cy="2278380"/>
            <wp:effectExtent l="0" t="0" r="0" b="0"/>
            <wp:docPr id="7" name="image5.jpeg" descr=""/>
            <wp:cNvGraphicFramePr>
              <a:graphicFrameLocks noChangeAspect="1"/>
            </wp:cNvGraphicFramePr>
            <a:graphic>
              <a:graphicData uri="http://schemas.openxmlformats.org/drawingml/2006/picture">
                <pic:pic>
                  <pic:nvPicPr>
                    <pic:cNvPr id="8" name="image5.jpeg"/>
                    <pic:cNvPicPr/>
                  </pic:nvPicPr>
                  <pic:blipFill>
                    <a:blip r:embed="rId14" cstate="print"/>
                    <a:stretch>
                      <a:fillRect/>
                    </a:stretch>
                  </pic:blipFill>
                  <pic:spPr>
                    <a:xfrm>
                      <a:off x="0" y="0"/>
                      <a:ext cx="3679726" cy="2278380"/>
                    </a:xfrm>
                    <a:prstGeom prst="rect">
                      <a:avLst/>
                    </a:prstGeom>
                  </pic:spPr>
                </pic:pic>
              </a:graphicData>
            </a:graphic>
          </wp:inline>
        </w:drawing>
      </w:r>
      <w:r>
        <w:rPr>
          <w:rFonts w:ascii="宋体" w:hAnsi="宋体" w:cs="宋体" w:eastAsia="宋体" w:hint="default"/>
          <w:position w:val="-71"/>
          <w:sz w:val="20"/>
          <w:szCs w:val="20"/>
        </w:rPr>
      </w:r>
    </w:p>
    <w:p>
      <w:pPr>
        <w:spacing w:line="240" w:lineRule="auto" w:before="10"/>
        <w:rPr>
          <w:rFonts w:ascii="宋体" w:hAnsi="宋体" w:cs="宋体" w:eastAsia="宋体" w:hint="default"/>
          <w:sz w:val="18"/>
          <w:szCs w:val="18"/>
        </w:rPr>
      </w:pPr>
    </w:p>
    <w:p>
      <w:pPr>
        <w:pStyle w:val="Heading3"/>
        <w:spacing w:line="240" w:lineRule="auto"/>
        <w:ind w:left="1133" w:right="0"/>
        <w:jc w:val="left"/>
        <w:rPr>
          <w:rFonts w:ascii="宋体" w:hAnsi="宋体" w:cs="宋体" w:eastAsia="宋体" w:hint="default"/>
        </w:rPr>
      </w:pPr>
      <w:r>
        <w:rPr>
          <w:rFonts w:ascii="宋体" w:hAnsi="宋体" w:cs="宋体" w:eastAsia="宋体" w:hint="default"/>
        </w:rPr>
        <w:t>实际控制人通过信托或其他资产管理方式控制公司</w:t>
      </w:r>
    </w:p>
    <w:p>
      <w:pPr>
        <w:spacing w:after="0" w:line="240" w:lineRule="auto"/>
        <w:jc w:val="left"/>
        <w:rPr>
          <w:rFonts w:ascii="宋体" w:hAnsi="宋体" w:cs="宋体" w:eastAsia="宋体" w:hint="default"/>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spacing w:before="44"/>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4、其他持股在10%以上的法人股东" w:id="114"/>
      <w:bookmarkEnd w:id="114"/>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5、控股股东、实际控制人、重组方及其他承诺主体股份限制减持情况" w:id="115"/>
      <w:bookmarkEnd w:id="115"/>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764"/>
        <w:jc w:val="center"/>
        <w:rPr>
          <w:b w:val="0"/>
          <w:bCs w:val="0"/>
        </w:rPr>
      </w:pPr>
      <w:bookmarkStart w:name="第七节 优先股相关情况" w:id="116"/>
      <w:bookmarkEnd w:id="116"/>
      <w:r>
        <w:rPr>
          <w:b w:val="0"/>
          <w:bCs w:val="0"/>
        </w:rPr>
      </w:r>
      <w:bookmarkStart w:name="_bookmark6" w:id="117"/>
      <w:bookmarkEnd w:id="117"/>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spacing w:line="338" w:lineRule="auto" w:before="44"/>
        <w:ind w:left="1133" w:right="85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报告期公司不存在优先股。</w:t>
      </w:r>
    </w:p>
    <w:p>
      <w:pPr>
        <w:spacing w:after="0" w:line="338"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60" w:right="0"/>
        <w:jc w:val="left"/>
        <w:rPr>
          <w:b w:val="0"/>
          <w:bCs w:val="0"/>
        </w:rPr>
      </w:pPr>
      <w:bookmarkStart w:name="第八节 董事、监事、高级管理人员和员工情况" w:id="118"/>
      <w:bookmarkEnd w:id="118"/>
      <w:r>
        <w:rPr>
          <w:b w:val="0"/>
          <w:bCs w:val="0"/>
        </w:rPr>
      </w:r>
      <w:bookmarkStart w:name="_bookmark7" w:id="119"/>
      <w:bookmarkEnd w:id="119"/>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20"/>
      <w:bookmarkEnd w:id="120"/>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118" w:type="dxa"/>
        <w:tblLayout w:type="fixed"/>
        <w:tblCellMar>
          <w:top w:w="0" w:type="dxa"/>
          <w:left w:w="0" w:type="dxa"/>
          <w:bottom w:w="0" w:type="dxa"/>
          <w:right w:w="0" w:type="dxa"/>
        </w:tblCellMar>
        <w:tblLook w:val="01E0"/>
      </w:tblPr>
      <w:tblGrid>
        <w:gridCol w:w="710"/>
        <w:gridCol w:w="992"/>
        <w:gridCol w:w="426"/>
        <w:gridCol w:w="425"/>
        <w:gridCol w:w="425"/>
        <w:gridCol w:w="993"/>
        <w:gridCol w:w="851"/>
        <w:gridCol w:w="991"/>
        <w:gridCol w:w="992"/>
        <w:gridCol w:w="994"/>
        <w:gridCol w:w="850"/>
        <w:gridCol w:w="925"/>
      </w:tblGrid>
      <w:tr>
        <w:trPr>
          <w:trHeight w:val="724" w:hRule="exact"/>
        </w:trPr>
        <w:tc>
          <w:tcPr>
            <w:tcW w:w="710"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姓名</w:t>
            </w:r>
          </w:p>
        </w:tc>
        <w:tc>
          <w:tcPr>
            <w:tcW w:w="992"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10"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42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 w:right="26"/>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425"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425"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99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00" w:right="40"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85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0" w:right="59"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99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992"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 w:right="-33" w:firstLine="18"/>
              <w:jc w:val="left"/>
              <w:rPr>
                <w:rFonts w:ascii="宋体" w:hAnsi="宋体" w:cs="宋体" w:eastAsia="宋体" w:hint="default"/>
                <w:sz w:val="18"/>
                <w:szCs w:val="18"/>
              </w:rPr>
            </w:pPr>
            <w:r>
              <w:rPr>
                <w:rFonts w:ascii="宋体" w:hAnsi="宋体" w:cs="宋体" w:eastAsia="宋体" w:hint="default"/>
                <w:sz w:val="18"/>
                <w:szCs w:val="18"/>
              </w:rPr>
              <w:t>本期增持股 </w:t>
            </w:r>
            <w:r>
              <w:rPr>
                <w:rFonts w:ascii="宋体" w:hAnsi="宋体" w:cs="宋体" w:eastAsia="宋体" w:hint="default"/>
                <w:spacing w:val="-15"/>
                <w:sz w:val="18"/>
                <w:szCs w:val="18"/>
              </w:rPr>
              <w:t>份数量（股）</w:t>
            </w:r>
            <w:r>
              <w:rPr>
                <w:rFonts w:ascii="宋体" w:hAnsi="宋体" w:cs="宋体" w:eastAsia="宋体" w:hint="default"/>
                <w:sz w:val="18"/>
                <w:szCs w:val="18"/>
              </w:rPr>
            </w:r>
          </w:p>
        </w:tc>
        <w:tc>
          <w:tcPr>
            <w:tcW w:w="99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33" w:firstLine="18"/>
              <w:jc w:val="left"/>
              <w:rPr>
                <w:rFonts w:ascii="宋体" w:hAnsi="宋体" w:cs="宋体" w:eastAsia="宋体" w:hint="default"/>
                <w:sz w:val="18"/>
                <w:szCs w:val="18"/>
              </w:rPr>
            </w:pPr>
            <w:r>
              <w:rPr>
                <w:rFonts w:ascii="宋体" w:hAnsi="宋体" w:cs="宋体" w:eastAsia="宋体" w:hint="default"/>
                <w:sz w:val="18"/>
                <w:szCs w:val="18"/>
              </w:rPr>
              <w:t>本期减持股 </w:t>
            </w:r>
            <w:r>
              <w:rPr>
                <w:rFonts w:ascii="宋体" w:hAnsi="宋体" w:cs="宋体" w:eastAsia="宋体" w:hint="default"/>
                <w:spacing w:val="-15"/>
                <w:sz w:val="18"/>
                <w:szCs w:val="18"/>
              </w:rPr>
              <w:t>份数量（股）</w:t>
            </w:r>
            <w:r>
              <w:rPr>
                <w:rFonts w:ascii="宋体" w:hAnsi="宋体" w:cs="宋体" w:eastAsia="宋体" w:hint="default"/>
                <w:sz w:val="18"/>
                <w:szCs w:val="18"/>
              </w:rPr>
            </w:r>
          </w:p>
        </w:tc>
        <w:tc>
          <w:tcPr>
            <w:tcW w:w="85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9" w:firstLine="37"/>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4"/>
                <w:sz w:val="18"/>
                <w:szCs w:val="18"/>
              </w:rPr>
              <w:t>变动（股</w:t>
            </w:r>
          </w:p>
        </w:tc>
        <w:tc>
          <w:tcPr>
            <w:tcW w:w="925"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1"/>
              <w:ind w:left="97" w:right="0"/>
              <w:jc w:val="left"/>
              <w:rPr>
                <w:rFonts w:ascii="宋体" w:hAnsi="宋体" w:cs="宋体" w:eastAsia="宋体" w:hint="default"/>
                <w:sz w:val="18"/>
                <w:szCs w:val="18"/>
              </w:rPr>
            </w:pPr>
            <w:r>
              <w:rPr>
                <w:rFonts w:ascii="宋体" w:hAnsi="宋体" w:cs="宋体" w:eastAsia="宋体" w:hint="default"/>
                <w:sz w:val="18"/>
                <w:szCs w:val="18"/>
              </w:rPr>
              <w:t>期末持股</w:t>
            </w:r>
          </w:p>
          <w:p>
            <w:pPr>
              <w:pStyle w:val="TableParagraph"/>
              <w:spacing w:line="240" w:lineRule="auto" w:before="77"/>
              <w:ind w:left="-12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51"/>
                <w:sz w:val="18"/>
                <w:szCs w:val="18"/>
              </w:rPr>
              <w:t> </w:t>
            </w:r>
            <w:r>
              <w:rPr>
                <w:rFonts w:ascii="宋体" w:hAnsi="宋体" w:cs="宋体" w:eastAsia="宋体" w:hint="default"/>
                <w:sz w:val="18"/>
                <w:szCs w:val="18"/>
              </w:rPr>
              <w:t>数（股）</w:t>
            </w:r>
          </w:p>
        </w:tc>
      </w:tr>
      <w:tr>
        <w:trPr>
          <w:trHeight w:val="714" w:hRule="exact"/>
        </w:trPr>
        <w:tc>
          <w:tcPr>
            <w:tcW w:w="71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任红军</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51</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63,690,629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63,690,629</w:t>
            </w:r>
          </w:p>
        </w:tc>
      </w:tr>
      <w:tr>
        <w:trPr>
          <w:trHeight w:val="714" w:hRule="exact"/>
        </w:trPr>
        <w:tc>
          <w:tcPr>
            <w:tcW w:w="71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张潇君</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董事、总经 理</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53</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1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9"/>
              <w:jc w:val="center"/>
              <w:rPr>
                <w:rFonts w:ascii="宋体" w:hAnsi="宋体" w:cs="宋体" w:eastAsia="宋体" w:hint="default"/>
                <w:sz w:val="18"/>
                <w:szCs w:val="18"/>
              </w:rPr>
            </w:pPr>
            <w:r>
              <w:rPr>
                <w:rFonts w:ascii="宋体" w:hAnsi="宋体" w:cs="宋体" w:eastAsia="宋体" w:hint="default"/>
                <w:sz w:val="18"/>
                <w:szCs w:val="18"/>
              </w:rPr>
              <w:t>刘瑞玲</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both"/>
              <w:rPr>
                <w:rFonts w:ascii="宋体" w:hAnsi="宋体" w:cs="宋体" w:eastAsia="宋体" w:hint="default"/>
                <w:sz w:val="18"/>
                <w:szCs w:val="18"/>
              </w:rPr>
            </w:pPr>
            <w:r>
              <w:rPr>
                <w:rFonts w:ascii="宋体" w:hAnsi="宋体" w:cs="宋体" w:eastAsia="宋体" w:hint="default"/>
                <w:sz w:val="18"/>
                <w:szCs w:val="18"/>
              </w:rPr>
              <w:t>董事、副总 经理、财务 负责人</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8"/>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46</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3,127,560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3,127,560</w:t>
            </w:r>
          </w:p>
        </w:tc>
      </w:tr>
      <w:tr>
        <w:trPr>
          <w:trHeight w:val="714" w:hRule="exact"/>
        </w:trPr>
        <w:tc>
          <w:tcPr>
            <w:tcW w:w="71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张小水</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董事、总工 程师</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54</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232,468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232,468</w:t>
            </w:r>
          </w:p>
        </w:tc>
      </w:tr>
      <w:tr>
        <w:trPr>
          <w:trHeight w:val="714" w:hRule="exact"/>
        </w:trPr>
        <w:tc>
          <w:tcPr>
            <w:tcW w:w="71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尚剑红</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董事、副总 经理</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4,010,134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4,010,134</w:t>
            </w:r>
          </w:p>
        </w:tc>
      </w:tr>
      <w:tr>
        <w:trPr>
          <w:trHeight w:val="714" w:hRule="exact"/>
        </w:trPr>
        <w:tc>
          <w:tcPr>
            <w:tcW w:w="71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陈凌飞</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37</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1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张艳丽</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46</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1,860,000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1,860,000</w:t>
            </w:r>
          </w:p>
        </w:tc>
      </w:tr>
      <w:tr>
        <w:trPr>
          <w:trHeight w:val="714" w:hRule="exact"/>
        </w:trPr>
        <w:tc>
          <w:tcPr>
            <w:tcW w:w="71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尚中锋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46</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2,748,168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2,748,168</w:t>
            </w:r>
          </w:p>
        </w:tc>
      </w:tr>
      <w:tr>
        <w:trPr>
          <w:trHeight w:val="714" w:hRule="exact"/>
        </w:trPr>
        <w:tc>
          <w:tcPr>
            <w:tcW w:w="71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李志刚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200</w:t>
            </w:r>
          </w:p>
        </w:tc>
      </w:tr>
      <w:tr>
        <w:trPr>
          <w:trHeight w:val="714" w:hRule="exact"/>
        </w:trPr>
        <w:tc>
          <w:tcPr>
            <w:tcW w:w="71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肖锋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副总经理、 董事会秘书</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36</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1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刘威</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42</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1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赵向阳</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49</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1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易欢欢</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36</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1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焦桂东</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董事、副总 经理</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45</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103,320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103,320</w:t>
            </w:r>
          </w:p>
        </w:tc>
      </w:tr>
      <w:tr>
        <w:trPr>
          <w:trHeight w:val="724" w:hRule="exact"/>
        </w:trPr>
        <w:tc>
          <w:tcPr>
            <w:tcW w:w="710"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高天增</w:t>
            </w:r>
          </w:p>
        </w:tc>
        <w:tc>
          <w:tcPr>
            <w:tcW w:w="9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57</w:t>
            </w:r>
          </w:p>
        </w:tc>
        <w:tc>
          <w:tcPr>
            <w:tcW w:w="9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18" w:type="dxa"/>
        <w:tblLayout w:type="fixed"/>
        <w:tblCellMar>
          <w:top w:w="0" w:type="dxa"/>
          <w:left w:w="0" w:type="dxa"/>
          <w:bottom w:w="0" w:type="dxa"/>
          <w:right w:w="0" w:type="dxa"/>
        </w:tblCellMar>
        <w:tblLook w:val="01E0"/>
      </w:tblPr>
      <w:tblGrid>
        <w:gridCol w:w="710"/>
        <w:gridCol w:w="992"/>
        <w:gridCol w:w="426"/>
        <w:gridCol w:w="425"/>
        <w:gridCol w:w="425"/>
        <w:gridCol w:w="993"/>
        <w:gridCol w:w="851"/>
        <w:gridCol w:w="991"/>
        <w:gridCol w:w="992"/>
        <w:gridCol w:w="994"/>
        <w:gridCol w:w="850"/>
        <w:gridCol w:w="925"/>
      </w:tblGrid>
      <w:tr>
        <w:trPr>
          <w:trHeight w:val="724" w:hRule="exact"/>
        </w:trPr>
        <w:tc>
          <w:tcPr>
            <w:tcW w:w="710"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李颖江</w:t>
            </w:r>
          </w:p>
        </w:tc>
        <w:tc>
          <w:tcPr>
            <w:tcW w:w="99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2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58</w:t>
            </w:r>
          </w:p>
        </w:tc>
        <w:tc>
          <w:tcPr>
            <w:tcW w:w="99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0</w:t>
            </w:r>
          </w:p>
        </w:tc>
      </w:tr>
      <w:tr>
        <w:trPr>
          <w:trHeight w:val="412" w:hRule="exact"/>
        </w:trPr>
        <w:tc>
          <w:tcPr>
            <w:tcW w:w="710"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合计</w:t>
            </w:r>
          </w:p>
        </w:tc>
        <w:tc>
          <w:tcPr>
            <w:tcW w:w="992"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426"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3"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75,772,479</w:t>
            </w:r>
          </w:p>
        </w:tc>
        <w:tc>
          <w:tcPr>
            <w:tcW w:w="9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75,772,479</w:t>
            </w:r>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二、公司董事、监事、高级管理人员变动情况" w:id="121"/>
      <w:bookmarkEnd w:id="121"/>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118" w:type="dxa"/>
        <w:tblLayout w:type="fixed"/>
        <w:tblCellMar>
          <w:top w:w="0" w:type="dxa"/>
          <w:left w:w="0" w:type="dxa"/>
          <w:bottom w:w="0" w:type="dxa"/>
          <w:right w:w="0" w:type="dxa"/>
        </w:tblCellMar>
        <w:tblLook w:val="01E0"/>
      </w:tblPr>
      <w:tblGrid>
        <w:gridCol w:w="1331"/>
        <w:gridCol w:w="1330"/>
        <w:gridCol w:w="1330"/>
        <w:gridCol w:w="2249"/>
        <w:gridCol w:w="3330"/>
      </w:tblGrid>
      <w:tr>
        <w:trPr>
          <w:trHeight w:val="412" w:hRule="exact"/>
        </w:trPr>
        <w:tc>
          <w:tcPr>
            <w:tcW w:w="1331"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2249"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3330"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13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焦桂东</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任期满离任</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3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换届选举</w:t>
            </w:r>
          </w:p>
        </w:tc>
      </w:tr>
      <w:tr>
        <w:trPr>
          <w:trHeight w:val="402" w:hRule="exact"/>
        </w:trPr>
        <w:tc>
          <w:tcPr>
            <w:tcW w:w="13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高天增</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任期满离任</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3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换届选举</w:t>
            </w:r>
          </w:p>
        </w:tc>
      </w:tr>
      <w:tr>
        <w:trPr>
          <w:trHeight w:val="412" w:hRule="exact"/>
        </w:trPr>
        <w:tc>
          <w:tcPr>
            <w:tcW w:w="1331"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李颖江</w:t>
            </w:r>
          </w:p>
        </w:tc>
        <w:tc>
          <w:tcPr>
            <w:tcW w:w="13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任期满离任</w:t>
            </w:r>
          </w:p>
        </w:tc>
        <w:tc>
          <w:tcPr>
            <w:tcW w:w="224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3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换届选举</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三、任职情况" w:id="122"/>
      <w:bookmarkEnd w:id="122"/>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spacing w:line="240" w:lineRule="auto" w:before="10"/>
        <w:rPr>
          <w:rFonts w:ascii="宋体" w:hAnsi="宋体" w:cs="宋体" w:eastAsia="宋体" w:hint="default"/>
          <w:sz w:val="12"/>
          <w:szCs w:val="12"/>
        </w:rPr>
      </w:pPr>
    </w:p>
    <w:p>
      <w:pPr>
        <w:pStyle w:val="BodyText"/>
        <w:spacing w:line="240" w:lineRule="auto" w:before="0"/>
        <w:ind w:left="1553" w:right="0"/>
        <w:jc w:val="left"/>
      </w:pPr>
      <w:r>
        <w:rPr>
          <w:rFonts w:ascii="宋体" w:hAnsi="宋体" w:cs="宋体" w:eastAsia="宋体" w:hint="default"/>
        </w:rPr>
        <w:t>1</w:t>
      </w:r>
      <w:r>
        <w:rPr/>
        <w:t>、第四届董事会成员</w:t>
      </w:r>
    </w:p>
    <w:p>
      <w:pPr>
        <w:spacing w:line="240" w:lineRule="auto" w:before="10"/>
        <w:rPr>
          <w:rFonts w:ascii="宋体" w:hAnsi="宋体" w:cs="宋体" w:eastAsia="宋体" w:hint="default"/>
          <w:sz w:val="14"/>
          <w:szCs w:val="14"/>
        </w:rPr>
      </w:pPr>
    </w:p>
    <w:p>
      <w:pPr>
        <w:pStyle w:val="BodyText"/>
        <w:spacing w:line="408" w:lineRule="auto" w:before="0"/>
        <w:ind w:right="1132" w:firstLine="420"/>
        <w:jc w:val="both"/>
      </w:pPr>
      <w:r>
        <w:rPr>
          <w:spacing w:val="-2"/>
        </w:rPr>
        <w:t>任红军，男，</w:t>
      </w:r>
      <w:r>
        <w:rPr>
          <w:rFonts w:ascii="宋体" w:hAnsi="宋体" w:cs="宋体" w:eastAsia="宋体" w:hint="default"/>
          <w:spacing w:val="-2"/>
        </w:rPr>
        <w:t>1967</w:t>
      </w:r>
      <w:r>
        <w:rPr>
          <w:rFonts w:ascii="宋体" w:hAnsi="宋体" w:cs="宋体" w:eastAsia="宋体" w:hint="default"/>
          <w:spacing w:val="-41"/>
        </w:rPr>
        <w:t> </w:t>
      </w:r>
      <w:r>
        <w:rPr>
          <w:spacing w:val="-2"/>
        </w:rPr>
        <w:t>年出生，中国国籍，</w:t>
      </w:r>
      <w:r>
        <w:rPr>
          <w:rFonts w:ascii="宋体" w:hAnsi="宋体" w:cs="宋体" w:eastAsia="宋体" w:hint="default"/>
          <w:spacing w:val="-2"/>
        </w:rPr>
        <w:t>EMBA</w:t>
      </w:r>
      <w:r>
        <w:rPr>
          <w:spacing w:val="-2"/>
        </w:rPr>
        <w:t>，高级工程师，历任郑州晶体管厂技术员、工程师，郑州</w:t>
      </w:r>
      <w:r>
        <w:rPr/>
        <w:t> 汽车客运总公司下属科达电子厂高级工程师、副厂长，自 </w:t>
      </w:r>
      <w:r>
        <w:rPr>
          <w:rFonts w:ascii="宋体" w:hAnsi="宋体" w:cs="宋体" w:eastAsia="宋体" w:hint="default"/>
        </w:rPr>
        <w:t>1998</w:t>
      </w:r>
      <w:r>
        <w:rPr>
          <w:rFonts w:ascii="宋体" w:hAnsi="宋体" w:cs="宋体" w:eastAsia="宋体" w:hint="default"/>
          <w:spacing w:val="-24"/>
        </w:rPr>
        <w:t> </w:t>
      </w:r>
      <w:r>
        <w:rPr/>
        <w:t>年创立公司前身河南汉威电子有限公司以 来一直在汉威科技任职。现为公司第四届董事会董事长。</w:t>
      </w:r>
    </w:p>
    <w:p>
      <w:pPr>
        <w:pStyle w:val="BodyText"/>
        <w:spacing w:line="408" w:lineRule="auto"/>
        <w:ind w:left="1134" w:right="1130" w:firstLine="420"/>
        <w:jc w:val="both"/>
      </w:pPr>
      <w:r>
        <w:rPr>
          <w:spacing w:val="-3"/>
        </w:rPr>
        <w:t>张潇君，男，</w:t>
      </w:r>
      <w:r>
        <w:rPr>
          <w:rFonts w:ascii="宋体" w:hAnsi="宋体" w:cs="宋体" w:eastAsia="宋体" w:hint="default"/>
          <w:spacing w:val="-3"/>
        </w:rPr>
        <w:t>1965</w:t>
      </w:r>
      <w:r>
        <w:rPr>
          <w:rFonts w:ascii="宋体" w:hAnsi="宋体" w:cs="宋体" w:eastAsia="宋体" w:hint="default"/>
          <w:spacing w:val="-29"/>
        </w:rPr>
        <w:t> </w:t>
      </w:r>
      <w:r>
        <w:rPr>
          <w:spacing w:val="-2"/>
        </w:rPr>
        <w:t>年出生，硕士研究生学历，中共党员，工程师。历任河南能源化工集团有限责任公</w:t>
      </w:r>
      <w:r>
        <w:rPr/>
        <w:t> </w:t>
      </w:r>
      <w:r>
        <w:rPr>
          <w:spacing w:val="-1"/>
        </w:rPr>
        <w:t>司董事，河南省煤气集团有限公司董事长、党委书记，开封空分集团有限责任公司董事长、党委书记，洛</w:t>
      </w:r>
      <w:r>
        <w:rPr>
          <w:spacing w:val="-83"/>
        </w:rPr>
        <w:t> </w:t>
      </w:r>
      <w:r>
        <w:rPr>
          <w:spacing w:val="-83"/>
        </w:rPr>
      </w:r>
      <w:r>
        <w:rPr/>
        <w:t>阳</w:t>
      </w:r>
      <w:r>
        <w:rPr>
          <w:spacing w:val="-48"/>
        </w:rPr>
        <w:t> </w:t>
      </w:r>
      <w:r>
        <w:rPr>
          <w:rFonts w:ascii="宋体" w:hAnsi="宋体" w:cs="宋体" w:eastAsia="宋体" w:hint="default"/>
        </w:rPr>
        <w:t>LYC</w:t>
      </w:r>
      <w:r>
        <w:rPr>
          <w:rFonts w:ascii="宋体" w:hAnsi="宋体" w:cs="宋体" w:eastAsia="宋体" w:hint="default"/>
          <w:spacing w:val="-47"/>
        </w:rPr>
        <w:t> </w:t>
      </w:r>
      <w:r>
        <w:rPr/>
        <w:t>轴承有限公司董事长、党委书记，</w:t>
      </w:r>
      <w:r>
        <w:rPr>
          <w:rFonts w:ascii="宋体" w:hAnsi="宋体" w:cs="宋体" w:eastAsia="宋体" w:hint="default"/>
        </w:rPr>
        <w:t>2015</w:t>
      </w:r>
      <w:r>
        <w:rPr>
          <w:rFonts w:ascii="宋体" w:hAnsi="宋体" w:cs="宋体" w:eastAsia="宋体" w:hint="default"/>
          <w:spacing w:val="-48"/>
        </w:rPr>
        <w:t> </w:t>
      </w:r>
      <w:r>
        <w:rPr/>
        <w:t>年</w:t>
      </w:r>
      <w:r>
        <w:rPr>
          <w:spacing w:val="-48"/>
        </w:rPr>
        <w:t> </w:t>
      </w:r>
      <w:r>
        <w:rPr>
          <w:rFonts w:ascii="宋体" w:hAnsi="宋体" w:cs="宋体" w:eastAsia="宋体" w:hint="default"/>
        </w:rPr>
        <w:t>12</w:t>
      </w:r>
      <w:r>
        <w:rPr>
          <w:rFonts w:ascii="宋体" w:hAnsi="宋体" w:cs="宋体" w:eastAsia="宋体" w:hint="default"/>
          <w:spacing w:val="-47"/>
        </w:rPr>
        <w:t> </w:t>
      </w:r>
      <w:r>
        <w:rPr/>
        <w:t>月起就职于汉威科技。现任公司第四届董事会董事、 公司总经理。</w:t>
      </w:r>
    </w:p>
    <w:p>
      <w:pPr>
        <w:pStyle w:val="BodyText"/>
        <w:spacing w:line="408" w:lineRule="auto"/>
        <w:ind w:left="1134" w:right="1131" w:firstLine="420"/>
        <w:jc w:val="both"/>
      </w:pPr>
      <w:r>
        <w:rPr>
          <w:spacing w:val="-3"/>
        </w:rPr>
        <w:t>刘瑞玲，女，</w:t>
      </w:r>
      <w:r>
        <w:rPr>
          <w:rFonts w:ascii="宋体" w:hAnsi="宋体" w:cs="宋体" w:eastAsia="宋体" w:hint="default"/>
          <w:spacing w:val="-3"/>
        </w:rPr>
        <w:t>1972</w:t>
      </w:r>
      <w:r>
        <w:rPr>
          <w:rFonts w:ascii="宋体" w:hAnsi="宋体" w:cs="宋体" w:eastAsia="宋体" w:hint="default"/>
          <w:spacing w:val="-28"/>
        </w:rPr>
        <w:t> </w:t>
      </w:r>
      <w:r>
        <w:rPr>
          <w:spacing w:val="-2"/>
        </w:rPr>
        <w:t>年出生，中国国籍，</w:t>
      </w:r>
      <w:r>
        <w:rPr>
          <w:rFonts w:ascii="宋体" w:hAnsi="宋体" w:cs="宋体" w:eastAsia="宋体" w:hint="default"/>
          <w:spacing w:val="-2"/>
        </w:rPr>
        <w:t>EMBA</w:t>
      </w:r>
      <w:r>
        <w:rPr>
          <w:spacing w:val="-2"/>
        </w:rPr>
        <w:t>，曾任职于郑州晶体管厂核算处、郑州汽车客运总公司下</w:t>
      </w:r>
      <w:r>
        <w:rPr/>
        <w:t> 属科达电子厂会计科，</w:t>
      </w:r>
      <w:r>
        <w:rPr>
          <w:rFonts w:ascii="宋体" w:hAnsi="宋体" w:cs="宋体" w:eastAsia="宋体" w:hint="default"/>
        </w:rPr>
        <w:t>1998</w:t>
      </w:r>
      <w:r>
        <w:rPr>
          <w:rFonts w:ascii="宋体" w:hAnsi="宋体" w:cs="宋体" w:eastAsia="宋体" w:hint="default"/>
          <w:spacing w:val="-78"/>
        </w:rPr>
        <w:t> </w:t>
      </w:r>
      <w:r>
        <w:rPr/>
        <w:t>年</w:t>
      </w:r>
      <w:r>
        <w:rPr>
          <w:spacing w:val="-78"/>
        </w:rPr>
        <w:t> </w:t>
      </w:r>
      <w:r>
        <w:rPr>
          <w:rFonts w:ascii="宋体" w:hAnsi="宋体" w:cs="宋体" w:eastAsia="宋体" w:hint="default"/>
        </w:rPr>
        <w:t>9</w:t>
      </w:r>
      <w:r>
        <w:rPr>
          <w:rFonts w:ascii="宋体" w:hAnsi="宋体" w:cs="宋体" w:eastAsia="宋体" w:hint="default"/>
          <w:spacing w:val="-77"/>
        </w:rPr>
        <w:t> </w:t>
      </w:r>
      <w:r>
        <w:rPr/>
        <w:t>月起就职于汉威科技。现任公司第四届董事会董事、副总经理、财务负责 人。</w:t>
      </w:r>
    </w:p>
    <w:p>
      <w:pPr>
        <w:pStyle w:val="BodyText"/>
        <w:spacing w:line="408" w:lineRule="auto"/>
        <w:ind w:right="1031" w:firstLine="420"/>
        <w:jc w:val="both"/>
      </w:pPr>
      <w:r>
        <w:rPr>
          <w:spacing w:val="-3"/>
        </w:rPr>
        <w:t>张小水，男，</w:t>
      </w:r>
      <w:r>
        <w:rPr>
          <w:rFonts w:ascii="宋体" w:hAnsi="宋体" w:cs="宋体" w:eastAsia="宋体" w:hint="default"/>
          <w:spacing w:val="-3"/>
        </w:rPr>
        <w:t>1963</w:t>
      </w:r>
      <w:r>
        <w:rPr>
          <w:rFonts w:ascii="宋体" w:hAnsi="宋体" w:cs="宋体" w:eastAsia="宋体" w:hint="default"/>
          <w:spacing w:val="-69"/>
        </w:rPr>
        <w:t> </w:t>
      </w:r>
      <w:r>
        <w:rPr/>
        <w:t>年出生，中国国籍，大学本科学历，高级工程师，曾任职于郑州晶体管厂、郑州汽 车客运总公司下属科达电子，</w:t>
      </w:r>
      <w:r>
        <w:rPr>
          <w:rFonts w:ascii="宋体" w:hAnsi="宋体" w:cs="宋体" w:eastAsia="宋体" w:hint="default"/>
        </w:rPr>
        <w:t>2008</w:t>
      </w:r>
      <w:r>
        <w:rPr>
          <w:rFonts w:ascii="宋体" w:hAnsi="宋体" w:cs="宋体" w:eastAsia="宋体" w:hint="default"/>
          <w:spacing w:val="-46"/>
        </w:rPr>
        <w:t> </w:t>
      </w:r>
      <w:r>
        <w:rPr/>
        <w:t>年</w:t>
      </w:r>
      <w:r>
        <w:rPr>
          <w:spacing w:val="-46"/>
        </w:rPr>
        <w:t> </w:t>
      </w:r>
      <w:r>
        <w:rPr>
          <w:rFonts w:ascii="宋体" w:hAnsi="宋体" w:cs="宋体" w:eastAsia="宋体" w:hint="default"/>
        </w:rPr>
        <w:t>8</w:t>
      </w:r>
      <w:r>
        <w:rPr>
          <w:rFonts w:ascii="宋体" w:hAnsi="宋体" w:cs="宋体" w:eastAsia="宋体" w:hint="default"/>
          <w:spacing w:val="-45"/>
        </w:rPr>
        <w:t> </w:t>
      </w:r>
      <w:r>
        <w:rPr/>
        <w:t>月起担任公司总工程师。现任公司第四届董事会董事、总工程师。</w:t>
      </w:r>
    </w:p>
    <w:p>
      <w:pPr>
        <w:pStyle w:val="BodyText"/>
        <w:spacing w:line="408" w:lineRule="auto"/>
        <w:ind w:right="1130" w:firstLine="420"/>
        <w:jc w:val="both"/>
      </w:pPr>
      <w:r>
        <w:rPr>
          <w:spacing w:val="-3"/>
        </w:rPr>
        <w:t>尚剑红，男，</w:t>
      </w:r>
      <w:r>
        <w:rPr>
          <w:rFonts w:ascii="宋体" w:hAnsi="宋体" w:cs="宋体" w:eastAsia="宋体" w:hint="default"/>
          <w:spacing w:val="-3"/>
        </w:rPr>
        <w:t>1968</w:t>
      </w:r>
      <w:r>
        <w:rPr>
          <w:rFonts w:ascii="宋体" w:hAnsi="宋体" w:cs="宋体" w:eastAsia="宋体" w:hint="default"/>
          <w:spacing w:val="-30"/>
        </w:rPr>
        <w:t> </w:t>
      </w:r>
      <w:r>
        <w:rPr>
          <w:spacing w:val="-2"/>
        </w:rPr>
        <w:t>年出生，中国国籍，博士研究生学历，地理信息系统行业知名专家，沈阳市青年科</w:t>
      </w:r>
      <w:r>
        <w:rPr/>
        <w:t> </w:t>
      </w:r>
      <w:r>
        <w:rPr>
          <w:spacing w:val="-1"/>
        </w:rPr>
        <w:t>技工作者协会会员，中国地理信息系统协会委员，历任沈阳市环境监测中心信息部主任等职务。现任公司</w:t>
      </w:r>
      <w:r>
        <w:rPr>
          <w:spacing w:val="-83"/>
        </w:rPr>
        <w:t> </w:t>
      </w:r>
      <w:r>
        <w:rPr>
          <w:spacing w:val="-83"/>
        </w:rPr>
      </w:r>
      <w:r>
        <w:rPr/>
        <w:t>第四届董事会董事、副总经理，同时任职沈阳金建董事长。</w:t>
      </w:r>
    </w:p>
    <w:p>
      <w:pPr>
        <w:pStyle w:val="BodyText"/>
        <w:spacing w:line="408" w:lineRule="auto"/>
        <w:ind w:right="1032" w:firstLine="420"/>
        <w:jc w:val="both"/>
      </w:pPr>
      <w:r>
        <w:rPr/>
        <w:t>陈凌飞，男，</w:t>
      </w:r>
      <w:r>
        <w:rPr>
          <w:rFonts w:ascii="宋体" w:hAnsi="宋体" w:cs="宋体" w:eastAsia="宋体" w:hint="default"/>
        </w:rPr>
        <w:t>1981</w:t>
      </w:r>
      <w:r>
        <w:rPr>
          <w:rFonts w:ascii="宋体" w:hAnsi="宋体" w:cs="宋体" w:eastAsia="宋体" w:hint="default"/>
          <w:spacing w:val="-58"/>
        </w:rPr>
        <w:t> </w:t>
      </w:r>
      <w:r>
        <w:rPr/>
        <w:t>年出生，大学本科学历，仪器仪表行业高级工程师。</w:t>
      </w:r>
      <w:r>
        <w:rPr>
          <w:rFonts w:ascii="宋体" w:hAnsi="宋体" w:cs="宋体" w:eastAsia="宋体" w:hint="default"/>
        </w:rPr>
        <w:t>2005</w:t>
      </w:r>
      <w:r>
        <w:rPr>
          <w:rFonts w:ascii="宋体" w:hAnsi="宋体" w:cs="宋体" w:eastAsia="宋体" w:hint="default"/>
          <w:spacing w:val="-57"/>
        </w:rPr>
        <w:t> </w:t>
      </w:r>
      <w:r>
        <w:rPr/>
        <w:t>年</w:t>
      </w:r>
      <w:r>
        <w:rPr>
          <w:spacing w:val="-58"/>
        </w:rPr>
        <w:t> </w:t>
      </w:r>
      <w:r>
        <w:rPr>
          <w:rFonts w:ascii="宋体" w:hAnsi="宋体" w:cs="宋体" w:eastAsia="宋体" w:hint="default"/>
        </w:rPr>
        <w:t>10</w:t>
      </w:r>
      <w:r>
        <w:rPr>
          <w:rFonts w:ascii="宋体" w:hAnsi="宋体" w:cs="宋体" w:eastAsia="宋体" w:hint="default"/>
          <w:spacing w:val="-58"/>
        </w:rPr>
        <w:t> </w:t>
      </w:r>
      <w:r>
        <w:rPr/>
        <w:t>月起就职于汉威科 技，历任炜盛科技副总经理职务，现任公司第四届董事会董事，同时任职炜盛科技总经理、法定代表人。</w:t>
      </w:r>
    </w:p>
    <w:p>
      <w:pPr>
        <w:spacing w:after="0" w:line="408"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right="1129" w:firstLine="420"/>
        <w:jc w:val="both"/>
      </w:pPr>
      <w:r>
        <w:rPr>
          <w:spacing w:val="-3"/>
        </w:rPr>
        <w:t>刘威，男，</w:t>
      </w:r>
      <w:r>
        <w:rPr>
          <w:rFonts w:ascii="宋体" w:hAnsi="宋体" w:cs="宋体" w:eastAsia="宋体" w:hint="default"/>
          <w:spacing w:val="-3"/>
        </w:rPr>
        <w:t>1977</w:t>
      </w:r>
      <w:r>
        <w:rPr>
          <w:rFonts w:ascii="宋体" w:hAnsi="宋体" w:cs="宋体" w:eastAsia="宋体" w:hint="default"/>
          <w:spacing w:val="-68"/>
        </w:rPr>
        <w:t> </w:t>
      </w:r>
      <w:r>
        <w:rPr/>
        <w:t>年出生，中国国籍，大学本科学历，毕业于上海对外经贸大学，历任奇虎</w:t>
      </w:r>
      <w:r>
        <w:rPr>
          <w:spacing w:val="-67"/>
        </w:rPr>
        <w:t> </w:t>
      </w:r>
      <w:r>
        <w:rPr>
          <w:rFonts w:ascii="宋体" w:hAnsi="宋体" w:cs="宋体" w:eastAsia="宋体" w:hint="default"/>
        </w:rPr>
        <w:t>360</w:t>
      </w:r>
      <w:r>
        <w:rPr>
          <w:rFonts w:ascii="宋体" w:hAnsi="宋体" w:cs="宋体" w:eastAsia="宋体" w:hint="default"/>
          <w:spacing w:val="-68"/>
        </w:rPr>
        <w:t> </w:t>
      </w:r>
      <w:r>
        <w:rPr/>
        <w:t>科技有 限公司资本总经理，现任奇虎</w:t>
      </w:r>
      <w:r>
        <w:rPr>
          <w:spacing w:val="-52"/>
        </w:rPr>
        <w:t> </w:t>
      </w:r>
      <w:r>
        <w:rPr>
          <w:rFonts w:ascii="宋体" w:hAnsi="宋体" w:cs="宋体" w:eastAsia="宋体" w:hint="default"/>
        </w:rPr>
        <w:t>360</w:t>
      </w:r>
      <w:r>
        <w:rPr>
          <w:rFonts w:ascii="宋体" w:hAnsi="宋体" w:cs="宋体" w:eastAsia="宋体" w:hint="default"/>
          <w:spacing w:val="-53"/>
        </w:rPr>
        <w:t> </w:t>
      </w:r>
      <w:r>
        <w:rPr/>
        <w:t>科技有限公司副总裁。现任公司第四届董事会独立董事。</w:t>
      </w:r>
    </w:p>
    <w:p>
      <w:pPr>
        <w:pStyle w:val="BodyText"/>
        <w:spacing w:line="408" w:lineRule="auto"/>
        <w:ind w:right="1130" w:firstLine="420"/>
        <w:jc w:val="both"/>
      </w:pPr>
      <w:r>
        <w:rPr>
          <w:spacing w:val="-3"/>
        </w:rPr>
        <w:t>赵向阳，男，</w:t>
      </w:r>
      <w:r>
        <w:rPr>
          <w:rFonts w:ascii="宋体" w:hAnsi="宋体" w:cs="宋体" w:eastAsia="宋体" w:hint="default"/>
          <w:spacing w:val="-3"/>
        </w:rPr>
        <w:t>1969</w:t>
      </w:r>
      <w:r>
        <w:rPr>
          <w:rFonts w:ascii="宋体" w:hAnsi="宋体" w:cs="宋体" w:eastAsia="宋体" w:hint="default"/>
          <w:spacing w:val="-62"/>
        </w:rPr>
        <w:t> </w:t>
      </w:r>
      <w:r>
        <w:rPr/>
        <w:t>年出生，中国国籍，硕士研究生学历，毕业于西安交通大学</w:t>
      </w:r>
      <w:r>
        <w:rPr>
          <w:spacing w:val="-61"/>
        </w:rPr>
        <w:t> </w:t>
      </w:r>
      <w:r>
        <w:rPr>
          <w:rFonts w:ascii="宋体" w:hAnsi="宋体" w:cs="宋体" w:eastAsia="宋体" w:hint="default"/>
        </w:rPr>
        <w:t>MPACC</w:t>
      </w:r>
      <w:r>
        <w:rPr>
          <w:rFonts w:ascii="宋体" w:hAnsi="宋体" w:cs="宋体" w:eastAsia="宋体" w:hint="default"/>
          <w:spacing w:val="-61"/>
        </w:rPr>
        <w:t> </w:t>
      </w:r>
      <w:r>
        <w:rPr>
          <w:spacing w:val="-3"/>
        </w:rPr>
        <w:t>专业，现任陕西</w:t>
      </w:r>
      <w:r>
        <w:rPr/>
        <w:t> 中庆会计师事务所有限责任公司副主任会计师。现任公司第四届董事会独立董事。</w:t>
      </w:r>
    </w:p>
    <w:p>
      <w:pPr>
        <w:pStyle w:val="BodyText"/>
        <w:spacing w:line="408" w:lineRule="auto"/>
        <w:ind w:right="1133" w:firstLine="420"/>
        <w:jc w:val="both"/>
      </w:pPr>
      <w:r>
        <w:rPr/>
        <w:t>易欢欢，男，</w:t>
      </w:r>
      <w:r>
        <w:rPr>
          <w:rFonts w:ascii="宋体" w:hAnsi="宋体" w:cs="宋体" w:eastAsia="宋体" w:hint="default"/>
        </w:rPr>
        <w:t>1982</w:t>
      </w:r>
      <w:r>
        <w:rPr>
          <w:rFonts w:ascii="宋体" w:hAnsi="宋体" w:cs="宋体" w:eastAsia="宋体" w:hint="default"/>
          <w:spacing w:val="62"/>
        </w:rPr>
        <w:t> </w:t>
      </w:r>
      <w:r>
        <w:rPr/>
        <w:t>年生，中国国籍，毕业于北京大学，通信与信息系统硕士，数学与经济学学士。 </w:t>
      </w:r>
      <w:r>
        <w:rPr>
          <w:spacing w:val="-1"/>
        </w:rPr>
        <w:t>曾先后任职甲骨文（中国）战略咨询部高级经理，国金证券研究部执行总经理、计算机与互联网行业首席</w:t>
      </w:r>
      <w:r>
        <w:rPr>
          <w:spacing w:val="-86"/>
        </w:rPr>
        <w:t> </w:t>
      </w:r>
      <w:r>
        <w:rPr>
          <w:spacing w:val="-86"/>
        </w:rPr>
      </w:r>
      <w:r>
        <w:rPr>
          <w:spacing w:val="-1"/>
        </w:rPr>
        <w:t>分析师，申万宏源证券董事总经理、研究所副所长。现任深圳键桥通讯技术股份有限公司董事。现任公司</w:t>
      </w:r>
      <w:r>
        <w:rPr>
          <w:spacing w:val="-86"/>
        </w:rPr>
        <w:t> </w:t>
      </w:r>
      <w:r>
        <w:rPr>
          <w:spacing w:val="-86"/>
        </w:rPr>
      </w:r>
      <w:r>
        <w:rPr/>
        <w:t>第四届董事会独立董事。</w:t>
      </w:r>
    </w:p>
    <w:p>
      <w:pPr>
        <w:pStyle w:val="BodyText"/>
        <w:spacing w:line="240" w:lineRule="auto"/>
        <w:ind w:left="1553" w:right="0"/>
        <w:jc w:val="left"/>
      </w:pPr>
      <w:r>
        <w:rPr>
          <w:rFonts w:ascii="宋体" w:hAnsi="宋体" w:cs="宋体" w:eastAsia="宋体" w:hint="default"/>
        </w:rPr>
        <w:t>2</w:t>
      </w:r>
      <w:r>
        <w:rPr/>
        <w:t>、第四届监事会成员</w:t>
      </w:r>
    </w:p>
    <w:p>
      <w:pPr>
        <w:spacing w:line="240" w:lineRule="auto" w:before="10"/>
        <w:rPr>
          <w:rFonts w:ascii="宋体" w:hAnsi="宋体" w:cs="宋体" w:eastAsia="宋体" w:hint="default"/>
          <w:sz w:val="14"/>
          <w:szCs w:val="14"/>
        </w:rPr>
      </w:pPr>
    </w:p>
    <w:p>
      <w:pPr>
        <w:pStyle w:val="BodyText"/>
        <w:spacing w:line="408" w:lineRule="auto" w:before="0"/>
        <w:ind w:right="1129" w:firstLine="420"/>
        <w:jc w:val="both"/>
      </w:pPr>
      <w:r>
        <w:rPr>
          <w:spacing w:val="-3"/>
        </w:rPr>
        <w:t>张艳丽，女，</w:t>
      </w:r>
      <w:r>
        <w:rPr>
          <w:rFonts w:ascii="宋体" w:hAnsi="宋体" w:cs="宋体" w:eastAsia="宋体" w:hint="default"/>
          <w:spacing w:val="-3"/>
        </w:rPr>
        <w:t>1972</w:t>
      </w:r>
      <w:r>
        <w:rPr>
          <w:rFonts w:ascii="宋体" w:hAnsi="宋体" w:cs="宋体" w:eastAsia="宋体" w:hint="default"/>
          <w:spacing w:val="-30"/>
        </w:rPr>
        <w:t> </w:t>
      </w:r>
      <w:r>
        <w:rPr>
          <w:spacing w:val="-2"/>
        </w:rPr>
        <w:t>年出生，中国国籍，大学专科学历。曾任职于郑州晶体管厂、郑州汽车客运总公司</w:t>
      </w:r>
      <w:r>
        <w:rPr/>
        <w:t> 下属科达电子厂，</w:t>
      </w:r>
      <w:r>
        <w:rPr>
          <w:rFonts w:ascii="宋体" w:hAnsi="宋体" w:cs="宋体" w:eastAsia="宋体" w:hint="default"/>
        </w:rPr>
        <w:t>1998</w:t>
      </w:r>
      <w:r>
        <w:rPr>
          <w:rFonts w:ascii="宋体" w:hAnsi="宋体" w:cs="宋体" w:eastAsia="宋体" w:hint="default"/>
          <w:spacing w:val="-54"/>
        </w:rPr>
        <w:t> </w:t>
      </w:r>
      <w:r>
        <w:rPr/>
        <w:t>年</w:t>
      </w:r>
      <w:r>
        <w:rPr>
          <w:spacing w:val="-54"/>
        </w:rPr>
        <w:t> </w:t>
      </w:r>
      <w:r>
        <w:rPr>
          <w:rFonts w:ascii="宋体" w:hAnsi="宋体" w:cs="宋体" w:eastAsia="宋体" w:hint="default"/>
        </w:rPr>
        <w:t>9</w:t>
      </w:r>
      <w:r>
        <w:rPr>
          <w:rFonts w:ascii="宋体" w:hAnsi="宋体" w:cs="宋体" w:eastAsia="宋体" w:hint="default"/>
          <w:spacing w:val="-53"/>
        </w:rPr>
        <w:t> </w:t>
      </w:r>
      <w:r>
        <w:rPr/>
        <w:t>月起就职于汉威科技。现任公司第四届监事会主席。</w:t>
      </w:r>
    </w:p>
    <w:p>
      <w:pPr>
        <w:pStyle w:val="BodyText"/>
        <w:spacing w:line="408" w:lineRule="auto"/>
        <w:ind w:right="1128" w:firstLine="420"/>
        <w:jc w:val="both"/>
      </w:pPr>
      <w:r>
        <w:rPr/>
        <w:t>尚中锋，男，</w:t>
      </w:r>
      <w:r>
        <w:rPr>
          <w:rFonts w:ascii="宋体" w:hAnsi="宋体" w:cs="宋体" w:eastAsia="宋体" w:hint="default"/>
        </w:rPr>
        <w:t>1972</w:t>
      </w:r>
      <w:r>
        <w:rPr>
          <w:rFonts w:ascii="宋体" w:hAnsi="宋体" w:cs="宋体" w:eastAsia="宋体" w:hint="default"/>
          <w:spacing w:val="75"/>
        </w:rPr>
        <w:t> </w:t>
      </w:r>
      <w:r>
        <w:rPr/>
        <w:t>年出生，中国国籍，毕业于郑州大学化学系，曾任职于郑州市油泵油嘴厂，</w:t>
      </w:r>
      <w:r>
        <w:rPr>
          <w:rFonts w:ascii="宋体" w:hAnsi="宋体" w:cs="宋体" w:eastAsia="宋体" w:hint="default"/>
        </w:rPr>
        <w:t>2000 </w:t>
      </w:r>
      <w:r>
        <w:rPr/>
        <w:t>年起就职于汉威科技。现任公司第四届监事会监事。</w:t>
      </w:r>
    </w:p>
    <w:p>
      <w:pPr>
        <w:pStyle w:val="BodyText"/>
        <w:spacing w:line="408" w:lineRule="auto"/>
        <w:ind w:right="1130" w:firstLine="420"/>
        <w:jc w:val="both"/>
      </w:pPr>
      <w:r>
        <w:rPr/>
        <w:t>李志刚，男，</w:t>
      </w:r>
      <w:r>
        <w:rPr>
          <w:rFonts w:ascii="宋体" w:hAnsi="宋体" w:cs="宋体" w:eastAsia="宋体" w:hint="default"/>
        </w:rPr>
        <w:t>1978</w:t>
      </w:r>
      <w:r>
        <w:rPr>
          <w:rFonts w:ascii="宋体" w:hAnsi="宋体" w:cs="宋体" w:eastAsia="宋体" w:hint="default"/>
          <w:spacing w:val="-32"/>
        </w:rPr>
        <w:t> </w:t>
      </w:r>
      <w:r>
        <w:rPr/>
        <w:t>年出生，中国国籍，大学专科学历，</w:t>
      </w:r>
      <w:r>
        <w:rPr>
          <w:rFonts w:ascii="宋体" w:hAnsi="宋体" w:cs="宋体" w:eastAsia="宋体" w:hint="default"/>
        </w:rPr>
        <w:t>EMBA</w:t>
      </w:r>
      <w:r>
        <w:rPr/>
        <w:t>，</w:t>
      </w:r>
      <w:r>
        <w:rPr>
          <w:rFonts w:ascii="宋体" w:hAnsi="宋体" w:cs="宋体" w:eastAsia="宋体" w:hint="default"/>
        </w:rPr>
        <w:t>2005</w:t>
      </w:r>
      <w:r>
        <w:rPr>
          <w:rFonts w:ascii="宋体" w:hAnsi="宋体" w:cs="宋体" w:eastAsia="宋体" w:hint="default"/>
          <w:spacing w:val="-32"/>
        </w:rPr>
        <w:t> </w:t>
      </w:r>
      <w:r>
        <w:rPr/>
        <w:t>年</w:t>
      </w:r>
      <w:r>
        <w:rPr>
          <w:spacing w:val="-34"/>
        </w:rPr>
        <w:t> </w:t>
      </w:r>
      <w:r>
        <w:rPr>
          <w:rFonts w:ascii="宋体" w:hAnsi="宋体" w:cs="宋体" w:eastAsia="宋体" w:hint="default"/>
        </w:rPr>
        <w:t>3</w:t>
      </w:r>
      <w:r>
        <w:rPr>
          <w:rFonts w:ascii="宋体" w:hAnsi="宋体" w:cs="宋体" w:eastAsia="宋体" w:hint="default"/>
          <w:spacing w:val="-32"/>
        </w:rPr>
        <w:t> </w:t>
      </w:r>
      <w:r>
        <w:rPr/>
        <w:t>月起任职于汉威科技。</w:t>
      </w:r>
      <w:r>
        <w:rPr>
          <w:rFonts w:ascii="宋体" w:hAnsi="宋体" w:cs="宋体" w:eastAsia="宋体" w:hint="default"/>
        </w:rPr>
        <w:t>2016 </w:t>
      </w:r>
      <w:r>
        <w:rPr/>
        <w:t>年</w:t>
      </w:r>
      <w:r>
        <w:rPr>
          <w:spacing w:val="-53"/>
        </w:rPr>
        <w:t> </w:t>
      </w:r>
      <w:r>
        <w:rPr>
          <w:rFonts w:ascii="宋体" w:hAnsi="宋体" w:cs="宋体" w:eastAsia="宋体" w:hint="default"/>
          <w:spacing w:val="-1"/>
        </w:rPr>
        <w:t>12</w:t>
      </w:r>
      <w:r>
        <w:rPr>
          <w:rFonts w:ascii="宋体" w:hAnsi="宋体" w:cs="宋体" w:eastAsia="宋体" w:hint="default"/>
          <w:spacing w:val="-52"/>
        </w:rPr>
        <w:t> </w:t>
      </w:r>
      <w:r>
        <w:rPr/>
        <w:t>月</w:t>
      </w:r>
      <w:r>
        <w:rPr>
          <w:spacing w:val="-53"/>
        </w:rPr>
        <w:t> </w:t>
      </w:r>
      <w:r>
        <w:rPr>
          <w:rFonts w:ascii="宋体" w:hAnsi="宋体" w:cs="宋体" w:eastAsia="宋体" w:hint="default"/>
          <w:spacing w:val="-1"/>
        </w:rPr>
        <w:t>27</w:t>
      </w:r>
      <w:r>
        <w:rPr>
          <w:rFonts w:ascii="宋体" w:hAnsi="宋体" w:cs="宋体" w:eastAsia="宋体" w:hint="default"/>
          <w:spacing w:val="-53"/>
        </w:rPr>
        <w:t> </w:t>
      </w:r>
      <w:r>
        <w:rPr>
          <w:spacing w:val="-3"/>
        </w:rPr>
        <w:t>日当选公司第四届监事会职工监事。现任公司研究院院长（非高级管理人员）。</w:t>
      </w:r>
    </w:p>
    <w:p>
      <w:pPr>
        <w:pStyle w:val="BodyText"/>
        <w:spacing w:line="408" w:lineRule="auto"/>
        <w:ind w:left="1553" w:right="2773"/>
        <w:jc w:val="left"/>
      </w:pPr>
      <w:r>
        <w:rPr>
          <w:rFonts w:ascii="宋体" w:hAnsi="宋体" w:cs="宋体" w:eastAsia="宋体" w:hint="default"/>
        </w:rPr>
        <w:t>3</w:t>
      </w:r>
      <w:r>
        <w:rPr/>
        <w:t>、高级管理人员 张潇君，现任公司总经理，简历详见本节之“董事会成员”介绍。 刘瑞玲，现任公司副总经理、财务负责人，简历详见本节之“董事会成员”介绍。 张小水，现任公司总工程师，简历详见本节之“董事会成员”介绍。 尚剑红，现任公司副总经理，简历详见本节之“董事会成员”介绍。</w:t>
      </w:r>
    </w:p>
    <w:p>
      <w:pPr>
        <w:pStyle w:val="BodyText"/>
        <w:spacing w:line="408" w:lineRule="auto"/>
        <w:ind w:right="1130" w:firstLine="420"/>
        <w:jc w:val="both"/>
      </w:pPr>
      <w:r>
        <w:rPr>
          <w:spacing w:val="-3"/>
        </w:rPr>
        <w:t>肖锋，男，</w:t>
      </w:r>
      <w:r>
        <w:rPr>
          <w:rFonts w:ascii="宋体" w:hAnsi="宋体" w:cs="宋体" w:eastAsia="宋体" w:hint="default"/>
          <w:spacing w:val="-3"/>
        </w:rPr>
        <w:t>1982</w:t>
      </w:r>
      <w:r>
        <w:rPr>
          <w:rFonts w:ascii="宋体" w:hAnsi="宋体" w:cs="宋体" w:eastAsia="宋体" w:hint="default"/>
          <w:spacing w:val="-30"/>
        </w:rPr>
        <w:t> </w:t>
      </w:r>
      <w:r>
        <w:rPr>
          <w:spacing w:val="-2"/>
        </w:rPr>
        <w:t>年出生，中国国籍，大学本科学历，毕业于郑州大学法学院，现任公司第四届董事会</w:t>
      </w:r>
      <w:r>
        <w:rPr/>
        <w:t> </w:t>
      </w:r>
      <w:r>
        <w:rPr>
          <w:spacing w:val="-3"/>
        </w:rPr>
        <w:t>秘书。</w:t>
      </w:r>
      <w:r>
        <w:rPr>
          <w:rFonts w:ascii="宋体" w:hAnsi="宋体" w:cs="宋体" w:eastAsia="宋体" w:hint="default"/>
          <w:spacing w:val="-3"/>
        </w:rPr>
        <w:t>2009</w:t>
      </w:r>
      <w:r>
        <w:rPr>
          <w:rFonts w:ascii="宋体" w:hAnsi="宋体" w:cs="宋体" w:eastAsia="宋体" w:hint="default"/>
          <w:spacing w:val="-45"/>
        </w:rPr>
        <w:t> </w:t>
      </w:r>
      <w:r>
        <w:rPr/>
        <w:t>年</w:t>
      </w:r>
      <w:r>
        <w:rPr>
          <w:spacing w:val="-43"/>
        </w:rPr>
        <w:t> </w:t>
      </w:r>
      <w:r>
        <w:rPr>
          <w:rFonts w:ascii="宋体" w:hAnsi="宋体" w:cs="宋体" w:eastAsia="宋体" w:hint="default"/>
          <w:spacing w:val="-1"/>
        </w:rPr>
        <w:t>11</w:t>
      </w:r>
      <w:r>
        <w:rPr>
          <w:rFonts w:ascii="宋体" w:hAnsi="宋体" w:cs="宋体" w:eastAsia="宋体" w:hint="default"/>
          <w:spacing w:val="-42"/>
        </w:rPr>
        <w:t> </w:t>
      </w:r>
      <w:r>
        <w:rPr>
          <w:spacing w:val="-5"/>
        </w:rPr>
        <w:t>月取得深圳交易所颁发的《董事会秘书资格证书》，任职资格符合《深圳交易所创业板股</w:t>
      </w:r>
      <w:r>
        <w:rPr>
          <w:spacing w:val="-102"/>
        </w:rPr>
        <w:t> </w:t>
      </w:r>
      <w:r>
        <w:rPr>
          <w:spacing w:val="-102"/>
        </w:rPr>
      </w:r>
      <w:r>
        <w:rPr>
          <w:spacing w:val="-12"/>
        </w:rPr>
        <w:t>票上市规则》、《公司章程》的有关规定。</w:t>
      </w:r>
    </w:p>
    <w:p>
      <w:pPr>
        <w:spacing w:before="34"/>
        <w:ind w:left="1133" w:right="0"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line="338" w:lineRule="auto" w:before="117"/>
        <w:ind w:left="1133" w:right="9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在其他单位任职情况</w:t>
      </w:r>
    </w:p>
    <w:p>
      <w:pPr>
        <w:spacing w:before="42"/>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118" w:type="dxa"/>
        <w:tblLayout w:type="fixed"/>
        <w:tblCellMar>
          <w:top w:w="0" w:type="dxa"/>
          <w:left w:w="0" w:type="dxa"/>
          <w:bottom w:w="0" w:type="dxa"/>
          <w:right w:w="0" w:type="dxa"/>
        </w:tblCellMar>
        <w:tblLook w:val="01E0"/>
      </w:tblPr>
      <w:tblGrid>
        <w:gridCol w:w="710"/>
        <w:gridCol w:w="3119"/>
        <w:gridCol w:w="1276"/>
        <w:gridCol w:w="1560"/>
        <w:gridCol w:w="1559"/>
        <w:gridCol w:w="1345"/>
      </w:tblGrid>
      <w:tr>
        <w:trPr>
          <w:trHeight w:val="723" w:hRule="exact"/>
        </w:trPr>
        <w:tc>
          <w:tcPr>
            <w:tcW w:w="710"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319" w:lineRule="auto" w:before="51"/>
              <w:ind w:left="69" w:right="78"/>
              <w:jc w:val="left"/>
              <w:rPr>
                <w:rFonts w:ascii="宋体" w:hAnsi="宋体" w:cs="宋体" w:eastAsia="宋体" w:hint="default"/>
                <w:sz w:val="18"/>
                <w:szCs w:val="18"/>
              </w:rPr>
            </w:pPr>
            <w:r>
              <w:rPr>
                <w:rFonts w:ascii="宋体" w:hAnsi="宋体" w:cs="宋体" w:eastAsia="宋体" w:hint="default"/>
                <w:sz w:val="18"/>
                <w:szCs w:val="18"/>
              </w:rPr>
              <w:t>任职人 员姓名</w:t>
            </w:r>
          </w:p>
        </w:tc>
        <w:tc>
          <w:tcPr>
            <w:tcW w:w="3119"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27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在其他单位担 任的职务</w:t>
            </w:r>
          </w:p>
        </w:tc>
        <w:tc>
          <w:tcPr>
            <w:tcW w:w="156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559"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45"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319" w:lineRule="auto" w:before="51"/>
              <w:ind w:left="127" w:right="25"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71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2"/>
              <w:ind w:right="9"/>
              <w:jc w:val="center"/>
              <w:rPr>
                <w:rFonts w:ascii="宋体" w:hAnsi="宋体" w:cs="宋体" w:eastAsia="宋体" w:hint="default"/>
                <w:sz w:val="18"/>
                <w:szCs w:val="18"/>
              </w:rPr>
            </w:pPr>
            <w:r>
              <w:rPr>
                <w:rFonts w:ascii="宋体" w:hAnsi="宋体" w:cs="宋体" w:eastAsia="宋体" w:hint="default"/>
                <w:sz w:val="18"/>
                <w:szCs w:val="18"/>
              </w:rPr>
              <w:t>任红军</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全国气湿敏传感技术专业委员会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副主任委员</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2" w:hRule="exact"/>
        </w:trPr>
        <w:tc>
          <w:tcPr>
            <w:tcW w:w="710"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2"/>
              <w:ind w:right="9"/>
              <w:jc w:val="center"/>
              <w:rPr>
                <w:rFonts w:ascii="宋体" w:hAnsi="宋体" w:cs="宋体" w:eastAsia="宋体" w:hint="default"/>
                <w:sz w:val="18"/>
                <w:szCs w:val="18"/>
              </w:rPr>
            </w:pPr>
            <w:r>
              <w:rPr>
                <w:rFonts w:ascii="宋体" w:hAnsi="宋体" w:cs="宋体" w:eastAsia="宋体" w:hint="default"/>
                <w:sz w:val="18"/>
                <w:szCs w:val="18"/>
              </w:rPr>
              <w:t>任红军</w:t>
            </w:r>
          </w:p>
        </w:tc>
        <w:tc>
          <w:tcPr>
            <w:tcW w:w="31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中国仪器仪表行业协会</w:t>
            </w:r>
          </w:p>
        </w:tc>
        <w:tc>
          <w:tcPr>
            <w:tcW w:w="12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传感器分会副</w:t>
            </w:r>
          </w:p>
        </w:tc>
        <w:tc>
          <w:tcPr>
            <w:tcW w:w="1560" w:type="dxa"/>
            <w:tcBorders>
              <w:top w:val="single" w:sz="4" w:space="0" w:color="000000"/>
              <w:left w:val="single" w:sz="4" w:space="0" w:color="000000"/>
              <w:bottom w:val="single" w:sz="12" w:space="0" w:color="000000"/>
              <w:right w:val="single" w:sz="4" w:space="0" w:color="000000"/>
            </w:tcBorders>
          </w:tcPr>
          <w:p>
            <w:pPr/>
          </w:p>
        </w:tc>
        <w:tc>
          <w:tcPr>
            <w:tcW w:w="1559" w:type="dxa"/>
            <w:tcBorders>
              <w:top w:val="single" w:sz="4" w:space="0" w:color="000000"/>
              <w:left w:val="single" w:sz="4" w:space="0" w:color="000000"/>
              <w:bottom w:val="single" w:sz="12" w:space="0" w:color="000000"/>
              <w:right w:val="single" w:sz="4" w:space="0" w:color="000000"/>
            </w:tcBorders>
          </w:tcPr>
          <w:p>
            <w:pPr/>
          </w:p>
        </w:tc>
        <w:tc>
          <w:tcPr>
            <w:tcW w:w="134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2"/>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18" w:type="dxa"/>
        <w:tblLayout w:type="fixed"/>
        <w:tblCellMar>
          <w:top w:w="0" w:type="dxa"/>
          <w:left w:w="0" w:type="dxa"/>
          <w:bottom w:w="0" w:type="dxa"/>
          <w:right w:w="0" w:type="dxa"/>
        </w:tblCellMar>
        <w:tblLook w:val="01E0"/>
      </w:tblPr>
      <w:tblGrid>
        <w:gridCol w:w="710"/>
        <w:gridCol w:w="3119"/>
        <w:gridCol w:w="1276"/>
        <w:gridCol w:w="1560"/>
        <w:gridCol w:w="1559"/>
        <w:gridCol w:w="1345"/>
      </w:tblGrid>
      <w:tr>
        <w:trPr>
          <w:trHeight w:val="371" w:hRule="exact"/>
        </w:trPr>
        <w:tc>
          <w:tcPr>
            <w:tcW w:w="710" w:type="dxa"/>
            <w:tcBorders>
              <w:top w:val="single" w:sz="12" w:space="0" w:color="000000"/>
              <w:left w:val="single" w:sz="12" w:space="0" w:color="000000"/>
              <w:bottom w:val="single" w:sz="4" w:space="0" w:color="000000"/>
              <w:right w:val="single" w:sz="4" w:space="0" w:color="000000"/>
            </w:tcBorders>
          </w:tcPr>
          <w:p>
            <w:pPr/>
          </w:p>
        </w:tc>
        <w:tc>
          <w:tcPr>
            <w:tcW w:w="3119" w:type="dxa"/>
            <w:tcBorders>
              <w:top w:val="single" w:sz="12" w:space="0" w:color="000000"/>
              <w:left w:val="single" w:sz="4" w:space="0" w:color="000000"/>
              <w:bottom w:val="single" w:sz="4" w:space="0" w:color="000000"/>
              <w:right w:val="single" w:sz="4" w:space="0" w:color="000000"/>
            </w:tcBorders>
          </w:tcPr>
          <w:p>
            <w:pPr/>
          </w:p>
        </w:tc>
        <w:tc>
          <w:tcPr>
            <w:tcW w:w="12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理事长</w:t>
            </w:r>
          </w:p>
        </w:tc>
        <w:tc>
          <w:tcPr>
            <w:tcW w:w="1560" w:type="dxa"/>
            <w:tcBorders>
              <w:top w:val="single" w:sz="12" w:space="0" w:color="000000"/>
              <w:left w:val="single" w:sz="4" w:space="0" w:color="000000"/>
              <w:bottom w:val="single" w:sz="4" w:space="0" w:color="000000"/>
              <w:right w:val="single" w:sz="4" w:space="0" w:color="000000"/>
            </w:tcBorders>
          </w:tcPr>
          <w:p>
            <w:pPr/>
          </w:p>
        </w:tc>
        <w:tc>
          <w:tcPr>
            <w:tcW w:w="1559" w:type="dxa"/>
            <w:tcBorders>
              <w:top w:val="single" w:sz="12" w:space="0" w:color="000000"/>
              <w:left w:val="single" w:sz="4" w:space="0" w:color="000000"/>
              <w:bottom w:val="single" w:sz="4" w:space="0" w:color="000000"/>
              <w:right w:val="single" w:sz="4" w:space="0" w:color="000000"/>
            </w:tcBorders>
          </w:tcPr>
          <w:p>
            <w:pPr/>
          </w:p>
        </w:tc>
        <w:tc>
          <w:tcPr>
            <w:tcW w:w="1345" w:type="dxa"/>
            <w:tcBorders>
              <w:top w:val="single" w:sz="12" w:space="0" w:color="000000"/>
              <w:left w:val="single" w:sz="4" w:space="0" w:color="000000"/>
              <w:bottom w:val="single" w:sz="4" w:space="0" w:color="000000"/>
              <w:right w:val="single" w:sz="12" w:space="0" w:color="000000"/>
            </w:tcBorders>
          </w:tcPr>
          <w:p>
            <w:pPr/>
          </w:p>
        </w:tc>
      </w:tr>
      <w:tr>
        <w:trPr>
          <w:trHeight w:val="714" w:hRule="exact"/>
        </w:trPr>
        <w:tc>
          <w:tcPr>
            <w:tcW w:w="71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张潇君</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嘉园环保</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6"/>
                <w:sz w:val="18"/>
                <w:szCs w:val="18"/>
              </w:rPr>
              <w:t>董事长、法定代</w:t>
            </w:r>
            <w:r>
              <w:rPr>
                <w:rFonts w:ascii="宋体" w:hAnsi="宋体" w:cs="宋体" w:eastAsia="宋体" w:hint="default"/>
                <w:sz w:val="18"/>
                <w:szCs w:val="18"/>
              </w:rPr>
              <w:t> 表人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9"/>
              <w:jc w:val="center"/>
              <w:rPr>
                <w:rFonts w:ascii="宋体" w:hAnsi="宋体" w:cs="宋体" w:eastAsia="宋体" w:hint="default"/>
                <w:sz w:val="18"/>
                <w:szCs w:val="18"/>
              </w:rPr>
            </w:pPr>
            <w:r>
              <w:rPr>
                <w:rFonts w:ascii="宋体" w:hAnsi="宋体" w:cs="宋体" w:eastAsia="宋体" w:hint="default"/>
                <w:sz w:val="18"/>
                <w:szCs w:val="18"/>
              </w:rPr>
              <w:t>刘瑞玲</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上海中威</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2"/>
              <w:ind w:right="9"/>
              <w:jc w:val="center"/>
              <w:rPr>
                <w:rFonts w:ascii="宋体" w:hAnsi="宋体" w:cs="宋体" w:eastAsia="宋体" w:hint="default"/>
                <w:sz w:val="18"/>
                <w:szCs w:val="18"/>
              </w:rPr>
            </w:pPr>
            <w:r>
              <w:rPr>
                <w:rFonts w:ascii="宋体" w:hAnsi="宋体" w:cs="宋体" w:eastAsia="宋体" w:hint="default"/>
                <w:sz w:val="18"/>
                <w:szCs w:val="18"/>
              </w:rPr>
              <w:t>刘瑞玲</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沈阳金建</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2"/>
              <w:ind w:right="9"/>
              <w:jc w:val="center"/>
              <w:rPr>
                <w:rFonts w:ascii="宋体" w:hAnsi="宋体" w:cs="宋体" w:eastAsia="宋体" w:hint="default"/>
                <w:sz w:val="18"/>
                <w:szCs w:val="18"/>
              </w:rPr>
            </w:pPr>
            <w:r>
              <w:rPr>
                <w:rFonts w:ascii="宋体" w:hAnsi="宋体" w:cs="宋体" w:eastAsia="宋体" w:hint="default"/>
                <w:sz w:val="18"/>
                <w:szCs w:val="18"/>
              </w:rPr>
              <w:t>刘瑞玲</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嘉园环保</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2"/>
              <w:ind w:right="9"/>
              <w:jc w:val="center"/>
              <w:rPr>
                <w:rFonts w:ascii="宋体" w:hAnsi="宋体" w:cs="宋体" w:eastAsia="宋体" w:hint="default"/>
                <w:sz w:val="18"/>
                <w:szCs w:val="18"/>
              </w:rPr>
            </w:pPr>
            <w:r>
              <w:rPr>
                <w:rFonts w:ascii="宋体" w:hAnsi="宋体" w:cs="宋体" w:eastAsia="宋体" w:hint="default"/>
                <w:sz w:val="18"/>
                <w:szCs w:val="18"/>
              </w:rPr>
              <w:t>刘瑞玲</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鞍山易兴</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2"/>
              <w:ind w:right="9"/>
              <w:jc w:val="center"/>
              <w:rPr>
                <w:rFonts w:ascii="宋体" w:hAnsi="宋体" w:cs="宋体" w:eastAsia="宋体" w:hint="default"/>
                <w:sz w:val="18"/>
                <w:szCs w:val="18"/>
              </w:rPr>
            </w:pPr>
            <w:r>
              <w:rPr>
                <w:rFonts w:ascii="宋体" w:hAnsi="宋体" w:cs="宋体" w:eastAsia="宋体" w:hint="default"/>
                <w:sz w:val="18"/>
                <w:szCs w:val="18"/>
              </w:rPr>
              <w:t>刘瑞玲</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汉威公用</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2"/>
              <w:ind w:right="9"/>
              <w:jc w:val="center"/>
              <w:rPr>
                <w:rFonts w:ascii="宋体" w:hAnsi="宋体" w:cs="宋体" w:eastAsia="宋体" w:hint="default"/>
                <w:sz w:val="18"/>
                <w:szCs w:val="18"/>
              </w:rPr>
            </w:pPr>
            <w:r>
              <w:rPr>
                <w:rFonts w:ascii="宋体" w:hAnsi="宋体" w:cs="宋体" w:eastAsia="宋体" w:hint="default"/>
                <w:sz w:val="18"/>
                <w:szCs w:val="18"/>
              </w:rPr>
              <w:t>刘瑞玲</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上海英吉森</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2"/>
              <w:ind w:right="9"/>
              <w:jc w:val="center"/>
              <w:rPr>
                <w:rFonts w:ascii="宋体" w:hAnsi="宋体" w:cs="宋体" w:eastAsia="宋体" w:hint="default"/>
                <w:sz w:val="18"/>
                <w:szCs w:val="18"/>
              </w:rPr>
            </w:pPr>
            <w:r>
              <w:rPr>
                <w:rFonts w:ascii="宋体" w:hAnsi="宋体" w:cs="宋体" w:eastAsia="宋体" w:hint="default"/>
                <w:sz w:val="18"/>
                <w:szCs w:val="18"/>
              </w:rPr>
              <w:t>刘瑞玲</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汉威智源</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2"/>
              <w:ind w:right="9"/>
              <w:jc w:val="center"/>
              <w:rPr>
                <w:rFonts w:ascii="宋体" w:hAnsi="宋体" w:cs="宋体" w:eastAsia="宋体" w:hint="default"/>
                <w:sz w:val="18"/>
                <w:szCs w:val="18"/>
              </w:rPr>
            </w:pPr>
            <w:r>
              <w:rPr>
                <w:rFonts w:ascii="宋体" w:hAnsi="宋体" w:cs="宋体" w:eastAsia="宋体" w:hint="default"/>
                <w:sz w:val="18"/>
                <w:szCs w:val="18"/>
              </w:rPr>
              <w:t>刘瑞玲</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广东龙泉</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2"/>
              <w:ind w:right="9"/>
              <w:jc w:val="center"/>
              <w:rPr>
                <w:rFonts w:ascii="宋体" w:hAnsi="宋体" w:cs="宋体" w:eastAsia="宋体" w:hint="default"/>
                <w:sz w:val="18"/>
                <w:szCs w:val="18"/>
              </w:rPr>
            </w:pPr>
            <w:r>
              <w:rPr>
                <w:rFonts w:ascii="宋体" w:hAnsi="宋体" w:cs="宋体" w:eastAsia="宋体" w:hint="default"/>
                <w:sz w:val="18"/>
                <w:szCs w:val="18"/>
              </w:rPr>
              <w:t>刘瑞玲</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汉威智能仪表</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71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张小水</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中国仪器仪表行业协会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left"/>
              <w:rPr>
                <w:rFonts w:ascii="宋体" w:hAnsi="宋体" w:cs="宋体" w:eastAsia="宋体" w:hint="default"/>
                <w:sz w:val="18"/>
                <w:szCs w:val="18"/>
              </w:rPr>
            </w:pPr>
            <w:r>
              <w:rPr>
                <w:rFonts w:ascii="宋体" w:hAnsi="宋体" w:cs="宋体" w:eastAsia="宋体" w:hint="default"/>
                <w:sz w:val="18"/>
                <w:szCs w:val="18"/>
              </w:rPr>
              <w:t>传感器分会副 秘书长</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2"/>
              <w:ind w:right="9"/>
              <w:jc w:val="center"/>
              <w:rPr>
                <w:rFonts w:ascii="宋体" w:hAnsi="宋体" w:cs="宋体" w:eastAsia="宋体" w:hint="default"/>
                <w:sz w:val="18"/>
                <w:szCs w:val="18"/>
              </w:rPr>
            </w:pPr>
            <w:r>
              <w:rPr>
                <w:rFonts w:ascii="宋体" w:hAnsi="宋体" w:cs="宋体" w:eastAsia="宋体" w:hint="default"/>
                <w:sz w:val="18"/>
                <w:szCs w:val="18"/>
              </w:rPr>
              <w:t>张小水</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苏州能斯达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2"/>
              <w:ind w:right="9"/>
              <w:jc w:val="center"/>
              <w:rPr>
                <w:rFonts w:ascii="宋体" w:hAnsi="宋体" w:cs="宋体" w:eastAsia="宋体" w:hint="default"/>
                <w:sz w:val="18"/>
                <w:szCs w:val="18"/>
              </w:rPr>
            </w:pPr>
            <w:r>
              <w:rPr>
                <w:rFonts w:ascii="宋体" w:hAnsi="宋体" w:cs="宋体" w:eastAsia="宋体" w:hint="default"/>
                <w:sz w:val="18"/>
                <w:szCs w:val="18"/>
              </w:rPr>
              <w:t>肖锋</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嘉园环保</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2"/>
              <w:ind w:right="9"/>
              <w:jc w:val="center"/>
              <w:rPr>
                <w:rFonts w:ascii="宋体" w:hAnsi="宋体" w:cs="宋体" w:eastAsia="宋体" w:hint="default"/>
                <w:sz w:val="18"/>
                <w:szCs w:val="18"/>
              </w:rPr>
            </w:pPr>
            <w:r>
              <w:rPr>
                <w:rFonts w:ascii="宋体" w:hAnsi="宋体" w:cs="宋体" w:eastAsia="宋体" w:hint="default"/>
                <w:sz w:val="18"/>
                <w:szCs w:val="18"/>
              </w:rPr>
              <w:t>肖锋</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华夏海纳</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2"/>
              <w:ind w:right="9"/>
              <w:jc w:val="center"/>
              <w:rPr>
                <w:rFonts w:ascii="宋体" w:hAnsi="宋体" w:cs="宋体" w:eastAsia="宋体" w:hint="default"/>
                <w:sz w:val="18"/>
                <w:szCs w:val="18"/>
              </w:rPr>
            </w:pPr>
            <w:r>
              <w:rPr>
                <w:rFonts w:ascii="宋体" w:hAnsi="宋体" w:cs="宋体" w:eastAsia="宋体" w:hint="default"/>
                <w:sz w:val="18"/>
                <w:szCs w:val="18"/>
              </w:rPr>
              <w:t>肖锋</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汉威智源</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2"/>
              <w:ind w:right="9"/>
              <w:jc w:val="center"/>
              <w:rPr>
                <w:rFonts w:ascii="宋体" w:hAnsi="宋体" w:cs="宋体" w:eastAsia="宋体" w:hint="default"/>
                <w:sz w:val="18"/>
                <w:szCs w:val="18"/>
              </w:rPr>
            </w:pPr>
            <w:r>
              <w:rPr>
                <w:rFonts w:ascii="宋体" w:hAnsi="宋体" w:cs="宋体" w:eastAsia="宋体" w:hint="default"/>
                <w:sz w:val="18"/>
                <w:szCs w:val="18"/>
              </w:rPr>
              <w:t>肖锋</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广东龙泉</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2"/>
              <w:ind w:right="9"/>
              <w:jc w:val="center"/>
              <w:rPr>
                <w:rFonts w:ascii="宋体" w:hAnsi="宋体" w:cs="宋体" w:eastAsia="宋体" w:hint="default"/>
                <w:sz w:val="18"/>
                <w:szCs w:val="18"/>
              </w:rPr>
            </w:pPr>
            <w:r>
              <w:rPr>
                <w:rFonts w:ascii="宋体" w:hAnsi="宋体" w:cs="宋体" w:eastAsia="宋体" w:hint="default"/>
                <w:sz w:val="18"/>
                <w:szCs w:val="18"/>
              </w:rPr>
              <w:t>肖锋</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鞍山易兴</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2"/>
              <w:ind w:right="9"/>
              <w:jc w:val="center"/>
              <w:rPr>
                <w:rFonts w:ascii="宋体" w:hAnsi="宋体" w:cs="宋体" w:eastAsia="宋体" w:hint="default"/>
                <w:sz w:val="18"/>
                <w:szCs w:val="18"/>
              </w:rPr>
            </w:pPr>
            <w:r>
              <w:rPr>
                <w:rFonts w:ascii="宋体" w:hAnsi="宋体" w:cs="宋体" w:eastAsia="宋体" w:hint="default"/>
                <w:sz w:val="18"/>
                <w:szCs w:val="18"/>
              </w:rPr>
              <w:t>张艳丽</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上海英吉森</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2"/>
              <w:ind w:right="9"/>
              <w:jc w:val="center"/>
              <w:rPr>
                <w:rFonts w:ascii="宋体" w:hAnsi="宋体" w:cs="宋体" w:eastAsia="宋体" w:hint="default"/>
                <w:sz w:val="18"/>
                <w:szCs w:val="18"/>
              </w:rPr>
            </w:pPr>
            <w:r>
              <w:rPr>
                <w:rFonts w:ascii="宋体" w:hAnsi="宋体" w:cs="宋体" w:eastAsia="宋体" w:hint="default"/>
                <w:sz w:val="18"/>
                <w:szCs w:val="18"/>
              </w:rPr>
              <w:t>张艳丽</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嘉园环保</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2"/>
              <w:ind w:right="9"/>
              <w:jc w:val="center"/>
              <w:rPr>
                <w:rFonts w:ascii="宋体" w:hAnsi="宋体" w:cs="宋体" w:eastAsia="宋体" w:hint="default"/>
                <w:sz w:val="18"/>
                <w:szCs w:val="18"/>
              </w:rPr>
            </w:pPr>
            <w:r>
              <w:rPr>
                <w:rFonts w:ascii="宋体" w:hAnsi="宋体" w:cs="宋体" w:eastAsia="宋体" w:hint="default"/>
                <w:sz w:val="18"/>
                <w:szCs w:val="18"/>
              </w:rPr>
              <w:t>张艳丽</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汉威公用</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2"/>
              <w:ind w:right="9"/>
              <w:jc w:val="center"/>
              <w:rPr>
                <w:rFonts w:ascii="宋体" w:hAnsi="宋体" w:cs="宋体" w:eastAsia="宋体" w:hint="default"/>
                <w:sz w:val="18"/>
                <w:szCs w:val="18"/>
              </w:rPr>
            </w:pPr>
            <w:r>
              <w:rPr>
                <w:rFonts w:ascii="宋体" w:hAnsi="宋体" w:cs="宋体" w:eastAsia="宋体" w:hint="default"/>
                <w:sz w:val="18"/>
                <w:szCs w:val="18"/>
              </w:rPr>
              <w:t>张艳丽</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汉威智源</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2"/>
              <w:ind w:right="9"/>
              <w:jc w:val="center"/>
              <w:rPr>
                <w:rFonts w:ascii="宋体" w:hAnsi="宋体" w:cs="宋体" w:eastAsia="宋体" w:hint="default"/>
                <w:sz w:val="18"/>
                <w:szCs w:val="18"/>
              </w:rPr>
            </w:pPr>
            <w:r>
              <w:rPr>
                <w:rFonts w:ascii="宋体" w:hAnsi="宋体" w:cs="宋体" w:eastAsia="宋体" w:hint="default"/>
                <w:sz w:val="18"/>
                <w:szCs w:val="18"/>
              </w:rPr>
              <w:t>张艳丽</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雪城软件</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71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9"/>
              <w:jc w:val="center"/>
              <w:rPr>
                <w:rFonts w:ascii="宋体" w:hAnsi="宋体" w:cs="宋体" w:eastAsia="宋体" w:hint="default"/>
                <w:sz w:val="18"/>
                <w:szCs w:val="18"/>
              </w:rPr>
            </w:pPr>
            <w:r>
              <w:rPr>
                <w:rFonts w:ascii="宋体" w:hAnsi="宋体" w:cs="宋体" w:eastAsia="宋体" w:hint="default"/>
                <w:sz w:val="18"/>
                <w:szCs w:val="18"/>
              </w:rPr>
              <w:t>陈凌飞</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
              <w:jc w:val="center"/>
              <w:rPr>
                <w:rFonts w:ascii="宋体" w:hAnsi="宋体" w:cs="宋体" w:eastAsia="宋体" w:hint="default"/>
                <w:sz w:val="18"/>
                <w:szCs w:val="18"/>
              </w:rPr>
            </w:pPr>
            <w:r>
              <w:rPr>
                <w:rFonts w:ascii="宋体" w:hAnsi="宋体" w:cs="宋体" w:eastAsia="宋体" w:hint="default"/>
                <w:sz w:val="18"/>
                <w:szCs w:val="18"/>
              </w:rPr>
              <w:t>炜盛科技</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6"/>
                <w:sz w:val="18"/>
                <w:szCs w:val="18"/>
              </w:rPr>
              <w:t>法定代表人、执</w:t>
            </w:r>
            <w:r>
              <w:rPr>
                <w:rFonts w:ascii="宋体" w:hAnsi="宋体" w:cs="宋体" w:eastAsia="宋体" w:hint="default"/>
                <w:sz w:val="18"/>
                <w:szCs w:val="18"/>
              </w:rPr>
              <w:t> 行董事兼总经 理</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57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1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2"/>
              <w:ind w:right="9"/>
              <w:jc w:val="center"/>
              <w:rPr>
                <w:rFonts w:ascii="宋体" w:hAnsi="宋体" w:cs="宋体" w:eastAsia="宋体" w:hint="default"/>
                <w:sz w:val="18"/>
                <w:szCs w:val="18"/>
              </w:rPr>
            </w:pPr>
            <w:r>
              <w:rPr>
                <w:rFonts w:ascii="宋体" w:hAnsi="宋体" w:cs="宋体" w:eastAsia="宋体" w:hint="default"/>
                <w:sz w:val="18"/>
                <w:szCs w:val="18"/>
              </w:rPr>
              <w:t>尚中锋</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沈阳汉威</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2"/>
              <w:ind w:right="9"/>
              <w:jc w:val="center"/>
              <w:rPr>
                <w:rFonts w:ascii="宋体" w:hAnsi="宋体" w:cs="宋体" w:eastAsia="宋体" w:hint="default"/>
                <w:sz w:val="18"/>
                <w:szCs w:val="18"/>
              </w:rPr>
            </w:pPr>
            <w:r>
              <w:rPr>
                <w:rFonts w:ascii="宋体" w:hAnsi="宋体" w:cs="宋体" w:eastAsia="宋体" w:hint="default"/>
                <w:sz w:val="18"/>
                <w:szCs w:val="18"/>
              </w:rPr>
              <w:t>尚中锋</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吉地艾斯</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2"/>
              <w:ind w:right="9"/>
              <w:jc w:val="center"/>
              <w:rPr>
                <w:rFonts w:ascii="宋体" w:hAnsi="宋体" w:cs="宋体" w:eastAsia="宋体" w:hint="default"/>
                <w:sz w:val="18"/>
                <w:szCs w:val="18"/>
              </w:rPr>
            </w:pPr>
            <w:r>
              <w:rPr>
                <w:rFonts w:ascii="宋体" w:hAnsi="宋体" w:cs="宋体" w:eastAsia="宋体" w:hint="default"/>
                <w:sz w:val="18"/>
                <w:szCs w:val="18"/>
              </w:rPr>
              <w:t>尚中锋</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威研融创</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2"/>
              <w:ind w:right="9"/>
              <w:jc w:val="center"/>
              <w:rPr>
                <w:rFonts w:ascii="宋体" w:hAnsi="宋体" w:cs="宋体" w:eastAsia="宋体" w:hint="default"/>
                <w:sz w:val="18"/>
                <w:szCs w:val="18"/>
              </w:rPr>
            </w:pPr>
            <w:r>
              <w:rPr>
                <w:rFonts w:ascii="宋体" w:hAnsi="宋体" w:cs="宋体" w:eastAsia="宋体" w:hint="default"/>
                <w:sz w:val="18"/>
                <w:szCs w:val="18"/>
              </w:rPr>
              <w:t>李志刚</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上海英吉森</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9"/>
              <w:jc w:val="center"/>
              <w:rPr>
                <w:rFonts w:ascii="宋体" w:hAnsi="宋体" w:cs="宋体" w:eastAsia="宋体" w:hint="default"/>
                <w:sz w:val="18"/>
                <w:szCs w:val="18"/>
              </w:rPr>
            </w:pPr>
            <w:r>
              <w:rPr>
                <w:rFonts w:ascii="宋体" w:hAnsi="宋体" w:cs="宋体" w:eastAsia="宋体" w:hint="default"/>
                <w:sz w:val="18"/>
                <w:szCs w:val="18"/>
              </w:rPr>
              <w:t>李志刚</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雪城软件</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2"/>
              <w:ind w:right="9"/>
              <w:jc w:val="center"/>
              <w:rPr>
                <w:rFonts w:ascii="宋体" w:hAnsi="宋体" w:cs="宋体" w:eastAsia="宋体" w:hint="default"/>
                <w:sz w:val="18"/>
                <w:szCs w:val="18"/>
              </w:rPr>
            </w:pPr>
            <w:r>
              <w:rPr>
                <w:rFonts w:ascii="宋体" w:hAnsi="宋体" w:cs="宋体" w:eastAsia="宋体" w:hint="default"/>
                <w:sz w:val="18"/>
                <w:szCs w:val="18"/>
              </w:rPr>
              <w:t>李志刚</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中盾云安</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2" w:hRule="exact"/>
        </w:trPr>
        <w:tc>
          <w:tcPr>
            <w:tcW w:w="710"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2"/>
              <w:ind w:right="9"/>
              <w:jc w:val="center"/>
              <w:rPr>
                <w:rFonts w:ascii="宋体" w:hAnsi="宋体" w:cs="宋体" w:eastAsia="宋体" w:hint="default"/>
                <w:sz w:val="18"/>
                <w:szCs w:val="18"/>
              </w:rPr>
            </w:pPr>
            <w:r>
              <w:rPr>
                <w:rFonts w:ascii="宋体" w:hAnsi="宋体" w:cs="宋体" w:eastAsia="宋体" w:hint="default"/>
                <w:sz w:val="18"/>
                <w:szCs w:val="18"/>
              </w:rPr>
              <w:t>李志刚</w:t>
            </w:r>
          </w:p>
        </w:tc>
        <w:tc>
          <w:tcPr>
            <w:tcW w:w="31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威研融创</w:t>
            </w:r>
          </w:p>
        </w:tc>
        <w:tc>
          <w:tcPr>
            <w:tcW w:w="12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pacing w:val="-6"/>
                <w:sz w:val="18"/>
                <w:szCs w:val="18"/>
              </w:rPr>
              <w:t>法定代表人、执</w:t>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2"/>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18" w:type="dxa"/>
        <w:tblLayout w:type="fixed"/>
        <w:tblCellMar>
          <w:top w:w="0" w:type="dxa"/>
          <w:left w:w="0" w:type="dxa"/>
          <w:bottom w:w="0" w:type="dxa"/>
          <w:right w:w="0" w:type="dxa"/>
        </w:tblCellMar>
        <w:tblLook w:val="01E0"/>
      </w:tblPr>
      <w:tblGrid>
        <w:gridCol w:w="710"/>
        <w:gridCol w:w="1700"/>
        <w:gridCol w:w="1419"/>
        <w:gridCol w:w="1276"/>
        <w:gridCol w:w="1560"/>
        <w:gridCol w:w="1559"/>
        <w:gridCol w:w="1345"/>
      </w:tblGrid>
      <w:tr>
        <w:trPr>
          <w:trHeight w:val="683" w:hRule="exact"/>
        </w:trPr>
        <w:tc>
          <w:tcPr>
            <w:tcW w:w="710" w:type="dxa"/>
            <w:tcBorders>
              <w:top w:val="single" w:sz="12" w:space="0" w:color="000000"/>
              <w:left w:val="single" w:sz="12" w:space="0" w:color="000000"/>
              <w:bottom w:val="single" w:sz="4" w:space="0" w:color="000000"/>
              <w:right w:val="single" w:sz="4" w:space="0" w:color="000000"/>
            </w:tcBorders>
          </w:tcPr>
          <w:p>
            <w:pPr/>
          </w:p>
        </w:tc>
        <w:tc>
          <w:tcPr>
            <w:tcW w:w="3119" w:type="dxa"/>
            <w:gridSpan w:val="2"/>
            <w:tcBorders>
              <w:top w:val="single" w:sz="12" w:space="0" w:color="000000"/>
              <w:left w:val="single" w:sz="4" w:space="0" w:color="000000"/>
              <w:bottom w:val="single" w:sz="4" w:space="0" w:color="000000"/>
              <w:right w:val="single" w:sz="4" w:space="0" w:color="000000"/>
            </w:tcBorders>
          </w:tcPr>
          <w:p>
            <w:pPr/>
          </w:p>
        </w:tc>
        <w:tc>
          <w:tcPr>
            <w:tcW w:w="1276" w:type="dxa"/>
            <w:tcBorders>
              <w:top w:val="single" w:sz="12" w:space="0" w:color="000000"/>
              <w:left w:val="single" w:sz="4" w:space="0" w:color="000000"/>
              <w:bottom w:val="single" w:sz="4" w:space="0" w:color="000000"/>
              <w:right w:val="single" w:sz="4" w:space="0" w:color="000000"/>
            </w:tcBorders>
          </w:tcPr>
          <w:p>
            <w:pPr>
              <w:pStyle w:val="TableParagraph"/>
              <w:spacing w:line="319" w:lineRule="auto" w:before="10"/>
              <w:ind w:left="22" w:right="161"/>
              <w:jc w:val="left"/>
              <w:rPr>
                <w:rFonts w:ascii="宋体" w:hAnsi="宋体" w:cs="宋体" w:eastAsia="宋体" w:hint="default"/>
                <w:sz w:val="18"/>
                <w:szCs w:val="18"/>
              </w:rPr>
            </w:pPr>
            <w:r>
              <w:rPr>
                <w:rFonts w:ascii="宋体" w:hAnsi="宋体" w:cs="宋体" w:eastAsia="宋体" w:hint="default"/>
                <w:sz w:val="18"/>
                <w:szCs w:val="18"/>
              </w:rPr>
              <w:t>行董事兼总经 理</w:t>
            </w:r>
          </w:p>
        </w:tc>
        <w:tc>
          <w:tcPr>
            <w:tcW w:w="1560" w:type="dxa"/>
            <w:tcBorders>
              <w:top w:val="single" w:sz="12" w:space="0" w:color="000000"/>
              <w:left w:val="single" w:sz="4" w:space="0" w:color="000000"/>
              <w:bottom w:val="single" w:sz="4" w:space="0" w:color="000000"/>
              <w:right w:val="single" w:sz="4" w:space="0" w:color="000000"/>
            </w:tcBorders>
          </w:tcPr>
          <w:p>
            <w:pPr/>
          </w:p>
        </w:tc>
        <w:tc>
          <w:tcPr>
            <w:tcW w:w="1559" w:type="dxa"/>
            <w:tcBorders>
              <w:top w:val="single" w:sz="12" w:space="0" w:color="000000"/>
              <w:left w:val="single" w:sz="4" w:space="0" w:color="000000"/>
              <w:bottom w:val="single" w:sz="4" w:space="0" w:color="000000"/>
              <w:right w:val="single" w:sz="4" w:space="0" w:color="000000"/>
            </w:tcBorders>
          </w:tcPr>
          <w:p>
            <w:pPr/>
          </w:p>
        </w:tc>
        <w:tc>
          <w:tcPr>
            <w:tcW w:w="1345" w:type="dxa"/>
            <w:tcBorders>
              <w:top w:val="single" w:sz="12" w:space="0" w:color="000000"/>
              <w:left w:val="single" w:sz="4" w:space="0" w:color="000000"/>
              <w:bottom w:val="single" w:sz="4" w:space="0" w:color="000000"/>
              <w:right w:val="single" w:sz="12" w:space="0" w:color="000000"/>
            </w:tcBorders>
          </w:tcPr>
          <w:p>
            <w:pPr/>
          </w:p>
        </w:tc>
      </w:tr>
      <w:tr>
        <w:trPr>
          <w:trHeight w:val="714" w:hRule="exact"/>
        </w:trPr>
        <w:tc>
          <w:tcPr>
            <w:tcW w:w="71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李志刚</w:t>
            </w:r>
          </w:p>
        </w:tc>
        <w:tc>
          <w:tcPr>
            <w:tcW w:w="31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13" w:right="0"/>
              <w:jc w:val="left"/>
              <w:rPr>
                <w:rFonts w:ascii="宋体" w:hAnsi="宋体" w:cs="宋体" w:eastAsia="宋体" w:hint="default"/>
                <w:sz w:val="18"/>
                <w:szCs w:val="18"/>
              </w:rPr>
            </w:pPr>
            <w:r>
              <w:rPr>
                <w:rFonts w:ascii="宋体" w:hAnsi="宋体" w:cs="宋体" w:eastAsia="宋体" w:hint="default"/>
                <w:sz w:val="18"/>
                <w:szCs w:val="18"/>
              </w:rPr>
              <w:t>汉威智慧消防</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6"/>
                <w:sz w:val="18"/>
                <w:szCs w:val="18"/>
              </w:rPr>
              <w:t>法定代表人、董</w:t>
            </w:r>
            <w:r>
              <w:rPr>
                <w:rFonts w:ascii="宋体" w:hAnsi="宋体" w:cs="宋体" w:eastAsia="宋体" w:hint="default"/>
                <w:sz w:val="18"/>
                <w:szCs w:val="18"/>
              </w:rPr>
              <w:t> 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2"/>
              <w:ind w:right="9"/>
              <w:jc w:val="center"/>
              <w:rPr>
                <w:rFonts w:ascii="宋体" w:hAnsi="宋体" w:cs="宋体" w:eastAsia="宋体" w:hint="default"/>
                <w:sz w:val="18"/>
                <w:szCs w:val="18"/>
              </w:rPr>
            </w:pPr>
            <w:r>
              <w:rPr>
                <w:rFonts w:ascii="宋体" w:hAnsi="宋体" w:cs="宋体" w:eastAsia="宋体" w:hint="default"/>
                <w:sz w:val="18"/>
                <w:szCs w:val="18"/>
              </w:rPr>
              <w:t>尚剑红</w:t>
            </w:r>
          </w:p>
        </w:tc>
        <w:tc>
          <w:tcPr>
            <w:tcW w:w="31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沈阳金建</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2"/>
              <w:ind w:right="9"/>
              <w:jc w:val="center"/>
              <w:rPr>
                <w:rFonts w:ascii="宋体" w:hAnsi="宋体" w:cs="宋体" w:eastAsia="宋体" w:hint="default"/>
                <w:sz w:val="18"/>
                <w:szCs w:val="18"/>
              </w:rPr>
            </w:pPr>
            <w:r>
              <w:rPr>
                <w:rFonts w:ascii="宋体" w:hAnsi="宋体" w:cs="宋体" w:eastAsia="宋体" w:hint="default"/>
                <w:sz w:val="18"/>
                <w:szCs w:val="18"/>
              </w:rPr>
              <w:t>尚剑红</w:t>
            </w:r>
          </w:p>
        </w:tc>
        <w:tc>
          <w:tcPr>
            <w:tcW w:w="31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鞍山易兴</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2"/>
              <w:ind w:right="9"/>
              <w:jc w:val="center"/>
              <w:rPr>
                <w:rFonts w:ascii="宋体" w:hAnsi="宋体" w:cs="宋体" w:eastAsia="宋体" w:hint="default"/>
                <w:sz w:val="18"/>
                <w:szCs w:val="18"/>
              </w:rPr>
            </w:pPr>
            <w:r>
              <w:rPr>
                <w:rFonts w:ascii="宋体" w:hAnsi="宋体" w:cs="宋体" w:eastAsia="宋体" w:hint="default"/>
                <w:sz w:val="18"/>
                <w:szCs w:val="18"/>
              </w:rPr>
              <w:t>尚剑红</w:t>
            </w:r>
          </w:p>
        </w:tc>
        <w:tc>
          <w:tcPr>
            <w:tcW w:w="31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广东龙泉</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2"/>
              <w:ind w:right="9"/>
              <w:jc w:val="center"/>
              <w:rPr>
                <w:rFonts w:ascii="宋体" w:hAnsi="宋体" w:cs="宋体" w:eastAsia="宋体" w:hint="default"/>
                <w:sz w:val="18"/>
                <w:szCs w:val="18"/>
              </w:rPr>
            </w:pPr>
            <w:r>
              <w:rPr>
                <w:rFonts w:ascii="宋体" w:hAnsi="宋体" w:cs="宋体" w:eastAsia="宋体" w:hint="default"/>
                <w:sz w:val="18"/>
                <w:szCs w:val="18"/>
              </w:rPr>
              <w:t>尚剑红</w:t>
            </w:r>
          </w:p>
        </w:tc>
        <w:tc>
          <w:tcPr>
            <w:tcW w:w="31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泰瑞数创</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2"/>
              <w:ind w:right="9"/>
              <w:jc w:val="center"/>
              <w:rPr>
                <w:rFonts w:ascii="宋体" w:hAnsi="宋体" w:cs="宋体" w:eastAsia="宋体" w:hint="default"/>
                <w:sz w:val="18"/>
                <w:szCs w:val="18"/>
              </w:rPr>
            </w:pPr>
            <w:r>
              <w:rPr>
                <w:rFonts w:ascii="宋体" w:hAnsi="宋体" w:cs="宋体" w:eastAsia="宋体" w:hint="default"/>
                <w:sz w:val="18"/>
                <w:szCs w:val="18"/>
              </w:rPr>
              <w:t>尚剑红</w:t>
            </w:r>
          </w:p>
        </w:tc>
        <w:tc>
          <w:tcPr>
            <w:tcW w:w="31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深圳明咨</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2"/>
              <w:ind w:right="9"/>
              <w:jc w:val="center"/>
              <w:rPr>
                <w:rFonts w:ascii="宋体" w:hAnsi="宋体" w:cs="宋体" w:eastAsia="宋体" w:hint="default"/>
                <w:sz w:val="18"/>
                <w:szCs w:val="18"/>
              </w:rPr>
            </w:pPr>
            <w:r>
              <w:rPr>
                <w:rFonts w:ascii="宋体" w:hAnsi="宋体" w:cs="宋体" w:eastAsia="宋体" w:hint="default"/>
                <w:sz w:val="18"/>
                <w:szCs w:val="18"/>
              </w:rPr>
              <w:t>刘威</w:t>
            </w:r>
          </w:p>
        </w:tc>
        <w:tc>
          <w:tcPr>
            <w:tcW w:w="31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73" w:right="0"/>
              <w:jc w:val="left"/>
              <w:rPr>
                <w:rFonts w:ascii="宋体" w:hAnsi="宋体" w:cs="宋体" w:eastAsia="宋体" w:hint="default"/>
                <w:sz w:val="18"/>
                <w:szCs w:val="18"/>
              </w:rPr>
            </w:pPr>
            <w:r>
              <w:rPr>
                <w:rFonts w:ascii="宋体" w:hAnsi="宋体" w:cs="宋体" w:eastAsia="宋体" w:hint="default"/>
                <w:sz w:val="18"/>
                <w:szCs w:val="18"/>
              </w:rPr>
              <w:t>北京奇虎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360 </w:t>
            </w:r>
            <w:r>
              <w:rPr>
                <w:rFonts w:ascii="宋体" w:hAnsi="宋体" w:cs="宋体" w:eastAsia="宋体" w:hint="default"/>
                <w:sz w:val="18"/>
                <w:szCs w:val="18"/>
              </w:rPr>
              <w:t>科技有限公司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集团副总裁</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left="57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1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2"/>
              <w:ind w:right="9"/>
              <w:jc w:val="center"/>
              <w:rPr>
                <w:rFonts w:ascii="宋体" w:hAnsi="宋体" w:cs="宋体" w:eastAsia="宋体" w:hint="default"/>
                <w:sz w:val="18"/>
                <w:szCs w:val="18"/>
              </w:rPr>
            </w:pPr>
            <w:r>
              <w:rPr>
                <w:rFonts w:ascii="宋体" w:hAnsi="宋体" w:cs="宋体" w:eastAsia="宋体" w:hint="default"/>
                <w:sz w:val="18"/>
                <w:szCs w:val="18"/>
              </w:rPr>
              <w:t>刘威</w:t>
            </w:r>
          </w:p>
        </w:tc>
        <w:tc>
          <w:tcPr>
            <w:tcW w:w="31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53" w:right="0"/>
              <w:jc w:val="left"/>
              <w:rPr>
                <w:rFonts w:ascii="宋体" w:hAnsi="宋体" w:cs="宋体" w:eastAsia="宋体" w:hint="default"/>
                <w:sz w:val="18"/>
                <w:szCs w:val="18"/>
              </w:rPr>
            </w:pPr>
            <w:r>
              <w:rPr>
                <w:rFonts w:ascii="宋体" w:hAnsi="宋体" w:cs="宋体" w:eastAsia="宋体" w:hint="default"/>
                <w:sz w:val="18"/>
                <w:szCs w:val="18"/>
              </w:rPr>
              <w:t>同程网络科技有限公司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left="57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1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2"/>
              <w:ind w:right="9"/>
              <w:jc w:val="center"/>
              <w:rPr>
                <w:rFonts w:ascii="宋体" w:hAnsi="宋体" w:cs="宋体" w:eastAsia="宋体" w:hint="default"/>
                <w:sz w:val="18"/>
                <w:szCs w:val="18"/>
              </w:rPr>
            </w:pPr>
            <w:r>
              <w:rPr>
                <w:rFonts w:ascii="宋体" w:hAnsi="宋体" w:cs="宋体" w:eastAsia="宋体" w:hint="default"/>
                <w:sz w:val="18"/>
                <w:szCs w:val="18"/>
              </w:rPr>
              <w:t>赵向阳</w:t>
            </w:r>
          </w:p>
        </w:tc>
        <w:tc>
          <w:tcPr>
            <w:tcW w:w="31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3" w:right="0"/>
              <w:jc w:val="left"/>
              <w:rPr>
                <w:rFonts w:ascii="宋体" w:hAnsi="宋体" w:cs="宋体" w:eastAsia="宋体" w:hint="default"/>
                <w:sz w:val="18"/>
                <w:szCs w:val="18"/>
              </w:rPr>
            </w:pPr>
            <w:r>
              <w:rPr>
                <w:rFonts w:ascii="宋体" w:hAnsi="宋体" w:cs="宋体" w:eastAsia="宋体" w:hint="default"/>
                <w:sz w:val="18"/>
                <w:szCs w:val="18"/>
              </w:rPr>
              <w:t>陕西中庆会计师事务所有限责任公司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副主任会计师</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left="57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1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2"/>
              <w:ind w:right="9"/>
              <w:jc w:val="center"/>
              <w:rPr>
                <w:rFonts w:ascii="宋体" w:hAnsi="宋体" w:cs="宋体" w:eastAsia="宋体" w:hint="default"/>
                <w:sz w:val="18"/>
                <w:szCs w:val="18"/>
              </w:rPr>
            </w:pPr>
            <w:r>
              <w:rPr>
                <w:rFonts w:ascii="宋体" w:hAnsi="宋体" w:cs="宋体" w:eastAsia="宋体" w:hint="default"/>
                <w:sz w:val="18"/>
                <w:szCs w:val="18"/>
              </w:rPr>
              <w:t>赵向阳</w:t>
            </w:r>
          </w:p>
        </w:tc>
        <w:tc>
          <w:tcPr>
            <w:tcW w:w="31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73" w:right="0"/>
              <w:jc w:val="left"/>
              <w:rPr>
                <w:rFonts w:ascii="宋体" w:hAnsi="宋体" w:cs="宋体" w:eastAsia="宋体" w:hint="default"/>
                <w:sz w:val="18"/>
                <w:szCs w:val="18"/>
              </w:rPr>
            </w:pPr>
            <w:r>
              <w:rPr>
                <w:rFonts w:ascii="宋体" w:hAnsi="宋体" w:cs="宋体" w:eastAsia="宋体" w:hint="default"/>
                <w:sz w:val="18"/>
                <w:szCs w:val="18"/>
              </w:rPr>
              <w:t>山东美晨科技股份有限公司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left="57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1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2"/>
              <w:ind w:right="9"/>
              <w:jc w:val="center"/>
              <w:rPr>
                <w:rFonts w:ascii="宋体" w:hAnsi="宋体" w:cs="宋体" w:eastAsia="宋体" w:hint="default"/>
                <w:sz w:val="18"/>
                <w:szCs w:val="18"/>
              </w:rPr>
            </w:pPr>
            <w:r>
              <w:rPr>
                <w:rFonts w:ascii="宋体" w:hAnsi="宋体" w:cs="宋体" w:eastAsia="宋体" w:hint="default"/>
                <w:sz w:val="18"/>
                <w:szCs w:val="18"/>
              </w:rPr>
              <w:t>易欢欢</w:t>
            </w:r>
          </w:p>
        </w:tc>
        <w:tc>
          <w:tcPr>
            <w:tcW w:w="31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93" w:right="0"/>
              <w:jc w:val="left"/>
              <w:rPr>
                <w:rFonts w:ascii="宋体" w:hAnsi="宋体" w:cs="宋体" w:eastAsia="宋体" w:hint="default"/>
                <w:sz w:val="18"/>
                <w:szCs w:val="18"/>
              </w:rPr>
            </w:pPr>
            <w:r>
              <w:rPr>
                <w:rFonts w:ascii="宋体" w:hAnsi="宋体" w:cs="宋体" w:eastAsia="宋体" w:hint="default"/>
                <w:sz w:val="18"/>
                <w:szCs w:val="18"/>
              </w:rPr>
              <w:t>深圳键桥通讯技术股份有限公司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left="57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1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2"/>
              <w:ind w:right="9"/>
              <w:jc w:val="center"/>
              <w:rPr>
                <w:rFonts w:ascii="宋体" w:hAnsi="宋体" w:cs="宋体" w:eastAsia="宋体" w:hint="default"/>
                <w:sz w:val="18"/>
                <w:szCs w:val="18"/>
              </w:rPr>
            </w:pPr>
            <w:r>
              <w:rPr>
                <w:rFonts w:ascii="宋体" w:hAnsi="宋体" w:cs="宋体" w:eastAsia="宋体" w:hint="default"/>
                <w:sz w:val="18"/>
                <w:szCs w:val="18"/>
              </w:rPr>
              <w:t>易欢欢</w:t>
            </w:r>
          </w:p>
        </w:tc>
        <w:tc>
          <w:tcPr>
            <w:tcW w:w="31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93" w:right="0"/>
              <w:jc w:val="left"/>
              <w:rPr>
                <w:rFonts w:ascii="宋体" w:hAnsi="宋体" w:cs="宋体" w:eastAsia="宋体" w:hint="default"/>
                <w:sz w:val="18"/>
                <w:szCs w:val="18"/>
              </w:rPr>
            </w:pPr>
            <w:r>
              <w:rPr>
                <w:rFonts w:ascii="宋体" w:hAnsi="宋体" w:cs="宋体" w:eastAsia="宋体" w:hint="default"/>
                <w:sz w:val="18"/>
                <w:szCs w:val="18"/>
              </w:rPr>
              <w:t>北京千人互融信息技术有限公司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2"/>
              <w:ind w:right="9"/>
              <w:jc w:val="center"/>
              <w:rPr>
                <w:rFonts w:ascii="宋体" w:hAnsi="宋体" w:cs="宋体" w:eastAsia="宋体" w:hint="default"/>
                <w:sz w:val="18"/>
                <w:szCs w:val="18"/>
              </w:rPr>
            </w:pPr>
            <w:r>
              <w:rPr>
                <w:rFonts w:ascii="宋体" w:hAnsi="宋体" w:cs="宋体" w:eastAsia="宋体" w:hint="default"/>
                <w:sz w:val="18"/>
                <w:szCs w:val="18"/>
              </w:rPr>
              <w:t>易欢欢</w:t>
            </w:r>
          </w:p>
        </w:tc>
        <w:tc>
          <w:tcPr>
            <w:tcW w:w="31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93" w:right="0"/>
              <w:jc w:val="left"/>
              <w:rPr>
                <w:rFonts w:ascii="宋体" w:hAnsi="宋体" w:cs="宋体" w:eastAsia="宋体" w:hint="default"/>
                <w:sz w:val="18"/>
                <w:szCs w:val="18"/>
              </w:rPr>
            </w:pPr>
            <w:r>
              <w:rPr>
                <w:rFonts w:ascii="宋体" w:hAnsi="宋体" w:cs="宋体" w:eastAsia="宋体" w:hint="default"/>
                <w:sz w:val="18"/>
                <w:szCs w:val="18"/>
              </w:rPr>
              <w:t>北京山海若水投资管理有限公司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2"/>
              <w:ind w:right="9"/>
              <w:jc w:val="center"/>
              <w:rPr>
                <w:rFonts w:ascii="宋体" w:hAnsi="宋体" w:cs="宋体" w:eastAsia="宋体" w:hint="default"/>
                <w:sz w:val="18"/>
                <w:szCs w:val="18"/>
              </w:rPr>
            </w:pPr>
            <w:r>
              <w:rPr>
                <w:rFonts w:ascii="宋体" w:hAnsi="宋体" w:cs="宋体" w:eastAsia="宋体" w:hint="default"/>
                <w:sz w:val="18"/>
                <w:szCs w:val="18"/>
              </w:rPr>
              <w:t>易欢欢</w:t>
            </w:r>
          </w:p>
        </w:tc>
        <w:tc>
          <w:tcPr>
            <w:tcW w:w="31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93" w:right="0"/>
              <w:jc w:val="left"/>
              <w:rPr>
                <w:rFonts w:ascii="宋体" w:hAnsi="宋体" w:cs="宋体" w:eastAsia="宋体" w:hint="default"/>
                <w:sz w:val="18"/>
                <w:szCs w:val="18"/>
              </w:rPr>
            </w:pPr>
            <w:r>
              <w:rPr>
                <w:rFonts w:ascii="宋体" w:hAnsi="宋体" w:cs="宋体" w:eastAsia="宋体" w:hint="default"/>
                <w:sz w:val="18"/>
                <w:szCs w:val="18"/>
              </w:rPr>
              <w:t>徐州淮海数据交换服务有限公司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2"/>
              <w:ind w:right="9"/>
              <w:jc w:val="center"/>
              <w:rPr>
                <w:rFonts w:ascii="宋体" w:hAnsi="宋体" w:cs="宋体" w:eastAsia="宋体" w:hint="default"/>
                <w:sz w:val="18"/>
                <w:szCs w:val="18"/>
              </w:rPr>
            </w:pPr>
            <w:r>
              <w:rPr>
                <w:rFonts w:ascii="宋体" w:hAnsi="宋体" w:cs="宋体" w:eastAsia="宋体" w:hint="default"/>
                <w:sz w:val="18"/>
                <w:szCs w:val="18"/>
              </w:rPr>
              <w:t>易欢欢</w:t>
            </w:r>
          </w:p>
        </w:tc>
        <w:tc>
          <w:tcPr>
            <w:tcW w:w="31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北京久其互联网金融信息服务有限公司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2"/>
              <w:ind w:right="9"/>
              <w:jc w:val="center"/>
              <w:rPr>
                <w:rFonts w:ascii="宋体" w:hAnsi="宋体" w:cs="宋体" w:eastAsia="宋体" w:hint="default"/>
                <w:sz w:val="18"/>
                <w:szCs w:val="18"/>
              </w:rPr>
            </w:pPr>
            <w:r>
              <w:rPr>
                <w:rFonts w:ascii="宋体" w:hAnsi="宋体" w:cs="宋体" w:eastAsia="宋体" w:hint="default"/>
                <w:sz w:val="18"/>
                <w:szCs w:val="18"/>
              </w:rPr>
              <w:t>易欢欢</w:t>
            </w:r>
          </w:p>
        </w:tc>
        <w:tc>
          <w:tcPr>
            <w:tcW w:w="31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深圳易股天下互联网金融服务有限公司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2"/>
              <w:ind w:right="9"/>
              <w:jc w:val="center"/>
              <w:rPr>
                <w:rFonts w:ascii="宋体" w:hAnsi="宋体" w:cs="宋体" w:eastAsia="宋体" w:hint="default"/>
                <w:sz w:val="18"/>
                <w:szCs w:val="18"/>
              </w:rPr>
            </w:pPr>
            <w:r>
              <w:rPr>
                <w:rFonts w:ascii="宋体" w:hAnsi="宋体" w:cs="宋体" w:eastAsia="宋体" w:hint="default"/>
                <w:sz w:val="18"/>
                <w:szCs w:val="18"/>
              </w:rPr>
              <w:t>易欢欢</w:t>
            </w:r>
          </w:p>
        </w:tc>
        <w:tc>
          <w:tcPr>
            <w:tcW w:w="31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73" w:right="0"/>
              <w:jc w:val="left"/>
              <w:rPr>
                <w:rFonts w:ascii="宋体" w:hAnsi="宋体" w:cs="宋体" w:eastAsia="宋体" w:hint="default"/>
                <w:sz w:val="18"/>
                <w:szCs w:val="18"/>
              </w:rPr>
            </w:pPr>
            <w:r>
              <w:rPr>
                <w:rFonts w:ascii="宋体" w:hAnsi="宋体" w:cs="宋体" w:eastAsia="宋体" w:hint="default"/>
                <w:sz w:val="18"/>
                <w:szCs w:val="18"/>
              </w:rPr>
              <w:t>安徽渠道网络股份有限公司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left="57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12" w:hRule="exact"/>
        </w:trPr>
        <w:tc>
          <w:tcPr>
            <w:tcW w:w="2411" w:type="dxa"/>
            <w:gridSpan w:val="2"/>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在其他单位任职情况的说明</w:t>
            </w:r>
          </w:p>
        </w:tc>
        <w:tc>
          <w:tcPr>
            <w:tcW w:w="7158" w:type="dxa"/>
            <w:gridSpan w:val="5"/>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7"/>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董事、监事、高级管理人员报酬情况" w:id="123"/>
      <w:bookmarkEnd w:id="123"/>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spacing w:line="240" w:lineRule="auto" w:before="10"/>
        <w:rPr>
          <w:rFonts w:ascii="宋体" w:hAnsi="宋体" w:cs="宋体" w:eastAsia="宋体" w:hint="default"/>
          <w:sz w:val="12"/>
          <w:szCs w:val="12"/>
        </w:rPr>
      </w:pPr>
    </w:p>
    <w:p>
      <w:pPr>
        <w:pStyle w:val="BodyText"/>
        <w:spacing w:line="240" w:lineRule="auto" w:before="0"/>
        <w:ind w:left="1553" w:right="0"/>
        <w:jc w:val="left"/>
      </w:pPr>
      <w:r>
        <w:rPr/>
        <w:t>董事、监事、高级管理人员报酬的决策程序：</w:t>
      </w:r>
    </w:p>
    <w:p>
      <w:pPr>
        <w:spacing w:line="240" w:lineRule="auto" w:before="10"/>
        <w:rPr>
          <w:rFonts w:ascii="宋体" w:hAnsi="宋体" w:cs="宋体" w:eastAsia="宋体" w:hint="default"/>
          <w:sz w:val="14"/>
          <w:szCs w:val="14"/>
        </w:rPr>
      </w:pPr>
    </w:p>
    <w:p>
      <w:pPr>
        <w:pStyle w:val="BodyText"/>
        <w:spacing w:line="240" w:lineRule="auto" w:before="0"/>
        <w:ind w:left="1554" w:right="0"/>
        <w:jc w:val="left"/>
      </w:pPr>
      <w:r>
        <w:rPr>
          <w:rFonts w:ascii="宋体" w:hAnsi="宋体" w:cs="宋体" w:eastAsia="宋体" w:hint="default"/>
        </w:rPr>
        <w:t>1</w:t>
      </w:r>
      <w:r>
        <w:rPr/>
        <w:t>、第四届董事会第五次会议审议通过了关于</w:t>
      </w:r>
      <w:r>
        <w:rPr>
          <w:spacing w:val="-54"/>
        </w:rPr>
        <w:t> </w:t>
      </w:r>
      <w:r>
        <w:rPr>
          <w:rFonts w:ascii="宋体" w:hAnsi="宋体" w:cs="宋体" w:eastAsia="宋体" w:hint="default"/>
        </w:rPr>
        <w:t>2017</w:t>
      </w:r>
      <w:r>
        <w:rPr>
          <w:rFonts w:ascii="宋体" w:hAnsi="宋体" w:cs="宋体" w:eastAsia="宋体" w:hint="default"/>
          <w:spacing w:val="-55"/>
        </w:rPr>
        <w:t> </w:t>
      </w:r>
      <w:r>
        <w:rPr/>
        <w:t>年度公司董事和高级管理人员薪酬的议案。</w:t>
      </w:r>
    </w:p>
    <w:p>
      <w:pPr>
        <w:spacing w:line="240" w:lineRule="auto" w:before="10"/>
        <w:rPr>
          <w:rFonts w:ascii="宋体" w:hAnsi="宋体" w:cs="宋体" w:eastAsia="宋体" w:hint="default"/>
          <w:sz w:val="14"/>
          <w:szCs w:val="14"/>
        </w:rPr>
      </w:pPr>
    </w:p>
    <w:p>
      <w:pPr>
        <w:pStyle w:val="BodyText"/>
        <w:spacing w:line="240" w:lineRule="auto" w:before="0"/>
        <w:ind w:left="1554" w:right="0"/>
        <w:jc w:val="left"/>
      </w:pPr>
      <w:r>
        <w:rPr>
          <w:rFonts w:ascii="宋体" w:hAnsi="宋体" w:cs="宋体" w:eastAsia="宋体" w:hint="default"/>
        </w:rPr>
        <w:t>2</w:t>
      </w:r>
      <w:r>
        <w:rPr/>
        <w:t>、第四届监事会第二次会议审议通过了关于</w:t>
      </w:r>
      <w:r>
        <w:rPr>
          <w:spacing w:val="-54"/>
        </w:rPr>
        <w:t> </w:t>
      </w:r>
      <w:r>
        <w:rPr>
          <w:rFonts w:ascii="宋体" w:hAnsi="宋体" w:cs="宋体" w:eastAsia="宋体" w:hint="default"/>
        </w:rPr>
        <w:t>2017</w:t>
      </w:r>
      <w:r>
        <w:rPr>
          <w:rFonts w:ascii="宋体" w:hAnsi="宋体" w:cs="宋体" w:eastAsia="宋体" w:hint="default"/>
          <w:spacing w:val="-55"/>
        </w:rPr>
        <w:t> </w:t>
      </w:r>
      <w:r>
        <w:rPr/>
        <w:t>年度公司监事薪酬的议案。</w:t>
      </w:r>
    </w:p>
    <w:p>
      <w:pPr>
        <w:spacing w:line="240" w:lineRule="auto" w:before="10"/>
        <w:rPr>
          <w:rFonts w:ascii="宋体" w:hAnsi="宋体" w:cs="宋体" w:eastAsia="宋体" w:hint="default"/>
          <w:sz w:val="14"/>
          <w:szCs w:val="14"/>
        </w:rPr>
      </w:pPr>
    </w:p>
    <w:p>
      <w:pPr>
        <w:pStyle w:val="BodyText"/>
        <w:spacing w:line="408" w:lineRule="auto" w:before="0"/>
        <w:ind w:left="1554" w:right="0"/>
        <w:jc w:val="left"/>
      </w:pPr>
      <w:r>
        <w:rPr>
          <w:rFonts w:ascii="宋体" w:hAnsi="宋体" w:cs="宋体" w:eastAsia="宋体" w:hint="default"/>
        </w:rPr>
        <w:t>3</w:t>
      </w:r>
      <w:r>
        <w:rPr/>
        <w:t>、</w:t>
      </w:r>
      <w:r>
        <w:rPr>
          <w:rFonts w:ascii="宋体" w:hAnsi="宋体" w:cs="宋体" w:eastAsia="宋体" w:hint="default"/>
        </w:rPr>
        <w:t>2016</w:t>
      </w:r>
      <w:r>
        <w:rPr>
          <w:rFonts w:ascii="宋体" w:hAnsi="宋体" w:cs="宋体" w:eastAsia="宋体" w:hint="default"/>
          <w:spacing w:val="-54"/>
        </w:rPr>
        <w:t> </w:t>
      </w:r>
      <w:r>
        <w:rPr/>
        <w:t>年年度股东大会审议通过了关于</w:t>
      </w:r>
      <w:r>
        <w:rPr>
          <w:spacing w:val="-53"/>
        </w:rPr>
        <w:t> </w:t>
      </w:r>
      <w:r>
        <w:rPr>
          <w:rFonts w:ascii="宋体" w:hAnsi="宋体" w:cs="宋体" w:eastAsia="宋体" w:hint="default"/>
        </w:rPr>
        <w:t>2017</w:t>
      </w:r>
      <w:r>
        <w:rPr>
          <w:rFonts w:ascii="宋体" w:hAnsi="宋体" w:cs="宋体" w:eastAsia="宋体" w:hint="default"/>
          <w:spacing w:val="-54"/>
        </w:rPr>
        <w:t> </w:t>
      </w:r>
      <w:r>
        <w:rPr/>
        <w:t>年公司董事、监事薪酬的议案。 董事、监事、高级管理人员报酬的确定依据： </w:t>
      </w:r>
      <w:r>
        <w:rPr>
          <w:spacing w:val="-1"/>
        </w:rPr>
        <w:t>除董事长、独立董事外，公司不向董事、监事支付薪酬；兼任公司高级管理人员或公司其他岗位职务</w:t>
      </w:r>
    </w:p>
    <w:p>
      <w:pPr>
        <w:pStyle w:val="BodyText"/>
        <w:spacing w:line="408" w:lineRule="auto"/>
        <w:ind w:left="1134" w:right="1116"/>
        <w:jc w:val="left"/>
      </w:pPr>
      <w:r>
        <w:rPr/>
        <w:t>的公司董事、监事，按其所任岗位职务的薪酬制度领取报酬。依据 </w:t>
      </w:r>
      <w:r>
        <w:rPr>
          <w:rFonts w:ascii="宋体" w:hAnsi="宋体" w:cs="宋体" w:eastAsia="宋体" w:hint="default"/>
        </w:rPr>
        <w:t>2017</w:t>
      </w:r>
      <w:r>
        <w:rPr>
          <w:rFonts w:ascii="宋体" w:hAnsi="宋体" w:cs="宋体" w:eastAsia="宋体" w:hint="default"/>
          <w:spacing w:val="-24"/>
        </w:rPr>
        <w:t> </w:t>
      </w:r>
      <w:r>
        <w:rPr/>
        <w:t>年年度规划，高级管理人员的薪 酬从经营指标和管理指标两个方面进行考核，按期发放。</w:t>
      </w:r>
    </w:p>
    <w:p>
      <w:pPr>
        <w:spacing w:after="0" w:line="408"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240" w:lineRule="auto" w:before="174"/>
        <w:ind w:left="1553" w:right="0"/>
        <w:jc w:val="left"/>
      </w:pPr>
      <w:r>
        <w:rPr/>
        <w:t>董事、监事、高级管理人员报酬的实际支付情况：见下表。</w:t>
      </w:r>
    </w:p>
    <w:p>
      <w:pPr>
        <w:spacing w:line="240" w:lineRule="auto" w:before="6"/>
        <w:rPr>
          <w:rFonts w:ascii="宋体" w:hAnsi="宋体" w:cs="宋体" w:eastAsia="宋体" w:hint="default"/>
          <w:sz w:val="10"/>
          <w:szCs w:val="10"/>
        </w:rPr>
      </w:pPr>
    </w:p>
    <w:p>
      <w:pPr>
        <w:spacing w:before="44"/>
        <w:ind w:left="1133" w:right="0"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118" w:type="dxa"/>
        <w:tblLayout w:type="fixed"/>
        <w:tblCellMar>
          <w:top w:w="0" w:type="dxa"/>
          <w:left w:w="0" w:type="dxa"/>
          <w:bottom w:w="0" w:type="dxa"/>
          <w:right w:w="0" w:type="dxa"/>
        </w:tblCellMar>
        <w:tblLook w:val="01E0"/>
      </w:tblPr>
      <w:tblGrid>
        <w:gridCol w:w="710"/>
        <w:gridCol w:w="2410"/>
        <w:gridCol w:w="425"/>
        <w:gridCol w:w="568"/>
        <w:gridCol w:w="851"/>
        <w:gridCol w:w="2268"/>
        <w:gridCol w:w="2341"/>
      </w:tblGrid>
      <w:tr>
        <w:trPr>
          <w:trHeight w:val="413" w:hRule="exact"/>
        </w:trPr>
        <w:tc>
          <w:tcPr>
            <w:tcW w:w="710"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姓名</w:t>
            </w:r>
          </w:p>
        </w:tc>
        <w:tc>
          <w:tcPr>
            <w:tcW w:w="241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425"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56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85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226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从公司获得的税前报酬总额</w:t>
            </w:r>
          </w:p>
        </w:tc>
        <w:tc>
          <w:tcPr>
            <w:tcW w:w="2341"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是否在公司关联方获取报酬</w:t>
            </w:r>
          </w:p>
        </w:tc>
      </w:tr>
      <w:tr>
        <w:trPr>
          <w:trHeight w:val="402" w:hRule="exact"/>
        </w:trPr>
        <w:tc>
          <w:tcPr>
            <w:tcW w:w="71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任红军</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91.85</w:t>
            </w:r>
          </w:p>
        </w:tc>
        <w:tc>
          <w:tcPr>
            <w:tcW w:w="234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张潇君</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董事、总经理</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75.19</w:t>
            </w:r>
          </w:p>
        </w:tc>
        <w:tc>
          <w:tcPr>
            <w:tcW w:w="234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刘瑞玲</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董事、副总经理、财务负责人</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56.06</w:t>
            </w:r>
          </w:p>
        </w:tc>
        <w:tc>
          <w:tcPr>
            <w:tcW w:w="234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张小水</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董事、总工程师</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47.38</w:t>
            </w:r>
          </w:p>
        </w:tc>
        <w:tc>
          <w:tcPr>
            <w:tcW w:w="234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尚剑红</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董事、副总经理</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52.56</w:t>
            </w:r>
          </w:p>
        </w:tc>
        <w:tc>
          <w:tcPr>
            <w:tcW w:w="234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陈凌飞</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49.57</w:t>
            </w:r>
          </w:p>
        </w:tc>
        <w:tc>
          <w:tcPr>
            <w:tcW w:w="234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刘威</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c>
          <w:tcPr>
            <w:tcW w:w="234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赵向阳</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c>
          <w:tcPr>
            <w:tcW w:w="234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易欢欢</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c>
          <w:tcPr>
            <w:tcW w:w="234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张艳丽</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47.81</w:t>
            </w:r>
          </w:p>
        </w:tc>
        <w:tc>
          <w:tcPr>
            <w:tcW w:w="234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尚中锋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34.52</w:t>
            </w:r>
          </w:p>
        </w:tc>
        <w:tc>
          <w:tcPr>
            <w:tcW w:w="234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李志刚</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47.01</w:t>
            </w:r>
          </w:p>
        </w:tc>
        <w:tc>
          <w:tcPr>
            <w:tcW w:w="234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肖锋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副总经理、董事会秘书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19.43</w:t>
            </w:r>
          </w:p>
        </w:tc>
        <w:tc>
          <w:tcPr>
            <w:tcW w:w="234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13" w:hRule="exact"/>
        </w:trPr>
        <w:tc>
          <w:tcPr>
            <w:tcW w:w="710"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合计</w:t>
            </w:r>
          </w:p>
        </w:tc>
        <w:tc>
          <w:tcPr>
            <w:tcW w:w="2410"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2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536.38</w:t>
            </w:r>
          </w:p>
        </w:tc>
        <w:tc>
          <w:tcPr>
            <w:tcW w:w="2341" w:type="dxa"/>
            <w:tcBorders>
              <w:top w:val="single" w:sz="4" w:space="0" w:color="000000"/>
              <w:left w:val="single" w:sz="4" w:space="0" w:color="000000"/>
              <w:bottom w:val="single" w:sz="12" w:space="0" w:color="000000"/>
              <w:right w:val="single" w:sz="12"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公司董事、高级管理人员报告期内被授予的股权激励情况</w:t>
      </w:r>
    </w:p>
    <w:p>
      <w:pPr>
        <w:spacing w:before="116"/>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五、公司员工情况" w:id="124"/>
      <w:bookmarkEnd w:id="124"/>
      <w:r>
        <w:rPr>
          <w:b w:val="0"/>
          <w:bCs w:val="0"/>
        </w:rPr>
      </w:r>
      <w:r>
        <w:rPr/>
        <w:t>五、公司员工情况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员工数量、专业构成及教育程度" w:id="125"/>
      <w:bookmarkEnd w:id="125"/>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125" w:type="dxa"/>
        <w:tblLayout w:type="fixed"/>
        <w:tblCellMar>
          <w:top w:w="0" w:type="dxa"/>
          <w:left w:w="0" w:type="dxa"/>
          <w:bottom w:w="0" w:type="dxa"/>
          <w:right w:w="0" w:type="dxa"/>
        </w:tblCellMar>
        <w:tblLook w:val="01E0"/>
      </w:tblPr>
      <w:tblGrid>
        <w:gridCol w:w="4767"/>
        <w:gridCol w:w="4795"/>
      </w:tblGrid>
      <w:tr>
        <w:trPr>
          <w:trHeight w:val="412" w:hRule="exact"/>
        </w:trPr>
        <w:tc>
          <w:tcPr>
            <w:tcW w:w="4767"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5" w:type="dxa"/>
            <w:tcBorders>
              <w:top w:val="single" w:sz="12" w:space="0" w:color="000000"/>
              <w:left w:val="single" w:sz="13" w:space="0" w:color="D2D2D2"/>
              <w:bottom w:val="single" w:sz="4"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354</w:t>
            </w:r>
          </w:p>
        </w:tc>
      </w:tr>
      <w:tr>
        <w:trPr>
          <w:trHeight w:val="402" w:hRule="exact"/>
        </w:trPr>
        <w:tc>
          <w:tcPr>
            <w:tcW w:w="47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5" w:type="dxa"/>
            <w:tcBorders>
              <w:top w:val="single" w:sz="4" w:space="0" w:color="000000"/>
              <w:left w:val="single" w:sz="13" w:space="0" w:color="D2D2D2"/>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1,648</w:t>
            </w:r>
          </w:p>
        </w:tc>
      </w:tr>
      <w:tr>
        <w:trPr>
          <w:trHeight w:val="402" w:hRule="exact"/>
        </w:trPr>
        <w:tc>
          <w:tcPr>
            <w:tcW w:w="47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5" w:type="dxa"/>
            <w:tcBorders>
              <w:top w:val="single" w:sz="4" w:space="0" w:color="000000"/>
              <w:left w:val="single" w:sz="13" w:space="0" w:color="D2D2D2"/>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2,002</w:t>
            </w:r>
          </w:p>
        </w:tc>
      </w:tr>
      <w:tr>
        <w:trPr>
          <w:trHeight w:val="402" w:hRule="exact"/>
        </w:trPr>
        <w:tc>
          <w:tcPr>
            <w:tcW w:w="47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5" w:type="dxa"/>
            <w:tcBorders>
              <w:top w:val="single" w:sz="4" w:space="0" w:color="000000"/>
              <w:left w:val="single" w:sz="13" w:space="0" w:color="D2D2D2"/>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2,002</w:t>
            </w:r>
          </w:p>
        </w:tc>
      </w:tr>
      <w:tr>
        <w:trPr>
          <w:trHeight w:val="407" w:hRule="exact"/>
        </w:trPr>
        <w:tc>
          <w:tcPr>
            <w:tcW w:w="47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5" w:type="dxa"/>
            <w:tcBorders>
              <w:top w:val="single" w:sz="4" w:space="0" w:color="000000"/>
              <w:left w:val="single" w:sz="13" w:space="0" w:color="D2D2D2"/>
              <w:bottom w:val="single" w:sz="4"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62" w:type="dxa"/>
            <w:gridSpan w:val="2"/>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46"/>
              <w:ind w:right="4"/>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5" w:type="dxa"/>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6"/>
              <w:ind w:left="1588"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5" w:type="dxa"/>
            <w:tcBorders>
              <w:top w:val="single" w:sz="4" w:space="0" w:color="000000"/>
              <w:left w:val="single" w:sz="13" w:space="0" w:color="D2D2D2"/>
              <w:bottom w:val="single" w:sz="4"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667</w:t>
            </w:r>
          </w:p>
        </w:tc>
      </w:tr>
      <w:tr>
        <w:trPr>
          <w:trHeight w:val="402" w:hRule="exact"/>
        </w:trPr>
        <w:tc>
          <w:tcPr>
            <w:tcW w:w="47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5" w:type="dxa"/>
            <w:tcBorders>
              <w:top w:val="single" w:sz="4" w:space="0" w:color="000000"/>
              <w:left w:val="single" w:sz="13" w:space="0" w:color="D2D2D2"/>
              <w:bottom w:val="single" w:sz="4"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349</w:t>
            </w:r>
          </w:p>
        </w:tc>
      </w:tr>
      <w:tr>
        <w:trPr>
          <w:trHeight w:val="412" w:hRule="exact"/>
        </w:trPr>
        <w:tc>
          <w:tcPr>
            <w:tcW w:w="4767"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5" w:type="dxa"/>
            <w:tcBorders>
              <w:top w:val="single" w:sz="4" w:space="0" w:color="000000"/>
              <w:left w:val="single" w:sz="13" w:space="0" w:color="D2D2D2"/>
              <w:bottom w:val="single" w:sz="12"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520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18" w:type="dxa"/>
        <w:tblLayout w:type="fixed"/>
        <w:tblCellMar>
          <w:top w:w="0" w:type="dxa"/>
          <w:left w:w="0" w:type="dxa"/>
          <w:bottom w:w="0" w:type="dxa"/>
          <w:right w:w="0" w:type="dxa"/>
        </w:tblCellMar>
        <w:tblLook w:val="01E0"/>
      </w:tblPr>
      <w:tblGrid>
        <w:gridCol w:w="4780"/>
        <w:gridCol w:w="4789"/>
      </w:tblGrid>
      <w:tr>
        <w:trPr>
          <w:trHeight w:val="412" w:hRule="exact"/>
        </w:trPr>
        <w:tc>
          <w:tcPr>
            <w:tcW w:w="4780"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9" w:type="dxa"/>
            <w:tcBorders>
              <w:top w:val="single" w:sz="12" w:space="0" w:color="000000"/>
              <w:left w:val="single" w:sz="13" w:space="0" w:color="D2D2D2"/>
              <w:bottom w:val="single" w:sz="4"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107</w:t>
            </w:r>
          </w:p>
        </w:tc>
      </w:tr>
      <w:tr>
        <w:trPr>
          <w:trHeight w:val="402" w:hRule="exact"/>
        </w:trPr>
        <w:tc>
          <w:tcPr>
            <w:tcW w:w="478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9" w:type="dxa"/>
            <w:tcBorders>
              <w:top w:val="single" w:sz="4" w:space="0" w:color="000000"/>
              <w:left w:val="single" w:sz="13" w:space="0" w:color="D2D2D2"/>
              <w:bottom w:val="single" w:sz="4"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359</w:t>
            </w:r>
          </w:p>
        </w:tc>
      </w:tr>
      <w:tr>
        <w:trPr>
          <w:trHeight w:val="407" w:hRule="exact"/>
        </w:trPr>
        <w:tc>
          <w:tcPr>
            <w:tcW w:w="478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9" w:type="dxa"/>
            <w:tcBorders>
              <w:top w:val="single" w:sz="4" w:space="0" w:color="000000"/>
              <w:left w:val="single" w:sz="13" w:space="0" w:color="D2D2D2"/>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2,002</w:t>
            </w:r>
          </w:p>
        </w:tc>
      </w:tr>
      <w:tr>
        <w:trPr>
          <w:trHeight w:val="393" w:hRule="exact"/>
        </w:trPr>
        <w:tc>
          <w:tcPr>
            <w:tcW w:w="9569" w:type="dxa"/>
            <w:gridSpan w:val="2"/>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8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6"/>
              <w:ind w:left="13"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9" w:type="dxa"/>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6"/>
              <w:ind w:left="28"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硕士以上</w:t>
            </w:r>
          </w:p>
        </w:tc>
        <w:tc>
          <w:tcPr>
            <w:tcW w:w="478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3"/>
                <w:sz w:val="18"/>
              </w:rPr>
              <w:t>115</w:t>
            </w:r>
          </w:p>
        </w:tc>
      </w:tr>
      <w:tr>
        <w:trPr>
          <w:trHeight w:val="402" w:hRule="exact"/>
        </w:trPr>
        <w:tc>
          <w:tcPr>
            <w:tcW w:w="47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本科学历</w:t>
            </w:r>
          </w:p>
        </w:tc>
        <w:tc>
          <w:tcPr>
            <w:tcW w:w="478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838</w:t>
            </w:r>
          </w:p>
        </w:tc>
      </w:tr>
      <w:tr>
        <w:trPr>
          <w:trHeight w:val="402" w:hRule="exact"/>
        </w:trPr>
        <w:tc>
          <w:tcPr>
            <w:tcW w:w="47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大专学历</w:t>
            </w:r>
          </w:p>
        </w:tc>
        <w:tc>
          <w:tcPr>
            <w:tcW w:w="478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644</w:t>
            </w:r>
          </w:p>
        </w:tc>
      </w:tr>
      <w:tr>
        <w:trPr>
          <w:trHeight w:val="402" w:hRule="exact"/>
        </w:trPr>
        <w:tc>
          <w:tcPr>
            <w:tcW w:w="47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78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405</w:t>
            </w:r>
          </w:p>
        </w:tc>
      </w:tr>
      <w:tr>
        <w:trPr>
          <w:trHeight w:val="412" w:hRule="exact"/>
        </w:trPr>
        <w:tc>
          <w:tcPr>
            <w:tcW w:w="4780"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2,002</w:t>
            </w:r>
          </w:p>
        </w:tc>
      </w:tr>
    </w:tbl>
    <w:p>
      <w:pPr>
        <w:spacing w:line="240" w:lineRule="auto" w:before="2"/>
        <w:rPr>
          <w:rFonts w:ascii="宋体" w:hAnsi="宋体" w:cs="宋体" w:eastAsia="宋体" w:hint="default"/>
          <w:b/>
          <w:bCs/>
          <w:sz w:val="19"/>
          <w:szCs w:val="19"/>
        </w:rPr>
      </w:pPr>
    </w:p>
    <w:p>
      <w:pPr>
        <w:pStyle w:val="Heading4"/>
        <w:spacing w:line="240" w:lineRule="auto" w:before="35"/>
        <w:ind w:left="1134" w:right="0"/>
        <w:jc w:val="left"/>
        <w:rPr>
          <w:b w:val="0"/>
          <w:bCs w:val="0"/>
        </w:rPr>
      </w:pPr>
      <w:bookmarkStart w:name="2、薪酬政策" w:id="126"/>
      <w:bookmarkEnd w:id="126"/>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1134" w:right="0" w:firstLine="420"/>
        <w:jc w:val="left"/>
      </w:pPr>
      <w:r>
        <w:rPr>
          <w:rFonts w:ascii="宋体" w:hAnsi="宋体" w:cs="宋体" w:eastAsia="宋体" w:hint="default"/>
        </w:rPr>
        <w:t>1</w:t>
      </w:r>
      <w:r>
        <w:rPr/>
        <w:t>、公司追求薪酬系统的简明化和科学化，同时在设计及实施的过程中始终遵从于以下原则：公平公 正原则、激励性原则、竞争性原则、市场化原则；</w:t>
      </w:r>
    </w:p>
    <w:p>
      <w:pPr>
        <w:pStyle w:val="BodyText"/>
        <w:spacing w:line="408" w:lineRule="auto"/>
        <w:ind w:left="1134" w:right="1131" w:firstLine="420"/>
        <w:jc w:val="both"/>
      </w:pPr>
      <w:r>
        <w:rPr>
          <w:rFonts w:ascii="宋体" w:hAnsi="宋体" w:cs="宋体" w:eastAsia="宋体" w:hint="default"/>
        </w:rPr>
        <w:t>2</w:t>
      </w:r>
      <w:r>
        <w:rPr/>
        <w:t>、公司持续推进建立健全市场化工资决定机制和内部激励约束机制，坚持通过提高公司业绩、劳动 </w:t>
      </w:r>
      <w:r>
        <w:rPr>
          <w:spacing w:val="-1"/>
        </w:rPr>
        <w:t>生产率以获取薪酬总额提升的原则。通过试行预算工资总额与工效挂钩，探索工资总额管理新机制，理顺</w:t>
      </w:r>
      <w:r>
        <w:rPr>
          <w:spacing w:val="-83"/>
        </w:rPr>
        <w:t> </w:t>
      </w:r>
      <w:r>
        <w:rPr>
          <w:spacing w:val="-83"/>
        </w:rPr>
      </w:r>
      <w:r>
        <w:rPr/>
        <w:t>各类人员收入分配关系。</w:t>
      </w:r>
    </w:p>
    <w:p>
      <w:pPr>
        <w:spacing w:line="240" w:lineRule="auto" w:before="8"/>
        <w:rPr>
          <w:rFonts w:ascii="宋体" w:hAnsi="宋体" w:cs="宋体" w:eastAsia="宋体" w:hint="default"/>
          <w:sz w:val="20"/>
          <w:szCs w:val="20"/>
        </w:rPr>
      </w:pPr>
    </w:p>
    <w:p>
      <w:pPr>
        <w:pStyle w:val="Heading4"/>
        <w:spacing w:line="240" w:lineRule="auto"/>
        <w:ind w:left="1134" w:right="0"/>
        <w:jc w:val="left"/>
        <w:rPr>
          <w:b w:val="0"/>
          <w:bCs w:val="0"/>
        </w:rPr>
      </w:pPr>
      <w:bookmarkStart w:name="3、培训计划" w:id="127"/>
      <w:bookmarkEnd w:id="127"/>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1134" w:right="0" w:firstLine="420"/>
        <w:jc w:val="left"/>
      </w:pPr>
      <w:r>
        <w:rPr>
          <w:rFonts w:ascii="宋体" w:hAnsi="宋体" w:cs="宋体" w:eastAsia="宋体" w:hint="default"/>
        </w:rPr>
        <w:t>1</w:t>
      </w:r>
      <w:r>
        <w:rPr/>
        <w:t>、报告期内公司人力资源部开展人力系统专业培训。安排的专业培训主要有 </w:t>
      </w:r>
      <w:r>
        <w:rPr>
          <w:rFonts w:ascii="宋体" w:hAnsi="宋体" w:cs="宋体" w:eastAsia="宋体" w:hint="default"/>
        </w:rPr>
        <w:t>smart</w:t>
      </w:r>
      <w:r>
        <w:rPr>
          <w:rFonts w:ascii="宋体" w:hAnsi="宋体" w:cs="宋体" w:eastAsia="宋体" w:hint="default"/>
          <w:spacing w:val="-24"/>
        </w:rPr>
        <w:t> </w:t>
      </w:r>
      <w:r>
        <w:rPr/>
        <w:t>工作法则、培训 师基础培训、九型人格与管理、沙盘模拟拓展培训、绩效管理、全薪时代的薪酬管理、组织规划等课程，</w:t>
      </w:r>
      <w:r>
        <w:rPr>
          <w:spacing w:val="-26"/>
        </w:rPr>
        <w:t> </w:t>
      </w:r>
      <w:r>
        <w:rPr>
          <w:spacing w:val="-26"/>
        </w:rPr>
      </w:r>
      <w:r>
        <w:rPr/>
        <w:t>有效提升了人力资源一线人员的总体能力与素质。</w:t>
      </w:r>
    </w:p>
    <w:p>
      <w:pPr>
        <w:pStyle w:val="BodyText"/>
        <w:spacing w:line="240" w:lineRule="auto"/>
        <w:ind w:left="1554" w:right="0"/>
        <w:jc w:val="left"/>
      </w:pPr>
      <w:r>
        <w:rPr>
          <w:rFonts w:ascii="宋体" w:hAnsi="宋体" w:cs="宋体" w:eastAsia="宋体" w:hint="default"/>
        </w:rPr>
        <w:t>2</w:t>
      </w:r>
      <w:r>
        <w:rPr/>
        <w:t>、报告期内公司人力资源部系统的开展了四次集团新员工入职培训与考核工作。</w:t>
      </w:r>
    </w:p>
    <w:p>
      <w:pPr>
        <w:spacing w:line="240" w:lineRule="auto" w:before="10"/>
        <w:rPr>
          <w:rFonts w:ascii="宋体" w:hAnsi="宋体" w:cs="宋体" w:eastAsia="宋体" w:hint="default"/>
          <w:sz w:val="14"/>
          <w:szCs w:val="14"/>
        </w:rPr>
      </w:pPr>
    </w:p>
    <w:p>
      <w:pPr>
        <w:pStyle w:val="BodyText"/>
        <w:spacing w:line="408" w:lineRule="auto" w:before="0"/>
        <w:ind w:right="1117" w:firstLine="420"/>
        <w:jc w:val="left"/>
      </w:pPr>
      <w:r>
        <w:rPr>
          <w:rFonts w:ascii="宋体" w:hAnsi="宋体" w:cs="宋体" w:eastAsia="宋体" w:hint="default"/>
        </w:rPr>
        <w:t>3</w:t>
      </w:r>
      <w:r>
        <w:rPr/>
        <w:t>、报告期内公司人力资源部开展了各单位的培训需求调研及中高管调研，初步制定了</w:t>
      </w:r>
      <w:r>
        <w:rPr>
          <w:spacing w:val="-64"/>
        </w:rPr>
        <w:t> </w:t>
      </w:r>
      <w:r>
        <w:rPr>
          <w:rFonts w:ascii="宋体" w:hAnsi="宋体" w:cs="宋体" w:eastAsia="宋体" w:hint="default"/>
        </w:rPr>
        <w:t>2017</w:t>
      </w:r>
      <w:r>
        <w:rPr>
          <w:rFonts w:ascii="宋体" w:hAnsi="宋体" w:cs="宋体" w:eastAsia="宋体" w:hint="default"/>
          <w:spacing w:val="-65"/>
        </w:rPr>
        <w:t> </w:t>
      </w:r>
      <w:r>
        <w:rPr/>
        <w:t>年度“步 步高”三级（高管、中层、骨干）培训计划。</w:t>
      </w:r>
    </w:p>
    <w:p>
      <w:pPr>
        <w:spacing w:line="240" w:lineRule="auto" w:before="8"/>
        <w:rPr>
          <w:rFonts w:ascii="宋体" w:hAnsi="宋体" w:cs="宋体" w:eastAsia="宋体" w:hint="default"/>
          <w:sz w:val="20"/>
          <w:szCs w:val="20"/>
        </w:rPr>
      </w:pPr>
    </w:p>
    <w:p>
      <w:pPr>
        <w:pStyle w:val="Heading4"/>
        <w:spacing w:line="240" w:lineRule="auto"/>
        <w:ind w:left="1134" w:right="0"/>
        <w:jc w:val="left"/>
        <w:rPr>
          <w:b w:val="0"/>
          <w:bCs w:val="0"/>
        </w:rPr>
      </w:pPr>
      <w:bookmarkStart w:name="4、劳务外包情况" w:id="128"/>
      <w:bookmarkEnd w:id="128"/>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764"/>
        <w:jc w:val="center"/>
        <w:rPr>
          <w:b w:val="0"/>
          <w:bCs w:val="0"/>
        </w:rPr>
      </w:pPr>
      <w:bookmarkStart w:name="第九节 公司治理" w:id="129"/>
      <w:bookmarkEnd w:id="129"/>
      <w:r>
        <w:rPr>
          <w:b w:val="0"/>
          <w:bCs w:val="0"/>
        </w:rPr>
      </w:r>
      <w:bookmarkStart w:name="_bookmark8" w:id="130"/>
      <w:bookmarkEnd w:id="130"/>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公司治理的基本状况" w:id="131"/>
      <w:bookmarkEnd w:id="131"/>
      <w:r>
        <w:rPr>
          <w:b w:val="0"/>
          <w:bCs w:val="0"/>
        </w:rPr>
      </w:r>
      <w:r>
        <w:rPr/>
        <w:t>一、公司治理的基本状况</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right="1024" w:firstLine="420"/>
        <w:jc w:val="left"/>
      </w:pPr>
      <w:r>
        <w:rPr>
          <w:spacing w:val="-14"/>
        </w:rPr>
        <w:t>报告期内，公司严格按照《公司法》、《证券法》、《上市公司治理准则》、《深圳证券交易所创业板股票</w:t>
      </w:r>
      <w:r>
        <w:rPr/>
        <w:t> </w:t>
      </w:r>
      <w:r>
        <w:rPr>
          <w:spacing w:val="-3"/>
        </w:rPr>
        <w:t>上市规则》、《创业板上市公司规范运作指引》和其他有关法律法规的要求，不断完善公司法人治理结构，</w:t>
      </w:r>
      <w:r>
        <w:rPr/>
        <w:t> 建立健全公司内部管理和控制制度，努力做好信息披露工作及投资者关系管理。截至报告期末，公司治理 结构的实际情况符合中国证监会发布的有关上市公司治理的规范性文件的要求。</w:t>
      </w:r>
    </w:p>
    <w:p>
      <w:pPr>
        <w:pStyle w:val="BodyText"/>
        <w:spacing w:line="408" w:lineRule="auto"/>
        <w:ind w:left="1553" w:right="0"/>
        <w:jc w:val="left"/>
      </w:pPr>
      <w:r>
        <w:rPr/>
        <w:t>（一）独立性 </w:t>
      </w:r>
      <w:r>
        <w:rPr>
          <w:spacing w:val="-6"/>
        </w:rPr>
        <w:t>公司严格按照《公司法》、《证券法》等有关法律、法规和《公司章程》的要求规范运作，在业务、资</w:t>
      </w:r>
    </w:p>
    <w:p>
      <w:pPr>
        <w:pStyle w:val="BodyText"/>
        <w:spacing w:line="408" w:lineRule="auto"/>
        <w:ind w:right="1133"/>
        <w:jc w:val="both"/>
      </w:pPr>
      <w:r>
        <w:rPr>
          <w:spacing w:val="-1"/>
        </w:rPr>
        <w:t>产、人员、机构和财务等方面与公司股东相互独立，拥有独立完整的采购、生产、销售、研发系统，具备</w:t>
      </w:r>
      <w:r>
        <w:rPr>
          <w:spacing w:val="-85"/>
        </w:rPr>
        <w:t> </w:t>
      </w:r>
      <w:r>
        <w:rPr>
          <w:spacing w:val="-85"/>
        </w:rPr>
      </w:r>
      <w:r>
        <w:rPr/>
        <w:t>面向市场自主经营的能力。</w:t>
      </w:r>
    </w:p>
    <w:p>
      <w:pPr>
        <w:pStyle w:val="BodyText"/>
        <w:spacing w:line="408" w:lineRule="auto"/>
        <w:ind w:right="1131" w:firstLine="420"/>
        <w:jc w:val="both"/>
      </w:pPr>
      <w:r>
        <w:rPr>
          <w:rFonts w:ascii="宋体" w:hAnsi="宋体" w:cs="宋体" w:eastAsia="宋体" w:hint="default"/>
          <w:spacing w:val="-4"/>
        </w:rPr>
        <w:t>1</w:t>
      </w:r>
      <w:r>
        <w:rPr>
          <w:spacing w:val="-4"/>
        </w:rPr>
        <w:t>、公司的人员独立。公司的董事、监事均严格按照《公司法》、《公司章程》的有关规定产生，履行</w:t>
      </w:r>
      <w:r>
        <w:rPr/>
        <w:t> </w:t>
      </w:r>
      <w:r>
        <w:rPr>
          <w:spacing w:val="-1"/>
        </w:rPr>
        <w:t>了合法程序；公司高级管理人员核心技术人员等人员专职在公司工作，并在公司领取薪酬。公司已建立独</w:t>
      </w:r>
      <w:r>
        <w:rPr>
          <w:spacing w:val="-83"/>
        </w:rPr>
        <w:t> </w:t>
      </w:r>
      <w:r>
        <w:rPr>
          <w:spacing w:val="-83"/>
        </w:rPr>
      </w:r>
      <w:r>
        <w:rPr/>
        <w:t>立的劳动、人事、社会保障体系及工资管理体系，与员工签订了劳动合同。</w:t>
      </w:r>
    </w:p>
    <w:p>
      <w:pPr>
        <w:pStyle w:val="BodyText"/>
        <w:spacing w:line="408" w:lineRule="auto"/>
        <w:ind w:right="0" w:firstLine="420"/>
        <w:jc w:val="left"/>
      </w:pPr>
      <w:r>
        <w:rPr>
          <w:rFonts w:ascii="宋体" w:hAnsi="宋体" w:cs="宋体" w:eastAsia="宋体" w:hint="default"/>
        </w:rPr>
        <w:t>2</w:t>
      </w:r>
      <w:r>
        <w:rPr/>
        <w:t>、公司的资产独立完整、权属清晰。公司具备与生产经营有关的生产系统、辅助生产系统和配套设 施，合法拥有与生产经营有关的土地、厂房、机器设备以及商标、专利、非专利技术的所有权和使用权，</w:t>
      </w:r>
      <w:r>
        <w:rPr>
          <w:spacing w:val="-35"/>
        </w:rPr>
        <w:t> </w:t>
      </w:r>
      <w:r>
        <w:rPr>
          <w:spacing w:val="-35"/>
        </w:rPr>
      </w:r>
      <w:r>
        <w:rPr/>
        <w:t>资产具有完整性。</w:t>
      </w:r>
    </w:p>
    <w:p>
      <w:pPr>
        <w:pStyle w:val="BodyText"/>
        <w:spacing w:line="408" w:lineRule="auto"/>
        <w:ind w:right="0" w:firstLine="420"/>
        <w:jc w:val="left"/>
      </w:pPr>
      <w:r>
        <w:rPr>
          <w:rFonts w:ascii="宋体" w:hAnsi="宋体" w:cs="宋体" w:eastAsia="宋体" w:hint="default"/>
        </w:rPr>
        <w:t>3</w:t>
      </w:r>
      <w:r>
        <w:rPr/>
        <w:t>、公司财务独立。公司有独立的财务部门，配备了专职的财务会计人员，独立进行会计核算和财务 决策。公司开设有独立的银行帐号，并依法独立进行纳税申报和履行纳税义务。</w:t>
      </w:r>
    </w:p>
    <w:p>
      <w:pPr>
        <w:pStyle w:val="BodyText"/>
        <w:spacing w:line="408" w:lineRule="auto"/>
        <w:ind w:right="0" w:firstLine="420"/>
        <w:jc w:val="left"/>
      </w:pPr>
      <w:r>
        <w:rPr>
          <w:rFonts w:ascii="宋体" w:hAnsi="宋体" w:cs="宋体" w:eastAsia="宋体" w:hint="default"/>
        </w:rPr>
        <w:t>4</w:t>
      </w:r>
      <w:r>
        <w:rPr/>
        <w:t>、公司建立健全了独立的股东大会、董事会、监事会、经理的法人治理结构、组织结构，制定了完 善的岗位职责和管理制度，各部门按照规定的职责独立运作。</w:t>
      </w:r>
    </w:p>
    <w:p>
      <w:pPr>
        <w:pStyle w:val="BodyText"/>
        <w:spacing w:line="408" w:lineRule="auto"/>
        <w:ind w:right="0" w:firstLine="420"/>
        <w:jc w:val="left"/>
      </w:pPr>
      <w:r>
        <w:rPr>
          <w:rFonts w:ascii="宋体" w:hAnsi="宋体" w:cs="宋体" w:eastAsia="宋体" w:hint="default"/>
        </w:rPr>
        <w:t>5</w:t>
      </w:r>
      <w:r>
        <w:rPr/>
        <w:t>、公司业务独立。公司具备独立、完整的产供销系统，拥有独立的决策和执行机构，并拥有独立的 业务，具有面向市场的自主经营能力；公司股东及其控制的其他企业没有从事与公司相同或相近的业务。</w:t>
      </w:r>
    </w:p>
    <w:p>
      <w:pPr>
        <w:pStyle w:val="BodyText"/>
        <w:spacing w:line="408" w:lineRule="auto"/>
        <w:ind w:left="1553" w:right="0"/>
        <w:jc w:val="left"/>
      </w:pPr>
      <w:r>
        <w:rPr/>
        <w:t>（二）股东与股东大会 </w:t>
      </w:r>
      <w:r>
        <w:rPr>
          <w:spacing w:val="-6"/>
        </w:rPr>
        <w:t>公司严格按照《创业板上市公司规范运作指引》、《上市公司股东大会规则》等规定的要求召集、召开</w:t>
      </w:r>
    </w:p>
    <w:p>
      <w:pPr>
        <w:pStyle w:val="BodyText"/>
        <w:spacing w:line="408" w:lineRule="auto"/>
        <w:ind w:right="1131"/>
        <w:jc w:val="both"/>
      </w:pPr>
      <w:r>
        <w:rPr>
          <w:spacing w:val="-1"/>
        </w:rPr>
        <w:t>股东大会，平等对待所有股东，特别是保证中小股东享有平等地位，并尽可能为股东参加股东大会提供便</w:t>
      </w:r>
      <w:r>
        <w:rPr>
          <w:spacing w:val="-83"/>
        </w:rPr>
        <w:t> </w:t>
      </w:r>
      <w:r>
        <w:rPr>
          <w:spacing w:val="-83"/>
        </w:rPr>
      </w:r>
      <w:r>
        <w:rPr>
          <w:spacing w:val="-5"/>
        </w:rPr>
        <w:t>利。在《公司章程》、《股东大会议事规则》中明确规定了股东大会的召集、召开及表决程序、股东的参会</w:t>
      </w:r>
      <w:r>
        <w:rPr/>
        <w:t> 资格和对董事会的授权原则等，董事会在报告期内做到认真审议并安排股东大会的审议事项等。</w:t>
      </w:r>
    </w:p>
    <w:p>
      <w:pPr>
        <w:spacing w:after="0" w:line="408"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left="1553" w:right="0"/>
        <w:jc w:val="left"/>
      </w:pPr>
      <w:r>
        <w:rPr/>
        <w:t>（三）公司与控股股东 </w:t>
      </w:r>
      <w:r>
        <w:rPr>
          <w:spacing w:val="-8"/>
        </w:rPr>
        <w:t>公司控股股东严格按照《上市公司治理准则》、《深圳证券交易所创业板股票上市规则》、《公司章程》</w:t>
      </w:r>
    </w:p>
    <w:p>
      <w:pPr>
        <w:pStyle w:val="BodyText"/>
        <w:spacing w:line="408" w:lineRule="auto"/>
        <w:ind w:right="1130"/>
        <w:jc w:val="both"/>
      </w:pPr>
      <w:r>
        <w:rPr>
          <w:spacing w:val="-1"/>
        </w:rPr>
        <w:t>规范自己的行为，通过股东大会依法行使出资人的权利，没有采取任何其他方式直接或间接地干预公司的</w:t>
      </w:r>
      <w:r>
        <w:rPr>
          <w:spacing w:val="-81"/>
        </w:rPr>
        <w:t> </w:t>
      </w:r>
      <w:r>
        <w:rPr>
          <w:spacing w:val="-81"/>
        </w:rPr>
      </w:r>
      <w:r>
        <w:rPr>
          <w:spacing w:val="-5"/>
        </w:rPr>
        <w:t>决策及依法开展的生产经营活动，没有损害公司及其他股东的利益；公司与控股股东在业务、人员、资产、</w:t>
      </w:r>
      <w:r>
        <w:rPr>
          <w:spacing w:val="-102"/>
        </w:rPr>
        <w:t> </w:t>
      </w:r>
      <w:r>
        <w:rPr>
          <w:spacing w:val="-102"/>
        </w:rPr>
      </w:r>
      <w:r>
        <w:rPr>
          <w:spacing w:val="-1"/>
        </w:rPr>
        <w:t>机构和财务方面做到相互独立；公司的重大决策能按照规范的程序由股东大会和董事会作出。控股股东与</w:t>
      </w:r>
      <w:r>
        <w:rPr>
          <w:spacing w:val="-81"/>
        </w:rPr>
        <w:t> </w:t>
      </w:r>
      <w:r>
        <w:rPr>
          <w:spacing w:val="-81"/>
        </w:rPr>
      </w:r>
      <w:r>
        <w:rPr/>
        <w:t>公司之间无非经营性关联交易，公司没有为控股股东及其下属企业提供担保。</w:t>
      </w:r>
    </w:p>
    <w:p>
      <w:pPr>
        <w:pStyle w:val="BodyText"/>
        <w:spacing w:line="408" w:lineRule="auto"/>
        <w:ind w:left="1553" w:right="0"/>
        <w:jc w:val="left"/>
      </w:pPr>
      <w:r>
        <w:rPr/>
        <w:t>（四）董事与董事会 </w:t>
      </w:r>
      <w:r>
        <w:rPr>
          <w:spacing w:val="-6"/>
        </w:rPr>
        <w:t>公司在《公司章程》、《董事会议事规则》中规定规范、透明的董事选聘程序，并严格执行。公司董事</w:t>
      </w:r>
    </w:p>
    <w:p>
      <w:pPr>
        <w:pStyle w:val="BodyText"/>
        <w:spacing w:line="408" w:lineRule="auto"/>
        <w:ind w:right="1131"/>
        <w:jc w:val="both"/>
      </w:pPr>
      <w:r>
        <w:rPr/>
        <w:t>会设董事</w:t>
      </w:r>
      <w:r>
        <w:rPr>
          <w:spacing w:val="-59"/>
        </w:rPr>
        <w:t> </w:t>
      </w:r>
      <w:r>
        <w:rPr>
          <w:rFonts w:ascii="宋体" w:hAnsi="宋体" w:cs="宋体" w:eastAsia="宋体" w:hint="default"/>
        </w:rPr>
        <w:t>9</w:t>
      </w:r>
      <w:r>
        <w:rPr>
          <w:rFonts w:ascii="宋体" w:hAnsi="宋体" w:cs="宋体" w:eastAsia="宋体" w:hint="default"/>
          <w:spacing w:val="-60"/>
        </w:rPr>
        <w:t> </w:t>
      </w:r>
      <w:r>
        <w:rPr/>
        <w:t>名，其中独立董事</w:t>
      </w:r>
      <w:r>
        <w:rPr>
          <w:spacing w:val="-60"/>
        </w:rPr>
        <w:t> </w:t>
      </w:r>
      <w:r>
        <w:rPr>
          <w:rFonts w:ascii="宋体" w:hAnsi="宋体" w:cs="宋体" w:eastAsia="宋体" w:hint="default"/>
        </w:rPr>
        <w:t>3</w:t>
      </w:r>
      <w:r>
        <w:rPr>
          <w:rFonts w:ascii="宋体" w:hAnsi="宋体" w:cs="宋体" w:eastAsia="宋体" w:hint="default"/>
          <w:spacing w:val="-59"/>
        </w:rPr>
        <w:t> </w:t>
      </w:r>
      <w:r>
        <w:rPr/>
        <w:t>名，董事会的人数及人员构成符合法律、法规和《公司章程》的要求。各 </w:t>
      </w:r>
      <w:r>
        <w:rPr>
          <w:spacing w:val="-1"/>
        </w:rPr>
        <w:t>位董事能够依据规定开展工作，勤勉尽责地履行职责和义务，同时积极参加相关培训。独立董事能够不受</w:t>
      </w:r>
      <w:r>
        <w:rPr>
          <w:spacing w:val="-83"/>
        </w:rPr>
        <w:t> </w:t>
      </w:r>
      <w:r>
        <w:rPr>
          <w:spacing w:val="-83"/>
        </w:rPr>
      </w:r>
      <w:r>
        <w:rPr>
          <w:spacing w:val="-1"/>
        </w:rPr>
        <w:t>公司主要股东、实际控制人以及其他与公司存在利害关系的单位或个人的影响，独立履行职责，对公司的</w:t>
      </w:r>
      <w:r>
        <w:rPr>
          <w:spacing w:val="-83"/>
        </w:rPr>
        <w:t> </w:t>
      </w:r>
      <w:r>
        <w:rPr>
          <w:spacing w:val="-83"/>
        </w:rPr>
      </w:r>
      <w:r>
        <w:rPr/>
        <w:t>重大事项均能发表独立意见。</w:t>
      </w:r>
    </w:p>
    <w:p>
      <w:pPr>
        <w:pStyle w:val="BodyText"/>
        <w:spacing w:line="408" w:lineRule="auto"/>
        <w:ind w:left="1554" w:right="0"/>
        <w:jc w:val="left"/>
      </w:pPr>
      <w:r>
        <w:rPr/>
        <w:t>（五）监事与监事会 </w:t>
      </w:r>
      <w:r>
        <w:rPr>
          <w:spacing w:val="-6"/>
        </w:rPr>
        <w:t>公司监事会严格按照《公司法》、《公司章程》和《监事会议事规则》的有关规定，认真履行职责，对</w:t>
      </w:r>
    </w:p>
    <w:p>
      <w:pPr>
        <w:pStyle w:val="BodyText"/>
        <w:spacing w:line="408" w:lineRule="auto"/>
        <w:ind w:left="1134" w:right="1010"/>
        <w:jc w:val="left"/>
      </w:pPr>
      <w:r>
        <w:rPr/>
        <w:t>公司财务状况、重大事项以及公司董事、经理和其他高级管理人员履行职责的合法合规性进行监督。公司 监事会设监事</w:t>
      </w:r>
      <w:r>
        <w:rPr>
          <w:spacing w:val="-32"/>
        </w:rPr>
        <w:t> </w:t>
      </w:r>
      <w:r>
        <w:rPr>
          <w:rFonts w:ascii="宋体" w:hAnsi="宋体" w:cs="宋体" w:eastAsia="宋体" w:hint="default"/>
        </w:rPr>
        <w:t>3</w:t>
      </w:r>
      <w:r>
        <w:rPr>
          <w:rFonts w:ascii="宋体" w:hAnsi="宋体" w:cs="宋体" w:eastAsia="宋体" w:hint="default"/>
          <w:spacing w:val="-32"/>
        </w:rPr>
        <w:t> </w:t>
      </w:r>
      <w:r>
        <w:rPr/>
        <w:t>名，其中职工监事</w:t>
      </w:r>
      <w:r>
        <w:rPr>
          <w:spacing w:val="-32"/>
        </w:rPr>
        <w:t> </w:t>
      </w:r>
      <w:r>
        <w:rPr>
          <w:rFonts w:ascii="宋体" w:hAnsi="宋体" w:cs="宋体" w:eastAsia="宋体" w:hint="default"/>
        </w:rPr>
        <w:t>1</w:t>
      </w:r>
      <w:r>
        <w:rPr>
          <w:rFonts w:ascii="宋体" w:hAnsi="宋体" w:cs="宋体" w:eastAsia="宋体" w:hint="default"/>
          <w:spacing w:val="-32"/>
        </w:rPr>
        <w:t> </w:t>
      </w:r>
      <w:r>
        <w:rPr/>
        <w:t>名，公司监事会的人数、成员构成及监事的任职资格符合相关法律、 法规的要求。监事会能够严格按照《监事会议事规则》的要求召集、召开监事会，表决程序符合法律、法 规的要求。</w:t>
      </w:r>
    </w:p>
    <w:p>
      <w:pPr>
        <w:pStyle w:val="BodyText"/>
        <w:spacing w:line="408" w:lineRule="auto"/>
        <w:ind w:left="1554" w:right="0"/>
        <w:jc w:val="left"/>
      </w:pPr>
      <w:r>
        <w:rPr/>
        <w:t>（六）绩效评价与激励约束机制 公司已建立工作绩效评价体系，使员工的收入与工作绩效挂钩；高级管理人员的聘任能够做到公开、</w:t>
      </w:r>
    </w:p>
    <w:p>
      <w:pPr>
        <w:pStyle w:val="BodyText"/>
        <w:spacing w:line="240" w:lineRule="auto"/>
        <w:ind w:left="1134" w:right="0"/>
        <w:jc w:val="both"/>
      </w:pPr>
      <w:r>
        <w:rPr/>
        <w:t>透明，符合法律、法规的规定；公司建立了经理人员的薪酬与公司业绩和个人业绩相挂钩的激励机制。</w:t>
      </w:r>
    </w:p>
    <w:p>
      <w:pPr>
        <w:spacing w:line="240" w:lineRule="auto" w:before="10"/>
        <w:rPr>
          <w:rFonts w:ascii="宋体" w:hAnsi="宋体" w:cs="宋体" w:eastAsia="宋体" w:hint="default"/>
          <w:sz w:val="14"/>
          <w:szCs w:val="14"/>
        </w:rPr>
      </w:pPr>
    </w:p>
    <w:p>
      <w:pPr>
        <w:pStyle w:val="BodyText"/>
        <w:spacing w:line="408" w:lineRule="auto" w:before="0"/>
        <w:ind w:left="1554" w:right="0"/>
        <w:jc w:val="left"/>
      </w:pPr>
      <w:r>
        <w:rPr/>
        <w:t>（七）相关利益者 </w:t>
      </w:r>
      <w:r>
        <w:rPr>
          <w:spacing w:val="-1"/>
        </w:rPr>
        <w:t>公司能够充分尊重银行及其他债权人、员工、消费者、供应商、经销商等利益相关者的合法权利，与</w:t>
      </w:r>
    </w:p>
    <w:p>
      <w:pPr>
        <w:pStyle w:val="BodyText"/>
        <w:spacing w:line="240" w:lineRule="auto"/>
        <w:ind w:left="1134" w:right="0"/>
        <w:jc w:val="both"/>
      </w:pPr>
      <w:r>
        <w:rPr/>
        <w:t>利益相关者积极合作，共同推动公司持续、健康地发展。</w:t>
      </w:r>
    </w:p>
    <w:p>
      <w:pPr>
        <w:spacing w:line="240" w:lineRule="auto" w:before="10"/>
        <w:rPr>
          <w:rFonts w:ascii="宋体" w:hAnsi="宋体" w:cs="宋体" w:eastAsia="宋体" w:hint="default"/>
          <w:sz w:val="14"/>
          <w:szCs w:val="14"/>
        </w:rPr>
      </w:pPr>
    </w:p>
    <w:p>
      <w:pPr>
        <w:pStyle w:val="BodyText"/>
        <w:spacing w:line="408" w:lineRule="auto" w:before="0"/>
        <w:ind w:left="1554" w:right="1132"/>
        <w:jc w:val="left"/>
      </w:pPr>
      <w:r>
        <w:rPr/>
        <w:t>（八）关于信息披露与透明度 </w:t>
      </w:r>
      <w:r>
        <w:rPr>
          <w:spacing w:val="-10"/>
        </w:rPr>
        <w:t>公司根据《深圳证券交易所创业板股票上市规则》、《上市公司信息披露管理办法》、《公司章程》以及</w:t>
      </w:r>
    </w:p>
    <w:p>
      <w:pPr>
        <w:pStyle w:val="BodyText"/>
        <w:spacing w:line="408" w:lineRule="auto"/>
        <w:ind w:left="1134" w:right="1133"/>
        <w:jc w:val="both"/>
      </w:pPr>
      <w:r>
        <w:rPr>
          <w:spacing w:val="-1"/>
        </w:rPr>
        <w:t>公司《信息披露基本制度》等相关法规制度的规定，认真履行信息披露义务。公司指定董事会秘书负责信</w:t>
      </w:r>
      <w:r>
        <w:rPr>
          <w:spacing w:val="-86"/>
        </w:rPr>
        <w:t> </w:t>
      </w:r>
      <w:r>
        <w:rPr>
          <w:spacing w:val="-86"/>
        </w:rPr>
      </w:r>
      <w:r>
        <w:rPr/>
        <w:t>息披露工作，并负责投资者关系管理，确保公司所有股东能够以平等的机会获得信息。</w:t>
      </w:r>
    </w:p>
    <w:p>
      <w:pPr>
        <w:pStyle w:val="BodyText"/>
        <w:spacing w:line="408" w:lineRule="auto"/>
        <w:ind w:left="1134" w:right="1118" w:firstLine="420"/>
        <w:jc w:val="left"/>
      </w:pPr>
      <w:r>
        <w:rPr>
          <w:spacing w:val="-1"/>
        </w:rPr>
        <w:t>公司指定《证券时报》和巨潮资讯网（</w:t>
      </w:r>
      <w:hyperlink r:id="rId11">
        <w:r>
          <w:rPr>
            <w:rFonts w:ascii="宋体" w:hAnsi="宋体" w:cs="宋体" w:eastAsia="宋体" w:hint="default"/>
            <w:spacing w:val="-1"/>
          </w:rPr>
          <w:t>http://www.cninfo.com.cn</w:t>
        </w:r>
      </w:hyperlink>
      <w:r>
        <w:rPr>
          <w:spacing w:val="-1"/>
        </w:rPr>
        <w:t>）为公司信息披露的指定报纸和网</w:t>
      </w:r>
      <w:r>
        <w:rPr/>
        <w:t> 站。</w:t>
      </w:r>
    </w:p>
    <w:p>
      <w:pPr>
        <w:spacing w:after="0" w:line="408"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left="1553" w:right="2674"/>
        <w:jc w:val="left"/>
      </w:pPr>
      <w:r>
        <w:rPr/>
        <w:t>（九）投资者关系管理情况 </w:t>
      </w:r>
      <w:r>
        <w:rPr>
          <w:spacing w:val="-3"/>
        </w:rPr>
        <w:t>报告期内，公司严格执行《投资者关系管理制度》，认真做好投资者关系管理工作：</w:t>
      </w:r>
      <w:r>
        <w:rPr>
          <w:spacing w:val="-101"/>
        </w:rPr>
        <w:t> </w:t>
      </w:r>
      <w:r>
        <w:rPr>
          <w:spacing w:val="-101"/>
        </w:rPr>
      </w:r>
      <w:r>
        <w:rPr>
          <w:rFonts w:ascii="宋体" w:hAnsi="宋体" w:cs="宋体" w:eastAsia="宋体" w:hint="default"/>
        </w:rPr>
        <w:t>1</w:t>
      </w:r>
      <w:r>
        <w:rPr/>
        <w:t>、日常工作</w:t>
      </w:r>
    </w:p>
    <w:p>
      <w:pPr>
        <w:pStyle w:val="BodyText"/>
        <w:spacing w:line="408" w:lineRule="auto"/>
        <w:ind w:right="1131" w:firstLine="420"/>
        <w:jc w:val="both"/>
      </w:pPr>
      <w:r>
        <w:rPr>
          <w:spacing w:val="-3"/>
        </w:rPr>
        <w:t>（</w:t>
      </w:r>
      <w:r>
        <w:rPr>
          <w:rFonts w:ascii="宋体" w:hAnsi="宋体" w:cs="宋体" w:eastAsia="宋体" w:hint="default"/>
          <w:spacing w:val="-3"/>
        </w:rPr>
        <w:t>1</w:t>
      </w:r>
      <w:r>
        <w:rPr>
          <w:spacing w:val="-3"/>
        </w:rPr>
        <w:t>）积极做好投资者关系管理工作档案的建立和保管，合理、妥善地安排个人投资者、机构投资者、</w:t>
      </w:r>
      <w:r>
        <w:rPr/>
        <w:t> 行业分析师等相关人员到公司进行调研，并切实做好相关信息的保密工作。</w:t>
      </w:r>
    </w:p>
    <w:p>
      <w:pPr>
        <w:pStyle w:val="BodyText"/>
        <w:spacing w:line="408" w:lineRule="auto"/>
        <w:ind w:right="1141" w:firstLine="420"/>
        <w:jc w:val="both"/>
      </w:pPr>
      <w:r>
        <w:rPr/>
        <w:t>（</w:t>
      </w:r>
      <w:r>
        <w:rPr>
          <w:rFonts w:ascii="宋体" w:hAnsi="宋体" w:cs="宋体" w:eastAsia="宋体" w:hint="default"/>
        </w:rPr>
        <w:t>2</w:t>
      </w:r>
      <w:r>
        <w:rPr/>
        <w:t>）通过公司网站、投资者关系管理电话、电子信箱、互动平台等多种渠道与投资者加强沟通，解 答投资者的疑问。</w:t>
      </w:r>
    </w:p>
    <w:p>
      <w:pPr>
        <w:pStyle w:val="BodyText"/>
        <w:spacing w:line="240" w:lineRule="auto"/>
        <w:ind w:left="1553" w:right="0"/>
        <w:jc w:val="left"/>
      </w:pPr>
      <w:r>
        <w:rPr>
          <w:rFonts w:ascii="宋体" w:hAnsi="宋体" w:cs="宋体" w:eastAsia="宋体" w:hint="default"/>
        </w:rPr>
        <w:t>2</w:t>
      </w:r>
      <w:r>
        <w:rPr/>
        <w:t>、互动交流</w:t>
      </w:r>
    </w:p>
    <w:p>
      <w:pPr>
        <w:spacing w:line="240" w:lineRule="auto" w:before="10"/>
        <w:rPr>
          <w:rFonts w:ascii="宋体" w:hAnsi="宋体" w:cs="宋体" w:eastAsia="宋体" w:hint="default"/>
          <w:sz w:val="14"/>
          <w:szCs w:val="14"/>
        </w:rPr>
      </w:pPr>
    </w:p>
    <w:p>
      <w:pPr>
        <w:pStyle w:val="BodyText"/>
        <w:spacing w:line="408" w:lineRule="auto" w:before="0"/>
        <w:ind w:right="1132" w:firstLine="420"/>
        <w:jc w:val="both"/>
      </w:pPr>
      <w:r>
        <w:rPr/>
        <w:t>（</w:t>
      </w:r>
      <w:r>
        <w:rPr>
          <w:rFonts w:ascii="宋体" w:hAnsi="宋体" w:cs="宋体" w:eastAsia="宋体" w:hint="default"/>
        </w:rPr>
        <w:t>1</w:t>
      </w:r>
      <w:r>
        <w:rPr/>
        <w:t>）报告期内，公司于</w:t>
      </w:r>
      <w:r>
        <w:rPr>
          <w:spacing w:val="-57"/>
        </w:rPr>
        <w:t> </w:t>
      </w:r>
      <w:r>
        <w:rPr>
          <w:rFonts w:ascii="宋体" w:hAnsi="宋体" w:cs="宋体" w:eastAsia="宋体" w:hint="default"/>
        </w:rPr>
        <w:t>2017</w:t>
      </w:r>
      <w:r>
        <w:rPr>
          <w:rFonts w:ascii="宋体" w:hAnsi="宋体" w:cs="宋体" w:eastAsia="宋体" w:hint="default"/>
          <w:spacing w:val="-57"/>
        </w:rPr>
        <w:t> </w:t>
      </w:r>
      <w:r>
        <w:rPr/>
        <w:t>年</w:t>
      </w:r>
      <w:r>
        <w:rPr>
          <w:spacing w:val="-58"/>
        </w:rPr>
        <w:t> </w:t>
      </w:r>
      <w:r>
        <w:rPr>
          <w:rFonts w:ascii="宋体" w:hAnsi="宋体" w:cs="宋体" w:eastAsia="宋体" w:hint="default"/>
        </w:rPr>
        <w:t>5</w:t>
      </w:r>
      <w:r>
        <w:rPr>
          <w:rFonts w:ascii="宋体" w:hAnsi="宋体" w:cs="宋体" w:eastAsia="宋体" w:hint="default"/>
          <w:spacing w:val="-56"/>
        </w:rPr>
        <w:t> </w:t>
      </w:r>
      <w:r>
        <w:rPr/>
        <w:t>月</w:t>
      </w:r>
      <w:r>
        <w:rPr>
          <w:spacing w:val="-57"/>
        </w:rPr>
        <w:t> </w:t>
      </w:r>
      <w:r>
        <w:rPr>
          <w:rFonts w:ascii="宋体" w:hAnsi="宋体" w:cs="宋体" w:eastAsia="宋体" w:hint="default"/>
        </w:rPr>
        <w:t>3</w:t>
      </w:r>
      <w:r>
        <w:rPr>
          <w:rFonts w:ascii="宋体" w:hAnsi="宋体" w:cs="宋体" w:eastAsia="宋体" w:hint="default"/>
          <w:spacing w:val="-57"/>
        </w:rPr>
        <w:t> </w:t>
      </w:r>
      <w:r>
        <w:rPr/>
        <w:t>日通过投资者互动平台（</w:t>
      </w:r>
      <w:hyperlink r:id="rId15">
        <w:r>
          <w:rPr>
            <w:rFonts w:ascii="宋体" w:hAnsi="宋体" w:cs="宋体" w:eastAsia="宋体" w:hint="default"/>
          </w:rPr>
          <w:t>http://rs.p5w.net</w:t>
        </w:r>
      </w:hyperlink>
      <w:r>
        <w:rPr/>
        <w:t>）举行了</w:t>
      </w:r>
      <w:r>
        <w:rPr>
          <w:spacing w:val="-57"/>
        </w:rPr>
        <w:t> </w:t>
      </w:r>
      <w:r>
        <w:rPr>
          <w:rFonts w:ascii="宋体" w:hAnsi="宋体" w:cs="宋体" w:eastAsia="宋体" w:hint="default"/>
        </w:rPr>
        <w:t>2016</w:t>
      </w:r>
      <w:r>
        <w:rPr>
          <w:rFonts w:ascii="宋体" w:hAnsi="宋体" w:cs="宋体" w:eastAsia="宋体" w:hint="default"/>
          <w:spacing w:val="-58"/>
        </w:rPr>
        <w:t> </w:t>
      </w:r>
      <w:r>
        <w:rPr/>
        <w:t>年 </w:t>
      </w:r>
      <w:r>
        <w:rPr>
          <w:spacing w:val="-1"/>
        </w:rPr>
        <w:t>年度报告网上业绩说明会，公司董事长任红军先生，总经理张潇君先生，董事会秘书肖锋、财务负责人刘</w:t>
      </w:r>
      <w:r>
        <w:rPr>
          <w:spacing w:val="-86"/>
        </w:rPr>
        <w:t> </w:t>
      </w:r>
      <w:r>
        <w:rPr>
          <w:spacing w:val="-86"/>
        </w:rPr>
      </w:r>
      <w:r>
        <w:rPr/>
        <w:t>瑞玲女士，独立董事赵向阳先生参加了网上说明会，与广大投资者进行坦诚的沟通和交流。</w:t>
      </w:r>
    </w:p>
    <w:p>
      <w:pPr>
        <w:pStyle w:val="BodyText"/>
        <w:spacing w:line="408" w:lineRule="auto"/>
        <w:ind w:right="1032" w:firstLine="420"/>
        <w:jc w:val="both"/>
      </w:pPr>
      <w:r>
        <w:rPr>
          <w:spacing w:val="-3"/>
        </w:rPr>
        <w:t>（</w:t>
      </w:r>
      <w:r>
        <w:rPr>
          <w:rFonts w:ascii="宋体" w:hAnsi="宋体" w:cs="宋体" w:eastAsia="宋体" w:hint="default"/>
          <w:spacing w:val="-3"/>
        </w:rPr>
        <w:t>2</w:t>
      </w:r>
      <w:r>
        <w:rPr>
          <w:spacing w:val="-3"/>
        </w:rPr>
        <w:t>）报告期内，公司通过“投资者关系互动平台”（</w:t>
      </w:r>
      <w:hyperlink r:id="rId16">
        <w:r>
          <w:rPr>
            <w:rFonts w:ascii="宋体" w:hAnsi="宋体" w:cs="宋体" w:eastAsia="宋体" w:hint="default"/>
            <w:spacing w:val="-3"/>
          </w:rPr>
          <w:t>http://ircs.p5w.net/ircs/ssgs/index.do</w:t>
        </w:r>
      </w:hyperlink>
      <w:r>
        <w:rPr>
          <w:spacing w:val="-3"/>
        </w:rPr>
        <w:t>），</w:t>
      </w:r>
      <w:r>
        <w:rPr>
          <w:spacing w:val="-101"/>
        </w:rPr>
        <w:t> </w:t>
      </w:r>
      <w:r>
        <w:rPr>
          <w:spacing w:val="-5"/>
        </w:rPr>
        <w:t>就投资者关心的问题进行了充分、深入、详细的分析、说明和答复，建立了投资者与公司之间规范、直接、</w:t>
      </w:r>
      <w:r>
        <w:rPr/>
        <w:t> 快速的交流与沟通渠道，提高了公司规范运作水平，更好的保护了投资者特别是中小投资者的合法权益。</w:t>
      </w:r>
    </w:p>
    <w:p>
      <w:pPr>
        <w:pStyle w:val="BodyText"/>
        <w:spacing w:line="408" w:lineRule="auto"/>
        <w:ind w:left="1554" w:right="0"/>
        <w:jc w:val="left"/>
      </w:pPr>
      <w:r>
        <w:rPr>
          <w:rFonts w:ascii="宋体" w:hAnsi="宋体" w:cs="宋体" w:eastAsia="宋体" w:hint="default"/>
        </w:rPr>
        <w:t>(</w:t>
      </w:r>
      <w:r>
        <w:rPr/>
        <w:t>十</w:t>
      </w:r>
      <w:r>
        <w:rPr>
          <w:rFonts w:ascii="宋体" w:hAnsi="宋体" w:cs="宋体" w:eastAsia="宋体" w:hint="default"/>
        </w:rPr>
        <w:t>)</w:t>
      </w:r>
      <w:r>
        <w:rPr/>
        <w:t>公司董事长、独立董事及其他董事履行职责情况 </w:t>
      </w:r>
      <w:r>
        <w:rPr>
          <w:rFonts w:ascii="宋体" w:hAnsi="宋体" w:cs="宋体" w:eastAsia="宋体" w:hint="default"/>
          <w:spacing w:val="-8"/>
        </w:rPr>
        <w:t>1</w:t>
      </w:r>
      <w:r>
        <w:rPr>
          <w:spacing w:val="-8"/>
        </w:rPr>
        <w:t>、报告期内，公司全体董事严格按照《公司法》、《证券法》、《深圳证券交易所创业板上市公司规范</w:t>
      </w:r>
    </w:p>
    <w:p>
      <w:pPr>
        <w:pStyle w:val="BodyText"/>
        <w:spacing w:line="408" w:lineRule="auto"/>
        <w:ind w:left="1134" w:right="1131"/>
        <w:jc w:val="both"/>
      </w:pPr>
      <w:r>
        <w:rPr>
          <w:spacing w:val="-1"/>
        </w:rPr>
        <w:t>运作指引》等法律、法规及规章制度的规定和要求，履行董事职责，积极参加相关培训，提高规范运作水</w:t>
      </w:r>
      <w:r>
        <w:rPr>
          <w:spacing w:val="-83"/>
        </w:rPr>
        <w:t> </w:t>
      </w:r>
      <w:r>
        <w:rPr>
          <w:spacing w:val="-83"/>
        </w:rPr>
      </w:r>
      <w:r>
        <w:rPr>
          <w:spacing w:val="-1"/>
        </w:rPr>
        <w:t>平。董事在董事会会议投票表决重大事项或其他对公司有重大影响的事项时，严格遵循公司董事会议事规</w:t>
      </w:r>
      <w:r>
        <w:rPr>
          <w:spacing w:val="-81"/>
        </w:rPr>
        <w:t> </w:t>
      </w:r>
      <w:r>
        <w:rPr>
          <w:spacing w:val="-81"/>
        </w:rPr>
      </w:r>
      <w:r>
        <w:rPr/>
        <w:t>则的有关审议规定，审慎决策，切实保护公司和股东特别是社会公众股股东的利益。</w:t>
      </w:r>
    </w:p>
    <w:p>
      <w:pPr>
        <w:pStyle w:val="BodyText"/>
        <w:spacing w:line="408" w:lineRule="auto"/>
        <w:ind w:right="1129" w:firstLine="420"/>
        <w:jc w:val="both"/>
      </w:pPr>
      <w:r>
        <w:rPr>
          <w:rFonts w:ascii="宋体" w:hAnsi="宋体" w:cs="宋体" w:eastAsia="宋体" w:hint="default"/>
          <w:spacing w:val="-8"/>
        </w:rPr>
        <w:t>2</w:t>
      </w:r>
      <w:r>
        <w:rPr>
          <w:spacing w:val="-8"/>
        </w:rPr>
        <w:t>、公司董事长在履行职责时，严格按照《公司法》、《证券法》、《深圳证券交易所创业板上市公司规</w:t>
      </w:r>
      <w:r>
        <w:rPr/>
        <w:t> </w:t>
      </w:r>
      <w:r>
        <w:rPr>
          <w:spacing w:val="-1"/>
        </w:rPr>
        <w:t>范运作指引》和《公司章程》规定，行使董事长职权，履行职责。在召集、主持董事会会议时，积极推动</w:t>
      </w:r>
      <w:r>
        <w:rPr>
          <w:spacing w:val="-85"/>
        </w:rPr>
        <w:t> </w:t>
      </w:r>
      <w:r>
        <w:rPr>
          <w:spacing w:val="-85"/>
        </w:rPr>
      </w:r>
      <w:r>
        <w:rPr/>
        <w:t>公司治理工作和内部控制建设、督促执行股东大会和董事会的各项决议，确保董事会依法正常运作。</w:t>
      </w:r>
    </w:p>
    <w:p>
      <w:pPr>
        <w:pStyle w:val="BodyText"/>
        <w:spacing w:line="405" w:lineRule="auto"/>
        <w:ind w:right="1118" w:firstLine="420"/>
        <w:jc w:val="left"/>
        <w:rPr>
          <w:sz w:val="18"/>
          <w:szCs w:val="18"/>
        </w:rPr>
      </w:pPr>
      <w:r>
        <w:rPr>
          <w:rFonts w:ascii="宋体" w:hAnsi="宋体" w:cs="宋体" w:eastAsia="宋体" w:hint="default"/>
        </w:rPr>
        <w:t>3</w:t>
      </w:r>
      <w:r>
        <w:rPr/>
        <w:t>、公司独立董事认真履行职责，积极准时出席相关会议，认真审议各项议案，客观的发表自己的看 </w:t>
      </w:r>
      <w:r>
        <w:rPr>
          <w:spacing w:val="-1"/>
        </w:rPr>
        <w:t>法及观点，努力维护公司整体利益及中小股东的合法权益。同时积极深入公司现场调查，了解公司生产经</w:t>
      </w:r>
      <w:r>
        <w:rPr>
          <w:spacing w:val="-83"/>
        </w:rPr>
        <w:t> </w:t>
      </w:r>
      <w:r>
        <w:rPr>
          <w:spacing w:val="-83"/>
        </w:rPr>
      </w:r>
      <w:r>
        <w:rPr>
          <w:spacing w:val="-1"/>
        </w:rPr>
        <w:t>营状况和内部控制的建设及董事会及股东会决议的执行情况，为公司经营和发展提出合理意见和建议。独</w:t>
      </w:r>
      <w:r>
        <w:rPr>
          <w:spacing w:val="-81"/>
        </w:rPr>
        <w:t> </w:t>
      </w:r>
      <w:r>
        <w:rPr>
          <w:spacing w:val="-81"/>
        </w:rPr>
      </w:r>
      <w:r>
        <w:rPr/>
        <w:t>立董事对</w:t>
      </w:r>
      <w:r>
        <w:rPr>
          <w:spacing w:val="-52"/>
        </w:rPr>
        <w:t> </w:t>
      </w:r>
      <w:r>
        <w:rPr>
          <w:rFonts w:ascii="宋体" w:hAnsi="宋体" w:cs="宋体" w:eastAsia="宋体" w:hint="default"/>
        </w:rPr>
        <w:t>2017</w:t>
      </w:r>
      <w:r>
        <w:rPr>
          <w:rFonts w:ascii="宋体" w:hAnsi="宋体" w:cs="宋体" w:eastAsia="宋体" w:hint="default"/>
          <w:spacing w:val="-53"/>
        </w:rPr>
        <w:t> </w:t>
      </w:r>
      <w:r>
        <w:rPr/>
        <w:t>年度公司审议的各项事项没有提出异议。 </w:t>
      </w:r>
      <w:r>
        <w:rPr>
          <w:sz w:val="18"/>
          <w:szCs w:val="18"/>
        </w:rPr>
        <w:t>公司治理的实际状况与中国证监会发布的有关上市公司治理的规范性文件是否存在重大差异</w:t>
      </w:r>
    </w:p>
    <w:p>
      <w:pPr>
        <w:spacing w:line="338" w:lineRule="auto" w:before="0"/>
        <w:ind w:left="1133" w:right="35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spacing w:after="0" w:line="338"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both"/>
        <w:rPr>
          <w:b w:val="0"/>
          <w:bCs w:val="0"/>
        </w:rPr>
      </w:pPr>
      <w:bookmarkStart w:name="二、公司相对于控股股东在业务、人员、资产、机构、财务等方面的独立情况" w:id="132"/>
      <w:bookmarkEnd w:id="132"/>
      <w:r>
        <w:rPr>
          <w:b w:val="0"/>
          <w:bCs w:val="0"/>
        </w:rPr>
      </w:r>
      <w:r>
        <w:rPr/>
        <w:t>二、公司相对于控股股东在业务、人员、资产、机构、财务等方面的独立情况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left="1553" w:right="0"/>
        <w:jc w:val="left"/>
      </w:pPr>
      <w:r>
        <w:rPr/>
        <w:t>（一）业务独立 </w:t>
      </w:r>
      <w:r>
        <w:rPr>
          <w:spacing w:val="-1"/>
        </w:rPr>
        <w:t>公司从事传感器及物联网系统解决方案业务，拥有独立完整的研发、采购、生产和销售业务体系，具</w:t>
      </w:r>
    </w:p>
    <w:p>
      <w:pPr>
        <w:pStyle w:val="BodyText"/>
        <w:spacing w:line="408" w:lineRule="auto"/>
        <w:ind w:right="1131"/>
        <w:jc w:val="both"/>
      </w:pPr>
      <w:r>
        <w:rPr>
          <w:spacing w:val="-1"/>
        </w:rPr>
        <w:t>有直接面向市场独立经营的能力，不存在其他需要依赖控股股东、实际控制人及其控制的其他企业进行经</w:t>
      </w:r>
      <w:r>
        <w:rPr>
          <w:spacing w:val="-81"/>
        </w:rPr>
        <w:t> </w:t>
      </w:r>
      <w:r>
        <w:rPr>
          <w:spacing w:val="-81"/>
        </w:rPr>
      </w:r>
      <w:r>
        <w:rPr>
          <w:spacing w:val="-1"/>
        </w:rPr>
        <w:t>营活动的情况。主要股东、实际控制人及其控制的其他企业均不从事同类业务。本公司与控股股东、实际</w:t>
      </w:r>
      <w:r>
        <w:rPr>
          <w:spacing w:val="-86"/>
        </w:rPr>
        <w:t> </w:t>
      </w:r>
      <w:r>
        <w:rPr>
          <w:spacing w:val="-86"/>
        </w:rPr>
      </w:r>
      <w:r>
        <w:rPr/>
        <w:t>控制人不存在同业竞争。</w:t>
      </w:r>
    </w:p>
    <w:p>
      <w:pPr>
        <w:pStyle w:val="BodyText"/>
        <w:spacing w:line="408" w:lineRule="auto"/>
        <w:ind w:left="1553" w:right="0"/>
        <w:jc w:val="left"/>
      </w:pPr>
      <w:r>
        <w:rPr/>
        <w:t>（二）人员独立 </w:t>
      </w:r>
      <w:r>
        <w:rPr>
          <w:spacing w:val="-6"/>
        </w:rPr>
        <w:t>公司设有人力资源管理部门，公司的人事及工资管理与股东完全独立。公司董事、监事均严格按照《公</w:t>
      </w:r>
    </w:p>
    <w:p>
      <w:pPr>
        <w:pStyle w:val="BodyText"/>
        <w:spacing w:line="408" w:lineRule="auto"/>
        <w:ind w:right="1131"/>
        <w:jc w:val="both"/>
      </w:pPr>
      <w:r>
        <w:rPr>
          <w:spacing w:val="-1"/>
        </w:rPr>
        <w:t>司法》和《公司章程》的有关规定选举产生，高级管理人员均由董事会聘任，不存在控股股东、实际控制</w:t>
      </w:r>
      <w:r>
        <w:rPr>
          <w:spacing w:val="-83"/>
        </w:rPr>
        <w:t> </w:t>
      </w:r>
      <w:r>
        <w:rPr>
          <w:spacing w:val="-83"/>
        </w:rPr>
      </w:r>
      <w:r>
        <w:rPr>
          <w:spacing w:val="-1"/>
        </w:rPr>
        <w:t>人及其他关联方干涉公司人事任免的情况，不存在有关法律、法规禁止的兼职情况。公司总经理、副总经</w:t>
      </w:r>
      <w:r>
        <w:rPr>
          <w:spacing w:val="-86"/>
        </w:rPr>
        <w:t> </w:t>
      </w:r>
      <w:r>
        <w:rPr>
          <w:spacing w:val="-86"/>
        </w:rPr>
      </w:r>
      <w:r>
        <w:rPr>
          <w:spacing w:val="-1"/>
        </w:rPr>
        <w:t>理、财务总监、董事会秘书等高级管理人员均专职在本公司工作并领取报酬，未在股东控制的其他关联企</w:t>
      </w:r>
      <w:r>
        <w:rPr>
          <w:spacing w:val="-83"/>
        </w:rPr>
        <w:t> </w:t>
      </w:r>
      <w:r>
        <w:rPr>
          <w:spacing w:val="-83"/>
        </w:rPr>
      </w:r>
      <w:r>
        <w:rPr/>
        <w:t>业担任职务，不存在交叉任职的情况；本公司的财务人员亦未在实际控制人控制的其他企业中兼职。</w:t>
      </w:r>
    </w:p>
    <w:p>
      <w:pPr>
        <w:pStyle w:val="BodyText"/>
        <w:spacing w:line="408" w:lineRule="auto"/>
        <w:ind w:left="1553" w:right="0"/>
        <w:jc w:val="left"/>
      </w:pPr>
      <w:r>
        <w:rPr/>
        <w:t>（三）资产完整 </w:t>
      </w:r>
      <w:r>
        <w:rPr>
          <w:spacing w:val="-1"/>
        </w:rPr>
        <w:t>公司拥有开展生产经营所必备的独立完整的资产，合法拥有与生产经营相关的房产、设备、土地以及</w:t>
      </w:r>
    </w:p>
    <w:p>
      <w:pPr>
        <w:pStyle w:val="BodyText"/>
        <w:spacing w:line="408" w:lineRule="auto"/>
        <w:ind w:right="1133"/>
        <w:jc w:val="both"/>
      </w:pPr>
      <w:r>
        <w:rPr>
          <w:spacing w:val="-1"/>
        </w:rPr>
        <w:t>商标、专利、非专利技术的所有权或使用权，相关资产不存在权属纠纷，公司资产、资金和其他资源不存</w:t>
      </w:r>
      <w:r>
        <w:rPr>
          <w:spacing w:val="-83"/>
        </w:rPr>
        <w:t> </w:t>
      </w:r>
      <w:r>
        <w:rPr>
          <w:spacing w:val="-83"/>
        </w:rPr>
      </w:r>
      <w:r>
        <w:rPr/>
        <w:t>在被控股股东、实际控制人及其他关联方控制和占用的情形。</w:t>
      </w:r>
    </w:p>
    <w:p>
      <w:pPr>
        <w:pStyle w:val="BodyText"/>
        <w:spacing w:line="408" w:lineRule="auto"/>
        <w:ind w:left="1553" w:right="0"/>
        <w:jc w:val="left"/>
      </w:pPr>
      <w:r>
        <w:rPr/>
        <w:t>（四）机构独立 </w:t>
      </w:r>
      <w:r>
        <w:rPr>
          <w:spacing w:val="-6"/>
        </w:rPr>
        <w:t>公司根据《公司法》、《上市公司章程指引》等有关法律、法规和规范性文件的相关规定，按照法定程</w:t>
      </w:r>
    </w:p>
    <w:p>
      <w:pPr>
        <w:pStyle w:val="BodyText"/>
        <w:spacing w:line="408" w:lineRule="auto"/>
        <w:ind w:right="1131"/>
        <w:jc w:val="both"/>
      </w:pPr>
      <w:r>
        <w:rPr>
          <w:spacing w:val="-1"/>
        </w:rPr>
        <w:t>序制订了《公司章程》，建立了股东大会、董事会、监事会的法人治理结构，并设置了相应的组织机构。</w:t>
      </w:r>
      <w:r>
        <w:rPr>
          <w:spacing w:val="-94"/>
        </w:rPr>
        <w:t> </w:t>
      </w:r>
      <w:r>
        <w:rPr>
          <w:spacing w:val="-94"/>
        </w:rPr>
      </w:r>
      <w:r>
        <w:rPr>
          <w:spacing w:val="-1"/>
        </w:rPr>
        <w:t>本公司具有独立的生产经营和办公机构，完全独立于控股股东及实际控制人，不存在混合经营、合署办公</w:t>
      </w:r>
      <w:r>
        <w:rPr>
          <w:spacing w:val="-83"/>
        </w:rPr>
        <w:t> </w:t>
      </w:r>
      <w:r>
        <w:rPr>
          <w:spacing w:val="-83"/>
        </w:rPr>
      </w:r>
      <w:r>
        <w:rPr/>
        <w:t>的情况，控股股东及其他任何单位或个人均未干预本公司的机构设置和生产经营活动。</w:t>
      </w:r>
    </w:p>
    <w:p>
      <w:pPr>
        <w:pStyle w:val="BodyText"/>
        <w:spacing w:line="408" w:lineRule="auto"/>
        <w:ind w:left="1553" w:right="0"/>
        <w:jc w:val="left"/>
      </w:pPr>
      <w:r>
        <w:rPr/>
        <w:t>（五）财务独立 </w:t>
      </w:r>
      <w:r>
        <w:rPr>
          <w:spacing w:val="-1"/>
        </w:rPr>
        <w:t>公司设立独立的财务部门负责本公司的会计核算和财务管理工作。公司财务负责人及财务人员均专职</w:t>
      </w:r>
    </w:p>
    <w:p>
      <w:pPr>
        <w:pStyle w:val="BodyText"/>
        <w:spacing w:line="408" w:lineRule="auto"/>
        <w:ind w:right="1130"/>
        <w:jc w:val="both"/>
      </w:pPr>
      <w:r>
        <w:rPr>
          <w:spacing w:val="-5"/>
        </w:rPr>
        <w:t>在本公司工作并领取薪酬，未在与本公司业务相同或相似、或存在其他利益冲突的企业任职。公司按照《会</w:t>
      </w:r>
      <w:r>
        <w:rPr>
          <w:spacing w:val="-102"/>
        </w:rPr>
        <w:t> </w:t>
      </w:r>
      <w:r>
        <w:rPr>
          <w:spacing w:val="-102"/>
        </w:rPr>
      </w:r>
      <w:r>
        <w:rPr>
          <w:spacing w:val="-10"/>
        </w:rPr>
        <w:t>计法》、《企业会计准则》等法律法规的要求，建立了符合自身特点的独立的会计核算体系和财务管理制度。</w:t>
      </w:r>
      <w:r>
        <w:rPr>
          <w:spacing w:val="-68"/>
        </w:rPr>
        <w:t> </w:t>
      </w:r>
      <w:r>
        <w:rPr>
          <w:spacing w:val="-68"/>
        </w:rPr>
      </w:r>
      <w:r>
        <w:rPr>
          <w:spacing w:val="-1"/>
        </w:rPr>
        <w:t>公司开设独立的银行账户，且作为独立纳税人依法纳税。公司能够依据《公司章程》和相关财务制度独立</w:t>
      </w:r>
      <w:r>
        <w:rPr>
          <w:spacing w:val="-86"/>
        </w:rPr>
        <w:t> </w:t>
      </w:r>
      <w:r>
        <w:rPr>
          <w:spacing w:val="-86"/>
        </w:rPr>
      </w:r>
      <w:r>
        <w:rPr/>
        <w:t>做出财务决策，不存在公司股东或其他关联方干预公司资金使用的情况；公司独立对外签订各项合同。</w:t>
      </w:r>
    </w:p>
    <w:p>
      <w:pPr>
        <w:spacing w:after="0" w:line="408" w:lineRule="auto"/>
        <w:jc w:val="both"/>
        <w:sectPr>
          <w:pgSz w:w="11910" w:h="16840"/>
          <w:pgMar w:header="747" w:footer="979" w:top="1060" w:bottom="1160" w:left="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三、同业竞争情况" w:id="133"/>
      <w:bookmarkEnd w:id="133"/>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四、报告期内召开的年度股东大会和临时股东大会的有关情况" w:id="134"/>
      <w:bookmarkEnd w:id="134"/>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本报告期股东大会情况" w:id="135"/>
      <w:bookmarkEnd w:id="135"/>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18" w:type="dxa"/>
        <w:tblLayout w:type="fixed"/>
        <w:tblCellMar>
          <w:top w:w="0" w:type="dxa"/>
          <w:left w:w="0" w:type="dxa"/>
          <w:bottom w:w="0" w:type="dxa"/>
          <w:right w:w="0" w:type="dxa"/>
        </w:tblCellMar>
        <w:tblLook w:val="01E0"/>
      </w:tblPr>
      <w:tblGrid>
        <w:gridCol w:w="1277"/>
        <w:gridCol w:w="852"/>
        <w:gridCol w:w="1416"/>
        <w:gridCol w:w="1560"/>
        <w:gridCol w:w="1700"/>
        <w:gridCol w:w="2762"/>
      </w:tblGrid>
      <w:tr>
        <w:trPr>
          <w:trHeight w:val="412" w:hRule="exact"/>
        </w:trPr>
        <w:tc>
          <w:tcPr>
            <w:tcW w:w="1277"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26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852"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41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投资者参与比例</w:t>
            </w:r>
          </w:p>
        </w:tc>
        <w:tc>
          <w:tcPr>
            <w:tcW w:w="156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70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2762"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4" w:hRule="exact"/>
        </w:trPr>
        <w:tc>
          <w:tcPr>
            <w:tcW w:w="1277" w:type="dxa"/>
            <w:tcBorders>
              <w:top w:val="single" w:sz="4" w:space="0" w:color="000000"/>
              <w:left w:val="single" w:sz="12" w:space="0" w:color="000000"/>
              <w:bottom w:val="single" w:sz="4" w:space="0" w:color="000000"/>
              <w:right w:val="single" w:sz="4" w:space="0" w:color="000000"/>
            </w:tcBorders>
          </w:tcPr>
          <w:p>
            <w:pPr>
              <w:pStyle w:val="TableParagraph"/>
              <w:spacing w:line="302" w:lineRule="auto" w:before="51"/>
              <w:ind w:left="13" w:right="11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 临时股东大会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96"/>
              <w:jc w:val="left"/>
              <w:rPr>
                <w:rFonts w:ascii="宋体" w:hAnsi="宋体" w:cs="宋体" w:eastAsia="宋体" w:hint="default"/>
                <w:sz w:val="18"/>
                <w:szCs w:val="18"/>
              </w:rPr>
            </w:pPr>
            <w:r>
              <w:rPr>
                <w:rFonts w:ascii="宋体" w:hAnsi="宋体" w:cs="宋体" w:eastAsia="宋体" w:hint="default"/>
                <w:sz w:val="18"/>
                <w:szCs w:val="18"/>
              </w:rPr>
              <w:t>临时股东 大会</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43.94%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762" w:type="dxa"/>
            <w:tcBorders>
              <w:top w:val="single" w:sz="4" w:space="0" w:color="000000"/>
              <w:left w:val="single" w:sz="4" w:space="0" w:color="000000"/>
              <w:bottom w:val="single" w:sz="4" w:space="0" w:color="000000"/>
              <w:right w:val="single" w:sz="12" w:space="0" w:color="000000"/>
            </w:tcBorders>
          </w:tcPr>
          <w:p>
            <w:pPr>
              <w:pStyle w:val="TableParagraph"/>
              <w:spacing w:line="302" w:lineRule="auto" w:before="51"/>
              <w:ind w:left="22" w:right="95"/>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www.cninfo.com.cn,</w:t>
            </w:r>
            <w:r>
              <w:rPr>
                <w:rFonts w:ascii="宋体" w:hAnsi="宋体" w:cs="宋体" w:eastAsia="宋体" w:hint="default"/>
                <w:sz w:val="18"/>
                <w:szCs w:val="18"/>
              </w:rPr>
              <w:t>公 告编号为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2017-002</w:t>
            </w:r>
          </w:p>
        </w:tc>
      </w:tr>
      <w:tr>
        <w:trPr>
          <w:trHeight w:val="724" w:hRule="exact"/>
        </w:trPr>
        <w:tc>
          <w:tcPr>
            <w:tcW w:w="1277" w:type="dxa"/>
            <w:tcBorders>
              <w:top w:val="single" w:sz="4" w:space="0" w:color="000000"/>
              <w:left w:val="single" w:sz="12" w:space="0" w:color="000000"/>
              <w:bottom w:val="single" w:sz="12" w:space="0" w:color="000000"/>
              <w:right w:val="single" w:sz="4" w:space="0" w:color="000000"/>
            </w:tcBorders>
          </w:tcPr>
          <w:p>
            <w:pPr>
              <w:pStyle w:val="TableParagraph"/>
              <w:spacing w:line="302" w:lineRule="auto" w:before="51"/>
              <w:ind w:left="13" w:right="117"/>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 东大会</w:t>
            </w:r>
          </w:p>
        </w:tc>
        <w:tc>
          <w:tcPr>
            <w:tcW w:w="852" w:type="dxa"/>
            <w:tcBorders>
              <w:top w:val="single" w:sz="4" w:space="0" w:color="000000"/>
              <w:left w:val="single" w:sz="4" w:space="0" w:color="000000"/>
              <w:bottom w:val="single" w:sz="12" w:space="0" w:color="000000"/>
              <w:right w:val="single" w:sz="4" w:space="0" w:color="000000"/>
            </w:tcBorders>
          </w:tcPr>
          <w:p>
            <w:pPr>
              <w:pStyle w:val="TableParagraph"/>
              <w:spacing w:line="319" w:lineRule="auto" w:before="51"/>
              <w:ind w:left="23" w:right="96"/>
              <w:jc w:val="left"/>
              <w:rPr>
                <w:rFonts w:ascii="宋体" w:hAnsi="宋体" w:cs="宋体" w:eastAsia="宋体" w:hint="default"/>
                <w:sz w:val="18"/>
                <w:szCs w:val="18"/>
              </w:rPr>
            </w:pPr>
            <w:r>
              <w:rPr>
                <w:rFonts w:ascii="宋体" w:hAnsi="宋体" w:cs="宋体" w:eastAsia="宋体" w:hint="default"/>
                <w:sz w:val="18"/>
                <w:szCs w:val="18"/>
              </w:rPr>
              <w:t>年度股东 大会</w:t>
            </w:r>
          </w:p>
        </w:tc>
        <w:tc>
          <w:tcPr>
            <w:tcW w:w="14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44.29%</w:t>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762" w:type="dxa"/>
            <w:tcBorders>
              <w:top w:val="single" w:sz="4" w:space="0" w:color="000000"/>
              <w:left w:val="single" w:sz="4" w:space="0" w:color="000000"/>
              <w:bottom w:val="single" w:sz="12" w:space="0" w:color="000000"/>
              <w:right w:val="single" w:sz="12" w:space="0" w:color="000000"/>
            </w:tcBorders>
          </w:tcPr>
          <w:p>
            <w:pPr>
              <w:pStyle w:val="TableParagraph"/>
              <w:spacing w:line="302" w:lineRule="auto" w:before="51"/>
              <w:ind w:left="22" w:right="95"/>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www.cninfo.com.cn,</w:t>
            </w:r>
            <w:r>
              <w:rPr>
                <w:rFonts w:ascii="宋体" w:hAnsi="宋体" w:cs="宋体" w:eastAsia="宋体" w:hint="default"/>
                <w:sz w:val="18"/>
                <w:szCs w:val="18"/>
              </w:rPr>
              <w:t>公 告编号为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2017-044</w:t>
            </w:r>
          </w:p>
        </w:tc>
      </w:tr>
    </w:tbl>
    <w:p>
      <w:pPr>
        <w:spacing w:line="240" w:lineRule="auto" w:before="2"/>
        <w:rPr>
          <w:rFonts w:ascii="宋体" w:hAnsi="宋体" w:cs="宋体" w:eastAsia="宋体" w:hint="default"/>
          <w:b/>
          <w:bCs/>
          <w:sz w:val="19"/>
          <w:szCs w:val="19"/>
        </w:rPr>
      </w:pPr>
    </w:p>
    <w:p>
      <w:pPr>
        <w:pStyle w:val="Heading4"/>
        <w:spacing w:line="240" w:lineRule="auto" w:before="35"/>
        <w:ind w:left="1134" w:right="0"/>
        <w:jc w:val="left"/>
        <w:rPr>
          <w:b w:val="0"/>
          <w:bCs w:val="0"/>
        </w:rPr>
      </w:pPr>
      <w:bookmarkStart w:name="2、表决权恢复的优先股股东请求召开临时股东大会" w:id="136"/>
      <w:bookmarkEnd w:id="136"/>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报告期内独立董事履行职责的情况" w:id="137"/>
      <w:bookmarkEnd w:id="137"/>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独立董事出席董事会及股东大会的情况" w:id="138"/>
      <w:bookmarkEnd w:id="138"/>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18" w:type="dxa"/>
        <w:tblLayout w:type="fixed"/>
        <w:tblCellMar>
          <w:top w:w="0" w:type="dxa"/>
          <w:left w:w="0" w:type="dxa"/>
          <w:bottom w:w="0" w:type="dxa"/>
          <w:right w:w="0" w:type="dxa"/>
        </w:tblCellMar>
        <w:tblLook w:val="01E0"/>
      </w:tblPr>
      <w:tblGrid>
        <w:gridCol w:w="852"/>
        <w:gridCol w:w="1417"/>
        <w:gridCol w:w="1134"/>
        <w:gridCol w:w="1276"/>
        <w:gridCol w:w="1134"/>
        <w:gridCol w:w="992"/>
        <w:gridCol w:w="1604"/>
        <w:gridCol w:w="1162"/>
      </w:tblGrid>
      <w:tr>
        <w:trPr>
          <w:trHeight w:val="412" w:hRule="exact"/>
        </w:trPr>
        <w:tc>
          <w:tcPr>
            <w:tcW w:w="9571" w:type="dxa"/>
            <w:gridSpan w:val="8"/>
            <w:tcBorders>
              <w:top w:val="single" w:sz="12"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714" w:hRule="exact"/>
        </w:trPr>
        <w:tc>
          <w:tcPr>
            <w:tcW w:w="85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1"/>
              <w:ind w:left="230" w:right="59" w:hanging="180"/>
              <w:jc w:val="left"/>
              <w:rPr>
                <w:rFonts w:ascii="宋体" w:hAnsi="宋体" w:cs="宋体" w:eastAsia="宋体" w:hint="default"/>
                <w:sz w:val="18"/>
                <w:szCs w:val="18"/>
              </w:rPr>
            </w:pPr>
            <w:r>
              <w:rPr>
                <w:rFonts w:ascii="宋体" w:hAnsi="宋体" w:cs="宋体" w:eastAsia="宋体" w:hint="default"/>
                <w:sz w:val="18"/>
                <w:szCs w:val="18"/>
              </w:rPr>
              <w:t>独立董事 姓名</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3" w:right="72"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01" w:right="110" w:hanging="90"/>
              <w:jc w:val="left"/>
              <w:rPr>
                <w:rFonts w:ascii="宋体" w:hAnsi="宋体" w:cs="宋体" w:eastAsia="宋体" w:hint="default"/>
                <w:sz w:val="18"/>
                <w:szCs w:val="18"/>
              </w:rPr>
            </w:pPr>
            <w:r>
              <w:rPr>
                <w:rFonts w:ascii="宋体" w:hAnsi="宋体" w:cs="宋体" w:eastAsia="宋体" w:hint="default"/>
                <w:sz w:val="18"/>
                <w:szCs w:val="18"/>
              </w:rPr>
              <w:t>现场出席董 事会次数</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3"/>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02" w:right="109" w:hanging="90"/>
              <w:jc w:val="left"/>
              <w:rPr>
                <w:rFonts w:ascii="宋体" w:hAnsi="宋体" w:cs="宋体" w:eastAsia="宋体" w:hint="default"/>
                <w:sz w:val="18"/>
                <w:szCs w:val="18"/>
              </w:rPr>
            </w:pPr>
            <w:r>
              <w:rPr>
                <w:rFonts w:ascii="宋体" w:hAnsi="宋体" w:cs="宋体" w:eastAsia="宋体" w:hint="default"/>
                <w:sz w:val="18"/>
                <w:szCs w:val="18"/>
              </w:rPr>
              <w:t>委托出席董 事会次数</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2" w:right="38" w:hanging="270"/>
              <w:jc w:val="left"/>
              <w:rPr>
                <w:rFonts w:ascii="宋体" w:hAnsi="宋体" w:cs="宋体" w:eastAsia="宋体" w:hint="default"/>
                <w:sz w:val="18"/>
                <w:szCs w:val="18"/>
              </w:rPr>
            </w:pPr>
            <w:r>
              <w:rPr>
                <w:rFonts w:ascii="宋体" w:hAnsi="宋体" w:cs="宋体" w:eastAsia="宋体" w:hint="default"/>
                <w:sz w:val="18"/>
                <w:szCs w:val="18"/>
              </w:rPr>
              <w:t>缺席董事会 次数</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6"/>
              <w:jc w:val="left"/>
              <w:rPr>
                <w:rFonts w:ascii="宋体" w:hAnsi="宋体" w:cs="宋体" w:eastAsia="宋体" w:hint="default"/>
                <w:sz w:val="18"/>
                <w:szCs w:val="18"/>
              </w:rPr>
            </w:pPr>
            <w:r>
              <w:rPr>
                <w:rFonts w:ascii="宋体" w:hAnsi="宋体" w:cs="宋体" w:eastAsia="宋体" w:hint="default"/>
                <w:sz w:val="18"/>
                <w:szCs w:val="18"/>
              </w:rPr>
              <w:t>是否连续两次未亲 自参加董事会会议</w:t>
            </w:r>
          </w:p>
        </w:tc>
        <w:tc>
          <w:tcPr>
            <w:tcW w:w="1162" w:type="dxa"/>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316" w:lineRule="auto" w:before="51"/>
              <w:ind w:left="396" w:right="24"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85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赵向阳</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center"/>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center"/>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8" w:right="0"/>
              <w:jc w:val="lef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7" w:right="0"/>
              <w:jc w:val="lef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85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刘威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center"/>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center"/>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8" w:right="0"/>
              <w:jc w:val="lef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7" w:right="0"/>
              <w:jc w:val="lef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2</w:t>
            </w:r>
          </w:p>
        </w:tc>
      </w:tr>
      <w:tr>
        <w:trPr>
          <w:trHeight w:val="412" w:hRule="exact"/>
        </w:trPr>
        <w:tc>
          <w:tcPr>
            <w:tcW w:w="852"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易欢欢</w:t>
            </w:r>
          </w:p>
        </w:tc>
        <w:tc>
          <w:tcPr>
            <w:tcW w:w="14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6"/>
              <w:jc w:val="center"/>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1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6"/>
              <w:jc w:val="center"/>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2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left="588" w:right="0"/>
              <w:jc w:val="lef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left="517" w:right="0"/>
              <w:jc w:val="lef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6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6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2</w:t>
            </w:r>
          </w:p>
        </w:tc>
      </w:tr>
    </w:tbl>
    <w:p>
      <w:pPr>
        <w:spacing w:line="357" w:lineRule="auto" w:before="51"/>
        <w:ind w:left="1134" w:right="8052"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 无</w:t>
      </w:r>
    </w:p>
    <w:p>
      <w:pPr>
        <w:spacing w:line="240" w:lineRule="auto" w:before="1"/>
        <w:rPr>
          <w:rFonts w:ascii="宋体" w:hAnsi="宋体" w:cs="宋体" w:eastAsia="宋体" w:hint="default"/>
          <w:sz w:val="20"/>
          <w:szCs w:val="20"/>
        </w:rPr>
      </w:pPr>
    </w:p>
    <w:p>
      <w:pPr>
        <w:pStyle w:val="Heading4"/>
        <w:spacing w:line="240" w:lineRule="auto"/>
        <w:ind w:left="1134" w:right="0"/>
        <w:jc w:val="left"/>
        <w:rPr>
          <w:b w:val="0"/>
          <w:bCs w:val="0"/>
        </w:rPr>
      </w:pPr>
      <w:bookmarkStart w:name="2、独立董事对公司有关事项提出异议的情况" w:id="139"/>
      <w:bookmarkEnd w:id="139"/>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38" w:lineRule="auto" w:before="116"/>
        <w:ind w:left="1133" w:right="69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报告期内独立董事对公司有关事项未提出异议。</w:t>
      </w:r>
    </w:p>
    <w:p>
      <w:pPr>
        <w:spacing w:line="240" w:lineRule="auto" w:before="3"/>
        <w:rPr>
          <w:rFonts w:ascii="宋体" w:hAnsi="宋体" w:cs="宋体" w:eastAsia="宋体" w:hint="default"/>
          <w:sz w:val="21"/>
          <w:szCs w:val="21"/>
        </w:rPr>
      </w:pPr>
    </w:p>
    <w:p>
      <w:pPr>
        <w:pStyle w:val="Heading4"/>
        <w:spacing w:line="240" w:lineRule="auto"/>
        <w:ind w:right="0"/>
        <w:jc w:val="left"/>
        <w:rPr>
          <w:b w:val="0"/>
          <w:bCs w:val="0"/>
        </w:rPr>
      </w:pPr>
      <w:bookmarkStart w:name="3、独立董事履行职责的其他说明" w:id="140"/>
      <w:bookmarkEnd w:id="140"/>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8"/>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before="117"/>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spacing w:before="44"/>
        <w:ind w:left="1133" w:right="0" w:firstLine="0"/>
        <w:jc w:val="both"/>
        <w:rPr>
          <w:rFonts w:ascii="宋体" w:hAnsi="宋体" w:cs="宋体" w:eastAsia="宋体" w:hint="default"/>
          <w:sz w:val="18"/>
          <w:szCs w:val="18"/>
        </w:rPr>
      </w:pPr>
      <w:r>
        <w:rPr>
          <w:rFonts w:ascii="宋体" w:hAnsi="宋体" w:cs="宋体" w:eastAsia="宋体" w:hint="default"/>
          <w:sz w:val="18"/>
          <w:szCs w:val="18"/>
        </w:rPr>
        <w:t>独立董事对公司有关建议被采纳或未被采纳的说明</w:t>
      </w:r>
    </w:p>
    <w:p>
      <w:pPr>
        <w:spacing w:line="240" w:lineRule="auto" w:before="10"/>
        <w:rPr>
          <w:rFonts w:ascii="宋体" w:hAnsi="宋体" w:cs="宋体" w:eastAsia="宋体" w:hint="default"/>
          <w:sz w:val="12"/>
          <w:szCs w:val="12"/>
        </w:rPr>
      </w:pPr>
    </w:p>
    <w:p>
      <w:pPr>
        <w:pStyle w:val="BodyText"/>
        <w:spacing w:line="408" w:lineRule="auto" w:before="0"/>
        <w:ind w:right="1131" w:firstLine="420"/>
        <w:jc w:val="both"/>
      </w:pPr>
      <w:r>
        <w:rPr>
          <w:spacing w:val="-4"/>
        </w:rPr>
        <w:t>（</w:t>
      </w:r>
      <w:r>
        <w:rPr>
          <w:rFonts w:ascii="宋体" w:hAnsi="宋体" w:cs="宋体" w:eastAsia="宋体" w:hint="default"/>
          <w:spacing w:val="-4"/>
        </w:rPr>
        <w:t>1</w:t>
      </w:r>
      <w:r>
        <w:rPr>
          <w:spacing w:val="-4"/>
        </w:rPr>
        <w:t>）</w:t>
      </w:r>
      <w:r>
        <w:rPr>
          <w:rFonts w:ascii="宋体" w:hAnsi="宋体" w:cs="宋体" w:eastAsia="宋体" w:hint="default"/>
          <w:spacing w:val="-4"/>
        </w:rPr>
        <w:t>2017</w:t>
      </w:r>
      <w:r>
        <w:rPr>
          <w:rFonts w:ascii="宋体" w:hAnsi="宋体" w:cs="宋体" w:eastAsia="宋体" w:hint="default"/>
          <w:spacing w:val="-63"/>
        </w:rPr>
        <w:t> </w:t>
      </w:r>
      <w:r>
        <w:rPr/>
        <w:t>年</w:t>
      </w:r>
      <w:r>
        <w:rPr>
          <w:spacing w:val="-63"/>
        </w:rPr>
        <w:t> </w:t>
      </w:r>
      <w:r>
        <w:rPr>
          <w:rFonts w:ascii="宋体" w:hAnsi="宋体" w:cs="宋体" w:eastAsia="宋体" w:hint="default"/>
        </w:rPr>
        <w:t>1</w:t>
      </w:r>
      <w:r>
        <w:rPr>
          <w:rFonts w:ascii="宋体" w:hAnsi="宋体" w:cs="宋体" w:eastAsia="宋体" w:hint="default"/>
          <w:spacing w:val="-63"/>
        </w:rPr>
        <w:t> </w:t>
      </w:r>
      <w:r>
        <w:rPr/>
        <w:t>月</w:t>
      </w:r>
      <w:r>
        <w:rPr>
          <w:spacing w:val="-64"/>
        </w:rPr>
        <w:t> </w:t>
      </w:r>
      <w:r>
        <w:rPr>
          <w:rFonts w:ascii="宋体" w:hAnsi="宋体" w:cs="宋体" w:eastAsia="宋体" w:hint="default"/>
        </w:rPr>
        <w:t>13</w:t>
      </w:r>
      <w:r>
        <w:rPr>
          <w:rFonts w:ascii="宋体" w:hAnsi="宋体" w:cs="宋体" w:eastAsia="宋体" w:hint="default"/>
          <w:spacing w:val="-63"/>
        </w:rPr>
        <w:t> </w:t>
      </w:r>
      <w:r>
        <w:rPr/>
        <w:t>日公司召开第四届董事会第一次会议，独立董事就选举第四届董事会董事长、选 </w:t>
      </w:r>
      <w:r>
        <w:rPr>
          <w:spacing w:val="-1"/>
        </w:rPr>
        <w:t>举第四届董事会专门委员会组成人员、聘任公司总经理、聘任公司高级管理人员等相关事项发表了独立意</w:t>
      </w:r>
      <w:r>
        <w:rPr>
          <w:spacing w:val="-81"/>
        </w:rPr>
        <w:t> </w:t>
      </w:r>
      <w:r>
        <w:rPr>
          <w:spacing w:val="-81"/>
        </w:rPr>
      </w:r>
      <w:r>
        <w:rPr/>
        <w:t>见并被公司采纳。</w:t>
      </w:r>
    </w:p>
    <w:p>
      <w:pPr>
        <w:pStyle w:val="BodyText"/>
        <w:spacing w:line="408" w:lineRule="auto"/>
        <w:ind w:right="1132" w:firstLine="420"/>
        <w:jc w:val="both"/>
      </w:pPr>
      <w:r>
        <w:rPr>
          <w:spacing w:val="-4"/>
        </w:rPr>
        <w:t>（</w:t>
      </w:r>
      <w:r>
        <w:rPr>
          <w:rFonts w:ascii="宋体" w:hAnsi="宋体" w:cs="宋体" w:eastAsia="宋体" w:hint="default"/>
          <w:spacing w:val="-4"/>
        </w:rPr>
        <w:t>2</w:t>
      </w:r>
      <w:r>
        <w:rPr>
          <w:spacing w:val="-4"/>
        </w:rPr>
        <w:t>）</w:t>
      </w:r>
      <w:r>
        <w:rPr>
          <w:rFonts w:ascii="宋体" w:hAnsi="宋体" w:cs="宋体" w:eastAsia="宋体" w:hint="default"/>
          <w:spacing w:val="-4"/>
        </w:rPr>
        <w:t>2017</w:t>
      </w:r>
      <w:r>
        <w:rPr>
          <w:rFonts w:ascii="宋体" w:hAnsi="宋体" w:cs="宋体" w:eastAsia="宋体" w:hint="default"/>
          <w:spacing w:val="-63"/>
        </w:rPr>
        <w:t> </w:t>
      </w:r>
      <w:r>
        <w:rPr/>
        <w:t>年</w:t>
      </w:r>
      <w:r>
        <w:rPr>
          <w:spacing w:val="-63"/>
        </w:rPr>
        <w:t> </w:t>
      </w:r>
      <w:r>
        <w:rPr>
          <w:rFonts w:ascii="宋体" w:hAnsi="宋体" w:cs="宋体" w:eastAsia="宋体" w:hint="default"/>
        </w:rPr>
        <w:t>1</w:t>
      </w:r>
      <w:r>
        <w:rPr>
          <w:rFonts w:ascii="宋体" w:hAnsi="宋体" w:cs="宋体" w:eastAsia="宋体" w:hint="default"/>
          <w:spacing w:val="-63"/>
        </w:rPr>
        <w:t> </w:t>
      </w:r>
      <w:r>
        <w:rPr/>
        <w:t>月</w:t>
      </w:r>
      <w:r>
        <w:rPr>
          <w:spacing w:val="-64"/>
        </w:rPr>
        <w:t> </w:t>
      </w:r>
      <w:r>
        <w:rPr>
          <w:rFonts w:ascii="宋体" w:hAnsi="宋体" w:cs="宋体" w:eastAsia="宋体" w:hint="default"/>
        </w:rPr>
        <w:t>23</w:t>
      </w:r>
      <w:r>
        <w:rPr>
          <w:rFonts w:ascii="宋体" w:hAnsi="宋体" w:cs="宋体" w:eastAsia="宋体" w:hint="default"/>
          <w:spacing w:val="-63"/>
        </w:rPr>
        <w:t> </w:t>
      </w:r>
      <w:r>
        <w:rPr/>
        <w:t>日公司召开第四届董事会第二次会议，独立董事就扩大智慧水务示范区域、投资 建设郑州高新第二水厂工程项目发表了独立意见并被公司采纳。</w:t>
      </w:r>
    </w:p>
    <w:p>
      <w:pPr>
        <w:pStyle w:val="BodyText"/>
        <w:spacing w:line="408" w:lineRule="auto"/>
        <w:ind w:right="1131" w:firstLine="420"/>
        <w:jc w:val="both"/>
      </w:pPr>
      <w:r>
        <w:rPr>
          <w:spacing w:val="-6"/>
        </w:rPr>
        <w:t>（</w:t>
      </w:r>
      <w:r>
        <w:rPr>
          <w:rFonts w:ascii="宋体" w:hAnsi="宋体" w:cs="宋体" w:eastAsia="宋体" w:hint="default"/>
          <w:spacing w:val="-6"/>
        </w:rPr>
        <w:t>3</w:t>
      </w:r>
      <w:r>
        <w:rPr>
          <w:spacing w:val="-6"/>
        </w:rPr>
        <w:t>）</w:t>
      </w:r>
      <w:r>
        <w:rPr>
          <w:rFonts w:ascii="宋体" w:hAnsi="宋体" w:cs="宋体" w:eastAsia="宋体" w:hint="default"/>
          <w:spacing w:val="-6"/>
        </w:rPr>
        <w:t>2017</w:t>
      </w:r>
      <w:r>
        <w:rPr>
          <w:rFonts w:ascii="宋体" w:hAnsi="宋体" w:cs="宋体" w:eastAsia="宋体" w:hint="default"/>
          <w:spacing w:val="-60"/>
        </w:rPr>
        <w:t> </w:t>
      </w:r>
      <w:r>
        <w:rPr/>
        <w:t>年</w:t>
      </w:r>
      <w:r>
        <w:rPr>
          <w:spacing w:val="-61"/>
        </w:rPr>
        <w:t> </w:t>
      </w:r>
      <w:r>
        <w:rPr>
          <w:rFonts w:ascii="宋体" w:hAnsi="宋体" w:cs="宋体" w:eastAsia="宋体" w:hint="default"/>
        </w:rPr>
        <w:t>3</w:t>
      </w:r>
      <w:r>
        <w:rPr>
          <w:rFonts w:ascii="宋体" w:hAnsi="宋体" w:cs="宋体" w:eastAsia="宋体" w:hint="default"/>
          <w:spacing w:val="-59"/>
        </w:rPr>
        <w:t> </w:t>
      </w:r>
      <w:r>
        <w:rPr/>
        <w:t>月</w:t>
      </w:r>
      <w:r>
        <w:rPr>
          <w:spacing w:val="-61"/>
        </w:rPr>
        <w:t> </w:t>
      </w:r>
      <w:r>
        <w:rPr>
          <w:rFonts w:ascii="宋体" w:hAnsi="宋体" w:cs="宋体" w:eastAsia="宋体" w:hint="default"/>
        </w:rPr>
        <w:t>10</w:t>
      </w:r>
      <w:r>
        <w:rPr>
          <w:rFonts w:ascii="宋体" w:hAnsi="宋体" w:cs="宋体" w:eastAsia="宋体" w:hint="default"/>
          <w:spacing w:val="-59"/>
        </w:rPr>
        <w:t> </w:t>
      </w:r>
      <w:r>
        <w:rPr/>
        <w:t>日公司召开第四届董事会第三次会议，独立董事就于北京威果智能科技有限公司 拟设立全资子公司事项发表了独立意见并被公司采纳。</w:t>
      </w:r>
    </w:p>
    <w:p>
      <w:pPr>
        <w:pStyle w:val="BodyText"/>
        <w:spacing w:line="408" w:lineRule="auto"/>
        <w:ind w:right="1132" w:firstLine="420"/>
        <w:jc w:val="both"/>
      </w:pPr>
      <w:r>
        <w:rPr>
          <w:spacing w:val="-4"/>
        </w:rPr>
        <w:t>（</w:t>
      </w:r>
      <w:r>
        <w:rPr>
          <w:rFonts w:ascii="宋体" w:hAnsi="宋体" w:cs="宋体" w:eastAsia="宋体" w:hint="default"/>
          <w:spacing w:val="-4"/>
        </w:rPr>
        <w:t>4</w:t>
      </w:r>
      <w:r>
        <w:rPr>
          <w:spacing w:val="-4"/>
        </w:rPr>
        <w:t>）</w:t>
      </w:r>
      <w:r>
        <w:rPr>
          <w:rFonts w:ascii="宋体" w:hAnsi="宋体" w:cs="宋体" w:eastAsia="宋体" w:hint="default"/>
          <w:spacing w:val="-4"/>
        </w:rPr>
        <w:t>2017</w:t>
      </w:r>
      <w:r>
        <w:rPr>
          <w:rFonts w:ascii="宋体" w:hAnsi="宋体" w:cs="宋体" w:eastAsia="宋体" w:hint="default"/>
          <w:spacing w:val="-63"/>
        </w:rPr>
        <w:t> </w:t>
      </w:r>
      <w:r>
        <w:rPr/>
        <w:t>年</w:t>
      </w:r>
      <w:r>
        <w:rPr>
          <w:spacing w:val="-63"/>
        </w:rPr>
        <w:t> </w:t>
      </w:r>
      <w:r>
        <w:rPr>
          <w:rFonts w:ascii="宋体" w:hAnsi="宋体" w:cs="宋体" w:eastAsia="宋体" w:hint="default"/>
        </w:rPr>
        <w:t>3</w:t>
      </w:r>
      <w:r>
        <w:rPr>
          <w:rFonts w:ascii="宋体" w:hAnsi="宋体" w:cs="宋体" w:eastAsia="宋体" w:hint="default"/>
          <w:spacing w:val="-63"/>
        </w:rPr>
        <w:t> </w:t>
      </w:r>
      <w:r>
        <w:rPr/>
        <w:t>月</w:t>
      </w:r>
      <w:r>
        <w:rPr>
          <w:spacing w:val="-64"/>
        </w:rPr>
        <w:t> </w:t>
      </w:r>
      <w:r>
        <w:rPr>
          <w:rFonts w:ascii="宋体" w:hAnsi="宋体" w:cs="宋体" w:eastAsia="宋体" w:hint="default"/>
        </w:rPr>
        <w:t>30</w:t>
      </w:r>
      <w:r>
        <w:rPr>
          <w:rFonts w:ascii="宋体" w:hAnsi="宋体" w:cs="宋体" w:eastAsia="宋体" w:hint="default"/>
          <w:spacing w:val="-63"/>
        </w:rPr>
        <w:t> </w:t>
      </w:r>
      <w:r>
        <w:rPr/>
        <w:t>日公司召开第四届董事会第四次会议，独立董事就为控股子公司提供担保、控股 子公司为其下属子公司提供担保等相关事项发表了独立意见并被公司采纳。</w:t>
      </w:r>
    </w:p>
    <w:p>
      <w:pPr>
        <w:pStyle w:val="BodyText"/>
        <w:spacing w:line="240" w:lineRule="auto"/>
        <w:ind w:left="1553" w:right="0"/>
        <w:jc w:val="left"/>
      </w:pPr>
      <w:r>
        <w:rPr/>
        <w:t>（</w:t>
      </w:r>
      <w:r>
        <w:rPr>
          <w:rFonts w:ascii="宋体" w:hAnsi="宋体" w:cs="宋体" w:eastAsia="宋体" w:hint="default"/>
        </w:rPr>
        <w:t>5</w:t>
      </w:r>
      <w:r>
        <w:rPr>
          <w:spacing w:val="-42"/>
        </w:rPr>
        <w:t>）</w:t>
      </w:r>
      <w:r>
        <w:rPr>
          <w:rFonts w:ascii="宋体" w:hAnsi="宋体" w:cs="宋体" w:eastAsia="宋体" w:hint="default"/>
        </w:rPr>
        <w:t>2017</w:t>
      </w:r>
      <w:r>
        <w:rPr>
          <w:rFonts w:ascii="宋体" w:hAnsi="宋体" w:cs="宋体" w:eastAsia="宋体" w:hint="default"/>
          <w:spacing w:val="-53"/>
        </w:rPr>
        <w:t> </w:t>
      </w:r>
      <w:r>
        <w:rPr/>
        <w:t>年</w:t>
      </w:r>
      <w:r>
        <w:rPr>
          <w:spacing w:val="-54"/>
        </w:rPr>
        <w:t> </w:t>
      </w:r>
      <w:r>
        <w:rPr>
          <w:rFonts w:ascii="宋体" w:hAnsi="宋体" w:cs="宋体" w:eastAsia="宋体" w:hint="default"/>
        </w:rPr>
        <w:t>4</w:t>
      </w:r>
      <w:r>
        <w:rPr>
          <w:rFonts w:ascii="宋体" w:hAnsi="宋体" w:cs="宋体" w:eastAsia="宋体" w:hint="default"/>
          <w:spacing w:val="-52"/>
        </w:rPr>
        <w:t> </w:t>
      </w:r>
      <w:r>
        <w:rPr/>
        <w:t>月</w:t>
      </w:r>
      <w:r>
        <w:rPr>
          <w:spacing w:val="-54"/>
        </w:rPr>
        <w:t> </w:t>
      </w:r>
      <w:r>
        <w:rPr>
          <w:rFonts w:ascii="宋体" w:hAnsi="宋体" w:cs="宋体" w:eastAsia="宋体" w:hint="default"/>
        </w:rPr>
        <w:t>24</w:t>
      </w:r>
      <w:r>
        <w:rPr>
          <w:rFonts w:ascii="宋体" w:hAnsi="宋体" w:cs="宋体" w:eastAsia="宋体" w:hint="default"/>
          <w:spacing w:val="-52"/>
        </w:rPr>
        <w:t> </w:t>
      </w:r>
      <w:r>
        <w:rPr/>
        <w:t>日</w:t>
      </w:r>
      <w:r>
        <w:rPr>
          <w:spacing w:val="-2"/>
        </w:rPr>
        <w:t>公</w:t>
      </w:r>
      <w:r>
        <w:rPr/>
        <w:t>司召开第四届董事会第五次会议</w:t>
      </w:r>
      <w:r>
        <w:rPr>
          <w:spacing w:val="-42"/>
        </w:rPr>
        <w:t>，</w:t>
      </w:r>
      <w:r>
        <w:rPr/>
        <w:t>独立董事</w:t>
      </w:r>
      <w:r>
        <w:rPr>
          <w:spacing w:val="-42"/>
        </w:rPr>
        <w:t>就</w:t>
      </w:r>
      <w:r>
        <w:rPr/>
        <w:t>《</w:t>
      </w:r>
      <w:r>
        <w:rPr>
          <w:rFonts w:ascii="宋体" w:hAnsi="宋体" w:cs="宋体" w:eastAsia="宋体" w:hint="default"/>
        </w:rPr>
        <w:t>2016</w:t>
      </w:r>
      <w:r>
        <w:rPr>
          <w:rFonts w:ascii="宋体" w:hAnsi="宋体" w:cs="宋体" w:eastAsia="宋体" w:hint="default"/>
          <w:spacing w:val="-51"/>
        </w:rPr>
        <w:t> </w:t>
      </w:r>
      <w:r>
        <w:rPr/>
        <w:t>年度董</w:t>
      </w:r>
      <w:r>
        <w:rPr>
          <w:spacing w:val="-2"/>
        </w:rPr>
        <w:t>事</w:t>
      </w:r>
      <w:r>
        <w:rPr/>
        <w:t>会工作报告</w:t>
      </w:r>
      <w:r>
        <w:rPr>
          <w:spacing w:val="-106"/>
        </w:rPr>
        <w:t>》</w:t>
      </w:r>
      <w:r>
        <w:rPr/>
        <w:t>、</w:t>
      </w:r>
    </w:p>
    <w:p>
      <w:pPr>
        <w:spacing w:line="240" w:lineRule="auto" w:before="10"/>
        <w:rPr>
          <w:rFonts w:ascii="宋体" w:hAnsi="宋体" w:cs="宋体" w:eastAsia="宋体" w:hint="default"/>
          <w:sz w:val="14"/>
          <w:szCs w:val="14"/>
        </w:rPr>
      </w:pPr>
    </w:p>
    <w:p>
      <w:pPr>
        <w:pStyle w:val="BodyText"/>
        <w:spacing w:line="408" w:lineRule="auto" w:before="0"/>
        <w:ind w:right="1026"/>
        <w:jc w:val="both"/>
      </w:pPr>
      <w:r>
        <w:rPr/>
        <w:t>《</w:t>
      </w:r>
      <w:r>
        <w:rPr>
          <w:rFonts w:ascii="宋体" w:hAnsi="宋体" w:cs="宋体" w:eastAsia="宋体" w:hint="default"/>
        </w:rPr>
        <w:t>2016</w:t>
      </w:r>
      <w:r>
        <w:rPr>
          <w:rFonts w:ascii="宋体" w:hAnsi="宋体" w:cs="宋体" w:eastAsia="宋体" w:hint="default"/>
          <w:spacing w:val="-41"/>
        </w:rPr>
        <w:t> </w:t>
      </w:r>
      <w:r>
        <w:rPr/>
        <w:t>年</w:t>
      </w:r>
      <w:r>
        <w:rPr>
          <w:spacing w:val="-2"/>
        </w:rPr>
        <w:t>年</w:t>
      </w:r>
      <w:r>
        <w:rPr/>
        <w:t>度报告及其摘要</w:t>
      </w:r>
      <w:r>
        <w:rPr>
          <w:spacing w:val="-105"/>
        </w:rPr>
        <w:t>》、</w:t>
      </w:r>
      <w:r>
        <w:rPr>
          <w:spacing w:val="-2"/>
        </w:rPr>
        <w:t>《</w:t>
      </w:r>
      <w:r>
        <w:rPr>
          <w:rFonts w:ascii="宋体" w:hAnsi="宋体" w:cs="宋体" w:eastAsia="宋体" w:hint="default"/>
        </w:rPr>
        <w:t>2016</w:t>
      </w:r>
      <w:r>
        <w:rPr>
          <w:rFonts w:ascii="宋体" w:hAnsi="宋体" w:cs="宋体" w:eastAsia="宋体" w:hint="default"/>
          <w:spacing w:val="-43"/>
        </w:rPr>
        <w:t> </w:t>
      </w:r>
      <w:r>
        <w:rPr/>
        <w:t>年度总经理工作报告</w:t>
      </w:r>
      <w:r>
        <w:rPr>
          <w:spacing w:val="-105"/>
        </w:rPr>
        <w:t>》</w:t>
      </w:r>
      <w:r>
        <w:rPr>
          <w:spacing w:val="-106"/>
        </w:rPr>
        <w:t>、</w:t>
      </w:r>
      <w:r>
        <w:rPr/>
        <w:t>《</w:t>
      </w:r>
      <w:r>
        <w:rPr>
          <w:rFonts w:ascii="宋体" w:hAnsi="宋体" w:cs="宋体" w:eastAsia="宋体" w:hint="default"/>
        </w:rPr>
        <w:t>2016</w:t>
      </w:r>
      <w:r>
        <w:rPr>
          <w:rFonts w:ascii="宋体" w:hAnsi="宋体" w:cs="宋体" w:eastAsia="宋体" w:hint="default"/>
          <w:spacing w:val="-42"/>
        </w:rPr>
        <w:t> </w:t>
      </w:r>
      <w:r>
        <w:rPr/>
        <w:t>年</w:t>
      </w:r>
      <w:r>
        <w:rPr>
          <w:spacing w:val="-2"/>
        </w:rPr>
        <w:t>度</w:t>
      </w:r>
      <w:r>
        <w:rPr/>
        <w:t>内部控制自我评价报告</w:t>
      </w:r>
      <w:r>
        <w:rPr>
          <w:spacing w:val="-106"/>
        </w:rPr>
        <w:t>》</w:t>
      </w:r>
      <w:r>
        <w:rPr>
          <w:spacing w:val="-105"/>
        </w:rPr>
        <w:t>、</w:t>
      </w:r>
      <w:r>
        <w:rPr/>
        <w:t>《</w:t>
      </w:r>
      <w:r>
        <w:rPr>
          <w:rFonts w:ascii="宋体" w:hAnsi="宋体" w:cs="宋体" w:eastAsia="宋体" w:hint="default"/>
        </w:rPr>
        <w:t>2016 </w:t>
      </w:r>
      <w:r>
        <w:rPr/>
        <w:t>年度财务决算报告</w:t>
      </w:r>
      <w:r>
        <w:rPr>
          <w:spacing w:val="-105"/>
        </w:rPr>
        <w:t>》</w:t>
      </w:r>
      <w:r>
        <w:rPr>
          <w:spacing w:val="-25"/>
        </w:rPr>
        <w:t>、</w:t>
      </w:r>
      <w:r>
        <w:rPr>
          <w:rFonts w:ascii="宋体" w:hAnsi="宋体" w:cs="宋体" w:eastAsia="宋体" w:hint="default"/>
        </w:rPr>
        <w:t>2016</w:t>
      </w:r>
      <w:r>
        <w:rPr>
          <w:rFonts w:ascii="宋体" w:hAnsi="宋体" w:cs="宋体" w:eastAsia="宋体" w:hint="default"/>
          <w:spacing w:val="-51"/>
        </w:rPr>
        <w:t> </w:t>
      </w:r>
      <w:r>
        <w:rPr/>
        <w:t>年度利</w:t>
      </w:r>
      <w:r>
        <w:rPr>
          <w:spacing w:val="-2"/>
        </w:rPr>
        <w:t>润</w:t>
      </w:r>
      <w:r>
        <w:rPr/>
        <w:t>分配</w:t>
      </w:r>
      <w:r>
        <w:rPr>
          <w:spacing w:val="-25"/>
        </w:rPr>
        <w:t>、</w:t>
      </w:r>
      <w:r>
        <w:rPr>
          <w:rFonts w:ascii="宋体" w:hAnsi="宋体" w:cs="宋体" w:eastAsia="宋体" w:hint="default"/>
        </w:rPr>
        <w:t>2</w:t>
      </w:r>
      <w:r>
        <w:rPr>
          <w:rFonts w:ascii="宋体" w:hAnsi="宋体" w:cs="宋体" w:eastAsia="宋体" w:hint="default"/>
          <w:spacing w:val="1"/>
        </w:rPr>
        <w:t>0</w:t>
      </w:r>
      <w:r>
        <w:rPr>
          <w:rFonts w:ascii="宋体" w:hAnsi="宋体" w:cs="宋体" w:eastAsia="宋体" w:hint="default"/>
        </w:rPr>
        <w:t>17</w:t>
      </w:r>
      <w:r>
        <w:rPr>
          <w:rFonts w:ascii="宋体" w:hAnsi="宋体" w:cs="宋体" w:eastAsia="宋体" w:hint="default"/>
          <w:spacing w:val="-54"/>
        </w:rPr>
        <w:t> </w:t>
      </w:r>
      <w:r>
        <w:rPr/>
        <w:t>年度公司董事薪酬政策</w:t>
      </w:r>
      <w:r>
        <w:rPr>
          <w:spacing w:val="-26"/>
        </w:rPr>
        <w:t>、</w:t>
      </w:r>
      <w:r>
        <w:rPr>
          <w:rFonts w:ascii="宋体" w:hAnsi="宋体" w:cs="宋体" w:eastAsia="宋体" w:hint="default"/>
        </w:rPr>
        <w:t>2</w:t>
      </w:r>
      <w:r>
        <w:rPr>
          <w:rFonts w:ascii="宋体" w:hAnsi="宋体" w:cs="宋体" w:eastAsia="宋体" w:hint="default"/>
          <w:spacing w:val="1"/>
        </w:rPr>
        <w:t>0</w:t>
      </w:r>
      <w:r>
        <w:rPr>
          <w:rFonts w:ascii="宋体" w:hAnsi="宋体" w:cs="宋体" w:eastAsia="宋体" w:hint="default"/>
        </w:rPr>
        <w:t>17</w:t>
      </w:r>
      <w:r>
        <w:rPr>
          <w:rFonts w:ascii="宋体" w:hAnsi="宋体" w:cs="宋体" w:eastAsia="宋体" w:hint="default"/>
          <w:spacing w:val="-52"/>
        </w:rPr>
        <w:t> </w:t>
      </w:r>
      <w:r>
        <w:rPr/>
        <w:t>年</w:t>
      </w:r>
      <w:r>
        <w:rPr>
          <w:spacing w:val="-2"/>
        </w:rPr>
        <w:t>度</w:t>
      </w:r>
      <w:r>
        <w:rPr/>
        <w:t>公司高级管理人员薪酬</w:t>
      </w:r>
      <w:r>
        <w:rPr/>
        <w:t> 政策、续聘</w:t>
      </w:r>
      <w:r>
        <w:rPr>
          <w:spacing w:val="-46"/>
        </w:rPr>
        <w:t> </w:t>
      </w:r>
      <w:r>
        <w:rPr>
          <w:rFonts w:ascii="宋体" w:hAnsi="宋体" w:cs="宋体" w:eastAsia="宋体" w:hint="default"/>
        </w:rPr>
        <w:t>2017</w:t>
      </w:r>
      <w:r>
        <w:rPr>
          <w:rFonts w:ascii="宋体" w:hAnsi="宋体" w:cs="宋体" w:eastAsia="宋体" w:hint="default"/>
          <w:spacing w:val="-47"/>
        </w:rPr>
        <w:t> </w:t>
      </w:r>
      <w:r>
        <w:rPr/>
        <w:t>年度财</w:t>
      </w:r>
      <w:r>
        <w:rPr>
          <w:spacing w:val="-2"/>
        </w:rPr>
        <w:t>务</w:t>
      </w:r>
      <w:r>
        <w:rPr/>
        <w:t>审计机构</w:t>
      </w:r>
      <w:r>
        <w:rPr>
          <w:spacing w:val="-105"/>
        </w:rPr>
        <w:t>、</w:t>
      </w:r>
      <w:r>
        <w:rPr>
          <w:spacing w:val="-2"/>
        </w:rPr>
        <w:t>《</w:t>
      </w:r>
      <w:r>
        <w:rPr>
          <w:rFonts w:ascii="宋体" w:hAnsi="宋体" w:cs="宋体" w:eastAsia="宋体" w:hint="default"/>
        </w:rPr>
        <w:t>2016</w:t>
      </w:r>
      <w:r>
        <w:rPr>
          <w:rFonts w:ascii="宋体" w:hAnsi="宋体" w:cs="宋体" w:eastAsia="宋体" w:hint="default"/>
          <w:spacing w:val="-45"/>
        </w:rPr>
        <w:t> </w:t>
      </w:r>
      <w:r>
        <w:rPr/>
        <w:t>年度</w:t>
      </w:r>
      <w:r>
        <w:rPr>
          <w:spacing w:val="-2"/>
        </w:rPr>
        <w:t>社</w:t>
      </w:r>
      <w:r>
        <w:rPr/>
        <w:t>会责任报告</w:t>
      </w:r>
      <w:r>
        <w:rPr>
          <w:spacing w:val="-106"/>
        </w:rPr>
        <w:t>》</w:t>
      </w:r>
      <w:r>
        <w:rPr/>
        <w:t>、公司办理</w:t>
      </w:r>
      <w:r>
        <w:rPr>
          <w:spacing w:val="-47"/>
        </w:rPr>
        <w:t> </w:t>
      </w:r>
      <w:r>
        <w:rPr>
          <w:rFonts w:ascii="宋体" w:hAnsi="宋体" w:cs="宋体" w:eastAsia="宋体" w:hint="default"/>
        </w:rPr>
        <w:t>2017</w:t>
      </w:r>
      <w:r>
        <w:rPr>
          <w:rFonts w:ascii="宋体" w:hAnsi="宋体" w:cs="宋体" w:eastAsia="宋体" w:hint="default"/>
          <w:spacing w:val="-46"/>
        </w:rPr>
        <w:t> </w:t>
      </w:r>
      <w:r>
        <w:rPr/>
        <w:t>年度银</w:t>
      </w:r>
      <w:r>
        <w:rPr>
          <w:spacing w:val="-2"/>
        </w:rPr>
        <w:t>行</w:t>
      </w:r>
      <w:r>
        <w:rPr/>
        <w:t>综合授信</w:t>
      </w:r>
      <w:r>
        <w:rPr>
          <w:spacing w:val="1"/>
        </w:rPr>
        <w:t>业务</w:t>
      </w:r>
      <w:r>
        <w:rPr/>
        <w:t>、</w:t>
      </w:r>
    </w:p>
    <w:p>
      <w:pPr>
        <w:pStyle w:val="BodyText"/>
        <w:spacing w:line="408" w:lineRule="auto"/>
        <w:ind w:left="1134" w:right="1131"/>
        <w:jc w:val="both"/>
      </w:pPr>
      <w:r>
        <w:rPr>
          <w:rFonts w:ascii="宋体" w:hAnsi="宋体" w:cs="宋体" w:eastAsia="宋体" w:hint="default"/>
        </w:rPr>
        <w:t>2016</w:t>
      </w:r>
      <w:r>
        <w:rPr>
          <w:rFonts w:ascii="宋体" w:hAnsi="宋体" w:cs="宋体" w:eastAsia="宋体" w:hint="default"/>
          <w:spacing w:val="-43"/>
        </w:rPr>
        <w:t> </w:t>
      </w:r>
      <w:r>
        <w:rPr/>
        <w:t>年度计提资产减值准备、嘉园环保有限公司</w:t>
      </w:r>
      <w:r>
        <w:rPr>
          <w:spacing w:val="-43"/>
        </w:rPr>
        <w:t> </w:t>
      </w:r>
      <w:r>
        <w:rPr>
          <w:rFonts w:ascii="宋体" w:hAnsi="宋体" w:cs="宋体" w:eastAsia="宋体" w:hint="default"/>
        </w:rPr>
        <w:t>2016</w:t>
      </w:r>
      <w:r>
        <w:rPr>
          <w:rFonts w:ascii="宋体" w:hAnsi="宋体" w:cs="宋体" w:eastAsia="宋体" w:hint="default"/>
          <w:spacing w:val="-44"/>
        </w:rPr>
        <w:t> </w:t>
      </w:r>
      <w:r>
        <w:rPr/>
        <w:t>年度未达成业绩承诺暨相应现金补偿、沈阳金建数 字城市软件有限公司</w:t>
      </w:r>
      <w:r>
        <w:rPr>
          <w:spacing w:val="-36"/>
        </w:rPr>
        <w:t> </w:t>
      </w:r>
      <w:r>
        <w:rPr>
          <w:rFonts w:ascii="宋体" w:hAnsi="宋体" w:cs="宋体" w:eastAsia="宋体" w:hint="default"/>
        </w:rPr>
        <w:t>2016</w:t>
      </w:r>
      <w:r>
        <w:rPr>
          <w:rFonts w:ascii="宋体" w:hAnsi="宋体" w:cs="宋体" w:eastAsia="宋体" w:hint="default"/>
          <w:spacing w:val="-36"/>
        </w:rPr>
        <w:t> </w:t>
      </w:r>
      <w:r>
        <w:rPr>
          <w:spacing w:val="-7"/>
        </w:rPr>
        <w:t>年度业绩承诺实现情况、《</w:t>
      </w:r>
      <w:r>
        <w:rPr>
          <w:rFonts w:ascii="宋体" w:hAnsi="宋体" w:cs="宋体" w:eastAsia="宋体" w:hint="default"/>
          <w:spacing w:val="-7"/>
        </w:rPr>
        <w:t>2017</w:t>
      </w:r>
      <w:r>
        <w:rPr>
          <w:rFonts w:ascii="宋体" w:hAnsi="宋体" w:cs="宋体" w:eastAsia="宋体" w:hint="default"/>
          <w:spacing w:val="-35"/>
        </w:rPr>
        <w:t> </w:t>
      </w:r>
      <w:r>
        <w:rPr>
          <w:spacing w:val="-6"/>
        </w:rPr>
        <w:t>年第一季度报告》、使用自有资金继续投资北京</w:t>
      </w:r>
      <w:r>
        <w:rPr/>
        <w:t> 威果智能科技有限公司、聘任证券事务代表、召开 </w:t>
      </w:r>
      <w:r>
        <w:rPr>
          <w:rFonts w:ascii="宋体" w:hAnsi="宋体" w:cs="宋体" w:eastAsia="宋体" w:hint="default"/>
        </w:rPr>
        <w:t>2016</w:t>
      </w:r>
      <w:r>
        <w:rPr>
          <w:rFonts w:ascii="宋体" w:hAnsi="宋体" w:cs="宋体" w:eastAsia="宋体" w:hint="default"/>
          <w:spacing w:val="-23"/>
        </w:rPr>
        <w:t> </w:t>
      </w:r>
      <w:r>
        <w:rPr/>
        <w:t>年年度股东大会等相关事项发表了独立意见并被 公司采纳。</w:t>
      </w:r>
    </w:p>
    <w:p>
      <w:pPr>
        <w:pStyle w:val="BodyText"/>
        <w:spacing w:line="408" w:lineRule="auto"/>
        <w:ind w:left="1134" w:right="1132" w:firstLine="420"/>
        <w:jc w:val="both"/>
      </w:pPr>
      <w:r>
        <w:rPr>
          <w:spacing w:val="-3"/>
        </w:rPr>
        <w:t>（</w:t>
      </w:r>
      <w:r>
        <w:rPr>
          <w:rFonts w:ascii="宋体" w:hAnsi="宋体" w:cs="宋体" w:eastAsia="宋体" w:hint="default"/>
          <w:spacing w:val="-3"/>
        </w:rPr>
        <w:t>6</w:t>
      </w:r>
      <w:r>
        <w:rPr>
          <w:spacing w:val="-3"/>
        </w:rPr>
        <w:t>）</w:t>
      </w:r>
      <w:r>
        <w:rPr>
          <w:rFonts w:ascii="宋体" w:hAnsi="宋体" w:cs="宋体" w:eastAsia="宋体" w:hint="default"/>
          <w:spacing w:val="-3"/>
        </w:rPr>
        <w:t>2017</w:t>
      </w:r>
      <w:r>
        <w:rPr>
          <w:rFonts w:ascii="宋体" w:hAnsi="宋体" w:cs="宋体" w:eastAsia="宋体" w:hint="default"/>
          <w:spacing w:val="-65"/>
        </w:rPr>
        <w:t> </w:t>
      </w:r>
      <w:r>
        <w:rPr/>
        <w:t>年</w:t>
      </w:r>
      <w:r>
        <w:rPr>
          <w:spacing w:val="-65"/>
        </w:rPr>
        <w:t> </w:t>
      </w:r>
      <w:r>
        <w:rPr>
          <w:rFonts w:ascii="宋体" w:hAnsi="宋体" w:cs="宋体" w:eastAsia="宋体" w:hint="default"/>
        </w:rPr>
        <w:t>5</w:t>
      </w:r>
      <w:r>
        <w:rPr>
          <w:rFonts w:ascii="宋体" w:hAnsi="宋体" w:cs="宋体" w:eastAsia="宋体" w:hint="default"/>
          <w:spacing w:val="-64"/>
        </w:rPr>
        <w:t> </w:t>
      </w:r>
      <w:r>
        <w:rPr/>
        <w:t>月</w:t>
      </w:r>
      <w:r>
        <w:rPr>
          <w:spacing w:val="-66"/>
        </w:rPr>
        <w:t> </w:t>
      </w:r>
      <w:r>
        <w:rPr>
          <w:rFonts w:ascii="宋体" w:hAnsi="宋体" w:cs="宋体" w:eastAsia="宋体" w:hint="default"/>
        </w:rPr>
        <w:t>15</w:t>
      </w:r>
      <w:r>
        <w:rPr>
          <w:rFonts w:ascii="宋体" w:hAnsi="宋体" w:cs="宋体" w:eastAsia="宋体" w:hint="default"/>
          <w:spacing w:val="-64"/>
        </w:rPr>
        <w:t> </w:t>
      </w:r>
      <w:r>
        <w:rPr/>
        <w:t>日公司召开第四届董事会第六次会议，独立董事就变更公司名称、证券简称、修 </w:t>
      </w:r>
      <w:r>
        <w:rPr>
          <w:spacing w:val="-5"/>
        </w:rPr>
        <w:t>订《公司章程》、修订《公司董事会议事规则》、提请股东大会授权董事会全权办理本次变更相关事宜、控</w:t>
      </w:r>
      <w:r>
        <w:rPr/>
        <w:t> 股子公司为其下属子公司提供担保等相关事项发表了独立意见并被公司采纳。</w:t>
      </w:r>
    </w:p>
    <w:p>
      <w:pPr>
        <w:pStyle w:val="BodyText"/>
        <w:spacing w:line="408" w:lineRule="auto"/>
        <w:ind w:left="1134" w:right="1132" w:firstLine="420"/>
        <w:jc w:val="both"/>
      </w:pPr>
      <w:r>
        <w:rPr>
          <w:spacing w:val="-4"/>
        </w:rPr>
        <w:t>（</w:t>
      </w:r>
      <w:r>
        <w:rPr>
          <w:rFonts w:ascii="宋体" w:hAnsi="宋体" w:cs="宋体" w:eastAsia="宋体" w:hint="default"/>
          <w:spacing w:val="-4"/>
        </w:rPr>
        <w:t>7</w:t>
      </w:r>
      <w:r>
        <w:rPr>
          <w:spacing w:val="-4"/>
        </w:rPr>
        <w:t>）</w:t>
      </w:r>
      <w:r>
        <w:rPr>
          <w:rFonts w:ascii="宋体" w:hAnsi="宋体" w:cs="宋体" w:eastAsia="宋体" w:hint="default"/>
          <w:spacing w:val="-4"/>
        </w:rPr>
        <w:t>2017</w:t>
      </w:r>
      <w:r>
        <w:rPr>
          <w:rFonts w:ascii="宋体" w:hAnsi="宋体" w:cs="宋体" w:eastAsia="宋体" w:hint="default"/>
          <w:spacing w:val="-63"/>
        </w:rPr>
        <w:t> </w:t>
      </w:r>
      <w:r>
        <w:rPr/>
        <w:t>年</w:t>
      </w:r>
      <w:r>
        <w:rPr>
          <w:spacing w:val="-63"/>
        </w:rPr>
        <w:t> </w:t>
      </w:r>
      <w:r>
        <w:rPr>
          <w:rFonts w:ascii="宋体" w:hAnsi="宋体" w:cs="宋体" w:eastAsia="宋体" w:hint="default"/>
        </w:rPr>
        <w:t>6</w:t>
      </w:r>
      <w:r>
        <w:rPr>
          <w:rFonts w:ascii="宋体" w:hAnsi="宋体" w:cs="宋体" w:eastAsia="宋体" w:hint="default"/>
          <w:spacing w:val="-63"/>
        </w:rPr>
        <w:t> </w:t>
      </w:r>
      <w:r>
        <w:rPr/>
        <w:t>月</w:t>
      </w:r>
      <w:r>
        <w:rPr>
          <w:spacing w:val="-64"/>
        </w:rPr>
        <w:t> </w:t>
      </w:r>
      <w:r>
        <w:rPr>
          <w:rFonts w:ascii="宋体" w:hAnsi="宋体" w:cs="宋体" w:eastAsia="宋体" w:hint="default"/>
        </w:rPr>
        <w:t>23</w:t>
      </w:r>
      <w:r>
        <w:rPr>
          <w:rFonts w:ascii="宋体" w:hAnsi="宋体" w:cs="宋体" w:eastAsia="宋体" w:hint="default"/>
          <w:spacing w:val="-63"/>
        </w:rPr>
        <w:t> </w:t>
      </w:r>
      <w:r>
        <w:rPr/>
        <w:t>日公司召开第四届董事会第七次会议，独立董事就为控股子公司提供担保、为全 资子公司提供担保等相关事项发表了独立意见并被公司采纳。</w:t>
      </w:r>
    </w:p>
    <w:p>
      <w:pPr>
        <w:pStyle w:val="BodyText"/>
        <w:spacing w:line="408" w:lineRule="auto"/>
        <w:ind w:right="1130" w:firstLine="420"/>
        <w:jc w:val="both"/>
      </w:pPr>
      <w:r>
        <w:rPr/>
        <w:t>（</w:t>
      </w:r>
      <w:r>
        <w:rPr>
          <w:rFonts w:ascii="宋体" w:hAnsi="宋体" w:cs="宋体" w:eastAsia="宋体" w:hint="default"/>
        </w:rPr>
        <w:t>8</w:t>
      </w:r>
      <w:r>
        <w:rPr/>
        <w:t>）</w:t>
      </w:r>
      <w:r>
        <w:rPr>
          <w:rFonts w:ascii="宋体" w:hAnsi="宋体" w:cs="宋体" w:eastAsia="宋体" w:hint="default"/>
        </w:rPr>
        <w:t>2017</w:t>
      </w:r>
      <w:r>
        <w:rPr>
          <w:rFonts w:ascii="宋体" w:hAnsi="宋体" w:cs="宋体" w:eastAsia="宋体" w:hint="default"/>
          <w:spacing w:val="-40"/>
        </w:rPr>
        <w:t> </w:t>
      </w:r>
      <w:r>
        <w:rPr/>
        <w:t>年</w:t>
      </w:r>
      <w:r>
        <w:rPr>
          <w:spacing w:val="-40"/>
        </w:rPr>
        <w:t> </w:t>
      </w:r>
      <w:r>
        <w:rPr>
          <w:rFonts w:ascii="宋体" w:hAnsi="宋体" w:cs="宋体" w:eastAsia="宋体" w:hint="default"/>
        </w:rPr>
        <w:t>8</w:t>
      </w:r>
      <w:r>
        <w:rPr>
          <w:rFonts w:ascii="宋体" w:hAnsi="宋体" w:cs="宋体" w:eastAsia="宋体" w:hint="default"/>
          <w:spacing w:val="-40"/>
        </w:rPr>
        <w:t> </w:t>
      </w:r>
      <w:r>
        <w:rPr/>
        <w:t>月</w:t>
      </w:r>
      <w:r>
        <w:rPr>
          <w:spacing w:val="-40"/>
        </w:rPr>
        <w:t> </w:t>
      </w:r>
      <w:r>
        <w:rPr>
          <w:rFonts w:ascii="宋体" w:hAnsi="宋体" w:cs="宋体" w:eastAsia="宋体" w:hint="default"/>
        </w:rPr>
        <w:t>28</w:t>
      </w:r>
      <w:r>
        <w:rPr>
          <w:rFonts w:ascii="宋体" w:hAnsi="宋体" w:cs="宋体" w:eastAsia="宋体" w:hint="default"/>
          <w:spacing w:val="-40"/>
        </w:rPr>
        <w:t> </w:t>
      </w:r>
      <w:r>
        <w:rPr/>
        <w:t>日公司召开第四届董事会第八次会议，独立董事就《</w:t>
      </w:r>
      <w:r>
        <w:rPr>
          <w:rFonts w:ascii="宋体" w:hAnsi="宋体" w:cs="宋体" w:eastAsia="宋体" w:hint="default"/>
        </w:rPr>
        <w:t>2017</w:t>
      </w:r>
      <w:r>
        <w:rPr>
          <w:rFonts w:ascii="宋体" w:hAnsi="宋体" w:cs="宋体" w:eastAsia="宋体" w:hint="default"/>
          <w:spacing w:val="-39"/>
        </w:rPr>
        <w:t> </w:t>
      </w:r>
      <w:r>
        <w:rPr/>
        <w:t>年半年度报告及其摘 </w:t>
      </w:r>
      <w:r>
        <w:rPr>
          <w:spacing w:val="-3"/>
        </w:rPr>
        <w:t>要》、使用闲置自有资金购买低风险理财产品、会计政策变更等相关事项发表了独立意见并被公司采纳。</w:t>
      </w:r>
    </w:p>
    <w:p>
      <w:pPr>
        <w:pStyle w:val="BodyText"/>
        <w:spacing w:line="408" w:lineRule="auto"/>
        <w:ind w:left="1134" w:right="1130" w:firstLine="420"/>
        <w:jc w:val="both"/>
      </w:pPr>
      <w:r>
        <w:rPr/>
        <w:t>（</w:t>
      </w:r>
      <w:r>
        <w:rPr>
          <w:rFonts w:ascii="宋体" w:hAnsi="宋体" w:cs="宋体" w:eastAsia="宋体" w:hint="default"/>
        </w:rPr>
        <w:t>9</w:t>
      </w:r>
      <w:r>
        <w:rPr/>
        <w:t>）</w:t>
      </w:r>
      <w:r>
        <w:rPr>
          <w:rFonts w:ascii="宋体" w:hAnsi="宋体" w:cs="宋体" w:eastAsia="宋体" w:hint="default"/>
        </w:rPr>
        <w:t>2017</w:t>
      </w:r>
      <w:r>
        <w:rPr>
          <w:rFonts w:ascii="宋体" w:hAnsi="宋体" w:cs="宋体" w:eastAsia="宋体" w:hint="default"/>
          <w:spacing w:val="-35"/>
        </w:rPr>
        <w:t> </w:t>
      </w:r>
      <w:r>
        <w:rPr/>
        <w:t>年</w:t>
      </w:r>
      <w:r>
        <w:rPr>
          <w:spacing w:val="-35"/>
        </w:rPr>
        <w:t> </w:t>
      </w:r>
      <w:r>
        <w:rPr>
          <w:rFonts w:ascii="宋体" w:hAnsi="宋体" w:cs="宋体" w:eastAsia="宋体" w:hint="default"/>
        </w:rPr>
        <w:t>10</w:t>
      </w:r>
      <w:r>
        <w:rPr>
          <w:rFonts w:ascii="宋体" w:hAnsi="宋体" w:cs="宋体" w:eastAsia="宋体" w:hint="default"/>
          <w:spacing w:val="-35"/>
        </w:rPr>
        <w:t> </w:t>
      </w:r>
      <w:r>
        <w:rPr/>
        <w:t>月</w:t>
      </w:r>
      <w:r>
        <w:rPr>
          <w:spacing w:val="-35"/>
        </w:rPr>
        <w:t> </w:t>
      </w:r>
      <w:r>
        <w:rPr>
          <w:rFonts w:ascii="宋体" w:hAnsi="宋体" w:cs="宋体" w:eastAsia="宋体" w:hint="default"/>
        </w:rPr>
        <w:t>27</w:t>
      </w:r>
      <w:r>
        <w:rPr>
          <w:rFonts w:ascii="宋体" w:hAnsi="宋体" w:cs="宋体" w:eastAsia="宋体" w:hint="default"/>
          <w:spacing w:val="-36"/>
        </w:rPr>
        <w:t> </w:t>
      </w:r>
      <w:r>
        <w:rPr>
          <w:spacing w:val="-1"/>
        </w:rPr>
        <w:t>日公司召开第四届董事会第九次会议，独立董事就《</w:t>
      </w:r>
      <w:r>
        <w:rPr>
          <w:rFonts w:ascii="宋体" w:hAnsi="宋体" w:cs="宋体" w:eastAsia="宋体" w:hint="default"/>
          <w:spacing w:val="-1"/>
        </w:rPr>
        <w:t>2017</w:t>
      </w:r>
      <w:r>
        <w:rPr>
          <w:rFonts w:ascii="宋体" w:hAnsi="宋体" w:cs="宋体" w:eastAsia="宋体" w:hint="default"/>
          <w:spacing w:val="-36"/>
        </w:rPr>
        <w:t> </w:t>
      </w:r>
      <w:r>
        <w:rPr>
          <w:spacing w:val="-12"/>
        </w:rPr>
        <w:t>年第三季度报告》、</w:t>
      </w:r>
      <w:r>
        <w:rPr/>
        <w:t> 为控股子公司提供续贷担保等相关事项发表了独立意见并被公司采纳。</w:t>
      </w:r>
    </w:p>
    <w:p>
      <w:pPr>
        <w:pStyle w:val="BodyText"/>
        <w:spacing w:line="408" w:lineRule="auto"/>
        <w:ind w:right="1131" w:firstLine="420"/>
        <w:jc w:val="both"/>
      </w:pPr>
      <w:r>
        <w:rPr>
          <w:spacing w:val="-5"/>
        </w:rPr>
        <w:t>（</w:t>
      </w:r>
      <w:r>
        <w:rPr>
          <w:rFonts w:ascii="宋体" w:hAnsi="宋体" w:cs="宋体" w:eastAsia="宋体" w:hint="default"/>
          <w:spacing w:val="-5"/>
        </w:rPr>
        <w:t>10</w:t>
      </w:r>
      <w:r>
        <w:rPr>
          <w:spacing w:val="-5"/>
        </w:rPr>
        <w:t>）</w:t>
      </w:r>
      <w:r>
        <w:rPr>
          <w:rFonts w:ascii="宋体" w:hAnsi="宋体" w:cs="宋体" w:eastAsia="宋体" w:hint="default"/>
          <w:spacing w:val="-5"/>
        </w:rPr>
        <w:t>2017</w:t>
      </w:r>
      <w:r>
        <w:rPr>
          <w:rFonts w:ascii="宋体" w:hAnsi="宋体" w:cs="宋体" w:eastAsia="宋体" w:hint="default"/>
          <w:spacing w:val="-61"/>
        </w:rPr>
        <w:t> </w:t>
      </w:r>
      <w:r>
        <w:rPr/>
        <w:t>年</w:t>
      </w:r>
      <w:r>
        <w:rPr>
          <w:spacing w:val="-61"/>
        </w:rPr>
        <w:t> </w:t>
      </w:r>
      <w:r>
        <w:rPr>
          <w:rFonts w:ascii="宋体" w:hAnsi="宋体" w:cs="宋体" w:eastAsia="宋体" w:hint="default"/>
        </w:rPr>
        <w:t>11</w:t>
      </w:r>
      <w:r>
        <w:rPr>
          <w:rFonts w:ascii="宋体" w:hAnsi="宋体" w:cs="宋体" w:eastAsia="宋体" w:hint="default"/>
          <w:spacing w:val="-60"/>
        </w:rPr>
        <w:t> </w:t>
      </w:r>
      <w:r>
        <w:rPr/>
        <w:t>月</w:t>
      </w:r>
      <w:r>
        <w:rPr>
          <w:spacing w:val="-61"/>
        </w:rPr>
        <w:t> </w:t>
      </w:r>
      <w:r>
        <w:rPr>
          <w:rFonts w:ascii="宋体" w:hAnsi="宋体" w:cs="宋体" w:eastAsia="宋体" w:hint="default"/>
        </w:rPr>
        <w:t>20</w:t>
      </w:r>
      <w:r>
        <w:rPr>
          <w:rFonts w:ascii="宋体" w:hAnsi="宋体" w:cs="宋体" w:eastAsia="宋体" w:hint="default"/>
          <w:spacing w:val="-61"/>
        </w:rPr>
        <w:t> </w:t>
      </w:r>
      <w:r>
        <w:rPr/>
        <w:t>日公司召开第四届董事会第十次会议，独立董事就为控股子公司提供续贷担保 事项发表了独立意见并被公司采纳。</w:t>
      </w:r>
    </w:p>
    <w:p>
      <w:pPr>
        <w:pStyle w:val="BodyText"/>
        <w:spacing w:line="240" w:lineRule="auto"/>
        <w:ind w:left="1553" w:right="0"/>
        <w:jc w:val="left"/>
      </w:pPr>
      <w:r>
        <w:rPr/>
        <w:t>（</w:t>
      </w:r>
      <w:r>
        <w:rPr>
          <w:rFonts w:ascii="宋体" w:hAnsi="宋体" w:cs="宋体" w:eastAsia="宋体" w:hint="default"/>
        </w:rPr>
        <w:t>11</w:t>
      </w:r>
      <w:r>
        <w:rPr/>
        <w:t>）</w:t>
      </w:r>
      <w:r>
        <w:rPr>
          <w:rFonts w:ascii="宋体" w:hAnsi="宋体" w:cs="宋体" w:eastAsia="宋体" w:hint="default"/>
        </w:rPr>
        <w:t>2017</w:t>
      </w:r>
      <w:r>
        <w:rPr>
          <w:rFonts w:ascii="宋体" w:hAnsi="宋体" w:cs="宋体" w:eastAsia="宋体" w:hint="default"/>
          <w:spacing w:val="-48"/>
        </w:rPr>
        <w:t> </w:t>
      </w:r>
      <w:r>
        <w:rPr/>
        <w:t>年</w:t>
      </w:r>
      <w:r>
        <w:rPr>
          <w:spacing w:val="-48"/>
        </w:rPr>
        <w:t> </w:t>
      </w:r>
      <w:r>
        <w:rPr>
          <w:rFonts w:ascii="宋体" w:hAnsi="宋体" w:cs="宋体" w:eastAsia="宋体" w:hint="default"/>
        </w:rPr>
        <w:t>12</w:t>
      </w:r>
      <w:r>
        <w:rPr>
          <w:rFonts w:ascii="宋体" w:hAnsi="宋体" w:cs="宋体" w:eastAsia="宋体" w:hint="default"/>
          <w:spacing w:val="-48"/>
        </w:rPr>
        <w:t> </w:t>
      </w:r>
      <w:r>
        <w:rPr/>
        <w:t>月</w:t>
      </w:r>
      <w:r>
        <w:rPr>
          <w:spacing w:val="-48"/>
        </w:rPr>
        <w:t> </w:t>
      </w:r>
      <w:r>
        <w:rPr>
          <w:rFonts w:ascii="宋体" w:hAnsi="宋体" w:cs="宋体" w:eastAsia="宋体" w:hint="default"/>
        </w:rPr>
        <w:t>4</w:t>
      </w:r>
      <w:r>
        <w:rPr>
          <w:rFonts w:ascii="宋体" w:hAnsi="宋体" w:cs="宋体" w:eastAsia="宋体" w:hint="default"/>
          <w:spacing w:val="-47"/>
        </w:rPr>
        <w:t> </w:t>
      </w:r>
      <w:r>
        <w:rPr/>
        <w:t>日公司召开第四届董事会第十一次会议，独立董事就使用自有资金继续收购河</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right="1132"/>
        <w:jc w:val="both"/>
      </w:pPr>
      <w:r>
        <w:rPr>
          <w:spacing w:val="-1"/>
        </w:rPr>
        <w:t>南雪城软件有限公司少数股权、终止河南雪城软件有限公司原股东业绩承诺等相关事项发表了独立意见并</w:t>
      </w:r>
      <w:r>
        <w:rPr>
          <w:spacing w:val="-81"/>
        </w:rPr>
        <w:t> </w:t>
      </w:r>
      <w:r>
        <w:rPr>
          <w:spacing w:val="-81"/>
        </w:rPr>
      </w:r>
      <w:r>
        <w:rPr/>
        <w:t>被公司采纳。</w:t>
      </w:r>
    </w:p>
    <w:p>
      <w:pPr>
        <w:spacing w:line="240" w:lineRule="auto" w:before="11"/>
        <w:rPr>
          <w:rFonts w:ascii="宋体" w:hAnsi="宋体" w:cs="宋体" w:eastAsia="宋体" w:hint="default"/>
          <w:sz w:val="18"/>
          <w:szCs w:val="18"/>
        </w:rPr>
      </w:pPr>
    </w:p>
    <w:p>
      <w:pPr>
        <w:pStyle w:val="Heading2"/>
        <w:spacing w:line="240" w:lineRule="auto"/>
        <w:ind w:right="0"/>
        <w:jc w:val="both"/>
        <w:rPr>
          <w:b w:val="0"/>
          <w:bCs w:val="0"/>
        </w:rPr>
      </w:pPr>
      <w:bookmarkStart w:name="六、董事会下设专门委员会在报告期内履行职责情况" w:id="141"/>
      <w:bookmarkEnd w:id="141"/>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left="1553" w:right="1121"/>
        <w:jc w:val="left"/>
      </w:pPr>
      <w:r>
        <w:rPr/>
        <w:t>（一）审计委员会履职情况 </w:t>
      </w:r>
      <w:r>
        <w:rPr>
          <w:spacing w:val="-14"/>
        </w:rPr>
        <w:t>报告期内，审计委员会根据《公司法》、《证券法》、《上市公司治理准则》、《内部审计制度》及《董事</w:t>
      </w:r>
    </w:p>
    <w:p>
      <w:pPr>
        <w:pStyle w:val="BodyText"/>
        <w:spacing w:line="408" w:lineRule="auto"/>
        <w:ind w:right="1129"/>
        <w:jc w:val="both"/>
      </w:pPr>
      <w:r>
        <w:rPr/>
        <w:t>会专门委员会工作细则》等有关规定，积极履行职责。报告期内，审计委员会共召开了</w:t>
      </w:r>
      <w:r>
        <w:rPr>
          <w:spacing w:val="-68"/>
        </w:rPr>
        <w:t> </w:t>
      </w:r>
      <w:r>
        <w:rPr>
          <w:rFonts w:ascii="宋体" w:hAnsi="宋体" w:cs="宋体" w:eastAsia="宋体" w:hint="default"/>
        </w:rPr>
        <w:t>4</w:t>
      </w:r>
      <w:r>
        <w:rPr>
          <w:rFonts w:ascii="宋体" w:hAnsi="宋体" w:cs="宋体" w:eastAsia="宋体" w:hint="default"/>
          <w:spacing w:val="-69"/>
        </w:rPr>
        <w:t> </w:t>
      </w:r>
      <w:r>
        <w:rPr>
          <w:spacing w:val="-3"/>
        </w:rPr>
        <w:t>次会议，</w:t>
      </w:r>
      <w:r>
        <w:rPr>
          <w:rFonts w:ascii="宋体" w:hAnsi="宋体" w:cs="宋体" w:eastAsia="宋体" w:hint="default"/>
          <w:spacing w:val="-3"/>
        </w:rPr>
        <w:t>2017</w:t>
      </w:r>
      <w:r>
        <w:rPr>
          <w:rFonts w:ascii="宋体" w:hAnsi="宋体" w:cs="宋体" w:eastAsia="宋体" w:hint="default"/>
          <w:spacing w:val="-70"/>
        </w:rPr>
        <w:t> </w:t>
      </w:r>
      <w:r>
        <w:rPr/>
        <w:t>年 第一次会议审议了</w:t>
      </w:r>
      <w:r>
        <w:rPr>
          <w:spacing w:val="-27"/>
        </w:rPr>
        <w:t> </w:t>
      </w:r>
      <w:r>
        <w:rPr>
          <w:rFonts w:ascii="宋体" w:hAnsi="宋体" w:cs="宋体" w:eastAsia="宋体" w:hint="default"/>
        </w:rPr>
        <w:t>2016</w:t>
      </w:r>
      <w:r>
        <w:rPr>
          <w:rFonts w:ascii="宋体" w:hAnsi="宋体" w:cs="宋体" w:eastAsia="宋体" w:hint="default"/>
          <w:spacing w:val="-28"/>
        </w:rPr>
        <w:t> </w:t>
      </w:r>
      <w:r>
        <w:rPr/>
        <w:t>年度报告相关事项和</w:t>
      </w:r>
      <w:r>
        <w:rPr>
          <w:spacing w:val="-27"/>
        </w:rPr>
        <w:t> </w:t>
      </w:r>
      <w:r>
        <w:rPr>
          <w:rFonts w:ascii="宋体" w:hAnsi="宋体" w:cs="宋体" w:eastAsia="宋体" w:hint="default"/>
        </w:rPr>
        <w:t>2016</w:t>
      </w:r>
      <w:r>
        <w:rPr>
          <w:rFonts w:ascii="宋体" w:hAnsi="宋体" w:cs="宋体" w:eastAsia="宋体" w:hint="default"/>
          <w:spacing w:val="-26"/>
        </w:rPr>
        <w:t> </w:t>
      </w:r>
      <w:r>
        <w:rPr/>
        <w:t>年第四季度内审工作总结；</w:t>
      </w:r>
      <w:r>
        <w:rPr>
          <w:rFonts w:ascii="宋体" w:hAnsi="宋体" w:cs="宋体" w:eastAsia="宋体" w:hint="default"/>
        </w:rPr>
        <w:t>2017</w:t>
      </w:r>
      <w:r>
        <w:rPr>
          <w:rFonts w:ascii="宋体" w:hAnsi="宋体" w:cs="宋体" w:eastAsia="宋体" w:hint="default"/>
          <w:spacing w:val="-27"/>
        </w:rPr>
        <w:t> </w:t>
      </w:r>
      <w:r>
        <w:rPr/>
        <w:t>年第二次会议审议了</w:t>
      </w:r>
    </w:p>
    <w:p>
      <w:pPr>
        <w:pStyle w:val="BodyText"/>
        <w:spacing w:line="240" w:lineRule="auto"/>
        <w:ind w:right="0"/>
        <w:jc w:val="both"/>
      </w:pPr>
      <w:r>
        <w:rPr>
          <w:rFonts w:ascii="宋体" w:hAnsi="宋体" w:cs="宋体" w:eastAsia="宋体" w:hint="default"/>
        </w:rPr>
        <w:t>2017</w:t>
      </w:r>
      <w:r>
        <w:rPr>
          <w:rFonts w:ascii="宋体" w:hAnsi="宋体" w:cs="宋体" w:eastAsia="宋体" w:hint="default"/>
          <w:spacing w:val="-39"/>
        </w:rPr>
        <w:t> </w:t>
      </w:r>
      <w:r>
        <w:rPr/>
        <w:t>年第一季度报告相关事项和</w:t>
      </w:r>
      <w:r>
        <w:rPr>
          <w:spacing w:val="-40"/>
        </w:rPr>
        <w:t> </w:t>
      </w:r>
      <w:r>
        <w:rPr>
          <w:rFonts w:ascii="宋体" w:hAnsi="宋体" w:cs="宋体" w:eastAsia="宋体" w:hint="default"/>
        </w:rPr>
        <w:t>2017</w:t>
      </w:r>
      <w:r>
        <w:rPr>
          <w:rFonts w:ascii="宋体" w:hAnsi="宋体" w:cs="宋体" w:eastAsia="宋体" w:hint="default"/>
          <w:spacing w:val="-40"/>
        </w:rPr>
        <w:t> </w:t>
      </w:r>
      <w:r>
        <w:rPr/>
        <w:t>年第一季度内审工作总结；</w:t>
      </w:r>
      <w:r>
        <w:rPr>
          <w:rFonts w:ascii="宋体" w:hAnsi="宋体" w:cs="宋体" w:eastAsia="宋体" w:hint="default"/>
        </w:rPr>
        <w:t>2017</w:t>
      </w:r>
      <w:r>
        <w:rPr>
          <w:rFonts w:ascii="宋体" w:hAnsi="宋体" w:cs="宋体" w:eastAsia="宋体" w:hint="default"/>
          <w:spacing w:val="-39"/>
        </w:rPr>
        <w:t> </w:t>
      </w:r>
      <w:r>
        <w:rPr/>
        <w:t>年第三次会议审议了</w:t>
      </w:r>
      <w:r>
        <w:rPr>
          <w:spacing w:val="-40"/>
        </w:rPr>
        <w:t> </w:t>
      </w:r>
      <w:r>
        <w:rPr>
          <w:rFonts w:ascii="宋体" w:hAnsi="宋体" w:cs="宋体" w:eastAsia="宋体" w:hint="default"/>
        </w:rPr>
        <w:t>2017</w:t>
      </w:r>
      <w:r>
        <w:rPr>
          <w:rFonts w:ascii="宋体" w:hAnsi="宋体" w:cs="宋体" w:eastAsia="宋体" w:hint="default"/>
          <w:spacing w:val="-41"/>
        </w:rPr>
        <w:t> </w:t>
      </w:r>
      <w:r>
        <w:rPr/>
        <w:t>年半年</w:t>
      </w:r>
    </w:p>
    <w:p>
      <w:pPr>
        <w:spacing w:line="240" w:lineRule="auto" w:before="10"/>
        <w:rPr>
          <w:rFonts w:ascii="宋体" w:hAnsi="宋体" w:cs="宋体" w:eastAsia="宋体" w:hint="default"/>
          <w:sz w:val="14"/>
          <w:szCs w:val="14"/>
        </w:rPr>
      </w:pPr>
    </w:p>
    <w:p>
      <w:pPr>
        <w:pStyle w:val="BodyText"/>
        <w:spacing w:line="240" w:lineRule="auto" w:before="0"/>
        <w:ind w:right="0"/>
        <w:jc w:val="both"/>
      </w:pPr>
      <w:r>
        <w:rPr/>
        <w:t>度报告相关事项和</w:t>
      </w:r>
      <w:r>
        <w:rPr>
          <w:spacing w:val="-53"/>
        </w:rPr>
        <w:t> </w:t>
      </w:r>
      <w:r>
        <w:rPr>
          <w:rFonts w:ascii="宋体" w:hAnsi="宋体" w:cs="宋体" w:eastAsia="宋体" w:hint="default"/>
        </w:rPr>
        <w:t>2017</w:t>
      </w:r>
      <w:r>
        <w:rPr>
          <w:rFonts w:ascii="宋体" w:hAnsi="宋体" w:cs="宋体" w:eastAsia="宋体" w:hint="default"/>
          <w:spacing w:val="-55"/>
        </w:rPr>
        <w:t> </w:t>
      </w:r>
      <w:r>
        <w:rPr>
          <w:spacing w:val="-5"/>
        </w:rPr>
        <w:t>年半年度内审工作总结；</w:t>
      </w:r>
      <w:r>
        <w:rPr>
          <w:rFonts w:ascii="宋体" w:hAnsi="宋体" w:cs="宋体" w:eastAsia="宋体" w:hint="default"/>
          <w:spacing w:val="-5"/>
        </w:rPr>
        <w:t>2017</w:t>
      </w:r>
      <w:r>
        <w:rPr>
          <w:rFonts w:ascii="宋体" w:hAnsi="宋体" w:cs="宋体" w:eastAsia="宋体" w:hint="default"/>
          <w:spacing w:val="-52"/>
        </w:rPr>
        <w:t> </w:t>
      </w:r>
      <w:r>
        <w:rPr/>
        <w:t>年第四次会议审议了</w:t>
      </w:r>
      <w:r>
        <w:rPr>
          <w:spacing w:val="-54"/>
        </w:rPr>
        <w:t> </w:t>
      </w:r>
      <w:r>
        <w:rPr>
          <w:rFonts w:ascii="宋体" w:hAnsi="宋体" w:cs="宋体" w:eastAsia="宋体" w:hint="default"/>
        </w:rPr>
        <w:t>2017</w:t>
      </w:r>
      <w:r>
        <w:rPr>
          <w:rFonts w:ascii="宋体" w:hAnsi="宋体" w:cs="宋体" w:eastAsia="宋体" w:hint="default"/>
          <w:spacing w:val="-53"/>
        </w:rPr>
        <w:t> </w:t>
      </w:r>
      <w:r>
        <w:rPr/>
        <w:t>年第三季度报告相关事项</w:t>
      </w:r>
    </w:p>
    <w:p>
      <w:pPr>
        <w:spacing w:line="240" w:lineRule="auto" w:before="10"/>
        <w:rPr>
          <w:rFonts w:ascii="宋体" w:hAnsi="宋体" w:cs="宋体" w:eastAsia="宋体" w:hint="default"/>
          <w:sz w:val="14"/>
          <w:szCs w:val="14"/>
        </w:rPr>
      </w:pPr>
    </w:p>
    <w:p>
      <w:pPr>
        <w:pStyle w:val="BodyText"/>
        <w:spacing w:line="240" w:lineRule="auto" w:before="0"/>
        <w:ind w:right="0"/>
        <w:jc w:val="both"/>
      </w:pPr>
      <w:r>
        <w:rPr/>
        <w:t>和</w:t>
      </w:r>
      <w:r>
        <w:rPr>
          <w:spacing w:val="-54"/>
        </w:rPr>
        <w:t> </w:t>
      </w:r>
      <w:r>
        <w:rPr>
          <w:rFonts w:ascii="宋体" w:hAnsi="宋体" w:cs="宋体" w:eastAsia="宋体" w:hint="default"/>
        </w:rPr>
        <w:t>2017</w:t>
      </w:r>
      <w:r>
        <w:rPr>
          <w:rFonts w:ascii="宋体" w:hAnsi="宋体" w:cs="宋体" w:eastAsia="宋体" w:hint="default"/>
          <w:spacing w:val="-53"/>
        </w:rPr>
        <w:t> </w:t>
      </w:r>
      <w:r>
        <w:rPr/>
        <w:t>年第三季度内审工作总结。</w:t>
      </w:r>
    </w:p>
    <w:p>
      <w:pPr>
        <w:spacing w:line="240" w:lineRule="auto" w:before="10"/>
        <w:rPr>
          <w:rFonts w:ascii="宋体" w:hAnsi="宋体" w:cs="宋体" w:eastAsia="宋体" w:hint="default"/>
          <w:sz w:val="14"/>
          <w:szCs w:val="14"/>
        </w:rPr>
      </w:pPr>
    </w:p>
    <w:p>
      <w:pPr>
        <w:pStyle w:val="BodyText"/>
        <w:spacing w:line="408" w:lineRule="auto" w:before="0"/>
        <w:ind w:left="1553" w:right="0"/>
        <w:jc w:val="left"/>
      </w:pPr>
      <w:r>
        <w:rPr/>
        <w:t>（二）薪酬与考核委员会履职情况 </w:t>
      </w:r>
      <w:r>
        <w:rPr>
          <w:spacing w:val="-1"/>
        </w:rPr>
        <w:t>报告期内，薪酬与考核委员会对公司董事、监事和高级管理人员的薪酬情况进行了审核，认为其薪酬</w:t>
      </w:r>
    </w:p>
    <w:p>
      <w:pPr>
        <w:pStyle w:val="BodyText"/>
        <w:spacing w:line="408" w:lineRule="auto"/>
        <w:ind w:right="1131"/>
        <w:jc w:val="both"/>
      </w:pPr>
      <w:r>
        <w:rPr>
          <w:spacing w:val="-1"/>
        </w:rPr>
        <w:t>标准和年度薪酬总额的确定符合公司相关薪酬管理制度的规定。同时，薪酬与考核委员会不断探讨绩效考</w:t>
      </w:r>
      <w:r>
        <w:rPr>
          <w:spacing w:val="-81"/>
        </w:rPr>
        <w:t> </w:t>
      </w:r>
      <w:r>
        <w:rPr>
          <w:spacing w:val="-81"/>
        </w:rPr>
      </w:r>
      <w:r>
        <w:rPr>
          <w:spacing w:val="-5"/>
        </w:rPr>
        <w:t>核体系的进一步完善，为充分调动公司及公司控股子公司董事、监事、高级管理人员和核心员工的积极性，</w:t>
      </w:r>
      <w:r>
        <w:rPr>
          <w:spacing w:val="-103"/>
        </w:rPr>
        <w:t> </w:t>
      </w:r>
      <w:r>
        <w:rPr>
          <w:spacing w:val="-103"/>
        </w:rPr>
      </w:r>
      <w:r>
        <w:rPr>
          <w:spacing w:val="-1"/>
        </w:rPr>
        <w:t>增强公司管理团队和核心员工对实现公司健康、持续发展的责任感、使命感，有效地将股东利益、公司利</w:t>
      </w:r>
      <w:r>
        <w:rPr>
          <w:spacing w:val="-86"/>
        </w:rPr>
        <w:t> </w:t>
      </w:r>
      <w:r>
        <w:rPr>
          <w:spacing w:val="-86"/>
        </w:rPr>
      </w:r>
      <w:r>
        <w:rPr>
          <w:spacing w:val="-1"/>
        </w:rPr>
        <w:t>益和公司员工利益结合在一起，使各方共同关注公司的长远发展，减少管理者的短期行为。报告期内，薪</w:t>
      </w:r>
      <w:r>
        <w:rPr>
          <w:spacing w:val="-85"/>
        </w:rPr>
        <w:t> </w:t>
      </w:r>
      <w:r>
        <w:rPr>
          <w:spacing w:val="-85"/>
        </w:rPr>
      </w:r>
      <w:r>
        <w:rPr>
          <w:spacing w:val="-1"/>
        </w:rPr>
        <w:t>酬与考核委员会认为，公司董事、监事和高级管理人员根据各自的分工，认真履行了相应的职责，较好的</w:t>
      </w:r>
      <w:r>
        <w:rPr>
          <w:spacing w:val="-86"/>
        </w:rPr>
        <w:t> </w:t>
      </w:r>
      <w:r>
        <w:rPr>
          <w:spacing w:val="-86"/>
        </w:rPr>
      </w:r>
      <w:r>
        <w:rPr/>
        <w:t>完成了其工作目标。</w:t>
      </w:r>
      <w:r>
        <w:rPr>
          <w:spacing w:val="-14"/>
        </w:rPr>
        <w:t> </w:t>
      </w:r>
      <w:r>
        <w:rPr/>
        <w:t>报告期内，薪酬与考核委员会召开了</w:t>
      </w:r>
      <w:r>
        <w:rPr>
          <w:spacing w:val="-56"/>
        </w:rPr>
        <w:t> </w:t>
      </w:r>
      <w:r>
        <w:rPr>
          <w:rFonts w:ascii="宋体" w:hAnsi="宋体" w:cs="宋体" w:eastAsia="宋体" w:hint="default"/>
        </w:rPr>
        <w:t>1</w:t>
      </w:r>
      <w:r>
        <w:rPr>
          <w:rFonts w:ascii="宋体" w:hAnsi="宋体" w:cs="宋体" w:eastAsia="宋体" w:hint="default"/>
          <w:spacing w:val="-56"/>
        </w:rPr>
        <w:t> </w:t>
      </w:r>
      <w:r>
        <w:rPr/>
        <w:t>次会议，对公司</w:t>
      </w:r>
      <w:r>
        <w:rPr>
          <w:spacing w:val="-56"/>
        </w:rPr>
        <w:t> </w:t>
      </w:r>
      <w:r>
        <w:rPr>
          <w:rFonts w:ascii="宋体" w:hAnsi="宋体" w:cs="宋体" w:eastAsia="宋体" w:hint="default"/>
        </w:rPr>
        <w:t>2016</w:t>
      </w:r>
      <w:r>
        <w:rPr>
          <w:rFonts w:ascii="宋体" w:hAnsi="宋体" w:cs="宋体" w:eastAsia="宋体" w:hint="default"/>
          <w:spacing w:val="-57"/>
        </w:rPr>
        <w:t> </w:t>
      </w:r>
      <w:r>
        <w:rPr/>
        <w:t>年主要财务指标和经营 </w:t>
      </w:r>
      <w:r>
        <w:rPr>
          <w:spacing w:val="-3"/>
        </w:rPr>
        <w:t>目标完成情况、董事和高级管理人员绩效评价总结、</w:t>
      </w:r>
      <w:r>
        <w:rPr>
          <w:rFonts w:ascii="宋体" w:hAnsi="宋体" w:cs="宋体" w:eastAsia="宋体" w:hint="default"/>
          <w:spacing w:val="-3"/>
        </w:rPr>
        <w:t>2017</w:t>
      </w:r>
      <w:r>
        <w:rPr>
          <w:rFonts w:ascii="宋体" w:hAnsi="宋体" w:cs="宋体" w:eastAsia="宋体" w:hint="default"/>
          <w:spacing w:val="-48"/>
        </w:rPr>
        <w:t> </w:t>
      </w:r>
      <w:r>
        <w:rPr/>
        <w:t>年董事监事和高级管理人员的薪酬事项进行了审 核，并提交给董事会审议。</w:t>
      </w:r>
    </w:p>
    <w:p>
      <w:pPr>
        <w:pStyle w:val="BodyText"/>
        <w:spacing w:line="408" w:lineRule="auto"/>
        <w:ind w:left="1553" w:right="0"/>
        <w:jc w:val="left"/>
      </w:pPr>
      <w:r>
        <w:rPr/>
        <w:t>（三）提名委员会履职情况 </w:t>
      </w:r>
      <w:r>
        <w:rPr>
          <w:spacing w:val="-1"/>
        </w:rPr>
        <w:t>报告期内，提名委员会按照《董事会专门委员会工作细则》履行职责，提名委员会认为公司董事会人</w:t>
      </w:r>
    </w:p>
    <w:p>
      <w:pPr>
        <w:pStyle w:val="BodyText"/>
        <w:spacing w:line="408" w:lineRule="auto"/>
        <w:ind w:right="1133"/>
        <w:jc w:val="both"/>
      </w:pPr>
      <w:r>
        <w:rPr>
          <w:spacing w:val="-1"/>
        </w:rPr>
        <w:t>员结构合理，高管团队具有丰富的行业经验和管理经验，完全胜任各自的工作。报告期内，提名委员会召</w:t>
      </w:r>
      <w:r>
        <w:rPr>
          <w:spacing w:val="-86"/>
        </w:rPr>
        <w:t> </w:t>
      </w:r>
      <w:r>
        <w:rPr>
          <w:spacing w:val="-86"/>
        </w:rPr>
      </w:r>
      <w:r>
        <w:rPr/>
        <w:t>开了 </w:t>
      </w:r>
      <w:r>
        <w:rPr>
          <w:rFonts w:ascii="宋体" w:hAnsi="宋体" w:cs="宋体" w:eastAsia="宋体" w:hint="default"/>
        </w:rPr>
        <w:t>2</w:t>
      </w:r>
      <w:r>
        <w:rPr>
          <w:rFonts w:ascii="宋体" w:hAnsi="宋体" w:cs="宋体" w:eastAsia="宋体" w:hint="default"/>
          <w:spacing w:val="-80"/>
        </w:rPr>
        <w:t> </w:t>
      </w:r>
      <w:r>
        <w:rPr>
          <w:spacing w:val="-8"/>
        </w:rPr>
        <w:t>次会议，分别审议了《关于聘任公司高级管理人员的议案》、《关于聘任证券事务代表的议案》。</w:t>
      </w:r>
    </w:p>
    <w:p>
      <w:pPr>
        <w:pStyle w:val="BodyText"/>
        <w:spacing w:line="408" w:lineRule="auto"/>
        <w:ind w:left="1554" w:right="0"/>
        <w:jc w:val="left"/>
      </w:pPr>
      <w:r>
        <w:rPr/>
        <w:t>（四）战略发展委员会履职情况 </w:t>
      </w:r>
      <w:r>
        <w:rPr>
          <w:spacing w:val="-1"/>
        </w:rPr>
        <w:t>报告期内，公司战略发展委员会认真研究国家宏观经济政策、结构调整对公司的影响，跟踪国内外同</w:t>
      </w:r>
    </w:p>
    <w:p>
      <w:pPr>
        <w:pStyle w:val="BodyText"/>
        <w:spacing w:line="408" w:lineRule="auto"/>
        <w:ind w:left="1134" w:right="1027"/>
        <w:jc w:val="both"/>
      </w:pPr>
      <w:r>
        <w:rPr/>
        <w:t>行业发展动向，结合公司战略发展要求，向公司董事会提出有关结构调整、资本运作、长远发展等事项的 建议，对促进公司转方式、调结构，规避市场风险，起到积极良好的作用。报告期内，战略发展委员会召 开了</w:t>
      </w:r>
      <w:r>
        <w:rPr>
          <w:spacing w:val="-53"/>
        </w:rPr>
        <w:t> </w:t>
      </w:r>
      <w:r>
        <w:rPr>
          <w:rFonts w:ascii="宋体" w:hAnsi="宋体" w:cs="宋体" w:eastAsia="宋体" w:hint="default"/>
        </w:rPr>
        <w:t>2</w:t>
      </w:r>
      <w:r>
        <w:rPr>
          <w:rFonts w:ascii="宋体" w:hAnsi="宋体" w:cs="宋体" w:eastAsia="宋体" w:hint="default"/>
          <w:spacing w:val="-52"/>
        </w:rPr>
        <w:t> </w:t>
      </w:r>
      <w:r>
        <w:rPr>
          <w:spacing w:val="-3"/>
        </w:rPr>
        <w:t>次会议，分别审议了《关于扩大智慧水务示范区域、投资建设郑州高新第二水厂工程项目的议案》、</w:t>
      </w:r>
    </w:p>
    <w:p>
      <w:pPr>
        <w:spacing w:after="0" w:line="408"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240" w:lineRule="auto" w:before="174"/>
        <w:ind w:right="0"/>
        <w:jc w:val="left"/>
      </w:pPr>
      <w:r>
        <w:rPr/>
        <w:t>《公司</w:t>
      </w:r>
      <w:r>
        <w:rPr>
          <w:spacing w:val="-52"/>
        </w:rPr>
        <w:t> </w:t>
      </w:r>
      <w:r>
        <w:rPr>
          <w:rFonts w:ascii="宋体" w:hAnsi="宋体" w:cs="宋体" w:eastAsia="宋体" w:hint="default"/>
        </w:rPr>
        <w:t>2017</w:t>
      </w:r>
      <w:r>
        <w:rPr>
          <w:rFonts w:ascii="宋体" w:hAnsi="宋体" w:cs="宋体" w:eastAsia="宋体" w:hint="default"/>
          <w:spacing w:val="-54"/>
        </w:rPr>
        <w:t> </w:t>
      </w:r>
      <w:r>
        <w:rPr/>
        <w:t>年战略发展规划</w:t>
      </w:r>
      <w:r>
        <w:rPr>
          <w:spacing w:val="-105"/>
        </w:rPr>
        <w:t>》</w:t>
      </w:r>
      <w:r>
        <w:rPr/>
        <w:t>。</w:t>
      </w:r>
    </w:p>
    <w:p>
      <w:pPr>
        <w:spacing w:line="240" w:lineRule="auto" w:before="0"/>
        <w:rPr>
          <w:rFonts w:ascii="宋体" w:hAnsi="宋体" w:cs="宋体" w:eastAsia="宋体" w:hint="default"/>
          <w:sz w:val="20"/>
          <w:szCs w:val="20"/>
        </w:rPr>
      </w:pPr>
    </w:p>
    <w:p>
      <w:pPr>
        <w:pStyle w:val="Heading2"/>
        <w:spacing w:line="240" w:lineRule="auto" w:before="131"/>
        <w:ind w:right="0"/>
        <w:jc w:val="left"/>
        <w:rPr>
          <w:b w:val="0"/>
          <w:bCs w:val="0"/>
        </w:rPr>
      </w:pPr>
      <w:bookmarkStart w:name="七、监事会工作情况" w:id="142"/>
      <w:bookmarkEnd w:id="142"/>
      <w:r>
        <w:rPr>
          <w:b w:val="0"/>
          <w:bCs w:val="0"/>
        </w:rPr>
      </w:r>
      <w:r>
        <w:rPr/>
        <w:t>七、监事会工作情况</w:t>
      </w:r>
      <w:r>
        <w:rPr>
          <w:b w:val="0"/>
          <w:bCs w:val="0"/>
        </w:rPr>
      </w:r>
    </w:p>
    <w:p>
      <w:pPr>
        <w:spacing w:line="240" w:lineRule="auto" w:before="8"/>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40" w:lineRule="auto" w:before="116"/>
        <w:ind w:left="1133" w:right="73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八、高级管理人员的考评及激励情况" w:id="143"/>
      <w:bookmarkEnd w:id="143"/>
      <w:r>
        <w:rPr>
          <w:b w:val="0"/>
          <w:bCs w:val="0"/>
        </w:rPr>
      </w:r>
      <w:r>
        <w:rPr/>
        <w:t>八、高级管理人员的考评及激励情况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131" w:firstLine="420"/>
        <w:jc w:val="both"/>
      </w:pPr>
      <w:r>
        <w:rPr>
          <w:spacing w:val="-3"/>
        </w:rPr>
        <w:t>报告期内，按照《汉威科技中高层管理人员绩效考核办法》和《</w:t>
      </w:r>
      <w:r>
        <w:rPr>
          <w:rFonts w:ascii="宋体" w:hAnsi="宋体" w:cs="宋体" w:eastAsia="宋体" w:hint="default"/>
          <w:spacing w:val="-3"/>
        </w:rPr>
        <w:t>2017</w:t>
      </w:r>
      <w:r>
        <w:rPr>
          <w:rFonts w:ascii="宋体" w:hAnsi="宋体" w:cs="宋体" w:eastAsia="宋体" w:hint="default"/>
          <w:spacing w:val="-41"/>
        </w:rPr>
        <w:t> </w:t>
      </w:r>
      <w:r>
        <w:rPr/>
        <w:t>年度关于开展中高层管理人员综 </w:t>
      </w:r>
      <w:r>
        <w:rPr>
          <w:spacing w:val="-1"/>
        </w:rPr>
        <w:t>合考核评价实施办法》，公司对高级管理人员进行了四个季度考核、半年度述职和年终综合考评，公司的</w:t>
      </w:r>
      <w:r>
        <w:rPr>
          <w:spacing w:val="-94"/>
        </w:rPr>
        <w:t> </w:t>
      </w:r>
      <w:r>
        <w:rPr>
          <w:spacing w:val="-94"/>
        </w:rPr>
      </w:r>
      <w:r>
        <w:rPr>
          <w:spacing w:val="-1"/>
        </w:rPr>
        <w:t>各项考核制度较为合理地把高级管理人员的工作业绩与其薪酬进行挂钩，并且特别制定超额激励的奖励标</w:t>
      </w:r>
      <w:r>
        <w:rPr>
          <w:spacing w:val="-81"/>
        </w:rPr>
        <w:t> </w:t>
      </w:r>
      <w:r>
        <w:rPr>
          <w:spacing w:val="-81"/>
        </w:rPr>
      </w:r>
      <w:r>
        <w:rPr>
          <w:spacing w:val="-1"/>
        </w:rPr>
        <w:t>准和计算方法，极大的提高了高级管理人员的积极性，同时高管薪酬的确定符合公司薪酬管理和业绩考评</w:t>
      </w:r>
      <w:r>
        <w:rPr>
          <w:spacing w:val="-81"/>
        </w:rPr>
        <w:t> </w:t>
      </w:r>
      <w:r>
        <w:rPr>
          <w:spacing w:val="-81"/>
        </w:rPr>
      </w:r>
      <w:r>
        <w:rPr/>
        <w:t>激励等制度的有关规定。</w:t>
      </w:r>
    </w:p>
    <w:p>
      <w:pPr>
        <w:spacing w:line="240" w:lineRule="auto" w:before="11"/>
        <w:rPr>
          <w:rFonts w:ascii="宋体" w:hAnsi="宋体" w:cs="宋体" w:eastAsia="宋体" w:hint="default"/>
          <w:sz w:val="18"/>
          <w:szCs w:val="18"/>
        </w:rPr>
      </w:pPr>
    </w:p>
    <w:p>
      <w:pPr>
        <w:pStyle w:val="Heading2"/>
        <w:spacing w:line="240" w:lineRule="auto"/>
        <w:ind w:right="0"/>
        <w:jc w:val="left"/>
        <w:rPr>
          <w:b w:val="0"/>
          <w:bCs w:val="0"/>
        </w:rPr>
      </w:pPr>
      <w:bookmarkStart w:name="九、内部控制评价报告" w:id="144"/>
      <w:bookmarkEnd w:id="144"/>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报告期内发现的内部控制重大缺陷的具体情况" w:id="145"/>
      <w:bookmarkEnd w:id="145"/>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内控自我评价报告" w:id="146"/>
      <w:bookmarkEnd w:id="146"/>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118" w:type="dxa"/>
        <w:tblLayout w:type="fixed"/>
        <w:tblCellMar>
          <w:top w:w="0" w:type="dxa"/>
          <w:left w:w="0" w:type="dxa"/>
          <w:bottom w:w="0" w:type="dxa"/>
          <w:right w:w="0" w:type="dxa"/>
        </w:tblCellMar>
        <w:tblLook w:val="01E0"/>
      </w:tblPr>
      <w:tblGrid>
        <w:gridCol w:w="2553"/>
        <w:gridCol w:w="2693"/>
        <w:gridCol w:w="1283"/>
        <w:gridCol w:w="3039"/>
      </w:tblGrid>
      <w:tr>
        <w:trPr>
          <w:trHeight w:val="412" w:hRule="exact"/>
        </w:trPr>
        <w:tc>
          <w:tcPr>
            <w:tcW w:w="5247" w:type="dxa"/>
            <w:gridSpan w:val="2"/>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4322" w:type="dxa"/>
            <w:gridSpan w:val="2"/>
            <w:tcBorders>
              <w:top w:val="single" w:sz="12" w:space="0" w:color="000000"/>
              <w:left w:val="single" w:sz="13" w:space="0" w:color="D2D2D2"/>
              <w:bottom w:val="single" w:sz="4" w:space="0" w:color="000000"/>
              <w:right w:val="single" w:sz="12"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61" w:hRule="exact"/>
        </w:trPr>
        <w:tc>
          <w:tcPr>
            <w:tcW w:w="5247" w:type="dxa"/>
            <w:gridSpan w:val="2"/>
            <w:tcBorders>
              <w:top w:val="single" w:sz="4" w:space="0" w:color="000000"/>
              <w:left w:val="single" w:sz="12" w:space="0" w:color="000000"/>
              <w:bottom w:val="nil" w:sz="6" w:space="0" w:color="auto"/>
              <w:right w:val="single" w:sz="4" w:space="0" w:color="000000"/>
            </w:tcBorders>
            <w:shd w:val="clear" w:color="auto" w:fill="D2D2D2"/>
          </w:tcPr>
          <w:p>
            <w:pPr/>
          </w:p>
        </w:tc>
        <w:tc>
          <w:tcPr>
            <w:tcW w:w="4322" w:type="dxa"/>
            <w:gridSpan w:val="2"/>
            <w:vMerge w:val="restart"/>
            <w:tcBorders>
              <w:top w:val="single" w:sz="4" w:space="0" w:color="000000"/>
              <w:left w:val="single" w:sz="10" w:space="0" w:color="D2D2D2"/>
              <w:right w:val="single" w:sz="12" w:space="0" w:color="000000"/>
            </w:tcBorders>
          </w:tcPr>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45"/>
                <w:sz w:val="18"/>
                <w:szCs w:val="18"/>
              </w:rPr>
              <w:t> </w:t>
            </w:r>
            <w:hyperlink r:id="rId11">
              <w:r>
                <w:rPr>
                  <w:rFonts w:ascii="Times New Roman" w:hAnsi="Times New Roman" w:cs="Times New Roman" w:eastAsia="Times New Roman" w:hint="default"/>
                  <w:spacing w:val="-4"/>
                  <w:sz w:val="18"/>
                  <w:szCs w:val="18"/>
                </w:rPr>
                <w:t>www.cninfo.com.cn</w:t>
              </w:r>
            </w:hyperlink>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2018</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日披露</w:t>
            </w:r>
          </w:p>
          <w:p>
            <w:pPr>
              <w:pStyle w:val="TableParagraph"/>
              <w:spacing w:line="240" w:lineRule="auto" w:before="63"/>
              <w:ind w:left="1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年度内部控制自我评价报告》</w:t>
            </w:r>
          </w:p>
        </w:tc>
      </w:tr>
      <w:tr>
        <w:trPr>
          <w:trHeight w:val="392" w:hRule="exact"/>
        </w:trPr>
        <w:tc>
          <w:tcPr>
            <w:tcW w:w="5247" w:type="dxa"/>
            <w:gridSpan w:val="2"/>
            <w:tcBorders>
              <w:top w:val="nil" w:sz="6" w:space="0" w:color="auto"/>
              <w:left w:val="single" w:sz="12" w:space="0" w:color="000000"/>
              <w:bottom w:val="nil" w:sz="6" w:space="0" w:color="auto"/>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4322" w:type="dxa"/>
            <w:gridSpan w:val="2"/>
            <w:vMerge/>
            <w:tcBorders>
              <w:left w:val="single" w:sz="10" w:space="0" w:color="D2D2D2"/>
              <w:right w:val="single" w:sz="12" w:space="0" w:color="000000"/>
            </w:tcBorders>
          </w:tcPr>
          <w:p>
            <w:pPr/>
          </w:p>
        </w:tc>
      </w:tr>
      <w:tr>
        <w:trPr>
          <w:trHeight w:val="161" w:hRule="exact"/>
        </w:trPr>
        <w:tc>
          <w:tcPr>
            <w:tcW w:w="5247" w:type="dxa"/>
            <w:gridSpan w:val="2"/>
            <w:tcBorders>
              <w:top w:val="nil" w:sz="6" w:space="0" w:color="auto"/>
              <w:left w:val="single" w:sz="12" w:space="0" w:color="000000"/>
              <w:bottom w:val="single" w:sz="4" w:space="0" w:color="000000"/>
              <w:right w:val="single" w:sz="4" w:space="0" w:color="000000"/>
            </w:tcBorders>
            <w:shd w:val="clear" w:color="auto" w:fill="D2D2D2"/>
          </w:tcPr>
          <w:p>
            <w:pPr/>
          </w:p>
        </w:tc>
        <w:tc>
          <w:tcPr>
            <w:tcW w:w="4322" w:type="dxa"/>
            <w:gridSpan w:val="2"/>
            <w:vMerge/>
            <w:tcBorders>
              <w:left w:val="single" w:sz="10" w:space="0" w:color="D2D2D2"/>
              <w:bottom w:val="single" w:sz="4" w:space="0" w:color="000000"/>
              <w:right w:val="single" w:sz="12" w:space="0" w:color="000000"/>
            </w:tcBorders>
          </w:tcPr>
          <w:p>
            <w:pPr/>
          </w:p>
        </w:tc>
      </w:tr>
      <w:tr>
        <w:trPr>
          <w:trHeight w:val="402" w:hRule="exact"/>
        </w:trPr>
        <w:tc>
          <w:tcPr>
            <w:tcW w:w="5247" w:type="dxa"/>
            <w:gridSpan w:val="2"/>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纳入评价范围单位资产总额占公司合并财务报表资产总额的比例</w:t>
            </w:r>
          </w:p>
        </w:tc>
        <w:tc>
          <w:tcPr>
            <w:tcW w:w="4322" w:type="dxa"/>
            <w:gridSpan w:val="2"/>
            <w:tcBorders>
              <w:top w:val="single" w:sz="4" w:space="0" w:color="000000"/>
              <w:left w:val="single" w:sz="13" w:space="0" w:color="D2D2D2"/>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95.78%</w:t>
            </w:r>
          </w:p>
        </w:tc>
      </w:tr>
      <w:tr>
        <w:trPr>
          <w:trHeight w:val="407" w:hRule="exact"/>
        </w:trPr>
        <w:tc>
          <w:tcPr>
            <w:tcW w:w="5247" w:type="dxa"/>
            <w:gridSpan w:val="2"/>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纳入评价范围单位营业收入占公司合并财务报表营业收入的比例</w:t>
            </w:r>
          </w:p>
        </w:tc>
        <w:tc>
          <w:tcPr>
            <w:tcW w:w="4322" w:type="dxa"/>
            <w:gridSpan w:val="2"/>
            <w:tcBorders>
              <w:top w:val="single" w:sz="4" w:space="0" w:color="000000"/>
              <w:left w:val="single" w:sz="13" w:space="0" w:color="D2D2D2"/>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95.12%</w:t>
            </w:r>
          </w:p>
        </w:tc>
      </w:tr>
      <w:tr>
        <w:trPr>
          <w:trHeight w:val="392" w:hRule="exact"/>
        </w:trPr>
        <w:tc>
          <w:tcPr>
            <w:tcW w:w="9569" w:type="dxa"/>
            <w:gridSpan w:val="4"/>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255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6"/>
              <w:ind w:right="8"/>
              <w:jc w:val="center"/>
              <w:rPr>
                <w:rFonts w:ascii="宋体" w:hAnsi="宋体" w:cs="宋体" w:eastAsia="宋体" w:hint="default"/>
                <w:sz w:val="18"/>
                <w:szCs w:val="18"/>
              </w:rPr>
            </w:pPr>
            <w:r>
              <w:rPr>
                <w:rFonts w:ascii="宋体" w:hAnsi="宋体" w:cs="宋体" w:eastAsia="宋体" w:hint="default"/>
                <w:sz w:val="18"/>
                <w:szCs w:val="18"/>
              </w:rPr>
              <w:t>类别</w:t>
            </w:r>
          </w:p>
        </w:tc>
        <w:tc>
          <w:tcPr>
            <w:tcW w:w="397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1"/>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39" w:type="dxa"/>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076" w:hRule="exact"/>
        </w:trPr>
        <w:tc>
          <w:tcPr>
            <w:tcW w:w="2553" w:type="dxa"/>
            <w:tcBorders>
              <w:top w:val="single" w:sz="4" w:space="0" w:color="000000"/>
              <w:left w:val="single" w:sz="12" w:space="0" w:color="000000"/>
              <w:bottom w:val="nil" w:sz="6" w:space="0" w:color="auto"/>
              <w:right w:val="single" w:sz="4" w:space="0" w:color="000000"/>
            </w:tcBorders>
            <w:shd w:val="clear" w:color="auto" w:fill="D2D2D2"/>
          </w:tcPr>
          <w:p>
            <w:pPr/>
          </w:p>
        </w:tc>
        <w:tc>
          <w:tcPr>
            <w:tcW w:w="3977" w:type="dxa"/>
            <w:gridSpan w:val="2"/>
            <w:vMerge w:val="restart"/>
            <w:tcBorders>
              <w:top w:val="single" w:sz="4" w:space="0" w:color="000000"/>
              <w:left w:val="single" w:sz="10" w:space="0" w:color="D2D2D2"/>
              <w:right w:val="single" w:sz="9" w:space="0" w:color="FFFFF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4"/>
                <w:szCs w:val="14"/>
              </w:rPr>
            </w:pPr>
          </w:p>
          <w:p>
            <w:pPr>
              <w:pStyle w:val="TableParagraph"/>
              <w:spacing w:line="319" w:lineRule="auto"/>
              <w:ind w:left="15" w:right="-23"/>
              <w:jc w:val="left"/>
              <w:rPr>
                <w:rFonts w:ascii="宋体" w:hAnsi="宋体" w:cs="宋体" w:eastAsia="宋体" w:hint="default"/>
                <w:sz w:val="18"/>
                <w:szCs w:val="18"/>
              </w:rPr>
            </w:pPr>
            <w:r>
              <w:rPr>
                <w:rFonts w:ascii="宋体" w:hAnsi="宋体" w:cs="宋体" w:eastAsia="宋体" w:hint="default"/>
                <w:spacing w:val="-3"/>
                <w:sz w:val="18"/>
                <w:szCs w:val="18"/>
              </w:rPr>
              <w:t>第一，发现缺陷是否具备合理可能性导致内部控制</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不能及时防止、发现并纠正财务报表错报；第二， 发现缺陷单独或连同其他缺陷可能导致的潜在错 报金额的大小。</w:t>
            </w:r>
          </w:p>
        </w:tc>
        <w:tc>
          <w:tcPr>
            <w:tcW w:w="3039" w:type="dxa"/>
            <w:vMerge w:val="restart"/>
            <w:tcBorders>
              <w:top w:val="single" w:sz="4" w:space="0" w:color="000000"/>
              <w:left w:val="single" w:sz="9" w:space="0" w:color="FFFFFF"/>
              <w:right w:val="single" w:sz="12" w:space="0" w:color="000000"/>
            </w:tcBorders>
          </w:tcPr>
          <w:p>
            <w:pPr>
              <w:pStyle w:val="TableParagraph"/>
              <w:spacing w:line="316" w:lineRule="auto" w:before="51"/>
              <w:ind w:left="4" w:right="10"/>
              <w:jc w:val="left"/>
              <w:rPr>
                <w:rFonts w:ascii="宋体" w:hAnsi="宋体" w:cs="宋体" w:eastAsia="宋体" w:hint="default"/>
                <w:sz w:val="18"/>
                <w:szCs w:val="18"/>
              </w:rPr>
            </w:pPr>
            <w:r>
              <w:rPr>
                <w:rFonts w:ascii="宋体" w:hAnsi="宋体" w:cs="宋体" w:eastAsia="宋体" w:hint="default"/>
                <w:spacing w:val="-4"/>
                <w:sz w:val="18"/>
                <w:szCs w:val="18"/>
              </w:rPr>
              <w:t>第一，企业财务报表已经或者很可能被</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注册会计师出具否定意见或者拒绝表 </w:t>
            </w:r>
            <w:r>
              <w:rPr>
                <w:rFonts w:ascii="宋体" w:hAnsi="宋体" w:cs="宋体" w:eastAsia="宋体" w:hint="default"/>
                <w:spacing w:val="-4"/>
                <w:sz w:val="18"/>
                <w:szCs w:val="18"/>
              </w:rPr>
              <w:t>示意见；第二，企业审计委员会和内部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审计机构未能有效发挥监督职能；第 </w:t>
            </w:r>
            <w:r>
              <w:rPr>
                <w:rFonts w:ascii="宋体" w:hAnsi="宋体" w:cs="宋体" w:eastAsia="宋体" w:hint="default"/>
                <w:spacing w:val="-4"/>
                <w:sz w:val="18"/>
                <w:szCs w:val="18"/>
              </w:rPr>
              <w:t>三，企业董事、监事和高级管理人员已</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经或者涉嫌舞弊，或者企业员工存在串</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谋舞弊情形并给企业造成重要损失和 </w:t>
            </w:r>
            <w:r>
              <w:rPr>
                <w:rFonts w:ascii="宋体" w:hAnsi="宋体" w:cs="宋体" w:eastAsia="宋体" w:hint="default"/>
                <w:spacing w:val="-4"/>
                <w:sz w:val="18"/>
                <w:szCs w:val="18"/>
              </w:rPr>
              <w:t>不利影响；第四，企业在财务会计、资</w:t>
            </w:r>
          </w:p>
        </w:tc>
      </w:tr>
      <w:tr>
        <w:trPr>
          <w:trHeight w:val="393" w:hRule="exact"/>
        </w:trPr>
        <w:tc>
          <w:tcPr>
            <w:tcW w:w="2553" w:type="dxa"/>
            <w:tcBorders>
              <w:top w:val="nil" w:sz="6" w:space="0" w:color="auto"/>
              <w:left w:val="single" w:sz="12" w:space="0" w:color="000000"/>
              <w:bottom w:val="nil" w:sz="6" w:space="0" w:color="auto"/>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977" w:type="dxa"/>
            <w:gridSpan w:val="2"/>
            <w:vMerge/>
            <w:tcBorders>
              <w:left w:val="single" w:sz="10" w:space="0" w:color="D2D2D2"/>
              <w:right w:val="single" w:sz="9" w:space="0" w:color="FFFFFF"/>
            </w:tcBorders>
          </w:tcPr>
          <w:p>
            <w:pPr/>
          </w:p>
        </w:tc>
        <w:tc>
          <w:tcPr>
            <w:tcW w:w="3039" w:type="dxa"/>
            <w:vMerge/>
            <w:tcBorders>
              <w:left w:val="single" w:sz="9" w:space="0" w:color="FFFFFF"/>
              <w:right w:val="single" w:sz="12" w:space="0" w:color="000000"/>
            </w:tcBorders>
          </w:tcPr>
          <w:p>
            <w:pPr/>
          </w:p>
        </w:tc>
      </w:tr>
      <w:tr>
        <w:trPr>
          <w:trHeight w:val="1087" w:hRule="exact"/>
        </w:trPr>
        <w:tc>
          <w:tcPr>
            <w:tcW w:w="2553" w:type="dxa"/>
            <w:tcBorders>
              <w:top w:val="nil" w:sz="6" w:space="0" w:color="auto"/>
              <w:left w:val="single" w:sz="12" w:space="0" w:color="000000"/>
              <w:bottom w:val="single" w:sz="12" w:space="0" w:color="000000"/>
              <w:right w:val="single" w:sz="4" w:space="0" w:color="000000"/>
            </w:tcBorders>
            <w:shd w:val="clear" w:color="auto" w:fill="D2D2D2"/>
          </w:tcPr>
          <w:p>
            <w:pPr/>
          </w:p>
        </w:tc>
        <w:tc>
          <w:tcPr>
            <w:tcW w:w="3977" w:type="dxa"/>
            <w:gridSpan w:val="2"/>
            <w:vMerge/>
            <w:tcBorders>
              <w:left w:val="single" w:sz="10" w:space="0" w:color="D2D2D2"/>
              <w:bottom w:val="single" w:sz="12" w:space="0" w:color="000000"/>
              <w:right w:val="single" w:sz="9" w:space="0" w:color="FFFFFF"/>
            </w:tcBorders>
          </w:tcPr>
          <w:p>
            <w:pPr/>
          </w:p>
        </w:tc>
        <w:tc>
          <w:tcPr>
            <w:tcW w:w="3039" w:type="dxa"/>
            <w:vMerge/>
            <w:tcBorders>
              <w:left w:val="single" w:sz="9" w:space="0" w:color="FFFFFF"/>
              <w:bottom w:val="single" w:sz="12" w:space="0" w:color="000000"/>
              <w:right w:val="single" w:sz="12"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18" w:type="dxa"/>
        <w:tblLayout w:type="fixed"/>
        <w:tblCellMar>
          <w:top w:w="0" w:type="dxa"/>
          <w:left w:w="0" w:type="dxa"/>
          <w:bottom w:w="0" w:type="dxa"/>
          <w:right w:w="0" w:type="dxa"/>
        </w:tblCellMar>
        <w:tblLook w:val="01E0"/>
      </w:tblPr>
      <w:tblGrid>
        <w:gridCol w:w="2553"/>
        <w:gridCol w:w="3965"/>
        <w:gridCol w:w="3050"/>
      </w:tblGrid>
      <w:tr>
        <w:trPr>
          <w:trHeight w:val="1620" w:hRule="exact"/>
        </w:trPr>
        <w:tc>
          <w:tcPr>
            <w:tcW w:w="2553" w:type="dxa"/>
            <w:tcBorders>
              <w:top w:val="single" w:sz="12" w:space="0" w:color="000000"/>
              <w:left w:val="single" w:sz="12" w:space="0" w:color="000000"/>
              <w:bottom w:val="single" w:sz="4" w:space="0" w:color="000000"/>
              <w:right w:val="single" w:sz="4" w:space="0" w:color="000000"/>
            </w:tcBorders>
            <w:shd w:val="clear" w:color="auto" w:fill="D2D2D2"/>
          </w:tcPr>
          <w:p>
            <w:pPr/>
          </w:p>
        </w:tc>
        <w:tc>
          <w:tcPr>
            <w:tcW w:w="3965" w:type="dxa"/>
            <w:tcBorders>
              <w:top w:val="single" w:sz="12" w:space="0" w:color="000000"/>
              <w:left w:val="single" w:sz="4" w:space="0" w:color="000000"/>
              <w:bottom w:val="single" w:sz="4" w:space="0" w:color="000000"/>
              <w:right w:val="single" w:sz="4" w:space="0" w:color="000000"/>
            </w:tcBorders>
          </w:tcPr>
          <w:p>
            <w:pPr/>
          </w:p>
        </w:tc>
        <w:tc>
          <w:tcPr>
            <w:tcW w:w="3050" w:type="dxa"/>
            <w:tcBorders>
              <w:top w:val="single" w:sz="12" w:space="0" w:color="000000"/>
              <w:left w:val="single" w:sz="4" w:space="0" w:color="000000"/>
              <w:bottom w:val="single" w:sz="4" w:space="0" w:color="000000"/>
              <w:right w:val="single" w:sz="12" w:space="0" w:color="000000"/>
            </w:tcBorders>
          </w:tcPr>
          <w:p>
            <w:pPr>
              <w:pStyle w:val="TableParagraph"/>
              <w:spacing w:line="319" w:lineRule="auto" w:before="10"/>
              <w:ind w:left="22" w:right="10"/>
              <w:jc w:val="both"/>
              <w:rPr>
                <w:rFonts w:ascii="宋体" w:hAnsi="宋体" w:cs="宋体" w:eastAsia="宋体" w:hint="default"/>
                <w:sz w:val="18"/>
                <w:szCs w:val="18"/>
              </w:rPr>
            </w:pPr>
            <w:r>
              <w:rPr>
                <w:rFonts w:ascii="宋体" w:hAnsi="宋体" w:cs="宋体" w:eastAsia="宋体" w:hint="default"/>
                <w:spacing w:val="-4"/>
                <w:sz w:val="18"/>
                <w:szCs w:val="18"/>
              </w:rPr>
              <w:t>产管理、资本运营、信息披露、产品质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量、安全生产、环境保护等方面发生重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大违法违规事件和责任事故，给企业造</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成重要损失和不利影响，或者遭受重大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行政监管处罚。</w:t>
            </w:r>
          </w:p>
        </w:tc>
      </w:tr>
      <w:tr>
        <w:trPr>
          <w:trHeight w:val="3834" w:hRule="exact"/>
        </w:trPr>
        <w:tc>
          <w:tcPr>
            <w:tcW w:w="255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9"/>
              <w:ind w:left="13"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2"/>
              <w:ind w:left="22" w:right="20"/>
              <w:jc w:val="left"/>
              <w:rPr>
                <w:rFonts w:ascii="宋体" w:hAnsi="宋体" w:cs="宋体" w:eastAsia="宋体" w:hint="default"/>
                <w:sz w:val="18"/>
                <w:szCs w:val="18"/>
              </w:rPr>
            </w:pPr>
            <w:r>
              <w:rPr>
                <w:rFonts w:ascii="宋体" w:hAnsi="宋体" w:cs="宋体" w:eastAsia="宋体" w:hint="default"/>
                <w:spacing w:val="-3"/>
                <w:sz w:val="18"/>
                <w:szCs w:val="18"/>
              </w:rPr>
              <w:t>第一，利润总额潜在错报、资产总额、经营收入潜</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在错报、所有者权益潜在错报分别</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利润总额、资 产总额、经营收入、所有者权益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应当被认定为 </w:t>
            </w:r>
            <w:r>
              <w:rPr>
                <w:rFonts w:ascii="宋体" w:hAnsi="宋体" w:cs="宋体" w:eastAsia="宋体" w:hint="default"/>
                <w:spacing w:val="-6"/>
                <w:sz w:val="18"/>
                <w:szCs w:val="18"/>
              </w:rPr>
              <w:t>重大缺陷影响；第二，利润总额</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利润总额潜在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错报＜利润总额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、资产总额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资产总额潜 在错报＜资产总额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、经营收入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经营收入 潜在错报＜经营收入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、所有者权益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所有 者权益潜在错报＜所有者权益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应当被认定为重 </w:t>
            </w:r>
            <w:r>
              <w:rPr>
                <w:rFonts w:ascii="宋体" w:hAnsi="宋体" w:cs="宋体" w:eastAsia="宋体" w:hint="default"/>
                <w:spacing w:val="-3"/>
                <w:sz w:val="18"/>
                <w:szCs w:val="18"/>
              </w:rPr>
              <w:t>要缺陷影响；第三，利润总额潜在错报＜利润总额</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Times New Roman" w:hAnsi="Times New Roman" w:cs="Times New Roman" w:eastAsia="Times New Roman" w:hint="default"/>
                <w:sz w:val="18"/>
                <w:szCs w:val="18"/>
              </w:rPr>
              <w:t>3%</w:t>
            </w:r>
            <w:r>
              <w:rPr>
                <w:rFonts w:ascii="宋体" w:hAnsi="宋体" w:cs="宋体" w:eastAsia="宋体" w:hint="default"/>
                <w:sz w:val="18"/>
                <w:szCs w:val="18"/>
              </w:rPr>
              <w:t>、资产总额潜在错报＜资产总额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、经营收 入潜在错报＜经营收入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、所有者权益潜在错 报＜所有者权益</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应当被</w:t>
            </w:r>
          </w:p>
        </w:tc>
        <w:tc>
          <w:tcPr>
            <w:tcW w:w="305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00" w:lineRule="auto"/>
              <w:ind w:left="22" w:right="20"/>
              <w:jc w:val="left"/>
              <w:rPr>
                <w:rFonts w:ascii="宋体" w:hAnsi="宋体" w:cs="宋体" w:eastAsia="宋体" w:hint="default"/>
                <w:sz w:val="18"/>
                <w:szCs w:val="18"/>
              </w:rPr>
            </w:pPr>
            <w:r>
              <w:rPr>
                <w:rFonts w:ascii="宋体" w:hAnsi="宋体" w:cs="宋体" w:eastAsia="宋体" w:hint="default"/>
                <w:sz w:val="18"/>
                <w:szCs w:val="18"/>
              </w:rPr>
              <w:t>第一，给公司带来直接损失金额</w:t>
            </w:r>
            <w:r>
              <w:rPr>
                <w:rFonts w:ascii="Times New Roman" w:hAnsi="Times New Roman" w:cs="Times New Roman" w:eastAsia="Times New Roman" w:hint="default"/>
                <w:sz w:val="18"/>
                <w:szCs w:val="18"/>
              </w:rPr>
              <w:t>≥</w:t>
            </w:r>
            <w:r>
              <w:rPr>
                <w:rFonts w:ascii="宋体" w:hAnsi="宋体" w:cs="宋体" w:eastAsia="宋体" w:hint="default"/>
                <w:sz w:val="18"/>
                <w:szCs w:val="18"/>
              </w:rPr>
              <w:t>资产 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应当认定为重大缺陷；第二， 资产总额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损失金额＜资产总额 </w:t>
            </w:r>
            <w:r>
              <w:rPr>
                <w:rFonts w:ascii="Times New Roman" w:hAnsi="Times New Roman" w:cs="Times New Roman" w:eastAsia="Times New Roman" w:hint="default"/>
                <w:sz w:val="18"/>
                <w:szCs w:val="18"/>
              </w:rPr>
              <w:t>1%</w:t>
            </w:r>
            <w:r>
              <w:rPr>
                <w:rFonts w:ascii="宋体" w:hAnsi="宋体" w:cs="宋体" w:eastAsia="宋体" w:hint="default"/>
                <w:sz w:val="18"/>
                <w:szCs w:val="18"/>
              </w:rPr>
              <w:t>应当认定为重要缺陷；第三，损失 金额＜资产总额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应当认定为一般 缺陷。</w:t>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0"/>
                <w:szCs w:val="20"/>
              </w:rPr>
            </w:pPr>
          </w:p>
          <w:p>
            <w:pPr>
              <w:pStyle w:val="TableParagraph"/>
              <w:spacing w:line="936" w:lineRule="exact"/>
              <w:ind w:right="-52"/>
              <w:jc w:val="left"/>
              <w:rPr>
                <w:rFonts w:ascii="宋体" w:hAnsi="宋体" w:cs="宋体" w:eastAsia="宋体" w:hint="default"/>
                <w:sz w:val="20"/>
                <w:szCs w:val="20"/>
              </w:rPr>
            </w:pPr>
            <w:r>
              <w:rPr>
                <w:rFonts w:ascii="宋体" w:hAnsi="宋体" w:cs="宋体" w:eastAsia="宋体" w:hint="default"/>
                <w:position w:val="-18"/>
                <w:sz w:val="20"/>
                <w:szCs w:val="20"/>
              </w:rPr>
              <w:pict>
                <v:group style="width:151.6pt;height:46.8pt;mso-position-horizontal-relative:char;mso-position-vertical-relative:line" coordorigin="0,0" coordsize="3032,936">
                  <v:group style="position:absolute;left:0;top:0;width:3032;height:936" coordorigin="0,0" coordsize="3032,936">
                    <v:shape style="position:absolute;left:0;top:0;width:3032;height:936" coordorigin="0,0" coordsize="3032,936" path="m0,936l3032,936,3032,0,0,0,0,936xe" filled="true" fillcolor="#ffffff" stroked="false">
                      <v:path arrowok="t"/>
                      <v:fill type="solid"/>
                    </v:shape>
                  </v:group>
                </v:group>
              </w:pict>
            </w:r>
            <w:r>
              <w:rPr>
                <w:rFonts w:ascii="宋体" w:hAnsi="宋体" w:cs="宋体" w:eastAsia="宋体" w:hint="default"/>
                <w:position w:val="-18"/>
                <w:sz w:val="20"/>
                <w:szCs w:val="20"/>
              </w:rPr>
            </w:r>
          </w:p>
        </w:tc>
      </w:tr>
      <w:tr>
        <w:trPr>
          <w:trHeight w:val="402" w:hRule="exact"/>
        </w:trPr>
        <w:tc>
          <w:tcPr>
            <w:tcW w:w="255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7015" w:type="dxa"/>
            <w:gridSpan w:val="2"/>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55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7015" w:type="dxa"/>
            <w:gridSpan w:val="2"/>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55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7015" w:type="dxa"/>
            <w:gridSpan w:val="2"/>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z w:val="18"/>
              </w:rPr>
              <w:t>0</w:t>
            </w:r>
          </w:p>
        </w:tc>
      </w:tr>
      <w:tr>
        <w:trPr>
          <w:trHeight w:val="413" w:hRule="exact"/>
        </w:trPr>
        <w:tc>
          <w:tcPr>
            <w:tcW w:w="2553"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7015" w:type="dxa"/>
            <w:gridSpan w:val="2"/>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r>
        <w:rPr/>
        <w:pict>
          <v:shape style="position:absolute;margin-left:295.657013pt;margin-top:-140.584381pt;width:238.8pt;height:46.8pt;mso-position-horizontal-relative:page;mso-position-vertical-relative:paragraph;z-index:-97129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5"/>
                    <w:ind w:left="0" w:right="0" w:firstLine="0"/>
                    <w:jc w:val="left"/>
                    <w:rPr>
                      <w:rFonts w:ascii="宋体" w:hAnsi="宋体" w:cs="宋体" w:eastAsia="宋体" w:hint="default"/>
                      <w:sz w:val="18"/>
                      <w:szCs w:val="18"/>
                    </w:rPr>
                  </w:pPr>
                  <w:r>
                    <w:rPr>
                      <w:rFonts w:ascii="宋体" w:hAnsi="宋体" w:cs="宋体" w:eastAsia="宋体" w:hint="default"/>
                      <w:sz w:val="18"/>
                      <w:szCs w:val="18"/>
                    </w:rPr>
                    <w:t>认定为一般缺陷影响。</w:t>
                  </w:r>
                </w:p>
              </w:txbxContent>
            </v:textbox>
            <w10:wrap type="none"/>
          </v:shape>
        </w:pict>
      </w:r>
      <w:bookmarkStart w:name="十、内部控制审计报告或鉴证报告" w:id="147"/>
      <w:bookmarkEnd w:id="147"/>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内部控制鉴证报告</w:t>
      </w:r>
    </w:p>
    <w:p>
      <w:pPr>
        <w:spacing w:line="240" w:lineRule="auto" w:before="1"/>
        <w:rPr>
          <w:rFonts w:ascii="宋体" w:hAnsi="宋体" w:cs="宋体" w:eastAsia="宋体" w:hint="default"/>
          <w:sz w:val="8"/>
          <w:szCs w:val="8"/>
        </w:rPr>
      </w:pPr>
    </w:p>
    <w:tbl>
      <w:tblPr>
        <w:tblW w:w="0" w:type="auto"/>
        <w:jc w:val="left"/>
        <w:tblInd w:w="1118" w:type="dxa"/>
        <w:tblLayout w:type="fixed"/>
        <w:tblCellMar>
          <w:top w:w="0" w:type="dxa"/>
          <w:left w:w="0" w:type="dxa"/>
          <w:bottom w:w="0" w:type="dxa"/>
          <w:right w:w="0" w:type="dxa"/>
        </w:tblCellMar>
        <w:tblLook w:val="01E0"/>
      </w:tblPr>
      <w:tblGrid>
        <w:gridCol w:w="2663"/>
        <w:gridCol w:w="6906"/>
      </w:tblGrid>
      <w:tr>
        <w:trPr>
          <w:trHeight w:val="411" w:hRule="exact"/>
        </w:trPr>
        <w:tc>
          <w:tcPr>
            <w:tcW w:w="9569" w:type="dxa"/>
            <w:gridSpan w:val="2"/>
            <w:tcBorders>
              <w:top w:val="single" w:sz="12"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4" w:hRule="exact"/>
        </w:trPr>
        <w:tc>
          <w:tcPr>
            <w:tcW w:w="9569" w:type="dxa"/>
            <w:gridSpan w:val="2"/>
            <w:tcBorders>
              <w:top w:val="single" w:sz="4" w:space="0" w:color="000000"/>
              <w:left w:val="single" w:sz="12" w:space="0" w:color="000000"/>
              <w:bottom w:val="single" w:sz="4" w:space="0" w:color="000000"/>
              <w:right w:val="single" w:sz="12" w:space="0" w:color="000000"/>
            </w:tcBorders>
          </w:tcPr>
          <w:p>
            <w:pPr>
              <w:pStyle w:val="TableParagraph"/>
              <w:spacing w:line="300" w:lineRule="auto" w:before="52"/>
              <w:ind w:left="13" w:right="72"/>
              <w:jc w:val="left"/>
              <w:rPr>
                <w:rFonts w:ascii="宋体" w:hAnsi="宋体" w:cs="宋体" w:eastAsia="宋体" w:hint="default"/>
                <w:sz w:val="18"/>
                <w:szCs w:val="18"/>
              </w:rPr>
            </w:pPr>
            <w:r>
              <w:rPr>
                <w:rFonts w:ascii="宋体" w:hAnsi="宋体" w:cs="宋体" w:eastAsia="宋体" w:hint="default"/>
                <w:sz w:val="18"/>
                <w:szCs w:val="18"/>
              </w:rPr>
              <w:t>我们认为，贵公司按照《企业内部控制基本规范》和相关规定于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日在所有重大方面保持了有效的财务报 告内部控制。</w:t>
            </w:r>
          </w:p>
        </w:tc>
      </w:tr>
      <w:tr>
        <w:trPr>
          <w:trHeight w:val="402" w:hRule="exact"/>
        </w:trPr>
        <w:tc>
          <w:tcPr>
            <w:tcW w:w="26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www.cninfo.com.cn,2018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日披露《内部控制鉴证报告》</w:t>
            </w:r>
          </w:p>
        </w:tc>
      </w:tr>
      <w:tr>
        <w:trPr>
          <w:trHeight w:val="402" w:hRule="exact"/>
        </w:trPr>
        <w:tc>
          <w:tcPr>
            <w:tcW w:w="26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12" w:hRule="exact"/>
        </w:trPr>
        <w:tc>
          <w:tcPr>
            <w:tcW w:w="2663"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会计师事务所是否出具非标准意见的内部控制鉴证报告</w:t>
      </w:r>
    </w:p>
    <w:p>
      <w:pPr>
        <w:spacing w:line="338" w:lineRule="auto" w:before="117"/>
        <w:ind w:left="1133" w:right="46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会计师事务所出具的内部控制鉴证报告与董事会的自我评价报告意见是否一致</w:t>
      </w:r>
    </w:p>
    <w:p>
      <w:pPr>
        <w:spacing w:before="44"/>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764"/>
        <w:jc w:val="center"/>
        <w:rPr>
          <w:b w:val="0"/>
          <w:bCs w:val="0"/>
        </w:rPr>
      </w:pPr>
      <w:bookmarkStart w:name="第十节 公司债券相关情况" w:id="148"/>
      <w:bookmarkEnd w:id="148"/>
      <w:r>
        <w:rPr>
          <w:b w:val="0"/>
          <w:bCs w:val="0"/>
        </w:rPr>
      </w:r>
      <w:bookmarkStart w:name="_bookmark9" w:id="149"/>
      <w:bookmarkEnd w:id="149"/>
      <w:r>
        <w:rPr>
          <w:b w:val="0"/>
          <w:bCs w:val="0"/>
        </w:rPr>
      </w:r>
      <w:r>
        <w:rPr/>
        <w:t>第十节</w:t>
      </w:r>
      <w:r>
        <w:rPr>
          <w:spacing w:val="-9"/>
        </w:rPr>
        <w:t> </w:t>
      </w:r>
      <w:r>
        <w:rPr/>
        <w:t>公司债券相关情况</w:t>
      </w:r>
      <w:r>
        <w:rPr>
          <w:b w:val="0"/>
          <w:bCs w:val="0"/>
        </w:rPr>
      </w:r>
    </w:p>
    <w:p>
      <w:pPr>
        <w:spacing w:line="240" w:lineRule="auto" w:before="8"/>
        <w:rPr>
          <w:rFonts w:ascii="宋体" w:hAnsi="宋体" w:cs="宋体" w:eastAsia="宋体" w:hint="default"/>
          <w:b/>
          <w:bCs/>
          <w:sz w:val="42"/>
          <w:szCs w:val="42"/>
        </w:rPr>
      </w:pPr>
    </w:p>
    <w:p>
      <w:pPr>
        <w:spacing w:line="357" w:lineRule="auto" w:before="0"/>
        <w:ind w:left="1133" w:right="2113"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after="0" w:line="357"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764"/>
        <w:jc w:val="center"/>
        <w:rPr>
          <w:b w:val="0"/>
          <w:bCs w:val="0"/>
        </w:rPr>
      </w:pPr>
      <w:bookmarkStart w:name="第十一节 财务报告" w:id="150"/>
      <w:bookmarkEnd w:id="150"/>
      <w:r>
        <w:rPr>
          <w:b w:val="0"/>
          <w:bCs w:val="0"/>
        </w:rPr>
      </w:r>
      <w:bookmarkStart w:name="_bookmark10" w:id="151"/>
      <w:bookmarkEnd w:id="151"/>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52"/>
      <w:bookmarkEnd w:id="152"/>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118" w:type="dxa"/>
        <w:tblLayout w:type="fixed"/>
        <w:tblCellMar>
          <w:top w:w="0" w:type="dxa"/>
          <w:left w:w="0" w:type="dxa"/>
          <w:bottom w:w="0" w:type="dxa"/>
          <w:right w:w="0" w:type="dxa"/>
        </w:tblCellMar>
        <w:tblLook w:val="01E0"/>
      </w:tblPr>
      <w:tblGrid>
        <w:gridCol w:w="4785"/>
        <w:gridCol w:w="4784"/>
      </w:tblGrid>
      <w:tr>
        <w:trPr>
          <w:trHeight w:val="412" w:hRule="exact"/>
        </w:trPr>
        <w:tc>
          <w:tcPr>
            <w:tcW w:w="4785"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4"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大信会计师事务所（特殊普通合伙）</w:t>
            </w:r>
          </w:p>
        </w:tc>
      </w:tr>
      <w:tr>
        <w:trPr>
          <w:trHeight w:val="402" w:hRule="exact"/>
        </w:trPr>
        <w:tc>
          <w:tcPr>
            <w:tcW w:w="478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大信审字</w:t>
            </w:r>
            <w:r>
              <w:rPr>
                <w:rFonts w:ascii="Times New Roman" w:hAnsi="Times New Roman" w:cs="Times New Roman" w:eastAsia="Times New Roman" w:hint="default"/>
                <w:sz w:val="18"/>
                <w:szCs w:val="18"/>
              </w:rPr>
              <w:t>[2018]</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28-00007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12" w:hRule="exact"/>
        </w:trPr>
        <w:tc>
          <w:tcPr>
            <w:tcW w:w="4785"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4"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郝东升、孔庆华</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b/>
          <w:bCs/>
          <w:sz w:val="32"/>
          <w:szCs w:val="32"/>
        </w:rPr>
      </w:pPr>
    </w:p>
    <w:p>
      <w:pPr>
        <w:pStyle w:val="Heading2"/>
        <w:spacing w:line="240" w:lineRule="auto"/>
        <w:ind w:right="0"/>
        <w:jc w:val="left"/>
        <w:rPr>
          <w:b w:val="0"/>
          <w:bCs w:val="0"/>
        </w:rPr>
      </w:pPr>
      <w:r>
        <w:rPr>
          <w:w w:val="95"/>
        </w:rPr>
        <w:t>汉威科技集团股份有限公司全体股东：</w:t>
      </w:r>
      <w:r>
        <w:rPr>
          <w:b w:val="0"/>
          <w:bCs w:val="0"/>
        </w:rPr>
      </w:r>
    </w:p>
    <w:p>
      <w:pPr>
        <w:spacing w:line="240" w:lineRule="auto" w:before="2"/>
        <w:rPr>
          <w:rFonts w:ascii="宋体" w:hAnsi="宋体" w:cs="宋体" w:eastAsia="宋体" w:hint="default"/>
          <w:b/>
          <w:bCs/>
          <w:sz w:val="23"/>
          <w:szCs w:val="23"/>
        </w:rPr>
      </w:pPr>
    </w:p>
    <w:p>
      <w:pPr>
        <w:pStyle w:val="Heading3"/>
        <w:spacing w:line="240" w:lineRule="auto"/>
        <w:ind w:left="1613" w:right="0"/>
        <w:jc w:val="left"/>
      </w:pPr>
      <w:r>
        <w:rPr/>
        <w:t>一、审计意见</w:t>
      </w:r>
    </w:p>
    <w:p>
      <w:pPr>
        <w:pStyle w:val="BodyText"/>
        <w:spacing w:line="240" w:lineRule="auto" w:before="63"/>
        <w:ind w:left="267" w:right="0"/>
        <w:jc w:val="left"/>
      </w:pPr>
      <w:r>
        <w:rPr/>
        <w:br w:type="column"/>
      </w:r>
      <w:r>
        <w:rPr/>
        <w:t>审计报告正文</w:t>
      </w:r>
    </w:p>
    <w:p>
      <w:pPr>
        <w:spacing w:after="0" w:line="240" w:lineRule="auto"/>
        <w:jc w:val="left"/>
        <w:sectPr>
          <w:type w:val="continuous"/>
          <w:pgSz w:w="11910" w:h="16840"/>
          <w:pgMar w:top="1060" w:bottom="1160" w:left="0" w:right="0"/>
          <w:cols w:num="2" w:equalWidth="0">
            <w:col w:w="5227" w:space="40"/>
            <w:col w:w="6643"/>
          </w:cols>
        </w:sectPr>
      </w:pPr>
    </w:p>
    <w:p>
      <w:pPr>
        <w:spacing w:line="240" w:lineRule="auto" w:before="10"/>
        <w:rPr>
          <w:rFonts w:ascii="宋体" w:hAnsi="宋体" w:cs="宋体" w:eastAsia="宋体" w:hint="default"/>
          <w:sz w:val="11"/>
          <w:szCs w:val="11"/>
        </w:rPr>
      </w:pPr>
    </w:p>
    <w:p>
      <w:pPr>
        <w:pStyle w:val="BodyText"/>
        <w:spacing w:line="400" w:lineRule="auto" w:before="35"/>
        <w:ind w:right="1130" w:firstLine="420"/>
        <w:jc w:val="both"/>
      </w:pPr>
      <w:r>
        <w:rPr/>
        <w:t>我们审计了汉威科技集团股份有限公司（以下简称“贵公司”）的财务报表，包括</w:t>
      </w:r>
      <w:r>
        <w:rPr>
          <w:spacing w:val="-26"/>
        </w:rPr>
        <w:t> </w:t>
      </w:r>
      <w:r>
        <w:rPr>
          <w:rFonts w:ascii="宋体" w:hAnsi="宋体" w:cs="宋体" w:eastAsia="宋体" w:hint="default"/>
        </w:rPr>
        <w:t>2017</w:t>
      </w:r>
      <w:r>
        <w:rPr>
          <w:rFonts w:ascii="宋体" w:hAnsi="宋体" w:cs="宋体" w:eastAsia="宋体" w:hint="default"/>
          <w:spacing w:val="-27"/>
        </w:rPr>
        <w:t> </w:t>
      </w:r>
      <w:r>
        <w:rPr/>
        <w:t>年</w:t>
      </w:r>
      <w:r>
        <w:rPr>
          <w:spacing w:val="-28"/>
        </w:rPr>
        <w:t> </w:t>
      </w:r>
      <w:r>
        <w:rPr>
          <w:rFonts w:ascii="宋体" w:hAnsi="宋体" w:cs="宋体" w:eastAsia="宋体" w:hint="default"/>
        </w:rPr>
        <w:t>12</w:t>
      </w:r>
      <w:r>
        <w:rPr>
          <w:rFonts w:ascii="宋体" w:hAnsi="宋体" w:cs="宋体" w:eastAsia="宋体" w:hint="default"/>
          <w:spacing w:val="-27"/>
        </w:rPr>
        <w:t> </w:t>
      </w:r>
      <w:r>
        <w:rPr/>
        <w:t>月</w:t>
      </w:r>
      <w:r>
        <w:rPr>
          <w:spacing w:val="-27"/>
        </w:rPr>
        <w:t> </w:t>
      </w:r>
      <w:r>
        <w:rPr>
          <w:rFonts w:ascii="宋体" w:hAnsi="宋体" w:cs="宋体" w:eastAsia="宋体" w:hint="default"/>
        </w:rPr>
        <w:t>31 </w:t>
      </w:r>
      <w:r>
        <w:rPr>
          <w:spacing w:val="-2"/>
        </w:rPr>
        <w:t>日的合并及母公司资产负债表，</w:t>
      </w:r>
      <w:r>
        <w:rPr>
          <w:rFonts w:ascii="宋体" w:hAnsi="宋体" w:cs="宋体" w:eastAsia="宋体" w:hint="default"/>
          <w:spacing w:val="-2"/>
        </w:rPr>
        <w:t>2017</w:t>
      </w:r>
      <w:r>
        <w:rPr>
          <w:rFonts w:ascii="宋体" w:hAnsi="宋体" w:cs="宋体" w:eastAsia="宋体" w:hint="default"/>
          <w:spacing w:val="-40"/>
        </w:rPr>
        <w:t> </w:t>
      </w:r>
      <w:r>
        <w:rPr>
          <w:spacing w:val="-2"/>
        </w:rPr>
        <w:t>年度的合并及母公司利润表、合并及母公司现金流量表、合并及母公</w:t>
      </w:r>
      <w:r>
        <w:rPr>
          <w:spacing w:val="-102"/>
        </w:rPr>
        <w:t> </w:t>
      </w:r>
      <w:r>
        <w:rPr>
          <w:spacing w:val="-102"/>
        </w:rPr>
      </w:r>
      <w:r>
        <w:rPr/>
        <w:t>司股东权益变动表，以及财务报表附注。</w:t>
      </w:r>
    </w:p>
    <w:p>
      <w:pPr>
        <w:pStyle w:val="BodyText"/>
        <w:spacing w:line="240" w:lineRule="auto" w:before="44"/>
        <w:ind w:left="1553" w:right="0"/>
        <w:jc w:val="left"/>
        <w:rPr>
          <w:rFonts w:ascii="宋体" w:hAnsi="宋体" w:cs="宋体" w:eastAsia="宋体" w:hint="default"/>
        </w:rPr>
      </w:pPr>
      <w:r>
        <w:rPr/>
        <w:t>我们认为，后附的财务报表在所有重大方面按照企业会计准则的规定编制，公允反映了贵公司</w:t>
      </w:r>
      <w:r>
        <w:rPr>
          <w:spacing w:val="77"/>
        </w:rPr>
        <w:t> </w:t>
      </w:r>
      <w:r>
        <w:rPr>
          <w:rFonts w:ascii="宋体" w:hAnsi="宋体" w:cs="宋体" w:eastAsia="宋体" w:hint="default"/>
        </w:rPr>
        <w:t>2017</w:t>
      </w:r>
    </w:p>
    <w:p>
      <w:pPr>
        <w:spacing w:line="240" w:lineRule="auto" w:before="3"/>
        <w:rPr>
          <w:rFonts w:ascii="宋体" w:hAnsi="宋体" w:cs="宋体" w:eastAsia="宋体" w:hint="default"/>
          <w:sz w:val="14"/>
          <w:szCs w:val="14"/>
        </w:rPr>
      </w:pPr>
    </w:p>
    <w:p>
      <w:pPr>
        <w:pStyle w:val="BodyText"/>
        <w:spacing w:line="240" w:lineRule="auto" w:before="0"/>
        <w:ind w:right="0"/>
        <w:jc w:val="left"/>
      </w:pP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日的合并及母公司财务状况以及</w:t>
      </w:r>
      <w:r>
        <w:rPr>
          <w:spacing w:val="-53"/>
        </w:rPr>
        <w:t> </w:t>
      </w:r>
      <w:r>
        <w:rPr>
          <w:rFonts w:ascii="宋体" w:hAnsi="宋体" w:cs="宋体" w:eastAsia="宋体" w:hint="default"/>
        </w:rPr>
        <w:t>2017</w:t>
      </w:r>
      <w:r>
        <w:rPr>
          <w:rFonts w:ascii="宋体" w:hAnsi="宋体" w:cs="宋体" w:eastAsia="宋体" w:hint="default"/>
          <w:spacing w:val="-53"/>
        </w:rPr>
        <w:t> </w:t>
      </w:r>
      <w:r>
        <w:rPr/>
        <w:t>年度的合并及母公司经营成果和现金流量。</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3"/>
        <w:spacing w:line="240" w:lineRule="auto"/>
        <w:ind w:left="1554" w:right="0"/>
        <w:jc w:val="left"/>
      </w:pPr>
      <w:r>
        <w:rPr/>
        <w:t>二、形成审计意见的基础</w:t>
      </w:r>
    </w:p>
    <w:p>
      <w:pPr>
        <w:pStyle w:val="BodyText"/>
        <w:spacing w:line="400" w:lineRule="auto" w:before="190"/>
        <w:ind w:left="1134" w:right="1130" w:firstLine="420"/>
        <w:jc w:val="both"/>
      </w:pPr>
      <w:r>
        <w:rPr>
          <w:spacing w:val="-1"/>
        </w:rPr>
        <w:t>我们按照中国注册会计师审计准则的规定执行了审计工作。审计报告的“注册会计师对财务报表审计</w:t>
      </w:r>
      <w:r>
        <w:rPr/>
        <w:t> </w:t>
      </w:r>
      <w:r>
        <w:rPr>
          <w:spacing w:val="-1"/>
        </w:rPr>
        <w:t>的责任”部分进一步阐述了我们在这些准则下的责任。按照中国注册会计师职业道德守则，我们独立于贵</w:t>
      </w:r>
      <w:r>
        <w:rPr>
          <w:spacing w:val="-83"/>
        </w:rPr>
        <w:t> </w:t>
      </w:r>
      <w:r>
        <w:rPr>
          <w:spacing w:val="-83"/>
        </w:rPr>
      </w:r>
      <w:r>
        <w:rPr/>
        <w:t>公司，并履行了职业道德方面的其他责任。</w:t>
      </w:r>
    </w:p>
    <w:p>
      <w:pPr>
        <w:pStyle w:val="BodyText"/>
        <w:spacing w:line="240" w:lineRule="auto" w:before="45"/>
        <w:ind w:left="1554" w:right="0"/>
        <w:jc w:val="left"/>
      </w:pPr>
      <w:r>
        <w:rPr/>
        <w:t>我们相信，我们获取的审计证据是充分、适当的，为发表审计意见提供了基础。</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3"/>
        <w:spacing w:line="240" w:lineRule="auto"/>
        <w:ind w:right="0"/>
        <w:jc w:val="left"/>
      </w:pPr>
      <w:r>
        <w:rPr/>
        <w:t>三、关键审计事项</w:t>
      </w:r>
    </w:p>
    <w:p>
      <w:pPr>
        <w:pStyle w:val="BodyText"/>
        <w:spacing w:line="400" w:lineRule="auto" w:before="190"/>
        <w:ind w:right="1131" w:firstLine="420"/>
        <w:jc w:val="both"/>
      </w:pPr>
      <w:r>
        <w:rPr>
          <w:spacing w:val="-1"/>
        </w:rPr>
        <w:t>关键审计事项是我们根据职业判断，认为对本期财务报表审计最为重要的事项。这些事项的应对以对</w:t>
      </w:r>
      <w:r>
        <w:rPr/>
        <w:t> 财务报表整体进行审计并形成审计意见为背景，我们不对这些事项单独发表意见。</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BodyText"/>
        <w:spacing w:line="400" w:lineRule="auto" w:before="0"/>
        <w:ind w:left="1553" w:right="6973"/>
        <w:jc w:val="left"/>
      </w:pPr>
      <w:r>
        <w:rPr/>
        <w:t>（一）采用完工百分比法确认的收入 </w:t>
      </w:r>
      <w:r>
        <w:rPr>
          <w:rFonts w:ascii="宋体" w:hAnsi="宋体" w:cs="宋体" w:eastAsia="宋体" w:hint="default"/>
        </w:rPr>
        <w:t>1</w:t>
      </w:r>
      <w:r>
        <w:rPr/>
        <w:t>、事项描述</w:t>
      </w:r>
    </w:p>
    <w:p>
      <w:pPr>
        <w:spacing w:after="0" w:line="400" w:lineRule="auto"/>
        <w:jc w:val="left"/>
        <w:sectPr>
          <w:type w:val="continuous"/>
          <w:pgSz w:w="11910" w:h="16840"/>
          <w:pgMar w:top="1060" w:bottom="1160" w:left="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400" w:lineRule="auto" w:before="35"/>
        <w:ind w:right="1014" w:firstLine="420"/>
        <w:jc w:val="left"/>
      </w:pPr>
      <w:r>
        <w:rPr/>
        <w:t>贵公司本年度采用完工百分比法确认收入占实现营业收入总额的</w:t>
      </w:r>
      <w:r>
        <w:rPr>
          <w:spacing w:val="-36"/>
        </w:rPr>
        <w:t> </w:t>
      </w:r>
      <w:r>
        <w:rPr>
          <w:rFonts w:ascii="宋体" w:hAnsi="宋体" w:cs="宋体" w:eastAsia="宋体" w:hint="default"/>
          <w:spacing w:val="-10"/>
        </w:rPr>
        <w:t>36.82%</w:t>
      </w:r>
      <w:r>
        <w:rPr>
          <w:spacing w:val="-10"/>
        </w:rPr>
        <w:t>。如财务报表附注三（二十四）</w:t>
      </w:r>
      <w:r>
        <w:rPr/>
        <w:t> 所述，贵公司对于所提供的建造合同及其他工程服务，在合同结果能够可靠估计时，采用完工百分比法确 认收入，完工进度根据实际发生的合同成本占合同预计总成本的比例确定。管理层需要对建造合同的预计 总收入和预计总成本作出合理估计以确定完工程度，并于合同执行过程中持续评估和修订，涉及管理层的 重大会计估计，我们将采用完工百分比法确认收入列为关键审计事项。</w:t>
      </w:r>
    </w:p>
    <w:p>
      <w:pPr>
        <w:pStyle w:val="BodyText"/>
        <w:spacing w:line="240" w:lineRule="auto" w:before="45"/>
        <w:ind w:left="1553" w:right="0"/>
        <w:jc w:val="left"/>
      </w:pPr>
      <w:r>
        <w:rPr>
          <w:rFonts w:ascii="宋体" w:hAnsi="宋体" w:cs="宋体" w:eastAsia="宋体" w:hint="default"/>
        </w:rPr>
        <w:t>2</w:t>
      </w:r>
      <w:r>
        <w:rPr/>
        <w:t>、审计应对</w:t>
      </w:r>
    </w:p>
    <w:p>
      <w:pPr>
        <w:spacing w:line="240" w:lineRule="auto" w:before="2"/>
        <w:rPr>
          <w:rFonts w:ascii="宋体" w:hAnsi="宋体" w:cs="宋体" w:eastAsia="宋体" w:hint="default"/>
          <w:sz w:val="14"/>
          <w:szCs w:val="14"/>
        </w:rPr>
      </w:pPr>
    </w:p>
    <w:p>
      <w:pPr>
        <w:pStyle w:val="BodyText"/>
        <w:spacing w:line="400" w:lineRule="auto" w:before="0"/>
        <w:ind w:right="0" w:firstLine="420"/>
        <w:jc w:val="left"/>
      </w:pPr>
      <w:r>
        <w:rPr/>
        <w:t>（</w:t>
      </w:r>
      <w:r>
        <w:rPr>
          <w:rFonts w:ascii="宋体" w:hAnsi="宋体" w:cs="宋体" w:eastAsia="宋体" w:hint="default"/>
        </w:rPr>
        <w:t>1</w:t>
      </w:r>
      <w:r>
        <w:rPr/>
        <w:t>）了解并测试建造合同核算、预计总收入、预计总成本的确定及其变动的政策、程序、方法和相 关的内部控制；</w:t>
      </w:r>
    </w:p>
    <w:p>
      <w:pPr>
        <w:pStyle w:val="BodyText"/>
        <w:spacing w:line="400" w:lineRule="auto" w:before="45"/>
        <w:ind w:right="0" w:firstLine="420"/>
        <w:jc w:val="left"/>
      </w:pPr>
      <w:r>
        <w:rPr/>
        <w:t>（</w:t>
      </w:r>
      <w:r>
        <w:rPr>
          <w:rFonts w:ascii="宋体" w:hAnsi="宋体" w:cs="宋体" w:eastAsia="宋体" w:hint="default"/>
        </w:rPr>
        <w:t>2</w:t>
      </w:r>
      <w:r>
        <w:rPr/>
        <w:t>）根据上年度及本年度财务报表中建造合同收入和成本的变化，识别和了解差异产生的原因，判 断会计估计中是否存在管理层偏颇的迹象；</w:t>
      </w:r>
    </w:p>
    <w:p>
      <w:pPr>
        <w:pStyle w:val="BodyText"/>
        <w:spacing w:line="240" w:lineRule="auto" w:before="44"/>
        <w:ind w:left="1554" w:right="0"/>
        <w:jc w:val="left"/>
      </w:pPr>
      <w:r>
        <w:rPr/>
        <w:t>（</w:t>
      </w:r>
      <w:r>
        <w:rPr>
          <w:rFonts w:ascii="宋体" w:hAnsi="宋体" w:cs="宋体" w:eastAsia="宋体" w:hint="default"/>
        </w:rPr>
        <w:t>3</w:t>
      </w:r>
      <w:r>
        <w:rPr/>
        <w:t>）取得在建项目合同清单，检查相应的建造合同、结算收款等具体合同执行情况；</w:t>
      </w:r>
    </w:p>
    <w:p>
      <w:pPr>
        <w:spacing w:line="240" w:lineRule="auto" w:before="3"/>
        <w:rPr>
          <w:rFonts w:ascii="宋体" w:hAnsi="宋体" w:cs="宋体" w:eastAsia="宋体" w:hint="default"/>
          <w:sz w:val="14"/>
          <w:szCs w:val="14"/>
        </w:rPr>
      </w:pPr>
    </w:p>
    <w:p>
      <w:pPr>
        <w:pStyle w:val="BodyText"/>
        <w:spacing w:line="240" w:lineRule="auto" w:before="0"/>
        <w:ind w:left="1554" w:right="0"/>
        <w:jc w:val="left"/>
      </w:pPr>
      <w:r>
        <w:rPr/>
        <w:t>（</w:t>
      </w:r>
      <w:r>
        <w:rPr>
          <w:rFonts w:ascii="宋体" w:hAnsi="宋体" w:cs="宋体" w:eastAsia="宋体" w:hint="default"/>
        </w:rPr>
        <w:t>4</w:t>
      </w:r>
      <w:r>
        <w:rPr/>
        <w:t>）取得在建项目的预计总成本明细表，并复核其合理性；</w:t>
      </w:r>
    </w:p>
    <w:p>
      <w:pPr>
        <w:spacing w:line="240" w:lineRule="auto" w:before="2"/>
        <w:rPr>
          <w:rFonts w:ascii="宋体" w:hAnsi="宋体" w:cs="宋体" w:eastAsia="宋体" w:hint="default"/>
          <w:sz w:val="14"/>
          <w:szCs w:val="14"/>
        </w:rPr>
      </w:pPr>
    </w:p>
    <w:p>
      <w:pPr>
        <w:pStyle w:val="BodyText"/>
        <w:spacing w:line="240" w:lineRule="auto" w:before="0"/>
        <w:ind w:left="1553" w:right="0"/>
        <w:jc w:val="left"/>
      </w:pPr>
      <w:r>
        <w:rPr/>
        <w:t>（</w:t>
      </w:r>
      <w:r>
        <w:rPr>
          <w:rFonts w:ascii="宋体" w:hAnsi="宋体" w:cs="宋体" w:eastAsia="宋体" w:hint="default"/>
        </w:rPr>
        <w:t>5</w:t>
      </w:r>
      <w:r>
        <w:rPr/>
        <w:t>）通过直接获取客户工程进度资料和函证等方式，对管理层确定的完工进度进行验证；</w:t>
      </w:r>
    </w:p>
    <w:p>
      <w:pPr>
        <w:spacing w:line="240" w:lineRule="auto" w:before="2"/>
        <w:rPr>
          <w:rFonts w:ascii="宋体" w:hAnsi="宋体" w:cs="宋体" w:eastAsia="宋体" w:hint="default"/>
          <w:sz w:val="14"/>
          <w:szCs w:val="14"/>
        </w:rPr>
      </w:pPr>
    </w:p>
    <w:p>
      <w:pPr>
        <w:pStyle w:val="BodyText"/>
        <w:spacing w:line="240" w:lineRule="auto" w:before="0"/>
        <w:ind w:left="1554" w:right="0"/>
        <w:jc w:val="left"/>
      </w:pPr>
      <w:r>
        <w:rPr/>
        <w:t>（</w:t>
      </w:r>
      <w:r>
        <w:rPr>
          <w:rFonts w:ascii="宋体" w:hAnsi="宋体" w:cs="宋体" w:eastAsia="宋体" w:hint="default"/>
        </w:rPr>
        <w:t>6</w:t>
      </w:r>
      <w:r>
        <w:rPr/>
        <w:t>）选取重要客户及项目，实施了客户访谈及现场勘查程序。</w:t>
      </w:r>
    </w:p>
    <w:p>
      <w:pPr>
        <w:spacing w:line="240" w:lineRule="auto" w:before="3"/>
        <w:rPr>
          <w:rFonts w:ascii="宋体" w:hAnsi="宋体" w:cs="宋体" w:eastAsia="宋体" w:hint="default"/>
          <w:sz w:val="14"/>
          <w:szCs w:val="14"/>
        </w:rPr>
      </w:pPr>
    </w:p>
    <w:p>
      <w:pPr>
        <w:pStyle w:val="BodyText"/>
        <w:spacing w:line="400" w:lineRule="auto" w:before="0"/>
        <w:ind w:left="1554" w:right="8862"/>
        <w:jc w:val="left"/>
      </w:pPr>
      <w:r>
        <w:rPr/>
        <w:t>（二）商誉减值 </w:t>
      </w:r>
      <w:r>
        <w:rPr>
          <w:rFonts w:ascii="宋体" w:hAnsi="宋体" w:cs="宋体" w:eastAsia="宋体" w:hint="default"/>
        </w:rPr>
        <w:t>1</w:t>
      </w:r>
      <w:r>
        <w:rPr/>
        <w:t>、事项描述</w:t>
      </w:r>
    </w:p>
    <w:p>
      <w:pPr>
        <w:pStyle w:val="BodyText"/>
        <w:spacing w:line="400" w:lineRule="auto" w:before="44"/>
        <w:ind w:right="1130" w:firstLine="420"/>
        <w:jc w:val="both"/>
      </w:pPr>
      <w:r>
        <w:rPr>
          <w:spacing w:val="-1"/>
        </w:rPr>
        <w:t>如附注三（十九）及附注五（十七）所述，贵公司对因企业合并所形成的商誉，无论是否存在减值迹</w:t>
      </w:r>
      <w:r>
        <w:rPr/>
        <w:t> </w:t>
      </w:r>
      <w:r>
        <w:rPr>
          <w:spacing w:val="-1"/>
        </w:rPr>
        <w:t>象，结合与其相关的资产组或者资产组组合每年进行减值测试。在确定商誉的公允价值的过程中，贵公司</w:t>
      </w:r>
      <w:r>
        <w:rPr>
          <w:spacing w:val="-83"/>
        </w:rPr>
        <w:t> </w:t>
      </w:r>
      <w:r>
        <w:rPr>
          <w:spacing w:val="-83"/>
        </w:rPr>
      </w:r>
      <w:r>
        <w:rPr>
          <w:spacing w:val="-1"/>
        </w:rPr>
        <w:t>采用了包括折现的现金流量预测在内的估值方法，如确定资产规模、预算收入、永续期增长率和利润率以</w:t>
      </w:r>
      <w:r>
        <w:rPr>
          <w:spacing w:val="-83"/>
        </w:rPr>
        <w:t> </w:t>
      </w:r>
      <w:r>
        <w:rPr>
          <w:spacing w:val="-83"/>
        </w:rPr>
      </w:r>
      <w:r>
        <w:rPr/>
        <w:t>及采用的折现率等关键参数的会计估计。截至</w:t>
      </w:r>
      <w:r>
        <w:rPr>
          <w:spacing w:val="-58"/>
        </w:rPr>
        <w:t> </w:t>
      </w:r>
      <w:r>
        <w:rPr>
          <w:rFonts w:ascii="宋体" w:hAnsi="宋体" w:cs="宋体" w:eastAsia="宋体" w:hint="default"/>
        </w:rPr>
        <w:t>2017</w:t>
      </w:r>
      <w:r>
        <w:rPr>
          <w:rFonts w:ascii="宋体" w:hAnsi="宋体" w:cs="宋体" w:eastAsia="宋体" w:hint="default"/>
          <w:spacing w:val="-59"/>
        </w:rPr>
        <w:t> </w:t>
      </w:r>
      <w:r>
        <w:rPr/>
        <w:t>年</w:t>
      </w:r>
      <w:r>
        <w:rPr>
          <w:spacing w:val="-60"/>
        </w:rPr>
        <w:t> </w:t>
      </w:r>
      <w:r>
        <w:rPr>
          <w:rFonts w:ascii="宋体" w:hAnsi="宋体" w:cs="宋体" w:eastAsia="宋体" w:hint="default"/>
        </w:rPr>
        <w:t>12</w:t>
      </w:r>
      <w:r>
        <w:rPr>
          <w:rFonts w:ascii="宋体" w:hAnsi="宋体" w:cs="宋体" w:eastAsia="宋体" w:hint="default"/>
          <w:spacing w:val="-59"/>
        </w:rPr>
        <w:t> </w:t>
      </w:r>
      <w:r>
        <w:rPr/>
        <w:t>月</w:t>
      </w:r>
      <w:r>
        <w:rPr>
          <w:spacing w:val="-60"/>
        </w:rPr>
        <w:t> </w:t>
      </w:r>
      <w:r>
        <w:rPr>
          <w:rFonts w:ascii="宋体" w:hAnsi="宋体" w:cs="宋体" w:eastAsia="宋体" w:hint="default"/>
        </w:rPr>
        <w:t>31</w:t>
      </w:r>
      <w:r>
        <w:rPr>
          <w:rFonts w:ascii="宋体" w:hAnsi="宋体" w:cs="宋体" w:eastAsia="宋体" w:hint="default"/>
          <w:spacing w:val="-58"/>
        </w:rPr>
        <w:t> </w:t>
      </w:r>
      <w:r>
        <w:rPr>
          <w:spacing w:val="-3"/>
        </w:rPr>
        <w:t>日，因企业合并所形成的商誉为</w:t>
      </w:r>
      <w:r>
        <w:rPr>
          <w:spacing w:val="-59"/>
        </w:rPr>
        <w:t> </w:t>
      </w:r>
      <w:r>
        <w:rPr>
          <w:rFonts w:ascii="宋体" w:hAnsi="宋体" w:cs="宋体" w:eastAsia="宋体" w:hint="default"/>
        </w:rPr>
        <w:t>41,349.59 </w:t>
      </w:r>
      <w:r>
        <w:rPr/>
        <w:t>万元，</w:t>
      </w:r>
      <w:r>
        <w:rPr>
          <w:spacing w:val="-16"/>
        </w:rPr>
        <w:t> </w:t>
      </w:r>
      <w:r>
        <w:rPr/>
        <w:t>商誉减值准备为</w:t>
      </w:r>
      <w:r>
        <w:rPr>
          <w:spacing w:val="-58"/>
        </w:rPr>
        <w:t> </w:t>
      </w:r>
      <w:r>
        <w:rPr>
          <w:rFonts w:ascii="宋体" w:hAnsi="宋体" w:cs="宋体" w:eastAsia="宋体" w:hint="default"/>
        </w:rPr>
        <w:t>4,104.43</w:t>
      </w:r>
      <w:r>
        <w:rPr>
          <w:rFonts w:ascii="宋体" w:hAnsi="宋体" w:cs="宋体" w:eastAsia="宋体" w:hint="default"/>
          <w:spacing w:val="-58"/>
        </w:rPr>
        <w:t> </w:t>
      </w:r>
      <w:r>
        <w:rPr/>
        <w:t>万元。由于商誉对合并财务报表整体的重要性，且收购形成商誉的公允 价值估计涉及到管理层重大判断和估计，因此，我们将商誉减值识别为关键审计事项。</w:t>
      </w:r>
    </w:p>
    <w:p>
      <w:pPr>
        <w:pStyle w:val="BodyText"/>
        <w:spacing w:line="403" w:lineRule="auto" w:before="44"/>
        <w:ind w:left="1553" w:right="5503"/>
        <w:jc w:val="left"/>
      </w:pPr>
      <w:r>
        <w:rPr>
          <w:rFonts w:ascii="宋体" w:hAnsi="宋体" w:cs="宋体" w:eastAsia="宋体" w:hint="default"/>
        </w:rPr>
        <w:t>2</w:t>
      </w:r>
      <w:r>
        <w:rPr/>
        <w:t>、审计应对 我们对商誉的减值测试与计量执行的审计程序包括：</w:t>
      </w:r>
    </w:p>
    <w:p>
      <w:pPr>
        <w:pStyle w:val="BodyText"/>
        <w:spacing w:line="400" w:lineRule="auto" w:before="42"/>
        <w:ind w:left="1134" w:right="1118" w:firstLine="420"/>
        <w:jc w:val="left"/>
      </w:pPr>
      <w:r>
        <w:rPr/>
        <w:t>（</w:t>
      </w:r>
      <w:r>
        <w:rPr>
          <w:rFonts w:ascii="宋体" w:hAnsi="宋体" w:cs="宋体" w:eastAsia="宋体" w:hint="default"/>
        </w:rPr>
        <w:t>1</w:t>
      </w:r>
      <w:r>
        <w:rPr/>
        <w:t>）了解贵公司商誉减值测试的控制程序，包括了解贵公司划分的资产组及贵公司对资产组价值的 判定；</w:t>
      </w:r>
    </w:p>
    <w:p>
      <w:pPr>
        <w:pStyle w:val="BodyText"/>
        <w:spacing w:line="400" w:lineRule="auto" w:before="45"/>
        <w:ind w:left="1134" w:right="0" w:firstLine="420"/>
        <w:jc w:val="left"/>
      </w:pPr>
      <w:r>
        <w:rPr/>
        <w:t>（</w:t>
      </w:r>
      <w:r>
        <w:rPr>
          <w:rFonts w:ascii="宋体" w:hAnsi="宋体" w:cs="宋体" w:eastAsia="宋体" w:hint="default"/>
        </w:rPr>
        <w:t>2</w:t>
      </w:r>
      <w:r>
        <w:rPr/>
        <w:t>）利用内部估值专家协助我们评估管理层所采用的关键假设和估值方法，复核关键参数，包括折 现率、预计增长率及利润率的合理性，并与相关资产的过往业绩、行业统计数据等进行比较；</w:t>
      </w:r>
    </w:p>
    <w:p>
      <w:pPr>
        <w:pStyle w:val="BodyText"/>
        <w:spacing w:line="240" w:lineRule="auto" w:before="44"/>
        <w:ind w:left="1554" w:right="0"/>
        <w:jc w:val="left"/>
      </w:pPr>
      <w:r>
        <w:rPr/>
        <w:t>（</w:t>
      </w:r>
      <w:r>
        <w:rPr>
          <w:rFonts w:ascii="宋体" w:hAnsi="宋体" w:cs="宋体" w:eastAsia="宋体" w:hint="default"/>
        </w:rPr>
        <w:t>3</w:t>
      </w:r>
      <w:r>
        <w:rPr/>
        <w:t>）验证商誉减值测试模型的计算准确性；</w:t>
      </w:r>
    </w:p>
    <w:p>
      <w:pPr>
        <w:spacing w:line="240" w:lineRule="auto" w:before="3"/>
        <w:rPr>
          <w:rFonts w:ascii="宋体" w:hAnsi="宋体" w:cs="宋体" w:eastAsia="宋体" w:hint="default"/>
          <w:sz w:val="14"/>
          <w:szCs w:val="14"/>
        </w:rPr>
      </w:pPr>
    </w:p>
    <w:p>
      <w:pPr>
        <w:pStyle w:val="BodyText"/>
        <w:spacing w:line="240" w:lineRule="auto" w:before="0"/>
        <w:ind w:left="1554" w:right="0"/>
        <w:jc w:val="left"/>
      </w:pPr>
      <w:r>
        <w:rPr/>
        <w:t>（</w:t>
      </w:r>
      <w:r>
        <w:rPr>
          <w:rFonts w:ascii="宋体" w:hAnsi="宋体" w:cs="宋体" w:eastAsia="宋体" w:hint="default"/>
        </w:rPr>
        <w:t>4</w:t>
      </w:r>
      <w:r>
        <w:rPr/>
        <w:t>）评价在财务报表中有关商誉减值的披露是否符合企业会计准则的要求。</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57"/>
        <w:ind w:right="0"/>
        <w:jc w:val="left"/>
      </w:pPr>
      <w:r>
        <w:rPr/>
        <w:t>四、其他信息</w:t>
      </w:r>
    </w:p>
    <w:p>
      <w:pPr>
        <w:pStyle w:val="BodyText"/>
        <w:spacing w:line="400" w:lineRule="auto" w:before="190"/>
        <w:ind w:right="1130" w:firstLine="420"/>
        <w:jc w:val="both"/>
      </w:pPr>
      <w:r>
        <w:rPr/>
        <w:t>贵公司管理层（以下简称管理层）对其他信息负责。其他信息包括贵公司 </w:t>
      </w:r>
      <w:r>
        <w:rPr>
          <w:rFonts w:ascii="宋体" w:hAnsi="宋体" w:cs="宋体" w:eastAsia="宋体" w:hint="default"/>
        </w:rPr>
        <w:t>2017</w:t>
      </w:r>
      <w:r>
        <w:rPr>
          <w:rFonts w:ascii="宋体" w:hAnsi="宋体" w:cs="宋体" w:eastAsia="宋体" w:hint="default"/>
          <w:spacing w:val="-23"/>
        </w:rPr>
        <w:t> </w:t>
      </w:r>
      <w:r>
        <w:rPr/>
        <w:t>年年度报告中涵盖的 信息，但不包括财务报表和我们的审计报告。</w:t>
      </w:r>
    </w:p>
    <w:p>
      <w:pPr>
        <w:pStyle w:val="BodyText"/>
        <w:spacing w:line="403" w:lineRule="auto" w:before="44"/>
        <w:ind w:left="1553" w:right="0"/>
        <w:jc w:val="left"/>
      </w:pPr>
      <w:r>
        <w:rPr/>
        <w:t>我们对财务报表发表的审计意见并不涵盖其他信息，我们也不对其他信息发表任何形式的鉴证结论。</w:t>
      </w:r>
      <w:r>
        <w:rPr>
          <w:spacing w:val="-38"/>
        </w:rPr>
        <w:t> </w:t>
      </w:r>
      <w:r>
        <w:rPr>
          <w:spacing w:val="-38"/>
        </w:rPr>
      </w:r>
      <w:r>
        <w:rPr/>
        <w:t>结合我们对财务报表的审计，我们的责任是阅读其他信息，在此过程中，考虑其他信息是否与财务报</w:t>
      </w:r>
    </w:p>
    <w:p>
      <w:pPr>
        <w:pStyle w:val="BodyText"/>
        <w:spacing w:line="400" w:lineRule="auto" w:before="42"/>
        <w:ind w:left="1553" w:right="0" w:hanging="420"/>
        <w:jc w:val="left"/>
      </w:pPr>
      <w:r>
        <w:rPr/>
        <w:t>表或我们在审计过程中了解到的情况存在重大不一致或者似乎存在重大错报。 </w:t>
      </w:r>
      <w:r>
        <w:rPr>
          <w:spacing w:val="-1"/>
        </w:rPr>
        <w:t>基于我们已执行的工作，如果我们确定其他信息存在重大错报，我们应当报告该事实。在这方面，我</w:t>
      </w:r>
    </w:p>
    <w:p>
      <w:pPr>
        <w:pStyle w:val="BodyText"/>
        <w:spacing w:line="240" w:lineRule="auto" w:before="45"/>
        <w:ind w:right="0"/>
        <w:jc w:val="left"/>
      </w:pPr>
      <w:r>
        <w:rPr/>
        <w:t>们无任何事项需要报告。</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3"/>
        <w:spacing w:line="240" w:lineRule="auto"/>
        <w:ind w:right="0"/>
        <w:jc w:val="left"/>
      </w:pPr>
      <w:r>
        <w:rPr/>
        <w:t>五、管理层和治理层对财务报表的责任</w:t>
      </w:r>
    </w:p>
    <w:p>
      <w:pPr>
        <w:pStyle w:val="BodyText"/>
        <w:spacing w:line="400" w:lineRule="auto" w:before="190"/>
        <w:ind w:right="1131" w:firstLine="420"/>
        <w:jc w:val="both"/>
      </w:pPr>
      <w:r>
        <w:rPr>
          <w:spacing w:val="-1"/>
        </w:rPr>
        <w:t>管理层负责按照企业会计准则的规定编制财务报表，使其实现公允反映，并设计、执行和维护必要的</w:t>
      </w:r>
      <w:r>
        <w:rPr/>
        <w:t> 内部控制，以使财务报表不存在由于舞弊或错误导致的重大错报。</w:t>
      </w:r>
    </w:p>
    <w:p>
      <w:pPr>
        <w:pStyle w:val="BodyText"/>
        <w:spacing w:line="403" w:lineRule="auto" w:before="44"/>
        <w:ind w:right="1130" w:firstLine="420"/>
        <w:jc w:val="both"/>
      </w:pPr>
      <w:r>
        <w:rPr>
          <w:spacing w:val="-6"/>
        </w:rPr>
        <w:t>在编制财务报表时，管理层负责评估贵公司的持续经营能力，披露与持续经营相关的事项（如适用），</w:t>
      </w:r>
      <w:r>
        <w:rPr/>
        <w:t> 并运用持续经营假设，除非管理层计划清算贵公司、终止运营或别无其他现实的选择。</w:t>
      </w:r>
    </w:p>
    <w:p>
      <w:pPr>
        <w:pStyle w:val="BodyText"/>
        <w:spacing w:line="240" w:lineRule="auto" w:before="42"/>
        <w:ind w:left="1553" w:right="0"/>
        <w:jc w:val="left"/>
      </w:pPr>
      <w:r>
        <w:rPr/>
        <w:t>治理层负责监督贵公司的财务报告过程。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3"/>
        <w:spacing w:line="240" w:lineRule="auto"/>
        <w:ind w:left="1613" w:right="0"/>
        <w:jc w:val="left"/>
      </w:pPr>
      <w:r>
        <w:rPr/>
        <w:t>六、注册会计师对财务报表审计的责任</w:t>
      </w:r>
    </w:p>
    <w:p>
      <w:pPr>
        <w:pStyle w:val="BodyText"/>
        <w:spacing w:line="400" w:lineRule="auto" w:before="189"/>
        <w:ind w:right="1131" w:firstLine="420"/>
        <w:jc w:val="both"/>
      </w:pPr>
      <w:r>
        <w:rPr>
          <w:spacing w:val="-1"/>
        </w:rPr>
        <w:t>我们的目标是对财务报表整体是否不存在由于舞弊或错误导致的重大错报获取合理保证，并出具包含</w:t>
      </w:r>
      <w:r>
        <w:rPr/>
        <w:t> </w:t>
      </w:r>
      <w:r>
        <w:rPr>
          <w:spacing w:val="-1"/>
        </w:rPr>
        <w:t>审计意见的审计报告。合理保证是高水平的保证，但并不能保证按照审计准则执行的审计在某一重大错报</w:t>
      </w:r>
      <w:r>
        <w:rPr>
          <w:spacing w:val="-81"/>
        </w:rPr>
        <w:t> </w:t>
      </w:r>
      <w:r>
        <w:rPr>
          <w:spacing w:val="-81"/>
        </w:rPr>
      </w:r>
      <w:r>
        <w:rPr>
          <w:spacing w:val="-1"/>
        </w:rPr>
        <w:t>存在时总能发现。错报可能由于舞弊或错误导致，如果合理预期错报单独或汇总起来可能影响财务报表使</w:t>
      </w:r>
      <w:r>
        <w:rPr>
          <w:spacing w:val="-81"/>
        </w:rPr>
        <w:t> </w:t>
      </w:r>
      <w:r>
        <w:rPr>
          <w:spacing w:val="-81"/>
        </w:rPr>
      </w:r>
      <w:r>
        <w:rPr/>
        <w:t>用者依据财务报表作出的经济决策，则通常认为错报是重大的。</w:t>
      </w:r>
    </w:p>
    <w:p>
      <w:pPr>
        <w:pStyle w:val="BodyText"/>
        <w:spacing w:line="403" w:lineRule="auto" w:before="44"/>
        <w:ind w:right="1133" w:firstLine="420"/>
        <w:jc w:val="both"/>
      </w:pPr>
      <w:r>
        <w:rPr>
          <w:spacing w:val="-1"/>
        </w:rPr>
        <w:t>在按照审计准则执行审计工作的过程中，我们运用职业判断，并保持职业怀疑。同时，我们也执行以</w:t>
      </w:r>
      <w:r>
        <w:rPr/>
        <w:t> 下工作：</w:t>
      </w:r>
    </w:p>
    <w:p>
      <w:pPr>
        <w:pStyle w:val="BodyText"/>
        <w:spacing w:line="400" w:lineRule="auto" w:before="42"/>
        <w:ind w:right="1130" w:firstLine="420"/>
        <w:jc w:val="both"/>
      </w:pPr>
      <w:r>
        <w:rPr>
          <w:spacing w:val="-1"/>
        </w:rPr>
        <w:t>（一）识别和评估由于舞弊或错误导致的财务报表重大错报风险，设计和实施审计程序以应对这些风</w:t>
      </w:r>
      <w:r>
        <w:rPr/>
        <w:t> </w:t>
      </w:r>
      <w:r>
        <w:rPr>
          <w:spacing w:val="-5"/>
        </w:rPr>
        <w:t>险，并获取充分、适当的审计证据，作为发表审计意见的基础。由于舞弊可能涉及串通、伪造、故意遗漏、</w:t>
      </w:r>
      <w:r>
        <w:rPr/>
        <w:t> </w:t>
      </w:r>
      <w:r>
        <w:rPr>
          <w:spacing w:val="-1"/>
        </w:rPr>
        <w:t>虚假陈述或凌驾于内部控制之上，未能发现由于舞弊导致的重大错报的风险高于未能发现由于错误导致的</w:t>
      </w:r>
      <w:r>
        <w:rPr>
          <w:spacing w:val="-81"/>
        </w:rPr>
        <w:t> </w:t>
      </w:r>
      <w:r>
        <w:rPr>
          <w:spacing w:val="-81"/>
        </w:rPr>
      </w:r>
      <w:r>
        <w:rPr/>
        <w:t>重大错报的风险。</w:t>
      </w:r>
    </w:p>
    <w:p>
      <w:pPr>
        <w:pStyle w:val="BodyText"/>
        <w:spacing w:line="240" w:lineRule="auto" w:before="44"/>
        <w:ind w:left="1553" w:right="0"/>
        <w:jc w:val="left"/>
      </w:pPr>
      <w:r>
        <w:rPr/>
        <w:t>（二）了解与审计相关的内部控制，以设计恰当的审计程序。</w:t>
      </w:r>
    </w:p>
    <w:p>
      <w:pPr>
        <w:spacing w:line="240" w:lineRule="auto" w:before="3"/>
        <w:rPr>
          <w:rFonts w:ascii="宋体" w:hAnsi="宋体" w:cs="宋体" w:eastAsia="宋体" w:hint="default"/>
          <w:sz w:val="14"/>
          <w:szCs w:val="14"/>
        </w:rPr>
      </w:pPr>
    </w:p>
    <w:p>
      <w:pPr>
        <w:pStyle w:val="BodyText"/>
        <w:spacing w:line="240" w:lineRule="auto" w:before="0"/>
        <w:ind w:left="1553" w:right="0"/>
        <w:jc w:val="left"/>
      </w:pPr>
      <w:r>
        <w:rPr/>
        <w:t>（三）评价管理层选用会计政策的恰当性和作出会计估计及相关披露的合理性。</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400" w:lineRule="auto" w:before="35"/>
        <w:ind w:right="1130" w:firstLine="420"/>
        <w:jc w:val="both"/>
      </w:pPr>
      <w:r>
        <w:rPr>
          <w:spacing w:val="-1"/>
        </w:rPr>
        <w:t>（四）对管理层使用持续经营假设的恰当性得出结论。同时，根据获取的审计证据，就可能导致对贵</w:t>
      </w:r>
      <w:r>
        <w:rPr/>
        <w:t> </w:t>
      </w:r>
      <w:r>
        <w:rPr>
          <w:spacing w:val="-1"/>
        </w:rPr>
        <w:t>公司持续经营能力产生重大疑虑的事项或情况是否存在重大不确定性得出结论。如果我们得出结论认为存</w:t>
      </w:r>
      <w:r>
        <w:rPr>
          <w:spacing w:val="-80"/>
        </w:rPr>
        <w:t> </w:t>
      </w:r>
      <w:r>
        <w:rPr>
          <w:spacing w:val="-80"/>
        </w:rPr>
      </w:r>
      <w:r>
        <w:rPr>
          <w:spacing w:val="-1"/>
        </w:rPr>
        <w:t>在重大不确定性，审计准则要求我们在审计报告中提请报表使用者注意财务报表中的相关披露；如果披露</w:t>
      </w:r>
      <w:r>
        <w:rPr>
          <w:spacing w:val="-81"/>
        </w:rPr>
        <w:t> </w:t>
      </w:r>
      <w:r>
        <w:rPr>
          <w:spacing w:val="-81"/>
        </w:rPr>
      </w:r>
      <w:r>
        <w:rPr>
          <w:spacing w:val="-1"/>
        </w:rPr>
        <w:t>不充分，我们应当发表非无保留意见。我们的结论基于截至审计报告日可获得的信息。然而，未来的事项</w:t>
      </w:r>
      <w:r>
        <w:rPr>
          <w:spacing w:val="-86"/>
        </w:rPr>
        <w:t> </w:t>
      </w:r>
      <w:r>
        <w:rPr>
          <w:spacing w:val="-86"/>
        </w:rPr>
      </w:r>
      <w:r>
        <w:rPr/>
        <w:t>或情况可能导致贵公司不能持续经营。</w:t>
      </w:r>
    </w:p>
    <w:p>
      <w:pPr>
        <w:pStyle w:val="BodyText"/>
        <w:spacing w:line="400" w:lineRule="auto" w:before="45"/>
        <w:ind w:right="1133" w:firstLine="420"/>
        <w:jc w:val="both"/>
      </w:pPr>
      <w:r>
        <w:rPr>
          <w:spacing w:val="-1"/>
        </w:rPr>
        <w:t>（五）评价财务报表的总体列报、结构和内容（包括披露），并评价财务报表是否公允反映相关交易</w:t>
      </w:r>
      <w:r>
        <w:rPr/>
        <w:t> 和事项。</w:t>
      </w:r>
    </w:p>
    <w:p>
      <w:pPr>
        <w:pStyle w:val="BodyText"/>
        <w:spacing w:line="403" w:lineRule="auto" w:before="44"/>
        <w:ind w:right="1131" w:firstLine="420"/>
        <w:jc w:val="both"/>
      </w:pPr>
      <w:r>
        <w:rPr>
          <w:spacing w:val="-1"/>
        </w:rPr>
        <w:t>（六）就贵公司中实体或业务活动的财务信息获取充分、恰当的审计证据，以对财务报表发表审计意</w:t>
      </w:r>
      <w:r>
        <w:rPr/>
        <w:t> 见。我们负责指导、监督和执行公司审计，并对审计意见承担全部责任。</w:t>
      </w:r>
    </w:p>
    <w:p>
      <w:pPr>
        <w:pStyle w:val="BodyText"/>
        <w:spacing w:line="400" w:lineRule="auto" w:before="42"/>
        <w:ind w:right="1131" w:firstLine="420"/>
        <w:jc w:val="both"/>
      </w:pPr>
      <w:r>
        <w:rPr>
          <w:spacing w:val="-1"/>
        </w:rPr>
        <w:t>我们与治理层就计划的审计范围、时间安排和重大审计发现等事项进行沟通，包括沟通我们在审计中</w:t>
      </w:r>
      <w:r>
        <w:rPr/>
        <w:t> 识别出的值得关注的内部控制缺陷。</w:t>
      </w:r>
    </w:p>
    <w:p>
      <w:pPr>
        <w:pStyle w:val="BodyText"/>
        <w:spacing w:line="400" w:lineRule="auto" w:before="45"/>
        <w:ind w:right="1132" w:firstLine="420"/>
        <w:jc w:val="both"/>
      </w:pPr>
      <w:r>
        <w:rPr>
          <w:spacing w:val="-1"/>
        </w:rPr>
        <w:t>我们还就遵守与独立性相关的职业道德要求向治理层提供声明，并与治理层沟通可能被合理认为影响</w:t>
      </w:r>
      <w:r>
        <w:rPr/>
        <w:t> 我们独立性的所有关系和其他事项，以及相关的防范措施（如适用）。</w:t>
      </w:r>
    </w:p>
    <w:p>
      <w:pPr>
        <w:pStyle w:val="BodyText"/>
        <w:spacing w:line="400" w:lineRule="auto" w:before="44"/>
        <w:ind w:right="1131" w:firstLine="420"/>
        <w:jc w:val="both"/>
      </w:pPr>
      <w:r>
        <w:rPr>
          <w:spacing w:val="-1"/>
        </w:rPr>
        <w:t>从与治理层沟通过的事项中，我们确定哪些事项对本期财务报表审计最为重要，因而构成关键审计事</w:t>
      </w:r>
      <w:r>
        <w:rPr/>
        <w:t> </w:t>
      </w:r>
      <w:r>
        <w:rPr>
          <w:spacing w:val="-1"/>
        </w:rPr>
        <w:t>项。我们在审计报告中描述这些事项，除非法律法规禁止公开披露这些事项，或在极少数情形下，如果合</w:t>
      </w:r>
      <w:r>
        <w:rPr>
          <w:spacing w:val="-86"/>
        </w:rPr>
        <w:t> </w:t>
      </w:r>
      <w:r>
        <w:rPr>
          <w:spacing w:val="-86"/>
        </w:rPr>
      </w:r>
      <w:r>
        <w:rPr>
          <w:spacing w:val="-1"/>
        </w:rPr>
        <w:t>理预期在审计报告中沟通某事项造成的负面后果超过在公众利益方面产生的益处，我们确定不应在审计报</w:t>
      </w:r>
      <w:r>
        <w:rPr>
          <w:spacing w:val="-81"/>
        </w:rPr>
        <w:t> </w:t>
      </w:r>
      <w:r>
        <w:rPr>
          <w:spacing w:val="-81"/>
        </w:rPr>
      </w:r>
      <w:r>
        <w:rPr/>
        <w:t>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BodyText"/>
        <w:tabs>
          <w:tab w:pos="6070" w:val="left" w:leader="none"/>
        </w:tabs>
        <w:spacing w:line="240" w:lineRule="auto" w:before="0"/>
        <w:ind w:left="1554" w:right="0"/>
        <w:jc w:val="left"/>
      </w:pPr>
      <w:r>
        <w:rPr/>
        <w:t>大信会计师事务所（特殊普通合伙）</w:t>
        <w:tab/>
        <w:t>中国注册会计师：孔庆华</w:t>
      </w:r>
    </w:p>
    <w:p>
      <w:pPr>
        <w:spacing w:line="240" w:lineRule="auto" w:before="10"/>
        <w:rPr>
          <w:rFonts w:ascii="宋体" w:hAnsi="宋体" w:cs="宋体" w:eastAsia="宋体" w:hint="default"/>
          <w:sz w:val="14"/>
          <w:szCs w:val="14"/>
        </w:rPr>
      </w:pPr>
    </w:p>
    <w:p>
      <w:pPr>
        <w:pStyle w:val="BodyText"/>
        <w:spacing w:line="240" w:lineRule="auto" w:before="0"/>
        <w:ind w:left="3764" w:right="2275"/>
        <w:jc w:val="center"/>
      </w:pPr>
      <w:r>
        <w:rPr/>
        <w:t>（项目合伙人）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5963" w:val="left" w:leader="none"/>
        </w:tabs>
        <w:spacing w:line="240" w:lineRule="auto" w:before="137"/>
        <w:ind w:left="1553" w:right="0"/>
        <w:jc w:val="left"/>
      </w:pPr>
      <w:r>
        <w:rPr/>
        <w:t>中国·北京</w:t>
        <w:tab/>
        <w:t>中国注册会计师：郝东升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BodyText"/>
        <w:spacing w:line="240" w:lineRule="auto" w:before="0"/>
        <w:ind w:left="0" w:right="1130"/>
        <w:jc w:val="right"/>
      </w:pPr>
      <w:r>
        <w:rPr/>
        <w:t>二○一八年三月二十二日</w:t>
      </w:r>
    </w:p>
    <w:p>
      <w:pPr>
        <w:spacing w:after="0" w:line="240" w:lineRule="auto"/>
        <w:jc w:val="right"/>
        <w:sectPr>
          <w:pgSz w:w="11910" w:h="16840"/>
          <w:pgMar w:header="747" w:footer="979" w:top="1060" w:bottom="1160" w:left="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二、财务报表" w:id="153"/>
      <w:bookmarkEnd w:id="153"/>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1、合并资产负债表" w:id="154"/>
      <w:bookmarkEnd w:id="154"/>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spacing w:before="44"/>
        <w:ind w:left="1133" w:right="-19" w:firstLine="0"/>
        <w:jc w:val="left"/>
        <w:rPr>
          <w:rFonts w:ascii="宋体" w:hAnsi="宋体" w:cs="宋体" w:eastAsia="宋体" w:hint="default"/>
          <w:sz w:val="18"/>
          <w:szCs w:val="18"/>
        </w:rPr>
      </w:pPr>
      <w:r>
        <w:rPr>
          <w:rFonts w:ascii="宋体" w:hAnsi="宋体" w:cs="宋体" w:eastAsia="宋体" w:hint="default"/>
          <w:sz w:val="18"/>
          <w:szCs w:val="18"/>
        </w:rPr>
        <w:t>编制单位：汉威科技集团股份有限公司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0"/>
        <w:ind w:left="977" w:right="-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1060" w:bottom="1160" w:left="0" w:right="0"/>
          <w:cols w:num="3" w:equalWidth="0">
            <w:col w:w="4195" w:space="40"/>
            <w:col w:w="2462" w:space="2223"/>
            <w:col w:w="2990"/>
          </w:cols>
        </w:sectPr>
      </w:pPr>
    </w:p>
    <w:p>
      <w:pPr>
        <w:spacing w:line="240" w:lineRule="auto" w:before="13"/>
        <w:rPr>
          <w:rFonts w:ascii="宋体" w:hAnsi="宋体" w:cs="宋体" w:eastAsia="宋体" w:hint="default"/>
          <w:sz w:val="7"/>
          <w:szCs w:val="7"/>
        </w:rPr>
      </w:pPr>
    </w:p>
    <w:tbl>
      <w:tblPr>
        <w:tblW w:w="0" w:type="auto"/>
        <w:jc w:val="left"/>
        <w:tblInd w:w="1125" w:type="dxa"/>
        <w:tblLayout w:type="fixed"/>
        <w:tblCellMar>
          <w:top w:w="0" w:type="dxa"/>
          <w:left w:w="0" w:type="dxa"/>
          <w:bottom w:w="0" w:type="dxa"/>
          <w:right w:w="0" w:type="dxa"/>
        </w:tblCellMar>
        <w:tblLook w:val="01E0"/>
      </w:tblPr>
      <w:tblGrid>
        <w:gridCol w:w="2950"/>
        <w:gridCol w:w="3312"/>
        <w:gridCol w:w="3300"/>
      </w:tblGrid>
      <w:tr>
        <w:trPr>
          <w:trHeight w:val="412" w:hRule="exact"/>
        </w:trPr>
        <w:tc>
          <w:tcPr>
            <w:tcW w:w="2950"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12" w:space="0" w:color="000000"/>
            </w:tcBorders>
            <w:shd w:val="clear" w:color="auto" w:fill="D2D2D2"/>
          </w:tcPr>
          <w:p>
            <w:pP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780,426,422.09</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636,178,165.90</w:t>
            </w: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714"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1"/>
              <w:ind w:left="6"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39,704,670.68</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17,902,072.81</w:t>
            </w: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497,426,792.06</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395,397,659.71</w:t>
            </w: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51,584,407.76</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35,661,183.51</w:t>
            </w: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38,750.00</w:t>
            </w: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60,384,415.96</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67,074,023.46</w:t>
            </w: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343,106,145.18</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256,922,471.72</w:t>
            </w: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2,997,176.44</w:t>
            </w: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178,503,952.48</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236,139,262.02</w:t>
            </w: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1,954,133,982.65</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1,645,313,589.13</w:t>
            </w: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12" w:space="0" w:color="000000"/>
            </w:tcBorders>
            <w:shd w:val="clear" w:color="auto" w:fill="D2D2D2"/>
          </w:tcPr>
          <w:p>
            <w:pP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36,600,001.00</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51,200,001.00</w:t>
            </w:r>
          </w:p>
        </w:tc>
      </w:tr>
      <w:tr>
        <w:trPr>
          <w:trHeight w:val="412" w:hRule="exact"/>
        </w:trPr>
        <w:tc>
          <w:tcPr>
            <w:tcW w:w="2950"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12" w:space="0" w:color="000000"/>
              <w:right w:val="single" w:sz="4" w:space="0" w:color="000000"/>
            </w:tcBorders>
          </w:tcPr>
          <w:p>
            <w:pPr/>
          </w:p>
        </w:tc>
        <w:tc>
          <w:tcPr>
            <w:tcW w:w="3300" w:type="dxa"/>
            <w:tcBorders>
              <w:top w:val="single" w:sz="4" w:space="0" w:color="000000"/>
              <w:left w:val="single" w:sz="4" w:space="0" w:color="000000"/>
              <w:bottom w:val="single" w:sz="12" w:space="0" w:color="000000"/>
              <w:right w:val="single" w:sz="12" w:space="0" w:color="000000"/>
            </w:tcBorders>
          </w:tcPr>
          <w:p>
            <w:pPr/>
          </w:p>
        </w:tc>
      </w:tr>
    </w:tbl>
    <w:p>
      <w:pPr>
        <w:spacing w:after="0"/>
        <w:sectPr>
          <w:type w:val="continuous"/>
          <w:pgSz w:w="11910" w:h="16840"/>
          <w:pgMar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5" w:type="dxa"/>
        <w:tblLayout w:type="fixed"/>
        <w:tblCellMar>
          <w:top w:w="0" w:type="dxa"/>
          <w:left w:w="0" w:type="dxa"/>
          <w:bottom w:w="0" w:type="dxa"/>
          <w:right w:w="0" w:type="dxa"/>
        </w:tblCellMar>
        <w:tblLook w:val="01E0"/>
      </w:tblPr>
      <w:tblGrid>
        <w:gridCol w:w="2950"/>
        <w:gridCol w:w="3312"/>
        <w:gridCol w:w="3300"/>
      </w:tblGrid>
      <w:tr>
        <w:trPr>
          <w:trHeight w:val="412" w:hRule="exact"/>
        </w:trPr>
        <w:tc>
          <w:tcPr>
            <w:tcW w:w="2950"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12"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1,099,296.31</w:t>
            </w:r>
          </w:p>
        </w:tc>
        <w:tc>
          <w:tcPr>
            <w:tcW w:w="3300"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4,569,332.92</w:t>
            </w: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84,828,813.09</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79,780,512.52</w:t>
            </w: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181,443,650.37</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184,198,514.99</w:t>
            </w: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799,922,706.75</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646,744,249.74</w:t>
            </w: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219,844,574.70</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108,275,993.04</w:t>
            </w: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464,398,400.16</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402,529,939.16</w:t>
            </w: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372,451,656.29</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381,585,886.38</w:t>
            </w: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40,617,159.62</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38,806,102.58</w:t>
            </w: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118,125,475.07</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64,007,643.79</w:t>
            </w: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5,507,078.40</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158,200,140.45</w:t>
            </w: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2,324,838,811.76</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2,119,898,316.57</w:t>
            </w: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4,278,972,794.41</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3,765,211,905.70</w:t>
            </w: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12" w:space="0" w:color="000000"/>
            </w:tcBorders>
            <w:shd w:val="clear" w:color="auto" w:fill="D2D2D2"/>
          </w:tcPr>
          <w:p>
            <w:pP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229,500,000.00</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376,000,000.00</w:t>
            </w: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714"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1"/>
              <w:ind w:left="6"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11,532,073.00</w:t>
            </w: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406,397,950.77</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300,482,232.50</w:t>
            </w: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243,953,045.77</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201,793,868.10</w:t>
            </w: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43,326,777.43</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24,877,972.45</w:t>
            </w: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77,615,814.82</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60,872,293.10</w:t>
            </w: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201,425.31</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176,325.44</w:t>
            </w:r>
          </w:p>
        </w:tc>
      </w:tr>
      <w:tr>
        <w:trPr>
          <w:trHeight w:val="412" w:hRule="exact"/>
        </w:trPr>
        <w:tc>
          <w:tcPr>
            <w:tcW w:w="2950"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12" w:space="0" w:color="000000"/>
              <w:right w:val="single" w:sz="4" w:space="0" w:color="000000"/>
            </w:tcBorders>
          </w:tcPr>
          <w:p>
            <w:pPr/>
          </w:p>
        </w:tc>
        <w:tc>
          <w:tcPr>
            <w:tcW w:w="3300" w:type="dxa"/>
            <w:tcBorders>
              <w:top w:val="single" w:sz="4" w:space="0" w:color="000000"/>
              <w:left w:val="single" w:sz="4" w:space="0" w:color="000000"/>
              <w:bottom w:val="single" w:sz="12" w:space="0" w:color="000000"/>
              <w:right w:val="single" w:sz="12"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5" w:type="dxa"/>
        <w:tblLayout w:type="fixed"/>
        <w:tblCellMar>
          <w:top w:w="0" w:type="dxa"/>
          <w:left w:w="0" w:type="dxa"/>
          <w:bottom w:w="0" w:type="dxa"/>
          <w:right w:w="0" w:type="dxa"/>
        </w:tblCellMar>
        <w:tblLook w:val="01E0"/>
      </w:tblPr>
      <w:tblGrid>
        <w:gridCol w:w="2950"/>
        <w:gridCol w:w="3312"/>
        <w:gridCol w:w="3300"/>
      </w:tblGrid>
      <w:tr>
        <w:trPr>
          <w:trHeight w:val="412" w:hRule="exact"/>
        </w:trPr>
        <w:tc>
          <w:tcPr>
            <w:tcW w:w="2950"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12"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267,887,622.27</w:t>
            </w:r>
          </w:p>
        </w:tc>
        <w:tc>
          <w:tcPr>
            <w:tcW w:w="3300"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226,471,826.05</w:t>
            </w: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20,108.53</w:t>
            </w: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55,592,432.26</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123,075,786.32</w:t>
            </w: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1,324,495,177.16</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1,325,282,376.96</w:t>
            </w: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12" w:space="0" w:color="000000"/>
            </w:tcBorders>
            <w:shd w:val="clear" w:color="auto" w:fill="D2D2D2"/>
          </w:tcPr>
          <w:p>
            <w:pP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584,144,327.60</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352,090,000.00</w:t>
            </w: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546"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right="21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48,954,665.06</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49,119,708.08</w:t>
            </w: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12,517,460.08</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14,276,085.45</w:t>
            </w: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9,989,805.98</w:t>
            </w: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48,254,014.45</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52,372,227.51</w:t>
            </w: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331,437,716.17</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150,482,089.82</w:t>
            </w: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22,039,595.64</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25,359,497.83</w:t>
            </w: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1,047,347,779.00</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653,689,414.67</w:t>
            </w: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2,371,842,956.16</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1,978,971,791.63</w:t>
            </w: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12" w:space="0" w:color="000000"/>
            </w:tcBorders>
            <w:shd w:val="clear" w:color="auto" w:fill="D2D2D2"/>
          </w:tcPr>
          <w:p>
            <w:pP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293,022,806.00</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293,022,806.00</w:t>
            </w: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546"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right="21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587,671,629.72</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586,704,481.46</w:t>
            </w: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35,352,920.00</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32,262,834.53</w:t>
            </w:r>
          </w:p>
        </w:tc>
      </w:tr>
      <w:tr>
        <w:trPr>
          <w:trHeight w:val="412" w:hRule="exact"/>
        </w:trPr>
        <w:tc>
          <w:tcPr>
            <w:tcW w:w="2950"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2D2D2"/>
              <w:bottom w:val="single" w:sz="12" w:space="0" w:color="000000"/>
              <w:right w:val="single" w:sz="4" w:space="0" w:color="000000"/>
            </w:tcBorders>
          </w:tcPr>
          <w:p>
            <w:pPr/>
          </w:p>
        </w:tc>
        <w:tc>
          <w:tcPr>
            <w:tcW w:w="3300" w:type="dxa"/>
            <w:tcBorders>
              <w:top w:val="single" w:sz="4" w:space="0" w:color="000000"/>
              <w:left w:val="single" w:sz="4" w:space="0" w:color="000000"/>
              <w:bottom w:val="single" w:sz="12" w:space="0" w:color="000000"/>
              <w:right w:val="single" w:sz="12"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18" w:type="dxa"/>
        <w:tblLayout w:type="fixed"/>
        <w:tblCellMar>
          <w:top w:w="0" w:type="dxa"/>
          <w:left w:w="0" w:type="dxa"/>
          <w:bottom w:w="0" w:type="dxa"/>
          <w:right w:w="0" w:type="dxa"/>
        </w:tblCellMar>
        <w:tblLook w:val="01E0"/>
      </w:tblPr>
      <w:tblGrid>
        <w:gridCol w:w="2968"/>
        <w:gridCol w:w="3301"/>
        <w:gridCol w:w="3300"/>
      </w:tblGrid>
      <w:tr>
        <w:trPr>
          <w:trHeight w:val="412" w:hRule="exact"/>
        </w:trPr>
        <w:tc>
          <w:tcPr>
            <w:tcW w:w="296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479,930,612.23</w:t>
            </w:r>
          </w:p>
        </w:tc>
        <w:tc>
          <w:tcPr>
            <w:tcW w:w="3300"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382,955,569.32</w:t>
            </w:r>
          </w:p>
        </w:tc>
      </w:tr>
      <w:tr>
        <w:trPr>
          <w:trHeight w:val="402" w:hRule="exact"/>
        </w:trPr>
        <w:tc>
          <w:tcPr>
            <w:tcW w:w="296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1,395,977,967.95</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1,294,945,691.31</w:t>
            </w:r>
          </w:p>
        </w:tc>
      </w:tr>
      <w:tr>
        <w:trPr>
          <w:trHeight w:val="402" w:hRule="exact"/>
        </w:trPr>
        <w:tc>
          <w:tcPr>
            <w:tcW w:w="296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511,151,870.30</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491,294,422.76</w:t>
            </w:r>
          </w:p>
        </w:tc>
      </w:tr>
      <w:tr>
        <w:trPr>
          <w:trHeight w:val="402" w:hRule="exact"/>
        </w:trPr>
        <w:tc>
          <w:tcPr>
            <w:tcW w:w="296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1,907,129,838.25</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1,786,240,114.07</w:t>
            </w:r>
          </w:p>
        </w:tc>
      </w:tr>
      <w:tr>
        <w:trPr>
          <w:trHeight w:val="412" w:hRule="exact"/>
        </w:trPr>
        <w:tc>
          <w:tcPr>
            <w:tcW w:w="296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4,278,972,794.41</w:t>
            </w:r>
          </w:p>
        </w:tc>
        <w:tc>
          <w:tcPr>
            <w:tcW w:w="330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3,765,211,905.70</w:t>
            </w:r>
          </w:p>
        </w:tc>
      </w:tr>
    </w:tbl>
    <w:p>
      <w:pPr>
        <w:spacing w:line="240" w:lineRule="auto" w:before="3"/>
        <w:rPr>
          <w:rFonts w:ascii="Times New Roman" w:hAnsi="Times New Roman" w:cs="Times New Roman" w:eastAsia="Times New Roman" w:hint="default"/>
          <w:sz w:val="23"/>
          <w:szCs w:val="23"/>
        </w:rPr>
      </w:pPr>
    </w:p>
    <w:p>
      <w:pPr>
        <w:tabs>
          <w:tab w:pos="3420" w:val="left" w:leader="none"/>
          <w:tab w:pos="7561" w:val="left" w:leader="none"/>
        </w:tabs>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法定代表人：任红军</w:t>
        <w:tab/>
        <w:t>主管会计工作负责人：刘瑞玲</w:t>
        <w:tab/>
        <w:t>会计机构负责人：肖桂华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母公司资产负债表" w:id="155"/>
      <w:bookmarkEnd w:id="155"/>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5" w:type="dxa"/>
        <w:tblLayout w:type="fixed"/>
        <w:tblCellMar>
          <w:top w:w="0" w:type="dxa"/>
          <w:left w:w="0" w:type="dxa"/>
          <w:bottom w:w="0" w:type="dxa"/>
          <w:right w:w="0" w:type="dxa"/>
        </w:tblCellMar>
        <w:tblLook w:val="01E0"/>
      </w:tblPr>
      <w:tblGrid>
        <w:gridCol w:w="2950"/>
        <w:gridCol w:w="3312"/>
        <w:gridCol w:w="3300"/>
      </w:tblGrid>
      <w:tr>
        <w:trPr>
          <w:trHeight w:val="412" w:hRule="exact"/>
        </w:trPr>
        <w:tc>
          <w:tcPr>
            <w:tcW w:w="2950"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12" w:space="0" w:color="000000"/>
            </w:tcBorders>
            <w:shd w:val="clear" w:color="auto" w:fill="D2D2D2"/>
          </w:tcPr>
          <w:p>
            <w:pP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438,009,188.56</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33,880,681.07</w:t>
            </w:r>
          </w:p>
        </w:tc>
      </w:tr>
      <w:tr>
        <w:trPr>
          <w:trHeight w:val="714"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1"/>
              <w:ind w:left="6"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3,403,199.14</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7,448,725.00</w:t>
            </w: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144,976,341.84</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131,389,930.12</w:t>
            </w: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8,597,731.29</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5,276,045.45</w:t>
            </w: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107,961,759.30</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48,227,745.61</w:t>
            </w: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37,468,949.92</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35,642,183.36</w:t>
            </w: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153,782,791.35</w:t>
            </w: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894,199,961.40</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261,865,310.61</w:t>
            </w: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12" w:space="0" w:color="000000"/>
            </w:tcBorders>
            <w:shd w:val="clear" w:color="auto" w:fill="D2D2D2"/>
          </w:tcPr>
          <w:p>
            <w:pP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36,400,001.00</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50,400,001.00</w:t>
            </w: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1,099,296.31</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4,569,332.92</w:t>
            </w: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1,682,784,098.90</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1,620,131,972.95</w:t>
            </w: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168,403,360.14</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174,544,158.13</w:t>
            </w: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167,260,722.12</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174,552,867.47</w:t>
            </w:r>
          </w:p>
        </w:tc>
      </w:tr>
      <w:tr>
        <w:trPr>
          <w:trHeight w:val="412" w:hRule="exact"/>
        </w:trPr>
        <w:tc>
          <w:tcPr>
            <w:tcW w:w="2950"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12"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33,256,159.27</w:t>
            </w:r>
          </w:p>
        </w:tc>
        <w:tc>
          <w:tcPr>
            <w:tcW w:w="330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14,043,068.85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5" w:type="dxa"/>
        <w:tblLayout w:type="fixed"/>
        <w:tblCellMar>
          <w:top w:w="0" w:type="dxa"/>
          <w:left w:w="0" w:type="dxa"/>
          <w:bottom w:w="0" w:type="dxa"/>
          <w:right w:w="0" w:type="dxa"/>
        </w:tblCellMar>
        <w:tblLook w:val="01E0"/>
      </w:tblPr>
      <w:tblGrid>
        <w:gridCol w:w="2950"/>
        <w:gridCol w:w="3312"/>
        <w:gridCol w:w="3300"/>
      </w:tblGrid>
      <w:tr>
        <w:trPr>
          <w:trHeight w:val="412" w:hRule="exact"/>
        </w:trPr>
        <w:tc>
          <w:tcPr>
            <w:tcW w:w="2950"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12" w:space="0" w:color="000000"/>
              <w:left w:val="single" w:sz="13" w:space="0" w:color="D2D2D2"/>
              <w:bottom w:val="single" w:sz="4" w:space="0" w:color="000000"/>
              <w:right w:val="single" w:sz="4" w:space="0" w:color="000000"/>
            </w:tcBorders>
          </w:tcPr>
          <w:p>
            <w:pPr/>
          </w:p>
        </w:tc>
        <w:tc>
          <w:tcPr>
            <w:tcW w:w="3300" w:type="dxa"/>
            <w:tcBorders>
              <w:top w:val="single" w:sz="12" w:space="0" w:color="000000"/>
              <w:left w:val="single" w:sz="4" w:space="0" w:color="000000"/>
              <w:bottom w:val="single" w:sz="4" w:space="0" w:color="000000"/>
              <w:right w:val="single" w:sz="12" w:space="0" w:color="000000"/>
            </w:tcBorders>
          </w:tcPr>
          <w:p>
            <w:pP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60,185,644.90</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62,493,043.69</w:t>
            </w: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34,251,135.16</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33,666,666.73</w:t>
            </w: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4,467,264.35</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2,997,444.01</w:t>
            </w: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2,188,107,682.15</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2,137,398,555.75</w:t>
            </w: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3,082,307,643.55</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2,399,263,866.36</w:t>
            </w: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12" w:space="0" w:color="000000"/>
            </w:tcBorders>
            <w:shd w:val="clear" w:color="auto" w:fill="D2D2D2"/>
          </w:tcPr>
          <w:p>
            <w:pP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160,000,000.00</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300,000,000.00</w:t>
            </w:r>
          </w:p>
        </w:tc>
      </w:tr>
      <w:tr>
        <w:trPr>
          <w:trHeight w:val="714"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1"/>
              <w:ind w:left="6"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94,045,969.83</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103,211,042.43</w:t>
            </w: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5,406,675.72</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6,929,138.40</w:t>
            </w: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11,576,697.16</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3,939,724.76</w:t>
            </w: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4,853,575.22</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11,788,457.93</w:t>
            </w: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1,388,576,333.85</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776,937,834.58</w:t>
            </w: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14,740,487.45</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4,125,109.24</w:t>
            </w: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1,679,199,739.23</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1,206,931,307.34</w:t>
            </w: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12" w:space="0" w:color="000000"/>
            </w:tcBorders>
            <w:shd w:val="clear" w:color="auto" w:fill="D2D2D2"/>
          </w:tcPr>
          <w:p>
            <w:pP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190,000,000.00</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546"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412" w:hRule="exact"/>
        </w:trPr>
        <w:tc>
          <w:tcPr>
            <w:tcW w:w="2950"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1"/>
              <w:ind w:right="21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12" w:space="0" w:color="000000"/>
              <w:right w:val="single" w:sz="4" w:space="0" w:color="000000"/>
            </w:tcBorders>
          </w:tcPr>
          <w:p>
            <w:pPr/>
          </w:p>
        </w:tc>
        <w:tc>
          <w:tcPr>
            <w:tcW w:w="3300" w:type="dxa"/>
            <w:tcBorders>
              <w:top w:val="single" w:sz="4" w:space="0" w:color="000000"/>
              <w:left w:val="single" w:sz="4" w:space="0" w:color="000000"/>
              <w:bottom w:val="single" w:sz="12" w:space="0" w:color="000000"/>
              <w:right w:val="single" w:sz="12"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5" w:type="dxa"/>
        <w:tblLayout w:type="fixed"/>
        <w:tblCellMar>
          <w:top w:w="0" w:type="dxa"/>
          <w:left w:w="0" w:type="dxa"/>
          <w:bottom w:w="0" w:type="dxa"/>
          <w:right w:w="0" w:type="dxa"/>
        </w:tblCellMar>
        <w:tblLook w:val="01E0"/>
      </w:tblPr>
      <w:tblGrid>
        <w:gridCol w:w="2950"/>
        <w:gridCol w:w="3312"/>
        <w:gridCol w:w="3300"/>
      </w:tblGrid>
      <w:tr>
        <w:trPr>
          <w:trHeight w:val="412" w:hRule="exact"/>
        </w:trPr>
        <w:tc>
          <w:tcPr>
            <w:tcW w:w="2950"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12" w:space="0" w:color="000000"/>
              <w:left w:val="single" w:sz="13" w:space="0" w:color="D2D2D2"/>
              <w:bottom w:val="single" w:sz="4" w:space="0" w:color="000000"/>
              <w:right w:val="single" w:sz="4" w:space="0" w:color="000000"/>
            </w:tcBorders>
          </w:tcPr>
          <w:p>
            <w:pPr/>
          </w:p>
        </w:tc>
        <w:tc>
          <w:tcPr>
            <w:tcW w:w="3300" w:type="dxa"/>
            <w:tcBorders>
              <w:top w:val="single" w:sz="12" w:space="0" w:color="000000"/>
              <w:left w:val="single" w:sz="4" w:space="0" w:color="000000"/>
              <w:bottom w:val="single" w:sz="4" w:space="0" w:color="000000"/>
              <w:right w:val="single" w:sz="12" w:space="0" w:color="000000"/>
            </w:tcBorders>
          </w:tcPr>
          <w:p>
            <w:pP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4,847,129.70</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716,841.51</w:t>
            </w: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194,847,129.70</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4,716,841.51</w:t>
            </w: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1,874,046,868.93</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1,211,648,148.85</w:t>
            </w: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12" w:space="0" w:color="000000"/>
            </w:tcBorders>
            <w:shd w:val="clear" w:color="auto" w:fill="D2D2D2"/>
          </w:tcPr>
          <w:p>
            <w:pP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293,022,806.00</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293,022,806.00</w:t>
            </w: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546"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right="21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647,930,592.46</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647,930,592.46</w:t>
            </w: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35,352,920.00</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32,262,834.53</w:t>
            </w: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231,954,456.16</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214,399,484.52</w:t>
            </w: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1,208,260,774.62</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1,187,615,717.51</w:t>
            </w:r>
          </w:p>
        </w:tc>
      </w:tr>
      <w:tr>
        <w:trPr>
          <w:trHeight w:val="412" w:hRule="exact"/>
        </w:trPr>
        <w:tc>
          <w:tcPr>
            <w:tcW w:w="2950"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12"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3,082,307,643.55</w:t>
            </w:r>
          </w:p>
        </w:tc>
        <w:tc>
          <w:tcPr>
            <w:tcW w:w="330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2,399,263,866.36</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1134" w:right="0"/>
        <w:jc w:val="left"/>
        <w:rPr>
          <w:b w:val="0"/>
          <w:bCs w:val="0"/>
        </w:rPr>
      </w:pPr>
      <w:bookmarkStart w:name="3、合并利润表" w:id="156"/>
      <w:bookmarkEnd w:id="156"/>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5" w:type="dxa"/>
        <w:tblLayout w:type="fixed"/>
        <w:tblCellMar>
          <w:top w:w="0" w:type="dxa"/>
          <w:left w:w="0" w:type="dxa"/>
          <w:bottom w:w="0" w:type="dxa"/>
          <w:right w:w="0" w:type="dxa"/>
        </w:tblCellMar>
        <w:tblLook w:val="01E0"/>
      </w:tblPr>
      <w:tblGrid>
        <w:gridCol w:w="3063"/>
        <w:gridCol w:w="3222"/>
        <w:gridCol w:w="3277"/>
      </w:tblGrid>
      <w:tr>
        <w:trPr>
          <w:trHeight w:val="412" w:hRule="exact"/>
        </w:trPr>
        <w:tc>
          <w:tcPr>
            <w:tcW w:w="3063"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7"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1,444,179,089.91</w:t>
            </w:r>
          </w:p>
        </w:tc>
        <w:tc>
          <w:tcPr>
            <w:tcW w:w="327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1,107,719,247.95</w:t>
            </w:r>
          </w:p>
        </w:tc>
      </w:tr>
      <w:tr>
        <w:trPr>
          <w:trHeight w:val="402" w:hRule="exact"/>
        </w:trPr>
        <w:tc>
          <w:tcPr>
            <w:tcW w:w="30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1,444,179,089.91</w:t>
            </w:r>
          </w:p>
        </w:tc>
        <w:tc>
          <w:tcPr>
            <w:tcW w:w="327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1,107,719,247.95</w:t>
            </w:r>
          </w:p>
        </w:tc>
      </w:tr>
      <w:tr>
        <w:trPr>
          <w:trHeight w:val="402" w:hRule="exact"/>
        </w:trPr>
        <w:tc>
          <w:tcPr>
            <w:tcW w:w="30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906"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30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906"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30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906"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30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1,344,092,609.65</w:t>
            </w:r>
          </w:p>
        </w:tc>
        <w:tc>
          <w:tcPr>
            <w:tcW w:w="327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1,062,206,869.85</w:t>
            </w:r>
          </w:p>
        </w:tc>
      </w:tr>
      <w:tr>
        <w:trPr>
          <w:trHeight w:val="402" w:hRule="exact"/>
        </w:trPr>
        <w:tc>
          <w:tcPr>
            <w:tcW w:w="30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905,202,375.94</w:t>
            </w:r>
          </w:p>
        </w:tc>
        <w:tc>
          <w:tcPr>
            <w:tcW w:w="327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679,848,273.71</w:t>
            </w:r>
          </w:p>
        </w:tc>
      </w:tr>
      <w:tr>
        <w:trPr>
          <w:trHeight w:val="412" w:hRule="exact"/>
        </w:trPr>
        <w:tc>
          <w:tcPr>
            <w:tcW w:w="3063"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1"/>
              <w:ind w:left="906"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12" w:space="0" w:color="000000"/>
              <w:right w:val="single" w:sz="4" w:space="0" w:color="000000"/>
            </w:tcBorders>
          </w:tcPr>
          <w:p>
            <w:pPr/>
          </w:p>
        </w:tc>
        <w:tc>
          <w:tcPr>
            <w:tcW w:w="3277" w:type="dxa"/>
            <w:tcBorders>
              <w:top w:val="single" w:sz="4" w:space="0" w:color="000000"/>
              <w:left w:val="single" w:sz="4" w:space="0" w:color="000000"/>
              <w:bottom w:val="single" w:sz="12" w:space="0" w:color="000000"/>
              <w:right w:val="single" w:sz="12"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group style="position:absolute;margin-left:212.119995pt;margin-top:401.719971pt;width:157.7pt;height:19.650pt;mso-position-horizontal-relative:page;mso-position-vertical-relative:page;z-index:-971272" coordorigin="4242,8034" coordsize="3154,393">
            <v:shape style="position:absolute;left:4242;top:8034;width:3154;height:393" coordorigin="4242,8034" coordsize="3154,393" path="m4242,8427l7396,8427,7396,8034,4242,8034,4242,8427xe" filled="true" fillcolor="#ffffff" stroked="false">
              <v:path arrowok="t"/>
              <v:fill type="solid"/>
            </v:shape>
            <w10:wrap type="none"/>
          </v:group>
        </w:pict>
      </w:r>
      <w:r>
        <w:rPr/>
        <w:pict>
          <v:group style="position:absolute;margin-left:212.119995pt;margin-top:537.940002pt;width:157.7pt;height:19.650pt;mso-position-horizontal-relative:page;mso-position-vertical-relative:page;z-index:-971248" coordorigin="4242,10759" coordsize="3154,393">
            <v:shape style="position:absolute;left:4242;top:10759;width:3154;height:393" coordorigin="4242,10759" coordsize="3154,393" path="m4242,11151l7396,11151,7396,10759,4242,10759,4242,11151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18" w:type="dxa"/>
        <w:tblLayout w:type="fixed"/>
        <w:tblCellMar>
          <w:top w:w="0" w:type="dxa"/>
          <w:left w:w="0" w:type="dxa"/>
          <w:bottom w:w="0" w:type="dxa"/>
          <w:right w:w="0" w:type="dxa"/>
        </w:tblCellMar>
        <w:tblLook w:val="01E0"/>
      </w:tblPr>
      <w:tblGrid>
        <w:gridCol w:w="3081"/>
        <w:gridCol w:w="1060"/>
        <w:gridCol w:w="2151"/>
        <w:gridCol w:w="3277"/>
      </w:tblGrid>
      <w:tr>
        <w:trPr>
          <w:trHeight w:val="412" w:hRule="exact"/>
        </w:trPr>
        <w:tc>
          <w:tcPr>
            <w:tcW w:w="3081"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1" w:type="dxa"/>
            <w:gridSpan w:val="2"/>
            <w:tcBorders>
              <w:top w:val="single" w:sz="12" w:space="0" w:color="000000"/>
              <w:left w:val="single" w:sz="4" w:space="0" w:color="000000"/>
              <w:bottom w:val="single" w:sz="4" w:space="0" w:color="000000"/>
              <w:right w:val="single" w:sz="4" w:space="0" w:color="000000"/>
            </w:tcBorders>
          </w:tcPr>
          <w:p>
            <w:pPr/>
          </w:p>
        </w:tc>
        <w:tc>
          <w:tcPr>
            <w:tcW w:w="3277" w:type="dxa"/>
            <w:tcBorders>
              <w:top w:val="single" w:sz="12" w:space="0" w:color="000000"/>
              <w:left w:val="single" w:sz="4" w:space="0" w:color="000000"/>
              <w:bottom w:val="single" w:sz="4" w:space="0" w:color="000000"/>
              <w:right w:val="single" w:sz="12" w:space="0" w:color="000000"/>
            </w:tcBorders>
          </w:tcPr>
          <w:p>
            <w:pPr/>
          </w:p>
        </w:tc>
      </w:tr>
      <w:tr>
        <w:trPr>
          <w:trHeight w:val="402" w:hRule="exact"/>
        </w:trPr>
        <w:tc>
          <w:tcPr>
            <w:tcW w:w="308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308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308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308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308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308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16,985,752.82</w:t>
            </w:r>
          </w:p>
        </w:tc>
        <w:tc>
          <w:tcPr>
            <w:tcW w:w="327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22,231,922.98</w:t>
            </w:r>
          </w:p>
        </w:tc>
      </w:tr>
      <w:tr>
        <w:trPr>
          <w:trHeight w:val="402" w:hRule="exact"/>
        </w:trPr>
        <w:tc>
          <w:tcPr>
            <w:tcW w:w="308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2" w:right="0"/>
              <w:jc w:val="left"/>
              <w:rPr>
                <w:rFonts w:ascii="Times New Roman" w:hAnsi="Times New Roman" w:cs="Times New Roman" w:eastAsia="Times New Roman" w:hint="default"/>
                <w:sz w:val="18"/>
                <w:szCs w:val="18"/>
              </w:rPr>
            </w:pPr>
            <w:r>
              <w:rPr>
                <w:rFonts w:ascii="Times New Roman"/>
                <w:sz w:val="18"/>
              </w:rPr>
              <w:t>101,328,998.76</w:t>
            </w:r>
          </w:p>
        </w:tc>
        <w:tc>
          <w:tcPr>
            <w:tcW w:w="327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75,612,769.61</w:t>
            </w:r>
          </w:p>
        </w:tc>
      </w:tr>
      <w:tr>
        <w:trPr>
          <w:trHeight w:val="402" w:hRule="exact"/>
        </w:trPr>
        <w:tc>
          <w:tcPr>
            <w:tcW w:w="308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2" w:right="0"/>
              <w:jc w:val="left"/>
              <w:rPr>
                <w:rFonts w:ascii="Times New Roman" w:hAnsi="Times New Roman" w:cs="Times New Roman" w:eastAsia="Times New Roman" w:hint="default"/>
                <w:sz w:val="18"/>
                <w:szCs w:val="18"/>
              </w:rPr>
            </w:pPr>
            <w:r>
              <w:rPr>
                <w:rFonts w:ascii="Times New Roman"/>
                <w:sz w:val="18"/>
              </w:rPr>
              <w:t>239,466,692.72</w:t>
            </w:r>
          </w:p>
        </w:tc>
        <w:tc>
          <w:tcPr>
            <w:tcW w:w="327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199,416,557.25</w:t>
            </w:r>
          </w:p>
        </w:tc>
      </w:tr>
      <w:tr>
        <w:trPr>
          <w:trHeight w:val="402" w:hRule="exact"/>
        </w:trPr>
        <w:tc>
          <w:tcPr>
            <w:tcW w:w="308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44,761,483.87</w:t>
            </w:r>
          </w:p>
        </w:tc>
        <w:tc>
          <w:tcPr>
            <w:tcW w:w="327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34,069,918.27</w:t>
            </w:r>
          </w:p>
        </w:tc>
      </w:tr>
      <w:tr>
        <w:trPr>
          <w:trHeight w:val="402" w:hRule="exact"/>
        </w:trPr>
        <w:tc>
          <w:tcPr>
            <w:tcW w:w="308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36,347,305.54</w:t>
            </w:r>
          </w:p>
        </w:tc>
        <w:tc>
          <w:tcPr>
            <w:tcW w:w="327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51,027,428.03</w:t>
            </w:r>
          </w:p>
        </w:tc>
      </w:tr>
      <w:tr>
        <w:trPr>
          <w:trHeight w:val="714" w:hRule="exact"/>
        </w:trPr>
        <w:tc>
          <w:tcPr>
            <w:tcW w:w="308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12" w:space="0" w:color="000000"/>
            </w:tcBorders>
          </w:tcPr>
          <w:p>
            <w:pPr/>
          </w:p>
        </w:tc>
      </w:tr>
      <w:tr>
        <w:trPr>
          <w:trHeight w:val="714" w:hRule="exact"/>
        </w:trPr>
        <w:tc>
          <w:tcPr>
            <w:tcW w:w="308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73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3"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24,548,997.37</w:t>
            </w:r>
          </w:p>
        </w:tc>
        <w:tc>
          <w:tcPr>
            <w:tcW w:w="327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56,224,019.65</w:t>
            </w:r>
          </w:p>
        </w:tc>
      </w:tr>
      <w:tr>
        <w:trPr>
          <w:trHeight w:val="714" w:hRule="exact"/>
        </w:trPr>
        <w:tc>
          <w:tcPr>
            <w:tcW w:w="308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1"/>
              <w:ind w:left="13" w:right="2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5,048,300.57</w:t>
            </w:r>
          </w:p>
        </w:tc>
        <w:tc>
          <w:tcPr>
            <w:tcW w:w="327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3,732,320.40</w:t>
            </w:r>
          </w:p>
        </w:tc>
      </w:tr>
      <w:tr>
        <w:trPr>
          <w:trHeight w:val="402" w:hRule="exact"/>
        </w:trPr>
        <w:tc>
          <w:tcPr>
            <w:tcW w:w="3081" w:type="dxa"/>
            <w:tcBorders>
              <w:top w:val="single" w:sz="4" w:space="0" w:color="000000"/>
              <w:left w:val="single" w:sz="12" w:space="0" w:color="000000"/>
              <w:bottom w:val="single" w:sz="4" w:space="0" w:color="000000"/>
              <w:right w:val="single" w:sz="9" w:space="0" w:color="FFFFFF"/>
            </w:tcBorders>
            <w:shd w:val="clear" w:color="auto" w:fill="D2D2D2"/>
          </w:tcPr>
          <w:p>
            <w:pPr>
              <w:pStyle w:val="TableParagraph"/>
              <w:spacing w:line="240" w:lineRule="auto" w:before="51"/>
              <w:ind w:right="119"/>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1" w:type="dxa"/>
            <w:gridSpan w:val="2"/>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12" w:space="0" w:color="000000"/>
            </w:tcBorders>
          </w:tcPr>
          <w:p>
            <w:pPr/>
          </w:p>
        </w:tc>
      </w:tr>
      <w:tr>
        <w:trPr>
          <w:trHeight w:val="714" w:hRule="exact"/>
        </w:trPr>
        <w:tc>
          <w:tcPr>
            <w:tcW w:w="308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733"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6"/>
                <w:sz w:val="18"/>
                <w:szCs w:val="18"/>
              </w:rPr>
              <w:t>益</w:t>
            </w:r>
            <w:r>
              <w:rPr>
                <w:rFonts w:ascii="宋体" w:hAnsi="宋体" w:cs="宋体" w:eastAsia="宋体" w:hint="default"/>
                <w:sz w:val="18"/>
                <w:szCs w:val="18"/>
              </w:rPr>
              <w:t>（损失以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w w:val="100"/>
                <w:sz w:val="18"/>
                <w:szCs w:val="18"/>
              </w:rPr>
              <w:t>”</w:t>
            </w:r>
            <w:r>
              <w:rPr>
                <w:rFonts w:ascii="宋体" w:hAnsi="宋体" w:cs="宋体" w:eastAsia="宋体" w:hint="default"/>
                <w:sz w:val="18"/>
                <w:szCs w:val="18"/>
              </w:rPr>
              <w:t>号填</w:t>
            </w:r>
          </w:p>
          <w:p>
            <w:pPr>
              <w:pStyle w:val="TableParagraph"/>
              <w:spacing w:line="240" w:lineRule="auto" w:before="63"/>
              <w:ind w:left="13"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-455,564.93</w:t>
            </w:r>
            <w:r>
              <w:rPr>
                <w:rFonts w:ascii="Times New Roman"/>
                <w:sz w:val="18"/>
              </w:rPr>
            </w:r>
          </w:p>
        </w:tc>
        <w:tc>
          <w:tcPr>
            <w:tcW w:w="327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w w:val="95"/>
                <w:sz w:val="18"/>
              </w:rPr>
              <w:t>-169,552.08</w:t>
            </w:r>
            <w:r>
              <w:rPr>
                <w:rFonts w:ascii="Times New Roman"/>
                <w:sz w:val="18"/>
              </w:rPr>
            </w:r>
          </w:p>
        </w:tc>
      </w:tr>
      <w:tr>
        <w:trPr>
          <w:trHeight w:val="402" w:hRule="exact"/>
        </w:trPr>
        <w:tc>
          <w:tcPr>
            <w:tcW w:w="308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73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62,450,161.88</w:t>
            </w:r>
          </w:p>
        </w:tc>
        <w:tc>
          <w:tcPr>
            <w:tcW w:w="3277"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308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2" w:right="0"/>
              <w:jc w:val="left"/>
              <w:rPr>
                <w:rFonts w:ascii="Times New Roman" w:hAnsi="Times New Roman" w:cs="Times New Roman" w:eastAsia="Times New Roman" w:hint="default"/>
                <w:sz w:val="18"/>
                <w:szCs w:val="18"/>
              </w:rPr>
            </w:pPr>
            <w:r>
              <w:rPr>
                <w:rFonts w:ascii="Times New Roman"/>
                <w:sz w:val="18"/>
              </w:rPr>
              <w:t>186,630,074.58</w:t>
            </w:r>
          </w:p>
        </w:tc>
        <w:tc>
          <w:tcPr>
            <w:tcW w:w="327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101,566,845.67</w:t>
            </w:r>
          </w:p>
        </w:tc>
      </w:tr>
      <w:tr>
        <w:trPr>
          <w:trHeight w:val="402" w:hRule="exact"/>
        </w:trPr>
        <w:tc>
          <w:tcPr>
            <w:tcW w:w="308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737,027.23</w:t>
            </w:r>
          </w:p>
        </w:tc>
        <w:tc>
          <w:tcPr>
            <w:tcW w:w="327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51,758,538.56</w:t>
            </w:r>
          </w:p>
        </w:tc>
      </w:tr>
      <w:tr>
        <w:trPr>
          <w:trHeight w:val="402" w:hRule="exact"/>
        </w:trPr>
        <w:tc>
          <w:tcPr>
            <w:tcW w:w="308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804,741.93</w:t>
            </w:r>
          </w:p>
        </w:tc>
        <w:tc>
          <w:tcPr>
            <w:tcW w:w="327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294,630.47</w:t>
            </w:r>
          </w:p>
        </w:tc>
      </w:tr>
      <w:tr>
        <w:trPr>
          <w:trHeight w:val="402" w:hRule="exact"/>
        </w:trPr>
        <w:tc>
          <w:tcPr>
            <w:tcW w:w="3081" w:type="dxa"/>
            <w:tcBorders>
              <w:top w:val="single" w:sz="4" w:space="0" w:color="000000"/>
              <w:left w:val="single" w:sz="12" w:space="0" w:color="000000"/>
              <w:bottom w:val="single" w:sz="4" w:space="0" w:color="000000"/>
              <w:right w:val="single" w:sz="9" w:space="0" w:color="FFFFFF"/>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60"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21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97" w:right="0"/>
              <w:jc w:val="left"/>
              <w:rPr>
                <w:rFonts w:ascii="Times New Roman" w:hAnsi="Times New Roman" w:cs="Times New Roman" w:eastAsia="Times New Roman" w:hint="default"/>
                <w:sz w:val="18"/>
                <w:szCs w:val="18"/>
              </w:rPr>
            </w:pPr>
            <w:r>
              <w:rPr>
                <w:rFonts w:ascii="Times New Roman"/>
                <w:sz w:val="18"/>
              </w:rPr>
              <w:t>186,562,359.88</w:t>
            </w:r>
          </w:p>
        </w:tc>
        <w:tc>
          <w:tcPr>
            <w:tcW w:w="327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153,030,753.76</w:t>
            </w:r>
          </w:p>
        </w:tc>
      </w:tr>
      <w:tr>
        <w:trPr>
          <w:trHeight w:val="402" w:hRule="exact"/>
        </w:trPr>
        <w:tc>
          <w:tcPr>
            <w:tcW w:w="308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37,327,150.72</w:t>
            </w:r>
          </w:p>
        </w:tc>
        <w:tc>
          <w:tcPr>
            <w:tcW w:w="327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24,955,632.36</w:t>
            </w:r>
          </w:p>
        </w:tc>
      </w:tr>
      <w:tr>
        <w:trPr>
          <w:trHeight w:val="402" w:hRule="exact"/>
        </w:trPr>
        <w:tc>
          <w:tcPr>
            <w:tcW w:w="308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2" w:right="0"/>
              <w:jc w:val="left"/>
              <w:rPr>
                <w:rFonts w:ascii="Times New Roman" w:hAnsi="Times New Roman" w:cs="Times New Roman" w:eastAsia="Times New Roman" w:hint="default"/>
                <w:sz w:val="18"/>
                <w:szCs w:val="18"/>
              </w:rPr>
            </w:pPr>
            <w:r>
              <w:rPr>
                <w:rFonts w:ascii="Times New Roman"/>
                <w:sz w:val="18"/>
              </w:rPr>
              <w:t>149,235,209.16</w:t>
            </w:r>
          </w:p>
        </w:tc>
        <w:tc>
          <w:tcPr>
            <w:tcW w:w="327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128,075,121.40</w:t>
            </w:r>
          </w:p>
        </w:tc>
      </w:tr>
      <w:tr>
        <w:trPr>
          <w:trHeight w:val="714" w:hRule="exact"/>
        </w:trPr>
        <w:tc>
          <w:tcPr>
            <w:tcW w:w="308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1" w:right="0"/>
              <w:jc w:val="left"/>
              <w:rPr>
                <w:rFonts w:ascii="宋体" w:hAnsi="宋体" w:cs="宋体" w:eastAsia="宋体" w:hint="default"/>
                <w:sz w:val="18"/>
                <w:szCs w:val="18"/>
              </w:rPr>
            </w:pPr>
            <w:r>
              <w:rPr>
                <w:rFonts w:ascii="宋体" w:hAnsi="宋体" w:cs="宋体" w:eastAsia="宋体" w:hint="default"/>
                <w:sz w:val="18"/>
                <w:szCs w:val="18"/>
              </w:rPr>
              <w:t>（一）持续经营净利润（净亏损以</w:t>
            </w:r>
          </w:p>
          <w:p>
            <w:pPr>
              <w:pStyle w:val="TableParagraph"/>
              <w:spacing w:line="240" w:lineRule="auto" w:before="76"/>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52" w:right="0"/>
              <w:jc w:val="left"/>
              <w:rPr>
                <w:rFonts w:ascii="Times New Roman" w:hAnsi="Times New Roman" w:cs="Times New Roman" w:eastAsia="Times New Roman" w:hint="default"/>
                <w:sz w:val="18"/>
                <w:szCs w:val="18"/>
              </w:rPr>
            </w:pPr>
            <w:r>
              <w:rPr>
                <w:rFonts w:ascii="Times New Roman"/>
                <w:sz w:val="18"/>
              </w:rPr>
              <w:t>149,235,209.16</w:t>
            </w:r>
          </w:p>
        </w:tc>
        <w:tc>
          <w:tcPr>
            <w:tcW w:w="327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128,075,121.40</w:t>
            </w:r>
          </w:p>
        </w:tc>
      </w:tr>
      <w:tr>
        <w:trPr>
          <w:trHeight w:val="714" w:hRule="exact"/>
        </w:trPr>
        <w:tc>
          <w:tcPr>
            <w:tcW w:w="308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1" w:right="0"/>
              <w:jc w:val="left"/>
              <w:rPr>
                <w:rFonts w:ascii="宋体" w:hAnsi="宋体" w:cs="宋体" w:eastAsia="宋体" w:hint="default"/>
                <w:sz w:val="18"/>
                <w:szCs w:val="18"/>
              </w:rPr>
            </w:pPr>
            <w:r>
              <w:rPr>
                <w:rFonts w:ascii="宋体" w:hAnsi="宋体" w:cs="宋体" w:eastAsia="宋体" w:hint="default"/>
                <w:sz w:val="18"/>
                <w:szCs w:val="18"/>
              </w:rPr>
              <w:t>（二）终止经营净利润（净亏损以</w:t>
            </w:r>
          </w:p>
          <w:p>
            <w:pPr>
              <w:pStyle w:val="TableParagraph"/>
              <w:spacing w:line="240" w:lineRule="auto" w:before="76"/>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308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8" w:right="0"/>
              <w:jc w:val="left"/>
              <w:rPr>
                <w:rFonts w:ascii="Times New Roman" w:hAnsi="Times New Roman" w:cs="Times New Roman" w:eastAsia="Times New Roman" w:hint="default"/>
                <w:sz w:val="18"/>
                <w:szCs w:val="18"/>
              </w:rPr>
            </w:pPr>
            <w:r>
              <w:rPr>
                <w:rFonts w:ascii="Times New Roman"/>
                <w:sz w:val="18"/>
              </w:rPr>
              <w:t>110,320,925.94</w:t>
            </w:r>
          </w:p>
        </w:tc>
        <w:tc>
          <w:tcPr>
            <w:tcW w:w="327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90,629,460.02</w:t>
            </w:r>
          </w:p>
        </w:tc>
      </w:tr>
      <w:tr>
        <w:trPr>
          <w:trHeight w:val="402" w:hRule="exact"/>
        </w:trPr>
        <w:tc>
          <w:tcPr>
            <w:tcW w:w="308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38,914,283.22</w:t>
            </w:r>
          </w:p>
        </w:tc>
        <w:tc>
          <w:tcPr>
            <w:tcW w:w="327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37,445,661.38</w:t>
            </w:r>
          </w:p>
        </w:tc>
      </w:tr>
      <w:tr>
        <w:trPr>
          <w:trHeight w:val="402" w:hRule="exact"/>
        </w:trPr>
        <w:tc>
          <w:tcPr>
            <w:tcW w:w="308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12" w:space="0" w:color="000000"/>
            </w:tcBorders>
          </w:tcPr>
          <w:p>
            <w:pPr/>
          </w:p>
        </w:tc>
      </w:tr>
      <w:tr>
        <w:trPr>
          <w:trHeight w:val="724" w:hRule="exact"/>
        </w:trPr>
        <w:tc>
          <w:tcPr>
            <w:tcW w:w="3081"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316" w:lineRule="auto" w:before="51"/>
              <w:ind w:left="13" w:right="16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1" w:type="dxa"/>
            <w:gridSpan w:val="2"/>
            <w:tcBorders>
              <w:top w:val="single" w:sz="4" w:space="0" w:color="000000"/>
              <w:left w:val="single" w:sz="4" w:space="0" w:color="000000"/>
              <w:bottom w:val="single" w:sz="12" w:space="0" w:color="000000"/>
              <w:right w:val="single" w:sz="4" w:space="0" w:color="000000"/>
            </w:tcBorders>
          </w:tcPr>
          <w:p>
            <w:pPr/>
          </w:p>
        </w:tc>
        <w:tc>
          <w:tcPr>
            <w:tcW w:w="3277" w:type="dxa"/>
            <w:tcBorders>
              <w:top w:val="single" w:sz="4" w:space="0" w:color="000000"/>
              <w:left w:val="single" w:sz="4" w:space="0" w:color="000000"/>
              <w:bottom w:val="single" w:sz="12" w:space="0" w:color="000000"/>
              <w:right w:val="single" w:sz="12"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5" w:type="dxa"/>
        <w:tblLayout w:type="fixed"/>
        <w:tblCellMar>
          <w:top w:w="0" w:type="dxa"/>
          <w:left w:w="0" w:type="dxa"/>
          <w:bottom w:w="0" w:type="dxa"/>
          <w:right w:w="0" w:type="dxa"/>
        </w:tblCellMar>
        <w:tblLook w:val="01E0"/>
      </w:tblPr>
      <w:tblGrid>
        <w:gridCol w:w="3063"/>
        <w:gridCol w:w="3222"/>
        <w:gridCol w:w="3277"/>
      </w:tblGrid>
      <w:tr>
        <w:trPr>
          <w:trHeight w:val="724" w:hRule="exact"/>
        </w:trPr>
        <w:tc>
          <w:tcPr>
            <w:tcW w:w="3063"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1"/>
              <w:ind w:left="6" w:right="10"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2" w:type="dxa"/>
            <w:tcBorders>
              <w:top w:val="single" w:sz="12" w:space="0" w:color="000000"/>
              <w:left w:val="single" w:sz="13" w:space="0" w:color="D2D2D2"/>
              <w:bottom w:val="single" w:sz="4" w:space="0" w:color="000000"/>
              <w:right w:val="single" w:sz="4" w:space="0" w:color="000000"/>
            </w:tcBorders>
          </w:tcPr>
          <w:p>
            <w:pPr/>
          </w:p>
        </w:tc>
        <w:tc>
          <w:tcPr>
            <w:tcW w:w="3277" w:type="dxa"/>
            <w:tcBorders>
              <w:top w:val="single" w:sz="12" w:space="0" w:color="000000"/>
              <w:left w:val="single" w:sz="4" w:space="0" w:color="000000"/>
              <w:bottom w:val="single" w:sz="4" w:space="0" w:color="000000"/>
              <w:right w:val="single" w:sz="12" w:space="0" w:color="000000"/>
            </w:tcBorders>
          </w:tcPr>
          <w:p>
            <w:pPr/>
          </w:p>
        </w:tc>
      </w:tr>
      <w:tr>
        <w:trPr>
          <w:trHeight w:val="714" w:hRule="exact"/>
        </w:trPr>
        <w:tc>
          <w:tcPr>
            <w:tcW w:w="30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00" w:lineRule="auto" w:before="51"/>
              <w:ind w:left="6"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12" w:space="0" w:color="000000"/>
            </w:tcBorders>
          </w:tcPr>
          <w:p>
            <w:pPr/>
          </w:p>
        </w:tc>
      </w:tr>
      <w:tr>
        <w:trPr>
          <w:trHeight w:val="1026" w:hRule="exact"/>
        </w:trPr>
        <w:tc>
          <w:tcPr>
            <w:tcW w:w="30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09" w:lineRule="auto" w:before="51"/>
              <w:ind w:left="6"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12" w:space="0" w:color="000000"/>
            </w:tcBorders>
          </w:tcPr>
          <w:p>
            <w:pPr/>
          </w:p>
        </w:tc>
      </w:tr>
      <w:tr>
        <w:trPr>
          <w:trHeight w:val="714" w:hRule="exact"/>
        </w:trPr>
        <w:tc>
          <w:tcPr>
            <w:tcW w:w="30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1"/>
              <w:ind w:left="6" w:right="10"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12" w:space="0" w:color="000000"/>
            </w:tcBorders>
          </w:tcPr>
          <w:p>
            <w:pPr/>
          </w:p>
        </w:tc>
      </w:tr>
      <w:tr>
        <w:trPr>
          <w:trHeight w:val="1026" w:hRule="exact"/>
        </w:trPr>
        <w:tc>
          <w:tcPr>
            <w:tcW w:w="30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09" w:lineRule="auto" w:before="51"/>
              <w:ind w:left="6"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12" w:space="0" w:color="000000"/>
            </w:tcBorders>
          </w:tcPr>
          <w:p>
            <w:pPr/>
          </w:p>
        </w:tc>
      </w:tr>
      <w:tr>
        <w:trPr>
          <w:trHeight w:val="714" w:hRule="exact"/>
        </w:trPr>
        <w:tc>
          <w:tcPr>
            <w:tcW w:w="30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9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3"/>
              <w:ind w:left="6"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12" w:space="0" w:color="000000"/>
            </w:tcBorders>
          </w:tcPr>
          <w:p>
            <w:pPr/>
          </w:p>
        </w:tc>
      </w:tr>
      <w:tr>
        <w:trPr>
          <w:trHeight w:val="714" w:hRule="exact"/>
        </w:trPr>
        <w:tc>
          <w:tcPr>
            <w:tcW w:w="30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00" w:lineRule="auto" w:before="51"/>
              <w:ind w:left="6"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12" w:space="0" w:color="000000"/>
            </w:tcBorders>
          </w:tcPr>
          <w:p>
            <w:pPr/>
          </w:p>
        </w:tc>
      </w:tr>
      <w:tr>
        <w:trPr>
          <w:trHeight w:val="714" w:hRule="exact"/>
        </w:trPr>
        <w:tc>
          <w:tcPr>
            <w:tcW w:w="30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9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6"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30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right="19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30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9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12" w:space="0" w:color="000000"/>
            </w:tcBorders>
          </w:tcPr>
          <w:p>
            <w:pPr/>
          </w:p>
        </w:tc>
      </w:tr>
      <w:tr>
        <w:trPr>
          <w:trHeight w:val="714" w:hRule="exact"/>
        </w:trPr>
        <w:tc>
          <w:tcPr>
            <w:tcW w:w="30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1"/>
              <w:ind w:left="6" w:right="15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30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149,235,209.16</w:t>
            </w:r>
          </w:p>
        </w:tc>
        <w:tc>
          <w:tcPr>
            <w:tcW w:w="327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128,075,121.40</w:t>
            </w:r>
          </w:p>
        </w:tc>
      </w:tr>
      <w:tr>
        <w:trPr>
          <w:trHeight w:val="714" w:hRule="exact"/>
        </w:trPr>
        <w:tc>
          <w:tcPr>
            <w:tcW w:w="30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1"/>
              <w:ind w:left="6" w:right="15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110,320,925.94</w:t>
            </w:r>
          </w:p>
        </w:tc>
        <w:tc>
          <w:tcPr>
            <w:tcW w:w="327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90,629,460.02</w:t>
            </w:r>
          </w:p>
        </w:tc>
      </w:tr>
      <w:tr>
        <w:trPr>
          <w:trHeight w:val="402" w:hRule="exact"/>
        </w:trPr>
        <w:tc>
          <w:tcPr>
            <w:tcW w:w="30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right="154"/>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38,914,283.22</w:t>
            </w:r>
          </w:p>
        </w:tc>
        <w:tc>
          <w:tcPr>
            <w:tcW w:w="327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37,445,661.38</w:t>
            </w:r>
          </w:p>
        </w:tc>
      </w:tr>
      <w:tr>
        <w:trPr>
          <w:trHeight w:val="402" w:hRule="exact"/>
        </w:trPr>
        <w:tc>
          <w:tcPr>
            <w:tcW w:w="30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12" w:space="0" w:color="000000"/>
            </w:tcBorders>
            <w:shd w:val="clear" w:color="auto" w:fill="D2D2D2"/>
          </w:tcPr>
          <w:p>
            <w:pPr/>
          </w:p>
        </w:tc>
      </w:tr>
      <w:tr>
        <w:trPr>
          <w:trHeight w:val="402" w:hRule="exact"/>
        </w:trPr>
        <w:tc>
          <w:tcPr>
            <w:tcW w:w="306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0.38</w:t>
            </w:r>
          </w:p>
        </w:tc>
        <w:tc>
          <w:tcPr>
            <w:tcW w:w="327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0.31</w:t>
            </w:r>
          </w:p>
        </w:tc>
      </w:tr>
      <w:tr>
        <w:trPr>
          <w:trHeight w:val="412" w:hRule="exact"/>
        </w:trPr>
        <w:tc>
          <w:tcPr>
            <w:tcW w:w="3063"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12"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0.38</w:t>
            </w:r>
          </w:p>
        </w:tc>
        <w:tc>
          <w:tcPr>
            <w:tcW w:w="327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0.31</w:t>
            </w:r>
          </w:p>
        </w:tc>
      </w:tr>
    </w:tbl>
    <w:p>
      <w:pPr>
        <w:tabs>
          <w:tab w:pos="4554" w:val="left" w:leader="none"/>
          <w:tab w:pos="8695" w:val="left" w:leader="none"/>
        </w:tabs>
        <w:spacing w:line="592" w:lineRule="auto" w:before="51"/>
        <w:ind w:left="1133" w:right="1229" w:firstLine="0"/>
        <w:jc w:val="both"/>
        <w:rPr>
          <w:rFonts w:ascii="宋体" w:hAnsi="宋体" w:cs="宋体" w:eastAsia="宋体" w:hint="default"/>
          <w:sz w:val="21"/>
          <w:szCs w:val="21"/>
        </w:rPr>
      </w:pPr>
      <w:r>
        <w:rPr>
          <w:rFonts w:ascii="宋体" w:hAnsi="宋体" w:cs="宋体" w:eastAsia="宋体" w:hint="default"/>
          <w:sz w:val="18"/>
          <w:szCs w:val="18"/>
        </w:rPr>
        <w:t>本期发生同一控制下企业合并的，被合并方在合并前实现的净利润为：</w:t>
      </w:r>
      <w:r>
        <w:rPr>
          <w:rFonts w:ascii="Times New Roman" w:hAnsi="Times New Roman" w:cs="Times New Roman" w:eastAsia="Times New Roman" w:hint="default"/>
          <w:sz w:val="18"/>
          <w:szCs w:val="18"/>
        </w:rPr>
        <w:t>0.00 </w:t>
      </w:r>
      <w:r>
        <w:rPr>
          <w:rFonts w:ascii="宋体" w:hAnsi="宋体" w:cs="宋体" w:eastAsia="宋体" w:hint="default"/>
          <w:sz w:val="18"/>
          <w:szCs w:val="18"/>
        </w:rPr>
        <w:t>元，上期被合并方实现的净利润为：</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法定代表人：任红军</w:t>
        <w:tab/>
        <w:t>主管会计工作负责人：刘瑞玲</w:t>
        <w:tab/>
        <w:t>会计机构负责人：肖桂华 </w:t>
      </w:r>
      <w:bookmarkStart w:name="4、母公司利润表" w:id="157"/>
      <w:bookmarkEnd w:id="157"/>
      <w:r>
        <w:rPr>
          <w:rFonts w:ascii="宋体" w:hAnsi="宋体" w:cs="宋体" w:eastAsia="宋体" w:hint="default"/>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spacing w:before="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5" w:type="dxa"/>
        <w:tblLayout w:type="fixed"/>
        <w:tblCellMar>
          <w:top w:w="0" w:type="dxa"/>
          <w:left w:w="0" w:type="dxa"/>
          <w:bottom w:w="0" w:type="dxa"/>
          <w:right w:w="0" w:type="dxa"/>
        </w:tblCellMar>
        <w:tblLook w:val="01E0"/>
      </w:tblPr>
      <w:tblGrid>
        <w:gridCol w:w="2962"/>
        <w:gridCol w:w="3300"/>
        <w:gridCol w:w="3300"/>
      </w:tblGrid>
      <w:tr>
        <w:trPr>
          <w:trHeight w:val="412" w:hRule="exact"/>
        </w:trPr>
        <w:tc>
          <w:tcPr>
            <w:tcW w:w="2962"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right="16"/>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12" w:hRule="exact"/>
        </w:trPr>
        <w:tc>
          <w:tcPr>
            <w:tcW w:w="2962"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13" w:space="0" w:color="D2D2D2"/>
              <w:bottom w:val="single" w:sz="12" w:space="0" w:color="000000"/>
              <w:right w:val="single" w:sz="4" w:space="0" w:color="000000"/>
            </w:tcBorders>
          </w:tcPr>
          <w:p>
            <w:pPr>
              <w:pStyle w:val="TableParagraph"/>
              <w:spacing w:line="240" w:lineRule="auto" w:before="91"/>
              <w:ind w:left="2130" w:right="0"/>
              <w:jc w:val="left"/>
              <w:rPr>
                <w:rFonts w:ascii="Times New Roman" w:hAnsi="Times New Roman" w:cs="Times New Roman" w:eastAsia="Times New Roman" w:hint="default"/>
                <w:sz w:val="18"/>
                <w:szCs w:val="18"/>
              </w:rPr>
            </w:pPr>
            <w:r>
              <w:rPr>
                <w:rFonts w:ascii="Times New Roman"/>
                <w:sz w:val="18"/>
              </w:rPr>
              <w:t>271,766,648.12</w:t>
            </w:r>
          </w:p>
        </w:tc>
        <w:tc>
          <w:tcPr>
            <w:tcW w:w="330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242,037,957.48</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18" w:type="dxa"/>
        <w:tblLayout w:type="fixed"/>
        <w:tblCellMar>
          <w:top w:w="0" w:type="dxa"/>
          <w:left w:w="0" w:type="dxa"/>
          <w:bottom w:w="0" w:type="dxa"/>
          <w:right w:w="0" w:type="dxa"/>
        </w:tblCellMar>
        <w:tblLook w:val="01E0"/>
      </w:tblPr>
      <w:tblGrid>
        <w:gridCol w:w="2968"/>
        <w:gridCol w:w="3301"/>
        <w:gridCol w:w="3300"/>
      </w:tblGrid>
      <w:tr>
        <w:trPr>
          <w:trHeight w:val="412" w:hRule="exact"/>
        </w:trPr>
        <w:tc>
          <w:tcPr>
            <w:tcW w:w="296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151,382,495.65</w:t>
            </w:r>
          </w:p>
        </w:tc>
        <w:tc>
          <w:tcPr>
            <w:tcW w:w="3300"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132,569,521.66</w:t>
            </w:r>
          </w:p>
        </w:tc>
      </w:tr>
      <w:tr>
        <w:trPr>
          <w:trHeight w:val="402" w:hRule="exact"/>
        </w:trPr>
        <w:tc>
          <w:tcPr>
            <w:tcW w:w="296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73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7,857,486.33</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8,029,196.81</w:t>
            </w:r>
          </w:p>
        </w:tc>
      </w:tr>
      <w:tr>
        <w:trPr>
          <w:trHeight w:val="402" w:hRule="exact"/>
        </w:trPr>
        <w:tc>
          <w:tcPr>
            <w:tcW w:w="296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73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22,504,410.38</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24,564,872.63</w:t>
            </w:r>
          </w:p>
        </w:tc>
      </w:tr>
      <w:tr>
        <w:trPr>
          <w:trHeight w:val="402" w:hRule="exact"/>
        </w:trPr>
        <w:tc>
          <w:tcPr>
            <w:tcW w:w="296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73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59,494,735.59</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56,426,946.45</w:t>
            </w:r>
          </w:p>
        </w:tc>
      </w:tr>
      <w:tr>
        <w:trPr>
          <w:trHeight w:val="402" w:hRule="exact"/>
        </w:trPr>
        <w:tc>
          <w:tcPr>
            <w:tcW w:w="296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73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45,003,499.73</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30,317,684.97</w:t>
            </w:r>
          </w:p>
        </w:tc>
      </w:tr>
      <w:tr>
        <w:trPr>
          <w:trHeight w:val="402" w:hRule="exact"/>
        </w:trPr>
        <w:tc>
          <w:tcPr>
            <w:tcW w:w="296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73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19,303,964.03</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4,729,339.95</w:t>
            </w:r>
          </w:p>
        </w:tc>
      </w:tr>
      <w:tr>
        <w:trPr>
          <w:trHeight w:val="714" w:hRule="exact"/>
        </w:trPr>
        <w:tc>
          <w:tcPr>
            <w:tcW w:w="296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714" w:hRule="exact"/>
        </w:trPr>
        <w:tc>
          <w:tcPr>
            <w:tcW w:w="296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73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3"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46,142,359.78</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63,331,030.41</w:t>
            </w:r>
          </w:p>
        </w:tc>
      </w:tr>
      <w:tr>
        <w:trPr>
          <w:trHeight w:val="714" w:hRule="exact"/>
        </w:trPr>
        <w:tc>
          <w:tcPr>
            <w:tcW w:w="296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1"/>
              <w:ind w:left="13"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4,726,890.10</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3,698,204.81</w:t>
            </w:r>
          </w:p>
        </w:tc>
      </w:tr>
      <w:tr>
        <w:trPr>
          <w:trHeight w:val="714" w:hRule="exact"/>
        </w:trPr>
        <w:tc>
          <w:tcPr>
            <w:tcW w:w="296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73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13"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-373,706.31</w:t>
            </w:r>
            <w:r>
              <w:rPr>
                <w:rFonts w:ascii="Times New Roman"/>
                <w:sz w:val="18"/>
              </w:rPr>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
                <w:sz w:val="18"/>
              </w:rPr>
              <w:t>1,490,817.29</w:t>
            </w:r>
          </w:p>
        </w:tc>
      </w:tr>
      <w:tr>
        <w:trPr>
          <w:trHeight w:val="402" w:hRule="exact"/>
        </w:trPr>
        <w:tc>
          <w:tcPr>
            <w:tcW w:w="296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73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18,376,952.29</w:t>
            </w: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296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30,365,662.17</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50,222,242.71</w:t>
            </w:r>
          </w:p>
        </w:tc>
      </w:tr>
      <w:tr>
        <w:trPr>
          <w:trHeight w:val="402" w:hRule="exact"/>
        </w:trPr>
        <w:tc>
          <w:tcPr>
            <w:tcW w:w="296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454,913.70</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15,443,548.18</w:t>
            </w:r>
          </w:p>
        </w:tc>
      </w:tr>
      <w:tr>
        <w:trPr>
          <w:trHeight w:val="402" w:hRule="exact"/>
        </w:trPr>
        <w:tc>
          <w:tcPr>
            <w:tcW w:w="296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245,217.00</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209,815.00</w:t>
            </w:r>
          </w:p>
        </w:tc>
      </w:tr>
      <w:tr>
        <w:trPr>
          <w:trHeight w:val="714" w:hRule="exact"/>
        </w:trPr>
        <w:tc>
          <w:tcPr>
            <w:tcW w:w="296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00" w:lineRule="auto" w:before="51"/>
              <w:ind w:left="13"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30,575,358.87</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65,455,975.89</w:t>
            </w:r>
          </w:p>
        </w:tc>
      </w:tr>
      <w:tr>
        <w:trPr>
          <w:trHeight w:val="402" w:hRule="exact"/>
        </w:trPr>
        <w:tc>
          <w:tcPr>
            <w:tcW w:w="296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-325,495.80</w:t>
            </w:r>
            <w:r>
              <w:rPr>
                <w:rFonts w:ascii="Times New Roman"/>
                <w:sz w:val="18"/>
              </w:rPr>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4,744,363.11</w:t>
            </w:r>
          </w:p>
        </w:tc>
      </w:tr>
      <w:tr>
        <w:trPr>
          <w:trHeight w:val="402" w:hRule="exact"/>
        </w:trPr>
        <w:tc>
          <w:tcPr>
            <w:tcW w:w="296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30,900,854.67</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60,711,612.78</w:t>
            </w:r>
          </w:p>
        </w:tc>
      </w:tr>
      <w:tr>
        <w:trPr>
          <w:trHeight w:val="714" w:hRule="exact"/>
        </w:trPr>
        <w:tc>
          <w:tcPr>
            <w:tcW w:w="296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1"/>
              <w:ind w:left="13" w:right="54"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30,900,854.67</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60,711,612.78</w:t>
            </w:r>
          </w:p>
        </w:tc>
      </w:tr>
      <w:tr>
        <w:trPr>
          <w:trHeight w:val="714" w:hRule="exact"/>
        </w:trPr>
        <w:tc>
          <w:tcPr>
            <w:tcW w:w="296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1"/>
              <w:ind w:left="13" w:right="54"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296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714" w:hRule="exact"/>
        </w:trPr>
        <w:tc>
          <w:tcPr>
            <w:tcW w:w="296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1"/>
              <w:ind w:left="13" w:right="54"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714" w:hRule="exact"/>
        </w:trPr>
        <w:tc>
          <w:tcPr>
            <w:tcW w:w="296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00" w:lineRule="auto" w:before="51"/>
              <w:ind w:left="13"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1026" w:hRule="exact"/>
        </w:trPr>
        <w:tc>
          <w:tcPr>
            <w:tcW w:w="296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09" w:lineRule="auto" w:before="51"/>
              <w:ind w:left="13"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714" w:hRule="exact"/>
        </w:trPr>
        <w:tc>
          <w:tcPr>
            <w:tcW w:w="296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1"/>
              <w:ind w:left="13" w:right="54"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412" w:hRule="exact"/>
        </w:trPr>
        <w:tc>
          <w:tcPr>
            <w:tcW w:w="296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71"/>
              <w:ind w:left="9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w:t>
            </w:r>
          </w:p>
        </w:tc>
        <w:tc>
          <w:tcPr>
            <w:tcW w:w="3301" w:type="dxa"/>
            <w:tcBorders>
              <w:top w:val="single" w:sz="4" w:space="0" w:color="000000"/>
              <w:left w:val="single" w:sz="4" w:space="0" w:color="000000"/>
              <w:bottom w:val="single" w:sz="12" w:space="0" w:color="000000"/>
              <w:right w:val="single" w:sz="4" w:space="0" w:color="000000"/>
            </w:tcBorders>
          </w:tcPr>
          <w:p>
            <w:pPr/>
          </w:p>
        </w:tc>
        <w:tc>
          <w:tcPr>
            <w:tcW w:w="3300" w:type="dxa"/>
            <w:tcBorders>
              <w:top w:val="single" w:sz="4" w:space="0" w:color="000000"/>
              <w:left w:val="single" w:sz="4" w:space="0" w:color="000000"/>
              <w:bottom w:val="single" w:sz="12" w:space="0" w:color="000000"/>
              <w:right w:val="single" w:sz="12"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5" w:type="dxa"/>
        <w:tblLayout w:type="fixed"/>
        <w:tblCellMar>
          <w:top w:w="0" w:type="dxa"/>
          <w:left w:w="0" w:type="dxa"/>
          <w:bottom w:w="0" w:type="dxa"/>
          <w:right w:w="0" w:type="dxa"/>
        </w:tblCellMar>
        <w:tblLook w:val="01E0"/>
      </w:tblPr>
      <w:tblGrid>
        <w:gridCol w:w="2950"/>
        <w:gridCol w:w="3312"/>
        <w:gridCol w:w="3300"/>
      </w:tblGrid>
      <w:tr>
        <w:trPr>
          <w:trHeight w:val="683" w:hRule="exact"/>
        </w:trPr>
        <w:tc>
          <w:tcPr>
            <w:tcW w:w="2950"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319" w:lineRule="auto" w:before="10"/>
              <w:ind w:left="6" w:right="41"/>
              <w:jc w:val="left"/>
              <w:rPr>
                <w:rFonts w:ascii="宋体" w:hAnsi="宋体" w:cs="宋体" w:eastAsia="宋体" w:hint="default"/>
                <w:sz w:val="18"/>
                <w:szCs w:val="18"/>
              </w:rPr>
            </w:pPr>
            <w:r>
              <w:rPr>
                <w:rFonts w:ascii="宋体" w:hAnsi="宋体" w:cs="宋体" w:eastAsia="宋体" w:hint="default"/>
                <w:sz w:val="18"/>
                <w:szCs w:val="18"/>
              </w:rPr>
              <w:t>以后将重分类进损益的其他综合收益 中享有的份额</w:t>
            </w:r>
          </w:p>
        </w:tc>
        <w:tc>
          <w:tcPr>
            <w:tcW w:w="3312" w:type="dxa"/>
            <w:tcBorders>
              <w:top w:val="single" w:sz="12" w:space="0" w:color="000000"/>
              <w:left w:val="single" w:sz="13" w:space="0" w:color="D2D2D2"/>
              <w:bottom w:val="single" w:sz="4" w:space="0" w:color="000000"/>
              <w:right w:val="single" w:sz="4" w:space="0" w:color="000000"/>
            </w:tcBorders>
          </w:tcPr>
          <w:p>
            <w:pPr/>
          </w:p>
        </w:tc>
        <w:tc>
          <w:tcPr>
            <w:tcW w:w="3300" w:type="dxa"/>
            <w:tcBorders>
              <w:top w:val="single" w:sz="12" w:space="0" w:color="000000"/>
              <w:left w:val="single" w:sz="4" w:space="0" w:color="000000"/>
              <w:bottom w:val="single" w:sz="4" w:space="0" w:color="000000"/>
              <w:right w:val="single" w:sz="12" w:space="0" w:color="000000"/>
            </w:tcBorders>
          </w:tcPr>
          <w:p>
            <w:pPr/>
          </w:p>
        </w:tc>
      </w:tr>
      <w:tr>
        <w:trPr>
          <w:trHeight w:val="714"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00" w:lineRule="auto" w:before="52"/>
              <w:ind w:left="6"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714"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00" w:lineRule="auto" w:before="52"/>
              <w:ind w:left="6"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714"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2"/>
              <w:ind w:left="9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6"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2"/>
              <w:ind w:left="9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2"/>
              <w:ind w:left="9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30,900,854.67</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60,711,612.78</w:t>
            </w: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12" w:space="0" w:color="000000"/>
            </w:tcBorders>
            <w:shd w:val="clear" w:color="auto" w:fill="D2D2D2"/>
          </w:tcPr>
          <w:p>
            <w:pPr/>
          </w:p>
        </w:tc>
      </w:tr>
      <w:tr>
        <w:trPr>
          <w:trHeight w:val="402" w:hRule="exact"/>
        </w:trPr>
        <w:tc>
          <w:tcPr>
            <w:tcW w:w="29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412" w:hRule="exact"/>
        </w:trPr>
        <w:tc>
          <w:tcPr>
            <w:tcW w:w="2950"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12" w:space="0" w:color="000000"/>
              <w:right w:val="single" w:sz="4" w:space="0" w:color="000000"/>
            </w:tcBorders>
          </w:tcPr>
          <w:p>
            <w:pPr/>
          </w:p>
        </w:tc>
        <w:tc>
          <w:tcPr>
            <w:tcW w:w="3300" w:type="dxa"/>
            <w:tcBorders>
              <w:top w:val="single" w:sz="4" w:space="0" w:color="000000"/>
              <w:left w:val="single" w:sz="4" w:space="0" w:color="000000"/>
              <w:bottom w:val="single" w:sz="12" w:space="0" w:color="000000"/>
              <w:right w:val="single" w:sz="12"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1134" w:right="0"/>
        <w:jc w:val="left"/>
        <w:rPr>
          <w:b w:val="0"/>
          <w:bCs w:val="0"/>
        </w:rPr>
      </w:pPr>
      <w:bookmarkStart w:name="5、合并现金流量表" w:id="158"/>
      <w:bookmarkEnd w:id="158"/>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5" w:type="dxa"/>
        <w:tblLayout w:type="fixed"/>
        <w:tblCellMar>
          <w:top w:w="0" w:type="dxa"/>
          <w:left w:w="0" w:type="dxa"/>
          <w:bottom w:w="0" w:type="dxa"/>
          <w:right w:w="0" w:type="dxa"/>
        </w:tblCellMar>
        <w:tblLook w:val="01E0"/>
      </w:tblPr>
      <w:tblGrid>
        <w:gridCol w:w="2949"/>
        <w:gridCol w:w="3314"/>
        <w:gridCol w:w="3300"/>
      </w:tblGrid>
      <w:tr>
        <w:trPr>
          <w:trHeight w:val="412" w:hRule="exact"/>
        </w:trPr>
        <w:tc>
          <w:tcPr>
            <w:tcW w:w="2949"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12" w:space="0" w:color="000000"/>
            </w:tcBorders>
            <w:shd w:val="clear" w:color="auto" w:fill="D2D2D2"/>
          </w:tcPr>
          <w:p>
            <w:pPr/>
          </w:p>
        </w:tc>
      </w:tr>
      <w:tr>
        <w:trPr>
          <w:trHeight w:val="402" w:hRule="exact"/>
        </w:trPr>
        <w:tc>
          <w:tcPr>
            <w:tcW w:w="294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1,377,872,403.47</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1,090,050,200.42</w:t>
            </w:r>
          </w:p>
        </w:tc>
      </w:tr>
      <w:tr>
        <w:trPr>
          <w:trHeight w:val="714" w:hRule="exact"/>
        </w:trPr>
        <w:tc>
          <w:tcPr>
            <w:tcW w:w="294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6"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294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714" w:hRule="exact"/>
        </w:trPr>
        <w:tc>
          <w:tcPr>
            <w:tcW w:w="294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6"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294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294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294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714" w:hRule="exact"/>
        </w:trPr>
        <w:tc>
          <w:tcPr>
            <w:tcW w:w="294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2"/>
              <w:ind w:left="6"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294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294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294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366"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294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8,224,171.84</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8,666,898.85</w:t>
            </w:r>
          </w:p>
        </w:tc>
      </w:tr>
      <w:tr>
        <w:trPr>
          <w:trHeight w:val="412" w:hRule="exact"/>
        </w:trPr>
        <w:tc>
          <w:tcPr>
            <w:tcW w:w="2949"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12"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107,763,733.39</w:t>
            </w:r>
          </w:p>
        </w:tc>
        <w:tc>
          <w:tcPr>
            <w:tcW w:w="330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88,633,494.90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5" w:type="dxa"/>
        <w:tblLayout w:type="fixed"/>
        <w:tblCellMar>
          <w:top w:w="0" w:type="dxa"/>
          <w:left w:w="0" w:type="dxa"/>
          <w:bottom w:w="0" w:type="dxa"/>
          <w:right w:w="0" w:type="dxa"/>
        </w:tblCellMar>
        <w:tblLook w:val="01E0"/>
      </w:tblPr>
      <w:tblGrid>
        <w:gridCol w:w="2949"/>
        <w:gridCol w:w="3314"/>
        <w:gridCol w:w="3300"/>
      </w:tblGrid>
      <w:tr>
        <w:trPr>
          <w:trHeight w:val="412" w:hRule="exact"/>
        </w:trPr>
        <w:tc>
          <w:tcPr>
            <w:tcW w:w="2949"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12"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1,493,860,308.70</w:t>
            </w:r>
          </w:p>
        </w:tc>
        <w:tc>
          <w:tcPr>
            <w:tcW w:w="3300"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1,187,350,594.17</w:t>
            </w:r>
          </w:p>
        </w:tc>
      </w:tr>
      <w:tr>
        <w:trPr>
          <w:trHeight w:val="402" w:hRule="exact"/>
        </w:trPr>
        <w:tc>
          <w:tcPr>
            <w:tcW w:w="294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799,877,472.10</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545,592,647.80</w:t>
            </w:r>
          </w:p>
        </w:tc>
      </w:tr>
      <w:tr>
        <w:trPr>
          <w:trHeight w:val="402" w:hRule="exact"/>
        </w:trPr>
        <w:tc>
          <w:tcPr>
            <w:tcW w:w="294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714" w:hRule="exact"/>
        </w:trPr>
        <w:tc>
          <w:tcPr>
            <w:tcW w:w="294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6"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294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294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294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714" w:hRule="exact"/>
        </w:trPr>
        <w:tc>
          <w:tcPr>
            <w:tcW w:w="294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6"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239,744,888.82</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185,100,428.85</w:t>
            </w:r>
          </w:p>
        </w:tc>
      </w:tr>
      <w:tr>
        <w:trPr>
          <w:trHeight w:val="402" w:hRule="exact"/>
        </w:trPr>
        <w:tc>
          <w:tcPr>
            <w:tcW w:w="294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161,447,361.16</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143,015,399.54</w:t>
            </w:r>
          </w:p>
        </w:tc>
      </w:tr>
      <w:tr>
        <w:trPr>
          <w:trHeight w:val="402" w:hRule="exact"/>
        </w:trPr>
        <w:tc>
          <w:tcPr>
            <w:tcW w:w="294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161,543,887.59</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2"/>
                <w:sz w:val="18"/>
              </w:rPr>
              <w:t>112,203,118.22</w:t>
            </w:r>
          </w:p>
        </w:tc>
      </w:tr>
      <w:tr>
        <w:trPr>
          <w:trHeight w:val="402" w:hRule="exact"/>
        </w:trPr>
        <w:tc>
          <w:tcPr>
            <w:tcW w:w="294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1,362,613,609.67</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985,911,594.41</w:t>
            </w:r>
          </w:p>
        </w:tc>
      </w:tr>
      <w:tr>
        <w:trPr>
          <w:trHeight w:val="402" w:hRule="exact"/>
        </w:trPr>
        <w:tc>
          <w:tcPr>
            <w:tcW w:w="294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131,246,699.03</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201,438,999.76</w:t>
            </w:r>
          </w:p>
        </w:tc>
      </w:tr>
      <w:tr>
        <w:trPr>
          <w:trHeight w:val="402" w:hRule="exact"/>
        </w:trPr>
        <w:tc>
          <w:tcPr>
            <w:tcW w:w="294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12" w:space="0" w:color="000000"/>
            </w:tcBorders>
            <w:shd w:val="clear" w:color="auto" w:fill="D2D2D2"/>
          </w:tcPr>
          <w:p>
            <w:pPr/>
          </w:p>
        </w:tc>
      </w:tr>
      <w:tr>
        <w:trPr>
          <w:trHeight w:val="402" w:hRule="exact"/>
        </w:trPr>
        <w:tc>
          <w:tcPr>
            <w:tcW w:w="294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2,451,738,000.00</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1,603,760,000.00</w:t>
            </w:r>
          </w:p>
        </w:tc>
      </w:tr>
      <w:tr>
        <w:trPr>
          <w:trHeight w:val="402" w:hRule="exact"/>
        </w:trPr>
        <w:tc>
          <w:tcPr>
            <w:tcW w:w="294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27,609,815.36</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7,355,923.53</w:t>
            </w:r>
          </w:p>
        </w:tc>
      </w:tr>
      <w:tr>
        <w:trPr>
          <w:trHeight w:val="714" w:hRule="exact"/>
        </w:trPr>
        <w:tc>
          <w:tcPr>
            <w:tcW w:w="294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9" w:lineRule="auto" w:before="51"/>
              <w:ind w:left="6"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69,264.80</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73,999.00</w:t>
            </w:r>
          </w:p>
        </w:tc>
      </w:tr>
      <w:tr>
        <w:trPr>
          <w:trHeight w:val="714" w:hRule="exact"/>
        </w:trPr>
        <w:tc>
          <w:tcPr>
            <w:tcW w:w="294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1"/>
              <w:ind w:left="6"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1,796,273.34</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361,217.10</w:t>
            </w:r>
          </w:p>
        </w:tc>
      </w:tr>
      <w:tr>
        <w:trPr>
          <w:trHeight w:val="402" w:hRule="exact"/>
        </w:trPr>
        <w:tc>
          <w:tcPr>
            <w:tcW w:w="294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208,093,697.25</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219,297,747.65</w:t>
            </w:r>
          </w:p>
        </w:tc>
      </w:tr>
      <w:tr>
        <w:trPr>
          <w:trHeight w:val="402" w:hRule="exact"/>
        </w:trPr>
        <w:tc>
          <w:tcPr>
            <w:tcW w:w="294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2,689,307,050.75</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1,830,848,887.28</w:t>
            </w:r>
          </w:p>
        </w:tc>
      </w:tr>
      <w:tr>
        <w:trPr>
          <w:trHeight w:val="714" w:hRule="exact"/>
        </w:trPr>
        <w:tc>
          <w:tcPr>
            <w:tcW w:w="294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1"/>
              <w:ind w:left="6"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223,347,448.73</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274,078,430.63</w:t>
            </w:r>
          </w:p>
        </w:tc>
      </w:tr>
      <w:tr>
        <w:trPr>
          <w:trHeight w:val="402" w:hRule="exact"/>
        </w:trPr>
        <w:tc>
          <w:tcPr>
            <w:tcW w:w="294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2,385,688,000.00</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1,702,660,601.00</w:t>
            </w:r>
          </w:p>
        </w:tc>
      </w:tr>
      <w:tr>
        <w:trPr>
          <w:trHeight w:val="402" w:hRule="exact"/>
        </w:trPr>
        <w:tc>
          <w:tcPr>
            <w:tcW w:w="294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714" w:hRule="exact"/>
        </w:trPr>
        <w:tc>
          <w:tcPr>
            <w:tcW w:w="294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1"/>
              <w:ind w:left="6"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15,351,840.00</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38,542,752.34</w:t>
            </w:r>
          </w:p>
        </w:tc>
      </w:tr>
      <w:tr>
        <w:trPr>
          <w:trHeight w:val="402" w:hRule="exact"/>
        </w:trPr>
        <w:tc>
          <w:tcPr>
            <w:tcW w:w="294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294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2,624,387,288.73</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2,015,281,783.97</w:t>
            </w:r>
          </w:p>
        </w:tc>
      </w:tr>
      <w:tr>
        <w:trPr>
          <w:trHeight w:val="402" w:hRule="exact"/>
        </w:trPr>
        <w:tc>
          <w:tcPr>
            <w:tcW w:w="294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64,919,762.02</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-184,432,896.69</w:t>
            </w:r>
          </w:p>
        </w:tc>
      </w:tr>
      <w:tr>
        <w:trPr>
          <w:trHeight w:val="402" w:hRule="exact"/>
        </w:trPr>
        <w:tc>
          <w:tcPr>
            <w:tcW w:w="294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12" w:space="0" w:color="000000"/>
            </w:tcBorders>
            <w:shd w:val="clear" w:color="auto" w:fill="D2D2D2"/>
          </w:tcPr>
          <w:p>
            <w:pPr/>
          </w:p>
        </w:tc>
      </w:tr>
      <w:tr>
        <w:trPr>
          <w:trHeight w:val="402" w:hRule="exact"/>
        </w:trPr>
        <w:tc>
          <w:tcPr>
            <w:tcW w:w="294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8,909,871.91</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2,902,795.13</w:t>
            </w:r>
          </w:p>
        </w:tc>
      </w:tr>
      <w:tr>
        <w:trPr>
          <w:trHeight w:val="724" w:hRule="exact"/>
        </w:trPr>
        <w:tc>
          <w:tcPr>
            <w:tcW w:w="2949"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316" w:lineRule="auto" w:before="51"/>
              <w:ind w:left="6"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12" w:space="0" w:color="000000"/>
              <w:right w:val="single" w:sz="4" w:space="0" w:color="000000"/>
            </w:tcBorders>
          </w:tcPr>
          <w:p>
            <w:pPr/>
          </w:p>
        </w:tc>
        <w:tc>
          <w:tcPr>
            <w:tcW w:w="330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2,902,795.13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18" w:type="dxa"/>
        <w:tblLayout w:type="fixed"/>
        <w:tblCellMar>
          <w:top w:w="0" w:type="dxa"/>
          <w:left w:w="0" w:type="dxa"/>
          <w:bottom w:w="0" w:type="dxa"/>
          <w:right w:w="0" w:type="dxa"/>
        </w:tblCellMar>
        <w:tblLook w:val="01E0"/>
      </w:tblPr>
      <w:tblGrid>
        <w:gridCol w:w="2967"/>
        <w:gridCol w:w="3302"/>
        <w:gridCol w:w="3300"/>
      </w:tblGrid>
      <w:tr>
        <w:trPr>
          <w:trHeight w:val="412" w:hRule="exact"/>
        </w:trPr>
        <w:tc>
          <w:tcPr>
            <w:tcW w:w="2967"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544,501,000.00</w:t>
            </w:r>
          </w:p>
        </w:tc>
        <w:tc>
          <w:tcPr>
            <w:tcW w:w="3300"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672,750,000.00</w:t>
            </w:r>
          </w:p>
        </w:tc>
      </w:tr>
      <w:tr>
        <w:trPr>
          <w:trHeight w:val="402"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101,645,045.12</w:t>
            </w:r>
          </w:p>
        </w:tc>
      </w:tr>
      <w:tr>
        <w:trPr>
          <w:trHeight w:val="402"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553,410,871.91</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777,297,840.25</w:t>
            </w:r>
          </w:p>
        </w:tc>
      </w:tr>
      <w:tr>
        <w:trPr>
          <w:trHeight w:val="402"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545,546,672.40</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617,520,000.00</w:t>
            </w:r>
          </w:p>
        </w:tc>
      </w:tr>
      <w:tr>
        <w:trPr>
          <w:trHeight w:val="714"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1"/>
              <w:ind w:left="13" w:right="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51,031,945.99</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47,819,138.37</w:t>
            </w:r>
          </w:p>
        </w:tc>
      </w:tr>
      <w:tr>
        <w:trPr>
          <w:trHeight w:val="714"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1"/>
              <w:ind w:left="13" w:right="52"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7,629,556.70</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6,237,928.00</w:t>
            </w:r>
          </w:p>
        </w:tc>
      </w:tr>
      <w:tr>
        <w:trPr>
          <w:trHeight w:val="402"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604,208,175.09</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671,577,066.37</w:t>
            </w:r>
          </w:p>
        </w:tc>
      </w:tr>
      <w:tr>
        <w:trPr>
          <w:trHeight w:val="402"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-50,797,303.18</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105,720,773.88</w:t>
            </w:r>
          </w:p>
        </w:tc>
      </w:tr>
      <w:tr>
        <w:trPr>
          <w:trHeight w:val="714"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1"/>
              <w:ind w:left="13"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-752,407.06</w:t>
            </w:r>
            <w:r>
              <w:rPr>
                <w:rFonts w:ascii="Times New Roman"/>
                <w:sz w:val="18"/>
              </w:rPr>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602,906.15</w:t>
            </w:r>
          </w:p>
        </w:tc>
      </w:tr>
      <w:tr>
        <w:trPr>
          <w:trHeight w:val="402"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144,616,750.81</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123,329,783.10</w:t>
            </w:r>
          </w:p>
        </w:tc>
      </w:tr>
      <w:tr>
        <w:trPr>
          <w:trHeight w:val="402"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626,390,764.93</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503,060,981.83</w:t>
            </w:r>
          </w:p>
        </w:tc>
      </w:tr>
      <w:tr>
        <w:trPr>
          <w:trHeight w:val="412" w:hRule="exact"/>
        </w:trPr>
        <w:tc>
          <w:tcPr>
            <w:tcW w:w="2967"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771,007,515.74</w:t>
            </w:r>
          </w:p>
        </w:tc>
        <w:tc>
          <w:tcPr>
            <w:tcW w:w="330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626,390,764.93</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1134" w:right="0"/>
        <w:jc w:val="left"/>
        <w:rPr>
          <w:b w:val="0"/>
          <w:bCs w:val="0"/>
        </w:rPr>
      </w:pPr>
      <w:bookmarkStart w:name="6、母公司现金流量表" w:id="159"/>
      <w:bookmarkEnd w:id="159"/>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5" w:type="dxa"/>
        <w:tblLayout w:type="fixed"/>
        <w:tblCellMar>
          <w:top w:w="0" w:type="dxa"/>
          <w:left w:w="0" w:type="dxa"/>
          <w:bottom w:w="0" w:type="dxa"/>
          <w:right w:w="0" w:type="dxa"/>
        </w:tblCellMar>
        <w:tblLook w:val="01E0"/>
      </w:tblPr>
      <w:tblGrid>
        <w:gridCol w:w="2949"/>
        <w:gridCol w:w="3314"/>
        <w:gridCol w:w="3300"/>
      </w:tblGrid>
      <w:tr>
        <w:trPr>
          <w:trHeight w:val="412" w:hRule="exact"/>
        </w:trPr>
        <w:tc>
          <w:tcPr>
            <w:tcW w:w="2949"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12" w:space="0" w:color="000000"/>
            </w:tcBorders>
            <w:shd w:val="clear" w:color="auto" w:fill="D2D2D2"/>
          </w:tcPr>
          <w:p>
            <w:pPr/>
          </w:p>
        </w:tc>
      </w:tr>
      <w:tr>
        <w:trPr>
          <w:trHeight w:val="402" w:hRule="exact"/>
        </w:trPr>
        <w:tc>
          <w:tcPr>
            <w:tcW w:w="294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215,409,528.15</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204,537,750.51</w:t>
            </w:r>
          </w:p>
        </w:tc>
      </w:tr>
      <w:tr>
        <w:trPr>
          <w:trHeight w:val="402" w:hRule="exact"/>
        </w:trPr>
        <w:tc>
          <w:tcPr>
            <w:tcW w:w="294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2,689,487.57</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4,087,982.52</w:t>
            </w:r>
          </w:p>
        </w:tc>
      </w:tr>
      <w:tr>
        <w:trPr>
          <w:trHeight w:val="402" w:hRule="exact"/>
        </w:trPr>
        <w:tc>
          <w:tcPr>
            <w:tcW w:w="294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639,223,827.48</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17,715,331.04</w:t>
            </w:r>
          </w:p>
        </w:tc>
      </w:tr>
      <w:tr>
        <w:trPr>
          <w:trHeight w:val="402" w:hRule="exact"/>
        </w:trPr>
        <w:tc>
          <w:tcPr>
            <w:tcW w:w="294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857,322,843.20</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226,341,064.07</w:t>
            </w:r>
          </w:p>
        </w:tc>
      </w:tr>
      <w:tr>
        <w:trPr>
          <w:trHeight w:val="402" w:hRule="exact"/>
        </w:trPr>
        <w:tc>
          <w:tcPr>
            <w:tcW w:w="294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113,703,823.87</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74,870,292.21</w:t>
            </w:r>
          </w:p>
        </w:tc>
      </w:tr>
      <w:tr>
        <w:trPr>
          <w:trHeight w:val="714" w:hRule="exact"/>
        </w:trPr>
        <w:tc>
          <w:tcPr>
            <w:tcW w:w="294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6"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47,246,174.53</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44,630,169.58</w:t>
            </w:r>
          </w:p>
        </w:tc>
      </w:tr>
      <w:tr>
        <w:trPr>
          <w:trHeight w:val="402" w:hRule="exact"/>
        </w:trPr>
        <w:tc>
          <w:tcPr>
            <w:tcW w:w="294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25,656,229.12</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21,555,836.08</w:t>
            </w:r>
          </w:p>
        </w:tc>
      </w:tr>
      <w:tr>
        <w:trPr>
          <w:trHeight w:val="402" w:hRule="exact"/>
        </w:trPr>
        <w:tc>
          <w:tcPr>
            <w:tcW w:w="294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35,401,030.73</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48,768,533.25</w:t>
            </w:r>
          </w:p>
        </w:tc>
      </w:tr>
      <w:tr>
        <w:trPr>
          <w:trHeight w:val="402" w:hRule="exact"/>
        </w:trPr>
        <w:tc>
          <w:tcPr>
            <w:tcW w:w="294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222,007,258.25</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189,824,831.12</w:t>
            </w:r>
          </w:p>
        </w:tc>
      </w:tr>
      <w:tr>
        <w:trPr>
          <w:trHeight w:val="402" w:hRule="exact"/>
        </w:trPr>
        <w:tc>
          <w:tcPr>
            <w:tcW w:w="294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635,315,584.95</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36,516,232.95</w:t>
            </w:r>
          </w:p>
        </w:tc>
      </w:tr>
      <w:tr>
        <w:trPr>
          <w:trHeight w:val="402" w:hRule="exact"/>
        </w:trPr>
        <w:tc>
          <w:tcPr>
            <w:tcW w:w="294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12" w:space="0" w:color="000000"/>
            </w:tcBorders>
            <w:shd w:val="clear" w:color="auto" w:fill="D2D2D2"/>
          </w:tcPr>
          <w:p>
            <w:pPr/>
          </w:p>
        </w:tc>
      </w:tr>
      <w:tr>
        <w:trPr>
          <w:trHeight w:val="412" w:hRule="exact"/>
        </w:trPr>
        <w:tc>
          <w:tcPr>
            <w:tcW w:w="2949"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12"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891,808,000.00</w:t>
            </w:r>
          </w:p>
        </w:tc>
        <w:tc>
          <w:tcPr>
            <w:tcW w:w="330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561,407,008.65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5" w:type="dxa"/>
        <w:tblLayout w:type="fixed"/>
        <w:tblCellMar>
          <w:top w:w="0" w:type="dxa"/>
          <w:left w:w="0" w:type="dxa"/>
          <w:bottom w:w="0" w:type="dxa"/>
          <w:right w:w="0" w:type="dxa"/>
        </w:tblCellMar>
        <w:tblLook w:val="01E0"/>
      </w:tblPr>
      <w:tblGrid>
        <w:gridCol w:w="2949"/>
        <w:gridCol w:w="3314"/>
        <w:gridCol w:w="3300"/>
      </w:tblGrid>
      <w:tr>
        <w:trPr>
          <w:trHeight w:val="412" w:hRule="exact"/>
        </w:trPr>
        <w:tc>
          <w:tcPr>
            <w:tcW w:w="2949"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12"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46,287,014.19</w:t>
            </w:r>
          </w:p>
        </w:tc>
        <w:tc>
          <w:tcPr>
            <w:tcW w:w="3300"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18,509,656.24</w:t>
            </w:r>
          </w:p>
        </w:tc>
      </w:tr>
      <w:tr>
        <w:trPr>
          <w:trHeight w:val="714" w:hRule="exact"/>
        </w:trPr>
        <w:tc>
          <w:tcPr>
            <w:tcW w:w="294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1"/>
              <w:ind w:left="6"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9,264.80</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2,050,000.00</w:t>
            </w:r>
          </w:p>
        </w:tc>
      </w:tr>
      <w:tr>
        <w:trPr>
          <w:trHeight w:val="714" w:hRule="exact"/>
        </w:trPr>
        <w:tc>
          <w:tcPr>
            <w:tcW w:w="294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1"/>
              <w:ind w:left="6"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1,020,000.00</w:t>
            </w:r>
          </w:p>
        </w:tc>
      </w:tr>
      <w:tr>
        <w:trPr>
          <w:trHeight w:val="402" w:hRule="exact"/>
        </w:trPr>
        <w:tc>
          <w:tcPr>
            <w:tcW w:w="294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294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939,104,278.99</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582,986,664.89</w:t>
            </w:r>
          </w:p>
        </w:tc>
      </w:tr>
      <w:tr>
        <w:trPr>
          <w:trHeight w:val="714" w:hRule="exact"/>
        </w:trPr>
        <w:tc>
          <w:tcPr>
            <w:tcW w:w="294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1"/>
              <w:ind w:left="6"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36,567,456.59</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35,473,524.05</w:t>
            </w:r>
          </w:p>
        </w:tc>
      </w:tr>
      <w:tr>
        <w:trPr>
          <w:trHeight w:val="402" w:hRule="exact"/>
        </w:trPr>
        <w:tc>
          <w:tcPr>
            <w:tcW w:w="294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1,115,057,800.00</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992,762,601.00</w:t>
            </w:r>
          </w:p>
        </w:tc>
      </w:tr>
      <w:tr>
        <w:trPr>
          <w:trHeight w:val="714" w:hRule="exact"/>
        </w:trPr>
        <w:tc>
          <w:tcPr>
            <w:tcW w:w="294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1"/>
              <w:ind w:left="6"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21,351,840.00</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46,057,840.00</w:t>
            </w:r>
          </w:p>
        </w:tc>
      </w:tr>
      <w:tr>
        <w:trPr>
          <w:trHeight w:val="402" w:hRule="exact"/>
        </w:trPr>
        <w:tc>
          <w:tcPr>
            <w:tcW w:w="294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294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1,172,977,096.59</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1,074,293,965.05</w:t>
            </w:r>
          </w:p>
        </w:tc>
      </w:tr>
      <w:tr>
        <w:trPr>
          <w:trHeight w:val="402" w:hRule="exact"/>
        </w:trPr>
        <w:tc>
          <w:tcPr>
            <w:tcW w:w="294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-233,872,817.60</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-491,307,300.16</w:t>
            </w:r>
          </w:p>
        </w:tc>
      </w:tr>
      <w:tr>
        <w:trPr>
          <w:trHeight w:val="402" w:hRule="exact"/>
        </w:trPr>
        <w:tc>
          <w:tcPr>
            <w:tcW w:w="294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12" w:space="0" w:color="000000"/>
            </w:tcBorders>
            <w:shd w:val="clear" w:color="auto" w:fill="D2D2D2"/>
          </w:tcPr>
          <w:p>
            <w:pPr/>
          </w:p>
        </w:tc>
      </w:tr>
      <w:tr>
        <w:trPr>
          <w:trHeight w:val="402" w:hRule="exact"/>
        </w:trPr>
        <w:tc>
          <w:tcPr>
            <w:tcW w:w="294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294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360,000,000.00</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991,750,000.00</w:t>
            </w:r>
          </w:p>
        </w:tc>
      </w:tr>
      <w:tr>
        <w:trPr>
          <w:trHeight w:val="402" w:hRule="exact"/>
        </w:trPr>
        <w:tc>
          <w:tcPr>
            <w:tcW w:w="294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294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7,252,744.13</w:t>
            </w:r>
          </w:p>
        </w:tc>
      </w:tr>
      <w:tr>
        <w:trPr>
          <w:trHeight w:val="402" w:hRule="exact"/>
        </w:trPr>
        <w:tc>
          <w:tcPr>
            <w:tcW w:w="294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360,000,000.00</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999,002,744.13</w:t>
            </w:r>
          </w:p>
        </w:tc>
      </w:tr>
      <w:tr>
        <w:trPr>
          <w:trHeight w:val="402" w:hRule="exact"/>
        </w:trPr>
        <w:tc>
          <w:tcPr>
            <w:tcW w:w="294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308,750,000.00</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525,750,000.00</w:t>
            </w:r>
          </w:p>
        </w:tc>
      </w:tr>
      <w:tr>
        <w:trPr>
          <w:trHeight w:val="714" w:hRule="exact"/>
        </w:trPr>
        <w:tc>
          <w:tcPr>
            <w:tcW w:w="294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1"/>
              <w:ind w:left="6"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48,100,519.29</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33,779,526.09</w:t>
            </w:r>
          </w:p>
        </w:tc>
      </w:tr>
      <w:tr>
        <w:trPr>
          <w:trHeight w:val="402" w:hRule="exact"/>
        </w:trPr>
        <w:tc>
          <w:tcPr>
            <w:tcW w:w="294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20,756.70</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9,700,000.00</w:t>
            </w:r>
          </w:p>
        </w:tc>
      </w:tr>
      <w:tr>
        <w:trPr>
          <w:trHeight w:val="402" w:hRule="exact"/>
        </w:trPr>
        <w:tc>
          <w:tcPr>
            <w:tcW w:w="294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356,871,275.99</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569,229,526.09</w:t>
            </w:r>
          </w:p>
        </w:tc>
      </w:tr>
      <w:tr>
        <w:trPr>
          <w:trHeight w:val="402" w:hRule="exact"/>
        </w:trPr>
        <w:tc>
          <w:tcPr>
            <w:tcW w:w="294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3,128,724.01</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429,773,218.04</w:t>
            </w:r>
          </w:p>
        </w:tc>
      </w:tr>
      <w:tr>
        <w:trPr>
          <w:trHeight w:val="714" w:hRule="exact"/>
        </w:trPr>
        <w:tc>
          <w:tcPr>
            <w:tcW w:w="294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1"/>
              <w:ind w:left="6"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-442,983.87</w:t>
            </w:r>
            <w:r>
              <w:rPr>
                <w:rFonts w:ascii="Times New Roman"/>
                <w:sz w:val="18"/>
              </w:rPr>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328,227.28</w:t>
            </w:r>
          </w:p>
        </w:tc>
      </w:tr>
      <w:tr>
        <w:trPr>
          <w:trHeight w:val="402" w:hRule="exact"/>
        </w:trPr>
        <w:tc>
          <w:tcPr>
            <w:tcW w:w="294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404,128,507.49</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-24,689,621.89</w:t>
            </w:r>
          </w:p>
        </w:tc>
      </w:tr>
      <w:tr>
        <w:trPr>
          <w:trHeight w:val="402" w:hRule="exact"/>
        </w:trPr>
        <w:tc>
          <w:tcPr>
            <w:tcW w:w="294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33,880,681.07</w:t>
            </w:r>
          </w:p>
        </w:tc>
        <w:tc>
          <w:tcPr>
            <w:tcW w:w="33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58,570,302.96</w:t>
            </w:r>
          </w:p>
        </w:tc>
      </w:tr>
      <w:tr>
        <w:trPr>
          <w:trHeight w:val="412" w:hRule="exact"/>
        </w:trPr>
        <w:tc>
          <w:tcPr>
            <w:tcW w:w="2949"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12"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438,009,188.56</w:t>
            </w:r>
          </w:p>
        </w:tc>
        <w:tc>
          <w:tcPr>
            <w:tcW w:w="330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33,880,681.07</w:t>
            </w:r>
          </w:p>
        </w:tc>
      </w:tr>
    </w:tbl>
    <w:p>
      <w:pPr>
        <w:spacing w:line="240" w:lineRule="auto" w:before="3"/>
        <w:rPr>
          <w:rFonts w:ascii="宋体" w:hAnsi="宋体" w:cs="宋体" w:eastAsia="宋体" w:hint="default"/>
          <w:sz w:val="19"/>
          <w:szCs w:val="19"/>
        </w:rPr>
      </w:pPr>
    </w:p>
    <w:p>
      <w:pPr>
        <w:pStyle w:val="Heading4"/>
        <w:spacing w:line="240" w:lineRule="auto" w:before="35"/>
        <w:ind w:left="1134" w:right="0"/>
        <w:jc w:val="left"/>
        <w:rPr>
          <w:b w:val="0"/>
          <w:bCs w:val="0"/>
        </w:rPr>
      </w:pPr>
      <w:bookmarkStart w:name="7、合并所有者权益变动表" w:id="160"/>
      <w:bookmarkEnd w:id="160"/>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spacing w:before="44"/>
        <w:ind w:left="1134"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5" w:type="dxa"/>
        <w:tblLayout w:type="fixed"/>
        <w:tblCellMar>
          <w:top w:w="0" w:type="dxa"/>
          <w:left w:w="0" w:type="dxa"/>
          <w:bottom w:w="0" w:type="dxa"/>
          <w:right w:w="0" w:type="dxa"/>
        </w:tblCellMar>
        <w:tblLook w:val="01E0"/>
      </w:tblPr>
      <w:tblGrid>
        <w:gridCol w:w="1421"/>
        <w:gridCol w:w="574"/>
        <w:gridCol w:w="530"/>
        <w:gridCol w:w="532"/>
        <w:gridCol w:w="530"/>
        <w:gridCol w:w="665"/>
        <w:gridCol w:w="665"/>
        <w:gridCol w:w="665"/>
        <w:gridCol w:w="665"/>
        <w:gridCol w:w="664"/>
        <w:gridCol w:w="666"/>
        <w:gridCol w:w="665"/>
        <w:gridCol w:w="665"/>
        <w:gridCol w:w="658"/>
      </w:tblGrid>
      <w:tr>
        <w:trPr>
          <w:trHeight w:val="412" w:hRule="exact"/>
        </w:trPr>
        <w:tc>
          <w:tcPr>
            <w:tcW w:w="1421" w:type="dxa"/>
            <w:vMerge w:val="restart"/>
            <w:tcBorders>
              <w:top w:val="single" w:sz="12" w:space="0" w:color="000000"/>
              <w:left w:val="single" w:sz="12" w:space="0" w:color="000000"/>
              <w:right w:val="single" w:sz="4" w:space="0" w:color="000000"/>
            </w:tcBorders>
            <w:shd w:val="clear" w:color="auto" w:fill="D2D2D2"/>
          </w:tcPr>
          <w:p>
            <w:pPr/>
          </w:p>
        </w:tc>
        <w:tc>
          <w:tcPr>
            <w:tcW w:w="8144" w:type="dxa"/>
            <w:gridSpan w:val="13"/>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1"/>
              <w:ind w:left="23"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21" w:type="dxa"/>
            <w:vMerge/>
            <w:tcBorders>
              <w:left w:val="single" w:sz="12" w:space="0" w:color="000000"/>
              <w:right w:val="single" w:sz="4" w:space="0" w:color="000000"/>
            </w:tcBorders>
            <w:shd w:val="clear" w:color="auto" w:fill="D2D2D2"/>
          </w:tcPr>
          <w:p>
            <w:pPr/>
          </w:p>
        </w:tc>
        <w:tc>
          <w:tcPr>
            <w:tcW w:w="6821"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8" w:type="dxa"/>
            <w:tcBorders>
              <w:top w:val="single" w:sz="4" w:space="0" w:color="000000"/>
              <w:left w:val="single" w:sz="4" w:space="0" w:color="000000"/>
              <w:bottom w:val="nil" w:sz="6" w:space="0" w:color="auto"/>
              <w:right w:val="single" w:sz="12" w:space="0" w:color="000000"/>
            </w:tcBorders>
            <w:shd w:val="clear" w:color="auto" w:fill="D2D2D2"/>
          </w:tcPr>
          <w:p>
            <w:pPr/>
          </w:p>
        </w:tc>
      </w:tr>
      <w:tr>
        <w:trPr>
          <w:trHeight w:val="151" w:hRule="exact"/>
        </w:trPr>
        <w:tc>
          <w:tcPr>
            <w:tcW w:w="1421" w:type="dxa"/>
            <w:vMerge/>
            <w:tcBorders>
              <w:left w:val="single" w:sz="12" w:space="0" w:color="000000"/>
              <w:bottom w:val="nil" w:sz="6" w:space="0" w:color="auto"/>
              <w:right w:val="single" w:sz="4" w:space="0" w:color="000000"/>
            </w:tcBorders>
            <w:shd w:val="clear" w:color="auto" w:fill="D2D2D2"/>
          </w:tcPr>
          <w:p>
            <w:pPr/>
          </w:p>
        </w:tc>
        <w:tc>
          <w:tcPr>
            <w:tcW w:w="6821"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8" w:type="dxa"/>
            <w:vMerge w:val="restart"/>
            <w:tcBorders>
              <w:top w:val="nil" w:sz="6" w:space="0" w:color="auto"/>
              <w:left w:val="single" w:sz="4" w:space="0" w:color="000000"/>
              <w:right w:val="single" w:sz="12" w:space="0" w:color="000000"/>
            </w:tcBorders>
            <w:shd w:val="clear" w:color="auto" w:fill="D2D2D2"/>
          </w:tcPr>
          <w:p>
            <w:pPr>
              <w:pStyle w:val="TableParagraph"/>
              <w:spacing w:line="319" w:lineRule="auto" w:before="51"/>
              <w:ind w:left="53" w:right="42"/>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5" w:hRule="exact"/>
        </w:trPr>
        <w:tc>
          <w:tcPr>
            <w:tcW w:w="1421" w:type="dxa"/>
            <w:vMerge w:val="restart"/>
            <w:tcBorders>
              <w:top w:val="nil" w:sz="6" w:space="0" w:color="auto"/>
              <w:left w:val="single" w:sz="12" w:space="0" w:color="000000"/>
              <w:right w:val="single" w:sz="4" w:space="0" w:color="000000"/>
            </w:tcBorders>
            <w:shd w:val="clear" w:color="auto" w:fill="D2D2D2"/>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8" w:type="dxa"/>
            <w:vMerge/>
            <w:tcBorders>
              <w:left w:val="single" w:sz="4" w:space="0" w:color="000000"/>
              <w:right w:val="single" w:sz="12" w:space="0" w:color="000000"/>
            </w:tcBorders>
            <w:shd w:val="clear" w:color="auto" w:fill="D2D2D2"/>
          </w:tcPr>
          <w:p>
            <w:pPr/>
          </w:p>
        </w:tc>
      </w:tr>
      <w:tr>
        <w:trPr>
          <w:trHeight w:val="174" w:hRule="exact"/>
        </w:trPr>
        <w:tc>
          <w:tcPr>
            <w:tcW w:w="1421" w:type="dxa"/>
            <w:vMerge/>
            <w:tcBorders>
              <w:left w:val="single" w:sz="12" w:space="0" w:color="000000"/>
              <w:bottom w:val="nil" w:sz="6" w:space="0" w:color="auto"/>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12" w:space="0" w:color="000000"/>
            </w:tcBorders>
            <w:shd w:val="clear" w:color="auto" w:fill="D2D2D2"/>
          </w:tcPr>
          <w:p>
            <w:pPr/>
          </w:p>
        </w:tc>
      </w:tr>
      <w:tr>
        <w:trPr>
          <w:trHeight w:val="184" w:hRule="exact"/>
        </w:trPr>
        <w:tc>
          <w:tcPr>
            <w:tcW w:w="1421" w:type="dxa"/>
            <w:vMerge w:val="restart"/>
            <w:tcBorders>
              <w:top w:val="nil" w:sz="6" w:space="0" w:color="auto"/>
              <w:left w:val="single" w:sz="12"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10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12" w:space="0" w:color="000000"/>
            </w:tcBorders>
            <w:shd w:val="clear" w:color="auto" w:fill="D2D2D2"/>
          </w:tcPr>
          <w:p>
            <w:pPr/>
          </w:p>
        </w:tc>
      </w:tr>
      <w:tr>
        <w:trPr>
          <w:trHeight w:val="169" w:hRule="exact"/>
        </w:trPr>
        <w:tc>
          <w:tcPr>
            <w:tcW w:w="1421" w:type="dxa"/>
            <w:vMerge/>
            <w:tcBorders>
              <w:left w:val="single" w:sz="12"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8" w:type="dxa"/>
            <w:vMerge/>
            <w:tcBorders>
              <w:left w:val="single" w:sz="4" w:space="0" w:color="000000"/>
              <w:right w:val="single" w:sz="12" w:space="0" w:color="000000"/>
            </w:tcBorders>
            <w:shd w:val="clear" w:color="auto" w:fill="D2D2D2"/>
          </w:tcPr>
          <w:p>
            <w:pPr/>
          </w:p>
        </w:tc>
      </w:tr>
      <w:tr>
        <w:trPr>
          <w:trHeight w:val="156" w:hRule="exact"/>
        </w:trPr>
        <w:tc>
          <w:tcPr>
            <w:tcW w:w="1421" w:type="dxa"/>
            <w:vMerge/>
            <w:tcBorders>
              <w:left w:val="single" w:sz="12"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8" w:type="dxa"/>
            <w:vMerge/>
            <w:tcBorders>
              <w:left w:val="single" w:sz="4" w:space="0" w:color="000000"/>
              <w:bottom w:val="nil" w:sz="6" w:space="0" w:color="auto"/>
              <w:right w:val="single" w:sz="12" w:space="0" w:color="000000"/>
            </w:tcBorders>
            <w:shd w:val="clear" w:color="auto" w:fill="D2D2D2"/>
          </w:tcPr>
          <w:p>
            <w:pPr/>
          </w:p>
        </w:tc>
      </w:tr>
      <w:tr>
        <w:trPr>
          <w:trHeight w:val="229" w:hRule="exact"/>
        </w:trPr>
        <w:tc>
          <w:tcPr>
            <w:tcW w:w="1421" w:type="dxa"/>
            <w:vMerge/>
            <w:tcBorders>
              <w:left w:val="single" w:sz="12"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8" w:type="dxa"/>
            <w:tcBorders>
              <w:top w:val="nil" w:sz="6" w:space="0" w:color="auto"/>
              <w:left w:val="single" w:sz="4" w:space="0" w:color="000000"/>
              <w:bottom w:val="single" w:sz="4" w:space="0" w:color="000000"/>
              <w:right w:val="single" w:sz="12" w:space="0" w:color="000000"/>
            </w:tcBorders>
            <w:shd w:val="clear" w:color="auto" w:fill="D2D2D2"/>
          </w:tcPr>
          <w:p>
            <w:pPr/>
          </w:p>
        </w:tc>
      </w:tr>
      <w:tr>
        <w:trPr>
          <w:trHeight w:val="317" w:hRule="exact"/>
        </w:trPr>
        <w:tc>
          <w:tcPr>
            <w:tcW w:w="1421" w:type="dxa"/>
            <w:tcBorders>
              <w:top w:val="single" w:sz="4" w:space="0" w:color="000000"/>
              <w:left w:val="single" w:sz="12"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293,02</w:t>
            </w:r>
          </w:p>
          <w:p>
            <w:pPr>
              <w:pStyle w:val="TableParagraph"/>
              <w:spacing w:line="240" w:lineRule="auto" w:before="104"/>
              <w:ind w:left="85" w:right="0"/>
              <w:jc w:val="left"/>
              <w:rPr>
                <w:rFonts w:ascii="Times New Roman" w:hAnsi="Times New Roman" w:cs="Times New Roman" w:eastAsia="Times New Roman" w:hint="default"/>
                <w:sz w:val="18"/>
                <w:szCs w:val="18"/>
              </w:rPr>
            </w:pPr>
            <w:r>
              <w:rPr>
                <w:rFonts w:ascii="Times New Roman"/>
                <w:sz w:val="18"/>
              </w:rPr>
              <w:t>2,806.</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586,704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,481.46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32,262,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834.53</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382,955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,569.32</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491,294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,422.76</w:t>
            </w:r>
          </w:p>
        </w:tc>
        <w:tc>
          <w:tcPr>
            <w:tcW w:w="658" w:type="dxa"/>
            <w:vMerge w:val="restart"/>
            <w:tcBorders>
              <w:top w:val="single" w:sz="4" w:space="0" w:color="000000"/>
              <w:left w:val="single" w:sz="4"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1,786,2</w:t>
            </w:r>
          </w:p>
          <w:p>
            <w:pPr>
              <w:pStyle w:val="TableParagraph"/>
              <w:spacing w:line="240" w:lineRule="auto" w:before="104"/>
              <w:ind w:right="10"/>
              <w:jc w:val="right"/>
              <w:rPr>
                <w:rFonts w:ascii="Times New Roman" w:hAnsi="Times New Roman" w:cs="Times New Roman" w:eastAsia="Times New Roman" w:hint="default"/>
                <w:sz w:val="18"/>
                <w:szCs w:val="18"/>
              </w:rPr>
            </w:pPr>
            <w:r>
              <w:rPr>
                <w:rFonts w:ascii="Times New Roman"/>
                <w:spacing w:val="-2"/>
                <w:sz w:val="18"/>
              </w:rPr>
              <w:t>40,114.</w:t>
            </w:r>
          </w:p>
          <w:p>
            <w:pPr>
              <w:pStyle w:val="TableParagraph"/>
              <w:spacing w:line="240" w:lineRule="auto" w:before="106"/>
              <w:ind w:right="11"/>
              <w:jc w:val="right"/>
              <w:rPr>
                <w:rFonts w:ascii="Times New Roman" w:hAnsi="Times New Roman" w:cs="Times New Roman" w:eastAsia="Times New Roman" w:hint="default"/>
                <w:sz w:val="18"/>
                <w:szCs w:val="18"/>
              </w:rPr>
            </w:pPr>
            <w:r>
              <w:rPr>
                <w:rFonts w:ascii="Times New Roman"/>
                <w:sz w:val="18"/>
              </w:rPr>
              <w:t>07</w:t>
            </w:r>
          </w:p>
        </w:tc>
      </w:tr>
      <w:tr>
        <w:trPr>
          <w:trHeight w:val="392" w:hRule="exact"/>
        </w:trPr>
        <w:tc>
          <w:tcPr>
            <w:tcW w:w="1421" w:type="dxa"/>
            <w:tcBorders>
              <w:top w:val="nil" w:sz="6" w:space="0" w:color="auto"/>
              <w:left w:val="single" w:sz="12" w:space="0" w:color="000000"/>
              <w:bottom w:val="nil" w:sz="6" w:space="0" w:color="auto"/>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8" w:type="dxa"/>
            <w:vMerge/>
            <w:tcBorders>
              <w:left w:val="single" w:sz="4" w:space="0" w:color="000000"/>
              <w:right w:val="single" w:sz="12" w:space="0" w:color="000000"/>
            </w:tcBorders>
          </w:tcPr>
          <w:p>
            <w:pPr/>
          </w:p>
        </w:tc>
      </w:tr>
      <w:tr>
        <w:trPr>
          <w:trHeight w:val="317" w:hRule="exact"/>
        </w:trPr>
        <w:tc>
          <w:tcPr>
            <w:tcW w:w="1421" w:type="dxa"/>
            <w:tcBorders>
              <w:top w:val="nil" w:sz="6" w:space="0" w:color="auto"/>
              <w:left w:val="single" w:sz="12"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12" w:space="0" w:color="000000"/>
            </w:tcBorders>
          </w:tcPr>
          <w:p>
            <w:pPr/>
          </w:p>
        </w:tc>
      </w:tr>
      <w:tr>
        <w:trPr>
          <w:trHeight w:val="714" w:hRule="exact"/>
        </w:trPr>
        <w:tc>
          <w:tcPr>
            <w:tcW w:w="142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1"/>
              <w:ind w:left="6" w:right="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12" w:space="0" w:color="000000"/>
            </w:tcBorders>
          </w:tcPr>
          <w:p>
            <w:pPr/>
          </w:p>
        </w:tc>
      </w:tr>
      <w:tr>
        <w:trPr>
          <w:trHeight w:val="714" w:hRule="exact"/>
        </w:trPr>
        <w:tc>
          <w:tcPr>
            <w:tcW w:w="142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726"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6"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12" w:space="0" w:color="000000"/>
            </w:tcBorders>
          </w:tcPr>
          <w:p>
            <w:pPr/>
          </w:p>
        </w:tc>
      </w:tr>
      <w:tr>
        <w:trPr>
          <w:trHeight w:val="714" w:hRule="exact"/>
        </w:trPr>
        <w:tc>
          <w:tcPr>
            <w:tcW w:w="142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1"/>
              <w:ind w:left="6"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142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7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12" w:space="0" w:color="000000"/>
            </w:tcBorders>
          </w:tcPr>
          <w:p>
            <w:pPr/>
          </w:p>
        </w:tc>
      </w:tr>
      <w:tr>
        <w:trPr>
          <w:trHeight w:val="317" w:hRule="exact"/>
        </w:trPr>
        <w:tc>
          <w:tcPr>
            <w:tcW w:w="1421" w:type="dxa"/>
            <w:tcBorders>
              <w:top w:val="single" w:sz="4" w:space="0" w:color="000000"/>
              <w:left w:val="single" w:sz="12"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293,02</w:t>
            </w:r>
          </w:p>
          <w:p>
            <w:pPr>
              <w:pStyle w:val="TableParagraph"/>
              <w:spacing w:line="240" w:lineRule="auto" w:before="104"/>
              <w:ind w:left="85" w:right="0"/>
              <w:jc w:val="left"/>
              <w:rPr>
                <w:rFonts w:ascii="Times New Roman" w:hAnsi="Times New Roman" w:cs="Times New Roman" w:eastAsia="Times New Roman" w:hint="default"/>
                <w:sz w:val="18"/>
                <w:szCs w:val="18"/>
              </w:rPr>
            </w:pPr>
            <w:r>
              <w:rPr>
                <w:rFonts w:ascii="Times New Roman"/>
                <w:sz w:val="18"/>
              </w:rPr>
              <w:t>2,806.</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586,704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,481.46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32,262,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834.53</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382,955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,569.32</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491,294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,422.76</w:t>
            </w:r>
          </w:p>
        </w:tc>
        <w:tc>
          <w:tcPr>
            <w:tcW w:w="658" w:type="dxa"/>
            <w:vMerge w:val="restart"/>
            <w:tcBorders>
              <w:top w:val="single" w:sz="4" w:space="0" w:color="000000"/>
              <w:left w:val="single" w:sz="4"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1,786,2</w:t>
            </w:r>
          </w:p>
          <w:p>
            <w:pPr>
              <w:pStyle w:val="TableParagraph"/>
              <w:spacing w:line="240" w:lineRule="auto" w:before="104"/>
              <w:ind w:right="10"/>
              <w:jc w:val="right"/>
              <w:rPr>
                <w:rFonts w:ascii="Times New Roman" w:hAnsi="Times New Roman" w:cs="Times New Roman" w:eastAsia="Times New Roman" w:hint="default"/>
                <w:sz w:val="18"/>
                <w:szCs w:val="18"/>
              </w:rPr>
            </w:pPr>
            <w:r>
              <w:rPr>
                <w:rFonts w:ascii="Times New Roman"/>
                <w:spacing w:val="-2"/>
                <w:sz w:val="18"/>
              </w:rPr>
              <w:t>40,114.</w:t>
            </w:r>
          </w:p>
          <w:p>
            <w:pPr>
              <w:pStyle w:val="TableParagraph"/>
              <w:spacing w:line="240" w:lineRule="auto" w:before="106"/>
              <w:ind w:right="11"/>
              <w:jc w:val="right"/>
              <w:rPr>
                <w:rFonts w:ascii="Times New Roman" w:hAnsi="Times New Roman" w:cs="Times New Roman" w:eastAsia="Times New Roman" w:hint="default"/>
                <w:sz w:val="18"/>
                <w:szCs w:val="18"/>
              </w:rPr>
            </w:pPr>
            <w:r>
              <w:rPr>
                <w:rFonts w:ascii="Times New Roman"/>
                <w:sz w:val="18"/>
              </w:rPr>
              <w:t>07</w:t>
            </w:r>
          </w:p>
        </w:tc>
      </w:tr>
      <w:tr>
        <w:trPr>
          <w:trHeight w:val="392" w:hRule="exact"/>
        </w:trPr>
        <w:tc>
          <w:tcPr>
            <w:tcW w:w="1421" w:type="dxa"/>
            <w:tcBorders>
              <w:top w:val="nil" w:sz="6" w:space="0" w:color="auto"/>
              <w:left w:val="single" w:sz="12" w:space="0" w:color="000000"/>
              <w:bottom w:val="nil" w:sz="6" w:space="0" w:color="auto"/>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8" w:type="dxa"/>
            <w:vMerge/>
            <w:tcBorders>
              <w:left w:val="single" w:sz="4" w:space="0" w:color="000000"/>
              <w:right w:val="single" w:sz="12" w:space="0" w:color="000000"/>
            </w:tcBorders>
          </w:tcPr>
          <w:p>
            <w:pPr/>
          </w:p>
        </w:tc>
      </w:tr>
      <w:tr>
        <w:trPr>
          <w:trHeight w:val="317" w:hRule="exact"/>
        </w:trPr>
        <w:tc>
          <w:tcPr>
            <w:tcW w:w="1421" w:type="dxa"/>
            <w:tcBorders>
              <w:top w:val="nil" w:sz="6" w:space="0" w:color="auto"/>
              <w:left w:val="single" w:sz="12"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12" w:space="0" w:color="000000"/>
            </w:tcBorders>
          </w:tcPr>
          <w:p>
            <w:pPr/>
          </w:p>
        </w:tc>
      </w:tr>
      <w:tr>
        <w:trPr>
          <w:trHeight w:val="1026" w:hRule="exact"/>
        </w:trPr>
        <w:tc>
          <w:tcPr>
            <w:tcW w:w="142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09" w:lineRule="auto" w:before="51"/>
              <w:ind w:left="6" w:right="9"/>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967,148</w:t>
            </w:r>
          </w:p>
          <w:p>
            <w:pPr>
              <w:pStyle w:val="TableParagraph"/>
              <w:spacing w:line="240" w:lineRule="auto" w:before="105"/>
              <w:ind w:left="407" w:right="0"/>
              <w:jc w:val="left"/>
              <w:rPr>
                <w:rFonts w:ascii="Times New Roman" w:hAnsi="Times New Roman" w:cs="Times New Roman" w:eastAsia="Times New Roman" w:hint="default"/>
                <w:sz w:val="18"/>
                <w:szCs w:val="18"/>
              </w:rPr>
            </w:pPr>
            <w:r>
              <w:rPr>
                <w:rFonts w:ascii="Times New Roman"/>
                <w:sz w:val="18"/>
              </w:rPr>
              <w:t>.26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3,090,0</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85.47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96,975,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042.91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19,857,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447.54</w:t>
            </w:r>
          </w:p>
        </w:tc>
        <w:tc>
          <w:tcPr>
            <w:tcW w:w="65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120,889</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,724.18</w:t>
            </w:r>
          </w:p>
        </w:tc>
      </w:tr>
      <w:tr>
        <w:trPr>
          <w:trHeight w:val="714" w:hRule="exact"/>
        </w:trPr>
        <w:tc>
          <w:tcPr>
            <w:tcW w:w="142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1"/>
              <w:ind w:left="6" w:right="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110,320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,925.94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38,914,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283.22</w:t>
            </w:r>
          </w:p>
        </w:tc>
        <w:tc>
          <w:tcPr>
            <w:tcW w:w="65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149,235</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,209.16</w:t>
            </w:r>
          </w:p>
        </w:tc>
      </w:tr>
      <w:tr>
        <w:trPr>
          <w:trHeight w:val="714" w:hRule="exact"/>
        </w:trPr>
        <w:tc>
          <w:tcPr>
            <w:tcW w:w="142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1"/>
              <w:ind w:left="6" w:right="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-5,032,6</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87.74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-15,844,</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640.35</w:t>
            </w:r>
          </w:p>
        </w:tc>
        <w:tc>
          <w:tcPr>
            <w:tcW w:w="65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-20,877,</w:t>
            </w:r>
          </w:p>
          <w:p>
            <w:pPr>
              <w:pStyle w:val="TableParagraph"/>
              <w:spacing w:line="240" w:lineRule="auto" w:before="105"/>
              <w:ind w:left="118" w:right="0"/>
              <w:jc w:val="center"/>
              <w:rPr>
                <w:rFonts w:ascii="Times New Roman" w:hAnsi="Times New Roman" w:cs="Times New Roman" w:eastAsia="Times New Roman" w:hint="default"/>
                <w:sz w:val="18"/>
                <w:szCs w:val="18"/>
              </w:rPr>
            </w:pPr>
            <w:r>
              <w:rPr>
                <w:rFonts w:ascii="Times New Roman"/>
                <w:sz w:val="18"/>
              </w:rPr>
              <w:t>328.09</w:t>
            </w:r>
          </w:p>
        </w:tc>
      </w:tr>
      <w:tr>
        <w:trPr>
          <w:trHeight w:val="714" w:hRule="exact"/>
        </w:trPr>
        <w:tc>
          <w:tcPr>
            <w:tcW w:w="142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00" w:lineRule="auto" w:before="51"/>
              <w:ind w:left="6"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-11,136,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140.35</w:t>
            </w:r>
          </w:p>
        </w:tc>
        <w:tc>
          <w:tcPr>
            <w:tcW w:w="65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-11,136,</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140.35</w:t>
            </w:r>
          </w:p>
        </w:tc>
      </w:tr>
      <w:tr>
        <w:trPr>
          <w:trHeight w:val="714" w:hRule="exact"/>
        </w:trPr>
        <w:tc>
          <w:tcPr>
            <w:tcW w:w="142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00" w:lineRule="auto" w:before="51"/>
              <w:ind w:left="6"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12" w:space="0" w:color="000000"/>
            </w:tcBorders>
          </w:tcPr>
          <w:p>
            <w:pPr/>
          </w:p>
        </w:tc>
      </w:tr>
      <w:tr>
        <w:trPr>
          <w:trHeight w:val="1026" w:hRule="exact"/>
        </w:trPr>
        <w:tc>
          <w:tcPr>
            <w:tcW w:w="142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09" w:lineRule="auto" w:before="51"/>
              <w:ind w:left="6"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12" w:space="0" w:color="000000"/>
            </w:tcBorders>
          </w:tcPr>
          <w:p>
            <w:pPr/>
          </w:p>
        </w:tc>
      </w:tr>
      <w:tr>
        <w:trPr>
          <w:trHeight w:val="161" w:hRule="exact"/>
        </w:trPr>
        <w:tc>
          <w:tcPr>
            <w:tcW w:w="1421" w:type="dxa"/>
            <w:tcBorders>
              <w:top w:val="single" w:sz="4" w:space="0" w:color="000000"/>
              <w:left w:val="single" w:sz="12"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-5,032,6</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87.74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-4,708,5</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00.00</w:t>
            </w:r>
          </w:p>
        </w:tc>
        <w:tc>
          <w:tcPr>
            <w:tcW w:w="658" w:type="dxa"/>
            <w:vMerge w:val="restart"/>
            <w:tcBorders>
              <w:top w:val="single" w:sz="4" w:space="0" w:color="000000"/>
              <w:left w:val="single" w:sz="4" w:space="0" w:color="000000"/>
              <w:right w:val="single" w:sz="12"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-9,741,1</w:t>
            </w:r>
          </w:p>
          <w:p>
            <w:pPr>
              <w:pStyle w:val="TableParagraph"/>
              <w:spacing w:line="240" w:lineRule="auto" w:before="105"/>
              <w:ind w:left="208" w:right="0"/>
              <w:jc w:val="center"/>
              <w:rPr>
                <w:rFonts w:ascii="Times New Roman" w:hAnsi="Times New Roman" w:cs="Times New Roman" w:eastAsia="Times New Roman" w:hint="default"/>
                <w:sz w:val="18"/>
                <w:szCs w:val="18"/>
              </w:rPr>
            </w:pPr>
            <w:r>
              <w:rPr>
                <w:rFonts w:ascii="Times New Roman"/>
                <w:sz w:val="18"/>
              </w:rPr>
              <w:t>87.74</w:t>
            </w:r>
          </w:p>
        </w:tc>
      </w:tr>
      <w:tr>
        <w:trPr>
          <w:trHeight w:val="392" w:hRule="exact"/>
        </w:trPr>
        <w:tc>
          <w:tcPr>
            <w:tcW w:w="1421" w:type="dxa"/>
            <w:tcBorders>
              <w:top w:val="nil" w:sz="6" w:space="0" w:color="auto"/>
              <w:left w:val="single" w:sz="12" w:space="0" w:color="000000"/>
              <w:bottom w:val="nil" w:sz="6" w:space="0" w:color="auto"/>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8" w:type="dxa"/>
            <w:vMerge/>
            <w:tcBorders>
              <w:left w:val="single" w:sz="4" w:space="0" w:color="000000"/>
              <w:right w:val="single" w:sz="12" w:space="0" w:color="000000"/>
            </w:tcBorders>
          </w:tcPr>
          <w:p>
            <w:pPr/>
          </w:p>
        </w:tc>
      </w:tr>
      <w:tr>
        <w:trPr>
          <w:trHeight w:val="161" w:hRule="exact"/>
        </w:trPr>
        <w:tc>
          <w:tcPr>
            <w:tcW w:w="1421" w:type="dxa"/>
            <w:tcBorders>
              <w:top w:val="nil" w:sz="6" w:space="0" w:color="auto"/>
              <w:left w:val="single" w:sz="12"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12" w:space="0" w:color="000000"/>
            </w:tcBorders>
          </w:tcPr>
          <w:p>
            <w:pPr/>
          </w:p>
        </w:tc>
      </w:tr>
      <w:tr>
        <w:trPr>
          <w:trHeight w:val="161" w:hRule="exact"/>
        </w:trPr>
        <w:tc>
          <w:tcPr>
            <w:tcW w:w="1421" w:type="dxa"/>
            <w:tcBorders>
              <w:top w:val="single" w:sz="4" w:space="0" w:color="000000"/>
              <w:left w:val="single" w:sz="12"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3,090,0</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85.47</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-13,345,</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883.03</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-7,542,0</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00.00</w:t>
            </w:r>
          </w:p>
        </w:tc>
        <w:tc>
          <w:tcPr>
            <w:tcW w:w="658" w:type="dxa"/>
            <w:vMerge w:val="restart"/>
            <w:tcBorders>
              <w:top w:val="single" w:sz="4" w:space="0" w:color="000000"/>
              <w:left w:val="single" w:sz="4" w:space="0" w:color="000000"/>
              <w:right w:val="single" w:sz="12"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-17,797,</w:t>
            </w:r>
          </w:p>
          <w:p>
            <w:pPr>
              <w:pStyle w:val="TableParagraph"/>
              <w:spacing w:line="240" w:lineRule="auto" w:before="105"/>
              <w:ind w:left="118" w:right="0"/>
              <w:jc w:val="center"/>
              <w:rPr>
                <w:rFonts w:ascii="Times New Roman" w:hAnsi="Times New Roman" w:cs="Times New Roman" w:eastAsia="Times New Roman" w:hint="default"/>
                <w:sz w:val="18"/>
                <w:szCs w:val="18"/>
              </w:rPr>
            </w:pPr>
            <w:r>
              <w:rPr>
                <w:rFonts w:ascii="Times New Roman"/>
                <w:sz w:val="18"/>
              </w:rPr>
              <w:t>797.56</w:t>
            </w:r>
          </w:p>
        </w:tc>
      </w:tr>
      <w:tr>
        <w:trPr>
          <w:trHeight w:val="393" w:hRule="exact"/>
        </w:trPr>
        <w:tc>
          <w:tcPr>
            <w:tcW w:w="1421" w:type="dxa"/>
            <w:tcBorders>
              <w:top w:val="nil" w:sz="6" w:space="0" w:color="auto"/>
              <w:left w:val="single" w:sz="12" w:space="0" w:color="000000"/>
              <w:bottom w:val="nil" w:sz="6" w:space="0" w:color="auto"/>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8" w:type="dxa"/>
            <w:vMerge/>
            <w:tcBorders>
              <w:left w:val="single" w:sz="4" w:space="0" w:color="000000"/>
              <w:right w:val="single" w:sz="12" w:space="0" w:color="000000"/>
            </w:tcBorders>
          </w:tcPr>
          <w:p>
            <w:pPr/>
          </w:p>
        </w:tc>
      </w:tr>
      <w:tr>
        <w:trPr>
          <w:trHeight w:val="161" w:hRule="exact"/>
        </w:trPr>
        <w:tc>
          <w:tcPr>
            <w:tcW w:w="1421" w:type="dxa"/>
            <w:tcBorders>
              <w:top w:val="nil" w:sz="6" w:space="0" w:color="auto"/>
              <w:left w:val="single" w:sz="12"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12" w:space="0" w:color="000000"/>
            </w:tcBorders>
          </w:tcPr>
          <w:p>
            <w:pPr/>
          </w:p>
        </w:tc>
      </w:tr>
      <w:tr>
        <w:trPr>
          <w:trHeight w:val="161" w:hRule="exact"/>
        </w:trPr>
        <w:tc>
          <w:tcPr>
            <w:tcW w:w="1421" w:type="dxa"/>
            <w:tcBorders>
              <w:top w:val="single" w:sz="4" w:space="0" w:color="000000"/>
              <w:left w:val="single" w:sz="12"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3,090,0</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85.47</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-3,090,0</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85.47</w:t>
            </w:r>
          </w:p>
        </w:tc>
        <w:tc>
          <w:tcPr>
            <w:tcW w:w="665" w:type="dxa"/>
            <w:vMerge w:val="restart"/>
            <w:tcBorders>
              <w:top w:val="single" w:sz="4" w:space="0" w:color="000000"/>
              <w:left w:val="single" w:sz="4" w:space="0" w:color="000000"/>
              <w:right w:val="single" w:sz="4" w:space="0" w:color="000000"/>
            </w:tcBorders>
          </w:tcPr>
          <w:p>
            <w:pPr/>
          </w:p>
        </w:tc>
        <w:tc>
          <w:tcPr>
            <w:tcW w:w="658" w:type="dxa"/>
            <w:vMerge w:val="restart"/>
            <w:tcBorders>
              <w:top w:val="single" w:sz="4" w:space="0" w:color="000000"/>
              <w:left w:val="single" w:sz="4" w:space="0" w:color="000000"/>
              <w:right w:val="single" w:sz="12" w:space="0" w:color="000000"/>
            </w:tcBorders>
          </w:tcPr>
          <w:p>
            <w:pPr/>
          </w:p>
        </w:tc>
      </w:tr>
      <w:tr>
        <w:trPr>
          <w:trHeight w:val="392" w:hRule="exact"/>
        </w:trPr>
        <w:tc>
          <w:tcPr>
            <w:tcW w:w="1421" w:type="dxa"/>
            <w:tcBorders>
              <w:top w:val="nil" w:sz="6" w:space="0" w:color="auto"/>
              <w:left w:val="single" w:sz="12" w:space="0" w:color="000000"/>
              <w:bottom w:val="nil" w:sz="6" w:space="0" w:color="auto"/>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8" w:type="dxa"/>
            <w:vMerge/>
            <w:tcBorders>
              <w:left w:val="single" w:sz="4" w:space="0" w:color="000000"/>
              <w:right w:val="single" w:sz="12" w:space="0" w:color="000000"/>
            </w:tcBorders>
          </w:tcPr>
          <w:p>
            <w:pPr/>
          </w:p>
        </w:tc>
      </w:tr>
      <w:tr>
        <w:trPr>
          <w:trHeight w:val="171" w:hRule="exact"/>
        </w:trPr>
        <w:tc>
          <w:tcPr>
            <w:tcW w:w="1421" w:type="dxa"/>
            <w:tcBorders>
              <w:top w:val="nil" w:sz="6" w:space="0" w:color="auto"/>
              <w:left w:val="single" w:sz="12" w:space="0" w:color="000000"/>
              <w:bottom w:val="single" w:sz="12" w:space="0" w:color="000000"/>
              <w:right w:val="single" w:sz="4" w:space="0" w:color="000000"/>
            </w:tcBorders>
            <w:shd w:val="clear" w:color="auto" w:fill="D2D2D2"/>
          </w:tcPr>
          <w:p>
            <w:pPr/>
          </w:p>
        </w:tc>
        <w:tc>
          <w:tcPr>
            <w:tcW w:w="574" w:type="dxa"/>
            <w:vMerge/>
            <w:tcBorders>
              <w:left w:val="single" w:sz="9" w:space="0" w:color="D2D2D2"/>
              <w:bottom w:val="single" w:sz="12" w:space="0" w:color="000000"/>
              <w:right w:val="single" w:sz="4" w:space="0" w:color="000000"/>
            </w:tcBorders>
          </w:tcPr>
          <w:p>
            <w:pPr/>
          </w:p>
        </w:tc>
        <w:tc>
          <w:tcPr>
            <w:tcW w:w="530" w:type="dxa"/>
            <w:vMerge/>
            <w:tcBorders>
              <w:left w:val="single" w:sz="4" w:space="0" w:color="000000"/>
              <w:bottom w:val="single" w:sz="12" w:space="0" w:color="000000"/>
              <w:right w:val="single" w:sz="4" w:space="0" w:color="000000"/>
            </w:tcBorders>
          </w:tcPr>
          <w:p>
            <w:pPr/>
          </w:p>
        </w:tc>
        <w:tc>
          <w:tcPr>
            <w:tcW w:w="532" w:type="dxa"/>
            <w:vMerge/>
            <w:tcBorders>
              <w:left w:val="single" w:sz="4" w:space="0" w:color="000000"/>
              <w:bottom w:val="single" w:sz="12" w:space="0" w:color="000000"/>
              <w:right w:val="single" w:sz="4" w:space="0" w:color="000000"/>
            </w:tcBorders>
          </w:tcPr>
          <w:p>
            <w:pPr/>
          </w:p>
        </w:tc>
        <w:tc>
          <w:tcPr>
            <w:tcW w:w="530" w:type="dxa"/>
            <w:vMerge/>
            <w:tcBorders>
              <w:left w:val="single" w:sz="4" w:space="0" w:color="000000"/>
              <w:bottom w:val="single" w:sz="12" w:space="0" w:color="000000"/>
              <w:right w:val="single" w:sz="4" w:space="0" w:color="000000"/>
            </w:tcBorders>
          </w:tcPr>
          <w:p>
            <w:pPr/>
          </w:p>
        </w:tc>
        <w:tc>
          <w:tcPr>
            <w:tcW w:w="665" w:type="dxa"/>
            <w:vMerge/>
            <w:tcBorders>
              <w:left w:val="single" w:sz="4" w:space="0" w:color="000000"/>
              <w:bottom w:val="single" w:sz="12" w:space="0" w:color="000000"/>
              <w:right w:val="single" w:sz="4" w:space="0" w:color="000000"/>
            </w:tcBorders>
          </w:tcPr>
          <w:p>
            <w:pPr/>
          </w:p>
        </w:tc>
        <w:tc>
          <w:tcPr>
            <w:tcW w:w="665" w:type="dxa"/>
            <w:vMerge/>
            <w:tcBorders>
              <w:left w:val="single" w:sz="4" w:space="0" w:color="000000"/>
              <w:bottom w:val="single" w:sz="12" w:space="0" w:color="000000"/>
              <w:right w:val="single" w:sz="4" w:space="0" w:color="000000"/>
            </w:tcBorders>
          </w:tcPr>
          <w:p>
            <w:pPr/>
          </w:p>
        </w:tc>
        <w:tc>
          <w:tcPr>
            <w:tcW w:w="665" w:type="dxa"/>
            <w:vMerge/>
            <w:tcBorders>
              <w:left w:val="single" w:sz="4" w:space="0" w:color="000000"/>
              <w:bottom w:val="single" w:sz="12" w:space="0" w:color="000000"/>
              <w:right w:val="single" w:sz="4" w:space="0" w:color="000000"/>
            </w:tcBorders>
          </w:tcPr>
          <w:p>
            <w:pPr/>
          </w:p>
        </w:tc>
        <w:tc>
          <w:tcPr>
            <w:tcW w:w="665" w:type="dxa"/>
            <w:vMerge/>
            <w:tcBorders>
              <w:left w:val="single" w:sz="4" w:space="0" w:color="000000"/>
              <w:bottom w:val="single" w:sz="12" w:space="0" w:color="000000"/>
              <w:right w:val="single" w:sz="4" w:space="0" w:color="000000"/>
            </w:tcBorders>
          </w:tcPr>
          <w:p>
            <w:pPr/>
          </w:p>
        </w:tc>
        <w:tc>
          <w:tcPr>
            <w:tcW w:w="664" w:type="dxa"/>
            <w:vMerge/>
            <w:tcBorders>
              <w:left w:val="single" w:sz="4" w:space="0" w:color="000000"/>
              <w:bottom w:val="single" w:sz="12" w:space="0" w:color="000000"/>
              <w:right w:val="single" w:sz="4" w:space="0" w:color="000000"/>
            </w:tcBorders>
          </w:tcPr>
          <w:p>
            <w:pPr/>
          </w:p>
        </w:tc>
        <w:tc>
          <w:tcPr>
            <w:tcW w:w="666" w:type="dxa"/>
            <w:vMerge/>
            <w:tcBorders>
              <w:left w:val="single" w:sz="4" w:space="0" w:color="000000"/>
              <w:bottom w:val="single" w:sz="12" w:space="0" w:color="000000"/>
              <w:right w:val="single" w:sz="4" w:space="0" w:color="000000"/>
            </w:tcBorders>
          </w:tcPr>
          <w:p>
            <w:pPr/>
          </w:p>
        </w:tc>
        <w:tc>
          <w:tcPr>
            <w:tcW w:w="665" w:type="dxa"/>
            <w:vMerge/>
            <w:tcBorders>
              <w:left w:val="single" w:sz="4" w:space="0" w:color="000000"/>
              <w:bottom w:val="single" w:sz="12" w:space="0" w:color="000000"/>
              <w:right w:val="single" w:sz="4" w:space="0" w:color="000000"/>
            </w:tcBorders>
          </w:tcPr>
          <w:p>
            <w:pPr/>
          </w:p>
        </w:tc>
        <w:tc>
          <w:tcPr>
            <w:tcW w:w="665" w:type="dxa"/>
            <w:vMerge/>
            <w:tcBorders>
              <w:left w:val="single" w:sz="4" w:space="0" w:color="000000"/>
              <w:bottom w:val="single" w:sz="12" w:space="0" w:color="000000"/>
              <w:right w:val="single" w:sz="4" w:space="0" w:color="000000"/>
            </w:tcBorders>
          </w:tcPr>
          <w:p>
            <w:pPr/>
          </w:p>
        </w:tc>
        <w:tc>
          <w:tcPr>
            <w:tcW w:w="658" w:type="dxa"/>
            <w:vMerge/>
            <w:tcBorders>
              <w:left w:val="single" w:sz="4" w:space="0" w:color="000000"/>
              <w:bottom w:val="single" w:sz="12" w:space="0" w:color="000000"/>
              <w:right w:val="single" w:sz="12"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18" w:type="dxa"/>
        <w:tblLayout w:type="fixed"/>
        <w:tblCellMar>
          <w:top w:w="0" w:type="dxa"/>
          <w:left w:w="0" w:type="dxa"/>
          <w:bottom w:w="0" w:type="dxa"/>
          <w:right w:w="0" w:type="dxa"/>
        </w:tblCellMar>
        <w:tblLook w:val="01E0"/>
      </w:tblPr>
      <w:tblGrid>
        <w:gridCol w:w="1439"/>
        <w:gridCol w:w="563"/>
        <w:gridCol w:w="530"/>
        <w:gridCol w:w="532"/>
        <w:gridCol w:w="530"/>
        <w:gridCol w:w="665"/>
        <w:gridCol w:w="665"/>
        <w:gridCol w:w="665"/>
        <w:gridCol w:w="665"/>
        <w:gridCol w:w="664"/>
        <w:gridCol w:w="666"/>
        <w:gridCol w:w="665"/>
        <w:gridCol w:w="665"/>
        <w:gridCol w:w="658"/>
      </w:tblGrid>
      <w:tr>
        <w:trPr>
          <w:trHeight w:val="724" w:hRule="exact"/>
        </w:trPr>
        <w:tc>
          <w:tcPr>
            <w:tcW w:w="1439"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300" w:lineRule="auto" w:before="51"/>
              <w:ind w:left="13"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12" w:space="0" w:color="000000"/>
              <w:left w:val="single" w:sz="4" w:space="0" w:color="000000"/>
              <w:bottom w:val="single" w:sz="4" w:space="0" w:color="000000"/>
              <w:right w:val="single" w:sz="4" w:space="0" w:color="000000"/>
            </w:tcBorders>
          </w:tcPr>
          <w:p>
            <w:pPr/>
          </w:p>
        </w:tc>
        <w:tc>
          <w:tcPr>
            <w:tcW w:w="530" w:type="dxa"/>
            <w:tcBorders>
              <w:top w:val="single" w:sz="12" w:space="0" w:color="000000"/>
              <w:left w:val="single" w:sz="4" w:space="0" w:color="000000"/>
              <w:bottom w:val="single" w:sz="4" w:space="0" w:color="000000"/>
              <w:right w:val="single" w:sz="4" w:space="0" w:color="000000"/>
            </w:tcBorders>
          </w:tcPr>
          <w:p>
            <w:pPr/>
          </w:p>
        </w:tc>
        <w:tc>
          <w:tcPr>
            <w:tcW w:w="532" w:type="dxa"/>
            <w:tcBorders>
              <w:top w:val="single" w:sz="12" w:space="0" w:color="000000"/>
              <w:left w:val="single" w:sz="4" w:space="0" w:color="000000"/>
              <w:bottom w:val="single" w:sz="4" w:space="0" w:color="000000"/>
              <w:right w:val="single" w:sz="4" w:space="0" w:color="000000"/>
            </w:tcBorders>
          </w:tcPr>
          <w:p>
            <w:pPr/>
          </w:p>
        </w:tc>
        <w:tc>
          <w:tcPr>
            <w:tcW w:w="530" w:type="dxa"/>
            <w:tcBorders>
              <w:top w:val="single" w:sz="12" w:space="0" w:color="000000"/>
              <w:left w:val="single" w:sz="4" w:space="0" w:color="000000"/>
              <w:bottom w:val="single" w:sz="4" w:space="0" w:color="000000"/>
              <w:right w:val="single" w:sz="4" w:space="0" w:color="000000"/>
            </w:tcBorders>
          </w:tcPr>
          <w:p>
            <w:pPr/>
          </w:p>
        </w:tc>
        <w:tc>
          <w:tcPr>
            <w:tcW w:w="665" w:type="dxa"/>
            <w:tcBorders>
              <w:top w:val="single" w:sz="12" w:space="0" w:color="000000"/>
              <w:left w:val="single" w:sz="4" w:space="0" w:color="000000"/>
              <w:bottom w:val="single" w:sz="4" w:space="0" w:color="000000"/>
              <w:right w:val="single" w:sz="4" w:space="0" w:color="000000"/>
            </w:tcBorders>
          </w:tcPr>
          <w:p>
            <w:pPr/>
          </w:p>
        </w:tc>
        <w:tc>
          <w:tcPr>
            <w:tcW w:w="665" w:type="dxa"/>
            <w:tcBorders>
              <w:top w:val="single" w:sz="12" w:space="0" w:color="000000"/>
              <w:left w:val="single" w:sz="4" w:space="0" w:color="000000"/>
              <w:bottom w:val="single" w:sz="4" w:space="0" w:color="000000"/>
              <w:right w:val="single" w:sz="4" w:space="0" w:color="000000"/>
            </w:tcBorders>
          </w:tcPr>
          <w:p>
            <w:pPr/>
          </w:p>
        </w:tc>
        <w:tc>
          <w:tcPr>
            <w:tcW w:w="665" w:type="dxa"/>
            <w:tcBorders>
              <w:top w:val="single" w:sz="12" w:space="0" w:color="000000"/>
              <w:left w:val="single" w:sz="4" w:space="0" w:color="000000"/>
              <w:bottom w:val="single" w:sz="4" w:space="0" w:color="000000"/>
              <w:right w:val="single" w:sz="4" w:space="0" w:color="000000"/>
            </w:tcBorders>
          </w:tcPr>
          <w:p>
            <w:pPr/>
          </w:p>
        </w:tc>
        <w:tc>
          <w:tcPr>
            <w:tcW w:w="665" w:type="dxa"/>
            <w:tcBorders>
              <w:top w:val="single" w:sz="12" w:space="0" w:color="000000"/>
              <w:left w:val="single" w:sz="4" w:space="0" w:color="000000"/>
              <w:bottom w:val="single" w:sz="4" w:space="0" w:color="000000"/>
              <w:right w:val="single" w:sz="4" w:space="0" w:color="000000"/>
            </w:tcBorders>
          </w:tcPr>
          <w:p>
            <w:pPr/>
          </w:p>
        </w:tc>
        <w:tc>
          <w:tcPr>
            <w:tcW w:w="664" w:type="dxa"/>
            <w:tcBorders>
              <w:top w:val="single" w:sz="12" w:space="0" w:color="000000"/>
              <w:left w:val="single" w:sz="4" w:space="0" w:color="000000"/>
              <w:bottom w:val="single" w:sz="4" w:space="0" w:color="000000"/>
              <w:right w:val="single" w:sz="4" w:space="0" w:color="000000"/>
            </w:tcBorders>
          </w:tcPr>
          <w:p>
            <w:pPr/>
          </w:p>
        </w:tc>
        <w:tc>
          <w:tcPr>
            <w:tcW w:w="666" w:type="dxa"/>
            <w:tcBorders>
              <w:top w:val="single" w:sz="12" w:space="0" w:color="000000"/>
              <w:left w:val="single" w:sz="4" w:space="0" w:color="000000"/>
              <w:bottom w:val="single" w:sz="4" w:space="0" w:color="000000"/>
              <w:right w:val="single" w:sz="4" w:space="0" w:color="000000"/>
            </w:tcBorders>
          </w:tcPr>
          <w:p>
            <w:pPr/>
          </w:p>
        </w:tc>
        <w:tc>
          <w:tcPr>
            <w:tcW w:w="665" w:type="dxa"/>
            <w:tcBorders>
              <w:top w:val="single" w:sz="12" w:space="0" w:color="000000"/>
              <w:left w:val="single" w:sz="4" w:space="0" w:color="000000"/>
              <w:bottom w:val="single" w:sz="4" w:space="0" w:color="000000"/>
              <w:right w:val="single" w:sz="4" w:space="0" w:color="000000"/>
            </w:tcBorders>
          </w:tcPr>
          <w:p>
            <w:pPr/>
          </w:p>
        </w:tc>
        <w:tc>
          <w:tcPr>
            <w:tcW w:w="665" w:type="dxa"/>
            <w:tcBorders>
              <w:top w:val="single" w:sz="12" w:space="0" w:color="000000"/>
              <w:left w:val="single" w:sz="4" w:space="0" w:color="000000"/>
              <w:bottom w:val="single" w:sz="4" w:space="0" w:color="000000"/>
              <w:right w:val="single" w:sz="4" w:space="0" w:color="000000"/>
            </w:tcBorders>
          </w:tcPr>
          <w:p>
            <w:pPr/>
          </w:p>
        </w:tc>
        <w:tc>
          <w:tcPr>
            <w:tcW w:w="658" w:type="dxa"/>
            <w:tcBorders>
              <w:top w:val="single" w:sz="12" w:space="0" w:color="000000"/>
              <w:left w:val="single" w:sz="4" w:space="0" w:color="000000"/>
              <w:bottom w:val="single" w:sz="4" w:space="0" w:color="000000"/>
              <w:right w:val="single" w:sz="12" w:space="0" w:color="000000"/>
            </w:tcBorders>
          </w:tcPr>
          <w:p>
            <w:pPr/>
          </w:p>
        </w:tc>
      </w:tr>
      <w:tr>
        <w:trPr>
          <w:trHeight w:val="714" w:hRule="exact"/>
        </w:trPr>
        <w:tc>
          <w:tcPr>
            <w:tcW w:w="143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00" w:lineRule="auto" w:before="51"/>
              <w:ind w:left="13"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-10,255,</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797.56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-7,542,0</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00.00</w:t>
            </w:r>
          </w:p>
        </w:tc>
        <w:tc>
          <w:tcPr>
            <w:tcW w:w="65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-17,797,</w:t>
            </w:r>
          </w:p>
          <w:p>
            <w:pPr>
              <w:pStyle w:val="TableParagraph"/>
              <w:spacing w:line="240" w:lineRule="auto" w:before="105"/>
              <w:ind w:left="118" w:right="0"/>
              <w:jc w:val="center"/>
              <w:rPr>
                <w:rFonts w:ascii="Times New Roman" w:hAnsi="Times New Roman" w:cs="Times New Roman" w:eastAsia="Times New Roman" w:hint="default"/>
                <w:sz w:val="18"/>
                <w:szCs w:val="18"/>
              </w:rPr>
            </w:pPr>
            <w:r>
              <w:rPr>
                <w:rFonts w:ascii="Times New Roman"/>
                <w:sz w:val="18"/>
              </w:rPr>
              <w:t>797.56</w:t>
            </w:r>
          </w:p>
        </w:tc>
      </w:tr>
      <w:tr>
        <w:trPr>
          <w:trHeight w:val="402" w:hRule="exact"/>
        </w:trPr>
        <w:tc>
          <w:tcPr>
            <w:tcW w:w="143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12" w:space="0" w:color="000000"/>
            </w:tcBorders>
          </w:tcPr>
          <w:p>
            <w:pPr/>
          </w:p>
        </w:tc>
      </w:tr>
      <w:tr>
        <w:trPr>
          <w:trHeight w:val="714" w:hRule="exact"/>
        </w:trPr>
        <w:tc>
          <w:tcPr>
            <w:tcW w:w="143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1"/>
              <w:ind w:left="13"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12" w:space="0" w:color="000000"/>
            </w:tcBorders>
          </w:tcPr>
          <w:p>
            <w:pPr/>
          </w:p>
        </w:tc>
      </w:tr>
      <w:tr>
        <w:trPr>
          <w:trHeight w:val="714" w:hRule="exact"/>
        </w:trPr>
        <w:tc>
          <w:tcPr>
            <w:tcW w:w="143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00" w:lineRule="auto" w:before="51"/>
              <w:ind w:left="13"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12" w:space="0" w:color="000000"/>
            </w:tcBorders>
          </w:tcPr>
          <w:p>
            <w:pPr/>
          </w:p>
        </w:tc>
      </w:tr>
      <w:tr>
        <w:trPr>
          <w:trHeight w:val="714" w:hRule="exact"/>
        </w:trPr>
        <w:tc>
          <w:tcPr>
            <w:tcW w:w="143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00" w:lineRule="auto" w:before="51"/>
              <w:ind w:left="13"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12" w:space="0" w:color="000000"/>
            </w:tcBorders>
          </w:tcPr>
          <w:p>
            <w:pPr/>
          </w:p>
        </w:tc>
      </w:tr>
      <w:tr>
        <w:trPr>
          <w:trHeight w:val="714" w:hRule="exact"/>
        </w:trPr>
        <w:tc>
          <w:tcPr>
            <w:tcW w:w="143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00" w:lineRule="auto" w:before="51"/>
              <w:ind w:left="13"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143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143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143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143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12" w:space="0" w:color="000000"/>
            </w:tcBorders>
          </w:tcPr>
          <w:p>
            <w:pPr/>
          </w:p>
        </w:tc>
      </w:tr>
      <w:tr>
        <w:trPr>
          <w:trHeight w:val="714" w:hRule="exact"/>
        </w:trPr>
        <w:tc>
          <w:tcPr>
            <w:tcW w:w="143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5,999,8</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36.00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4,329,8</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04.67</w:t>
            </w:r>
          </w:p>
        </w:tc>
        <w:tc>
          <w:tcPr>
            <w:tcW w:w="65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10,329,</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640.67</w:t>
            </w:r>
          </w:p>
        </w:tc>
      </w:tr>
      <w:tr>
        <w:trPr>
          <w:trHeight w:val="1036" w:hRule="exact"/>
        </w:trPr>
        <w:tc>
          <w:tcPr>
            <w:tcW w:w="1439"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3"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293,02</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2,806.</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12" w:space="0" w:color="000000"/>
              <w:right w:val="single" w:sz="4" w:space="0" w:color="000000"/>
            </w:tcBorders>
          </w:tcPr>
          <w:p>
            <w:pPr/>
          </w:p>
        </w:tc>
        <w:tc>
          <w:tcPr>
            <w:tcW w:w="532" w:type="dxa"/>
            <w:tcBorders>
              <w:top w:val="single" w:sz="4" w:space="0" w:color="000000"/>
              <w:left w:val="single" w:sz="4" w:space="0" w:color="000000"/>
              <w:bottom w:val="single" w:sz="12" w:space="0" w:color="000000"/>
              <w:right w:val="single" w:sz="4" w:space="0" w:color="000000"/>
            </w:tcBorders>
          </w:tcPr>
          <w:p>
            <w:pPr/>
          </w:p>
        </w:tc>
        <w:tc>
          <w:tcPr>
            <w:tcW w:w="530" w:type="dxa"/>
            <w:tcBorders>
              <w:top w:val="single" w:sz="4" w:space="0" w:color="000000"/>
              <w:left w:val="single" w:sz="4" w:space="0" w:color="000000"/>
              <w:bottom w:val="single" w:sz="12" w:space="0" w:color="000000"/>
              <w:right w:val="single" w:sz="4" w:space="0" w:color="000000"/>
            </w:tcBorders>
          </w:tcPr>
          <w:p>
            <w:pPr/>
          </w:p>
        </w:tc>
        <w:tc>
          <w:tcPr>
            <w:tcW w:w="6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587,671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,629.72</w:t>
            </w:r>
          </w:p>
        </w:tc>
        <w:tc>
          <w:tcPr>
            <w:tcW w:w="665" w:type="dxa"/>
            <w:tcBorders>
              <w:top w:val="single" w:sz="4" w:space="0" w:color="000000"/>
              <w:left w:val="single" w:sz="4" w:space="0" w:color="000000"/>
              <w:bottom w:val="single" w:sz="12" w:space="0" w:color="000000"/>
              <w:right w:val="single" w:sz="4" w:space="0" w:color="000000"/>
            </w:tcBorders>
          </w:tcPr>
          <w:p>
            <w:pPr/>
          </w:p>
        </w:tc>
        <w:tc>
          <w:tcPr>
            <w:tcW w:w="665" w:type="dxa"/>
            <w:tcBorders>
              <w:top w:val="single" w:sz="4" w:space="0" w:color="000000"/>
              <w:left w:val="single" w:sz="4" w:space="0" w:color="000000"/>
              <w:bottom w:val="single" w:sz="12" w:space="0" w:color="000000"/>
              <w:right w:val="single" w:sz="4" w:space="0" w:color="000000"/>
            </w:tcBorders>
          </w:tcPr>
          <w:p>
            <w:pPr/>
          </w:p>
        </w:tc>
        <w:tc>
          <w:tcPr>
            <w:tcW w:w="665" w:type="dxa"/>
            <w:tcBorders>
              <w:top w:val="single" w:sz="4" w:space="0" w:color="000000"/>
              <w:left w:val="single" w:sz="4" w:space="0" w:color="000000"/>
              <w:bottom w:val="single" w:sz="12" w:space="0" w:color="000000"/>
              <w:right w:val="single" w:sz="4" w:space="0" w:color="000000"/>
            </w:tcBorders>
          </w:tcPr>
          <w:p>
            <w:pPr/>
          </w:p>
        </w:tc>
        <w:tc>
          <w:tcPr>
            <w:tcW w:w="6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35,352,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920.00</w:t>
            </w:r>
          </w:p>
        </w:tc>
        <w:tc>
          <w:tcPr>
            <w:tcW w:w="666" w:type="dxa"/>
            <w:tcBorders>
              <w:top w:val="single" w:sz="4" w:space="0" w:color="000000"/>
              <w:left w:val="single" w:sz="4" w:space="0" w:color="000000"/>
              <w:bottom w:val="single" w:sz="12" w:space="0" w:color="000000"/>
              <w:right w:val="single" w:sz="4" w:space="0" w:color="000000"/>
            </w:tcBorders>
          </w:tcPr>
          <w:p>
            <w:pPr/>
          </w:p>
        </w:tc>
        <w:tc>
          <w:tcPr>
            <w:tcW w:w="6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479,930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,612.23</w:t>
            </w:r>
          </w:p>
        </w:tc>
        <w:tc>
          <w:tcPr>
            <w:tcW w:w="6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511,151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,870.30</w:t>
            </w:r>
          </w:p>
        </w:tc>
        <w:tc>
          <w:tcPr>
            <w:tcW w:w="65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1,907,1</w:t>
            </w:r>
          </w:p>
          <w:p>
            <w:pPr>
              <w:pStyle w:val="TableParagraph"/>
              <w:spacing w:line="240" w:lineRule="auto" w:before="104"/>
              <w:ind w:right="10"/>
              <w:jc w:val="right"/>
              <w:rPr>
                <w:rFonts w:ascii="Times New Roman" w:hAnsi="Times New Roman" w:cs="Times New Roman" w:eastAsia="Times New Roman" w:hint="default"/>
                <w:sz w:val="18"/>
                <w:szCs w:val="18"/>
              </w:rPr>
            </w:pPr>
            <w:r>
              <w:rPr>
                <w:rFonts w:ascii="Times New Roman"/>
                <w:sz w:val="18"/>
              </w:rPr>
              <w:t>29,838.</w:t>
            </w:r>
          </w:p>
          <w:p>
            <w:pPr>
              <w:pStyle w:val="TableParagraph"/>
              <w:spacing w:line="240" w:lineRule="auto" w:before="106"/>
              <w:ind w:right="11"/>
              <w:jc w:val="right"/>
              <w:rPr>
                <w:rFonts w:ascii="Times New Roman" w:hAnsi="Times New Roman" w:cs="Times New Roman" w:eastAsia="Times New Roman" w:hint="default"/>
                <w:sz w:val="18"/>
                <w:szCs w:val="18"/>
              </w:rPr>
            </w:pPr>
            <w:r>
              <w:rPr>
                <w:rFonts w:ascii="Times New Roman"/>
                <w:sz w:val="18"/>
              </w:rPr>
              <w:t>25</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5" w:type="dxa"/>
        <w:tblLayout w:type="fixed"/>
        <w:tblCellMar>
          <w:top w:w="0" w:type="dxa"/>
          <w:left w:w="0" w:type="dxa"/>
          <w:bottom w:w="0" w:type="dxa"/>
          <w:right w:w="0" w:type="dxa"/>
        </w:tblCellMar>
        <w:tblLook w:val="01E0"/>
      </w:tblPr>
      <w:tblGrid>
        <w:gridCol w:w="1432"/>
        <w:gridCol w:w="562"/>
        <w:gridCol w:w="530"/>
        <w:gridCol w:w="532"/>
        <w:gridCol w:w="530"/>
        <w:gridCol w:w="665"/>
        <w:gridCol w:w="665"/>
        <w:gridCol w:w="665"/>
        <w:gridCol w:w="665"/>
        <w:gridCol w:w="665"/>
        <w:gridCol w:w="665"/>
        <w:gridCol w:w="678"/>
        <w:gridCol w:w="652"/>
        <w:gridCol w:w="658"/>
      </w:tblGrid>
      <w:tr>
        <w:trPr>
          <w:trHeight w:val="412" w:hRule="exact"/>
        </w:trPr>
        <w:tc>
          <w:tcPr>
            <w:tcW w:w="1432" w:type="dxa"/>
            <w:vMerge w:val="restart"/>
            <w:tcBorders>
              <w:top w:val="single" w:sz="12" w:space="0" w:color="000000"/>
              <w:left w:val="single" w:sz="12" w:space="0" w:color="000000"/>
              <w:right w:val="single" w:sz="4" w:space="0" w:color="000000"/>
            </w:tcBorders>
            <w:shd w:val="clear" w:color="auto" w:fill="D2D2D2"/>
          </w:tcPr>
          <w:p>
            <w:pPr/>
          </w:p>
        </w:tc>
        <w:tc>
          <w:tcPr>
            <w:tcW w:w="8131" w:type="dxa"/>
            <w:gridSpan w:val="13"/>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32" w:type="dxa"/>
            <w:vMerge/>
            <w:tcBorders>
              <w:left w:val="single" w:sz="12"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8" w:type="dxa"/>
            <w:tcBorders>
              <w:top w:val="single" w:sz="4" w:space="0" w:color="000000"/>
              <w:left w:val="single" w:sz="4" w:space="0" w:color="000000"/>
              <w:bottom w:val="nil" w:sz="6" w:space="0" w:color="auto"/>
              <w:right w:val="single" w:sz="12" w:space="0" w:color="000000"/>
            </w:tcBorders>
            <w:shd w:val="clear" w:color="auto" w:fill="D2D2D2"/>
          </w:tcPr>
          <w:p>
            <w:pPr/>
          </w:p>
        </w:tc>
      </w:tr>
      <w:tr>
        <w:trPr>
          <w:trHeight w:val="151" w:hRule="exact"/>
        </w:trPr>
        <w:tc>
          <w:tcPr>
            <w:tcW w:w="1432" w:type="dxa"/>
            <w:vMerge/>
            <w:tcBorders>
              <w:left w:val="single" w:sz="12"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8" w:type="dxa"/>
            <w:vMerge w:val="restart"/>
            <w:tcBorders>
              <w:top w:val="nil" w:sz="6" w:space="0" w:color="auto"/>
              <w:left w:val="single" w:sz="4" w:space="0" w:color="000000"/>
              <w:right w:val="single" w:sz="12" w:space="0" w:color="000000"/>
            </w:tcBorders>
            <w:shd w:val="clear" w:color="auto" w:fill="D2D2D2"/>
          </w:tcPr>
          <w:p>
            <w:pPr>
              <w:pStyle w:val="TableParagraph"/>
              <w:spacing w:line="316" w:lineRule="auto" w:before="51"/>
              <w:ind w:left="54" w:right="42"/>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32" w:type="dxa"/>
            <w:vMerge w:val="restart"/>
            <w:tcBorders>
              <w:top w:val="nil" w:sz="6" w:space="0" w:color="auto"/>
              <w:left w:val="single" w:sz="12" w:space="0" w:color="000000"/>
              <w:right w:val="single" w:sz="4" w:space="0" w:color="000000"/>
            </w:tcBorders>
            <w:shd w:val="clear" w:color="auto" w:fill="D2D2D2"/>
          </w:tcPr>
          <w:p>
            <w:pPr>
              <w:pStyle w:val="TableParagraph"/>
              <w:spacing w:line="240" w:lineRule="auto" w:before="11"/>
              <w:ind w:right="16"/>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8" w:type="dxa"/>
            <w:vMerge/>
            <w:tcBorders>
              <w:left w:val="single" w:sz="4" w:space="0" w:color="000000"/>
              <w:right w:val="single" w:sz="12" w:space="0" w:color="000000"/>
            </w:tcBorders>
            <w:shd w:val="clear" w:color="auto" w:fill="D2D2D2"/>
          </w:tcPr>
          <w:p>
            <w:pPr/>
          </w:p>
        </w:tc>
      </w:tr>
      <w:tr>
        <w:trPr>
          <w:trHeight w:val="174" w:hRule="exact"/>
        </w:trPr>
        <w:tc>
          <w:tcPr>
            <w:tcW w:w="1432" w:type="dxa"/>
            <w:vMerge/>
            <w:tcBorders>
              <w:left w:val="single" w:sz="12"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12" w:space="0" w:color="000000"/>
            </w:tcBorders>
            <w:shd w:val="clear" w:color="auto" w:fill="D2D2D2"/>
          </w:tcPr>
          <w:p>
            <w:pPr/>
          </w:p>
        </w:tc>
      </w:tr>
      <w:tr>
        <w:trPr>
          <w:trHeight w:val="184" w:hRule="exact"/>
        </w:trPr>
        <w:tc>
          <w:tcPr>
            <w:tcW w:w="1432" w:type="dxa"/>
            <w:vMerge w:val="restart"/>
            <w:tcBorders>
              <w:top w:val="nil" w:sz="6" w:space="0" w:color="auto"/>
              <w:left w:val="single" w:sz="12"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12" w:space="0" w:color="000000"/>
            </w:tcBorders>
            <w:shd w:val="clear" w:color="auto" w:fill="D2D2D2"/>
          </w:tcPr>
          <w:p>
            <w:pPr/>
          </w:p>
        </w:tc>
      </w:tr>
      <w:tr>
        <w:trPr>
          <w:trHeight w:val="168" w:hRule="exact"/>
        </w:trPr>
        <w:tc>
          <w:tcPr>
            <w:tcW w:w="1432" w:type="dxa"/>
            <w:vMerge/>
            <w:tcBorders>
              <w:left w:val="single" w:sz="12"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8" w:type="dxa"/>
            <w:vMerge/>
            <w:tcBorders>
              <w:left w:val="single" w:sz="4" w:space="0" w:color="000000"/>
              <w:right w:val="single" w:sz="12" w:space="0" w:color="000000"/>
            </w:tcBorders>
            <w:shd w:val="clear" w:color="auto" w:fill="D2D2D2"/>
          </w:tcPr>
          <w:p>
            <w:pPr/>
          </w:p>
        </w:tc>
      </w:tr>
      <w:tr>
        <w:trPr>
          <w:trHeight w:val="156" w:hRule="exact"/>
        </w:trPr>
        <w:tc>
          <w:tcPr>
            <w:tcW w:w="1432" w:type="dxa"/>
            <w:vMerge/>
            <w:tcBorders>
              <w:left w:val="single" w:sz="12"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8" w:type="dxa"/>
            <w:vMerge/>
            <w:tcBorders>
              <w:left w:val="single" w:sz="4" w:space="0" w:color="000000"/>
              <w:bottom w:val="nil" w:sz="6" w:space="0" w:color="auto"/>
              <w:right w:val="single" w:sz="12" w:space="0" w:color="000000"/>
            </w:tcBorders>
            <w:shd w:val="clear" w:color="auto" w:fill="D2D2D2"/>
          </w:tcPr>
          <w:p>
            <w:pPr/>
          </w:p>
        </w:tc>
      </w:tr>
      <w:tr>
        <w:trPr>
          <w:trHeight w:val="228" w:hRule="exact"/>
        </w:trPr>
        <w:tc>
          <w:tcPr>
            <w:tcW w:w="1432" w:type="dxa"/>
            <w:vMerge/>
            <w:tcBorders>
              <w:left w:val="single" w:sz="12"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8" w:type="dxa"/>
            <w:tcBorders>
              <w:top w:val="nil" w:sz="6" w:space="0" w:color="auto"/>
              <w:left w:val="single" w:sz="4" w:space="0" w:color="000000"/>
              <w:bottom w:val="single" w:sz="4" w:space="0" w:color="000000"/>
              <w:right w:val="single" w:sz="12" w:space="0" w:color="000000"/>
            </w:tcBorders>
            <w:shd w:val="clear" w:color="auto" w:fill="D2D2D2"/>
          </w:tcPr>
          <w:p>
            <w:pPr/>
          </w:p>
        </w:tc>
      </w:tr>
      <w:tr>
        <w:trPr>
          <w:trHeight w:val="318" w:hRule="exact"/>
        </w:trPr>
        <w:tc>
          <w:tcPr>
            <w:tcW w:w="1432" w:type="dxa"/>
            <w:tcBorders>
              <w:top w:val="single" w:sz="4" w:space="0" w:color="000000"/>
              <w:left w:val="single" w:sz="12"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293,02</w:t>
            </w:r>
          </w:p>
          <w:p>
            <w:pPr>
              <w:pStyle w:val="TableParagraph"/>
              <w:spacing w:line="240" w:lineRule="auto" w:before="104"/>
              <w:ind w:left="72" w:right="0"/>
              <w:jc w:val="left"/>
              <w:rPr>
                <w:rFonts w:ascii="Times New Roman" w:hAnsi="Times New Roman" w:cs="Times New Roman" w:eastAsia="Times New Roman" w:hint="default"/>
                <w:sz w:val="18"/>
                <w:szCs w:val="18"/>
              </w:rPr>
            </w:pPr>
            <w:r>
              <w:rPr>
                <w:rFonts w:ascii="Times New Roman"/>
                <w:sz w:val="18"/>
              </w:rPr>
              <w:t>2,806.</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596,024</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,424.61</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26,191,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673.25</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304,257</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,726.70</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281,859</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,186.17</w:t>
            </w:r>
          </w:p>
        </w:tc>
        <w:tc>
          <w:tcPr>
            <w:tcW w:w="658" w:type="dxa"/>
            <w:vMerge w:val="restart"/>
            <w:tcBorders>
              <w:top w:val="single" w:sz="4" w:space="0" w:color="000000"/>
              <w:left w:val="single" w:sz="4" w:space="0" w:color="000000"/>
              <w:right w:val="single" w:sz="12" w:space="0" w:color="000000"/>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z w:val="18"/>
              </w:rPr>
              <w:t>1,501,3</w:t>
            </w:r>
          </w:p>
          <w:p>
            <w:pPr>
              <w:pStyle w:val="TableParagraph"/>
              <w:spacing w:line="240" w:lineRule="auto" w:before="104"/>
              <w:ind w:right="10"/>
              <w:jc w:val="right"/>
              <w:rPr>
                <w:rFonts w:ascii="Times New Roman" w:hAnsi="Times New Roman" w:cs="Times New Roman" w:eastAsia="Times New Roman" w:hint="default"/>
                <w:sz w:val="18"/>
                <w:szCs w:val="18"/>
              </w:rPr>
            </w:pPr>
            <w:r>
              <w:rPr>
                <w:rFonts w:ascii="Times New Roman"/>
                <w:sz w:val="18"/>
              </w:rPr>
              <w:t>55,816.</w:t>
            </w:r>
          </w:p>
          <w:p>
            <w:pPr>
              <w:pStyle w:val="TableParagraph"/>
              <w:spacing w:line="240" w:lineRule="auto" w:before="106"/>
              <w:ind w:right="11"/>
              <w:jc w:val="right"/>
              <w:rPr>
                <w:rFonts w:ascii="Times New Roman" w:hAnsi="Times New Roman" w:cs="Times New Roman" w:eastAsia="Times New Roman" w:hint="default"/>
                <w:sz w:val="18"/>
                <w:szCs w:val="18"/>
              </w:rPr>
            </w:pPr>
            <w:r>
              <w:rPr>
                <w:rFonts w:ascii="Times New Roman"/>
                <w:sz w:val="18"/>
              </w:rPr>
              <w:t>73</w:t>
            </w:r>
          </w:p>
        </w:tc>
      </w:tr>
      <w:tr>
        <w:trPr>
          <w:trHeight w:val="391" w:hRule="exact"/>
        </w:trPr>
        <w:tc>
          <w:tcPr>
            <w:tcW w:w="1432" w:type="dxa"/>
            <w:tcBorders>
              <w:top w:val="nil" w:sz="6" w:space="0" w:color="auto"/>
              <w:left w:val="single" w:sz="12" w:space="0" w:color="000000"/>
              <w:bottom w:val="nil" w:sz="6" w:space="0" w:color="auto"/>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8" w:type="dxa"/>
            <w:vMerge/>
            <w:tcBorders>
              <w:left w:val="single" w:sz="4" w:space="0" w:color="000000"/>
              <w:right w:val="single" w:sz="12" w:space="0" w:color="000000"/>
            </w:tcBorders>
          </w:tcPr>
          <w:p>
            <w:pPr/>
          </w:p>
        </w:tc>
      </w:tr>
      <w:tr>
        <w:trPr>
          <w:trHeight w:val="317" w:hRule="exact"/>
        </w:trPr>
        <w:tc>
          <w:tcPr>
            <w:tcW w:w="1432" w:type="dxa"/>
            <w:tcBorders>
              <w:top w:val="nil" w:sz="6" w:space="0" w:color="auto"/>
              <w:left w:val="single" w:sz="12"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12" w:space="0" w:color="000000"/>
            </w:tcBorders>
          </w:tcPr>
          <w:p>
            <w:pPr/>
          </w:p>
        </w:tc>
      </w:tr>
      <w:tr>
        <w:trPr>
          <w:trHeight w:val="714" w:hRule="exact"/>
        </w:trPr>
        <w:tc>
          <w:tcPr>
            <w:tcW w:w="143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2"/>
              <w:ind w:left="6"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12" w:space="0" w:color="000000"/>
            </w:tcBorders>
          </w:tcPr>
          <w:p>
            <w:pPr/>
          </w:p>
        </w:tc>
      </w:tr>
      <w:tr>
        <w:trPr>
          <w:trHeight w:val="714" w:hRule="exact"/>
        </w:trPr>
        <w:tc>
          <w:tcPr>
            <w:tcW w:w="143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726"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6"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12" w:space="0" w:color="000000"/>
            </w:tcBorders>
          </w:tcPr>
          <w:p>
            <w:pPr/>
          </w:p>
        </w:tc>
      </w:tr>
      <w:tr>
        <w:trPr>
          <w:trHeight w:val="412" w:hRule="exact"/>
        </w:trPr>
        <w:tc>
          <w:tcPr>
            <w:tcW w:w="1432"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71"/>
              <w:ind w:left="726" w:right="0"/>
              <w:jc w:val="left"/>
              <w:rPr>
                <w:rFonts w:ascii="宋体" w:hAnsi="宋体" w:cs="宋体" w:eastAsia="宋体" w:hint="default"/>
                <w:sz w:val="18"/>
                <w:szCs w:val="18"/>
              </w:rPr>
            </w:pPr>
            <w:r>
              <w:rPr>
                <w:rFonts w:ascii="宋体" w:hAnsi="宋体" w:cs="宋体" w:eastAsia="宋体" w:hint="default"/>
                <w:sz w:val="18"/>
                <w:szCs w:val="18"/>
              </w:rPr>
              <w:t>同一控</w:t>
            </w:r>
          </w:p>
        </w:tc>
        <w:tc>
          <w:tcPr>
            <w:tcW w:w="562" w:type="dxa"/>
            <w:tcBorders>
              <w:top w:val="single" w:sz="4" w:space="0" w:color="000000"/>
              <w:left w:val="single" w:sz="13" w:space="0" w:color="D2D2D2"/>
              <w:bottom w:val="single" w:sz="12" w:space="0" w:color="000000"/>
              <w:right w:val="single" w:sz="4" w:space="0" w:color="000000"/>
            </w:tcBorders>
          </w:tcPr>
          <w:p>
            <w:pPr/>
          </w:p>
        </w:tc>
        <w:tc>
          <w:tcPr>
            <w:tcW w:w="530" w:type="dxa"/>
            <w:tcBorders>
              <w:top w:val="single" w:sz="4" w:space="0" w:color="000000"/>
              <w:left w:val="single" w:sz="4" w:space="0" w:color="000000"/>
              <w:bottom w:val="single" w:sz="12" w:space="0" w:color="000000"/>
              <w:right w:val="single" w:sz="4" w:space="0" w:color="000000"/>
            </w:tcBorders>
          </w:tcPr>
          <w:p>
            <w:pPr/>
          </w:p>
        </w:tc>
        <w:tc>
          <w:tcPr>
            <w:tcW w:w="532" w:type="dxa"/>
            <w:tcBorders>
              <w:top w:val="single" w:sz="4" w:space="0" w:color="000000"/>
              <w:left w:val="single" w:sz="4" w:space="0" w:color="000000"/>
              <w:bottom w:val="single" w:sz="12" w:space="0" w:color="000000"/>
              <w:right w:val="single" w:sz="4" w:space="0" w:color="000000"/>
            </w:tcBorders>
          </w:tcPr>
          <w:p>
            <w:pPr/>
          </w:p>
        </w:tc>
        <w:tc>
          <w:tcPr>
            <w:tcW w:w="530" w:type="dxa"/>
            <w:tcBorders>
              <w:top w:val="single" w:sz="4" w:space="0" w:color="000000"/>
              <w:left w:val="single" w:sz="4" w:space="0" w:color="000000"/>
              <w:bottom w:val="single" w:sz="12" w:space="0" w:color="000000"/>
              <w:right w:val="single" w:sz="4" w:space="0" w:color="000000"/>
            </w:tcBorders>
          </w:tcPr>
          <w:p>
            <w:pPr/>
          </w:p>
        </w:tc>
        <w:tc>
          <w:tcPr>
            <w:tcW w:w="665" w:type="dxa"/>
            <w:tcBorders>
              <w:top w:val="single" w:sz="4" w:space="0" w:color="000000"/>
              <w:left w:val="single" w:sz="4" w:space="0" w:color="000000"/>
              <w:bottom w:val="single" w:sz="12" w:space="0" w:color="000000"/>
              <w:right w:val="single" w:sz="4" w:space="0" w:color="000000"/>
            </w:tcBorders>
          </w:tcPr>
          <w:p>
            <w:pPr/>
          </w:p>
        </w:tc>
        <w:tc>
          <w:tcPr>
            <w:tcW w:w="665" w:type="dxa"/>
            <w:tcBorders>
              <w:top w:val="single" w:sz="4" w:space="0" w:color="000000"/>
              <w:left w:val="single" w:sz="4" w:space="0" w:color="000000"/>
              <w:bottom w:val="single" w:sz="12" w:space="0" w:color="000000"/>
              <w:right w:val="single" w:sz="4" w:space="0" w:color="000000"/>
            </w:tcBorders>
          </w:tcPr>
          <w:p>
            <w:pPr/>
          </w:p>
        </w:tc>
        <w:tc>
          <w:tcPr>
            <w:tcW w:w="665" w:type="dxa"/>
            <w:tcBorders>
              <w:top w:val="single" w:sz="4" w:space="0" w:color="000000"/>
              <w:left w:val="single" w:sz="4" w:space="0" w:color="000000"/>
              <w:bottom w:val="single" w:sz="12" w:space="0" w:color="000000"/>
              <w:right w:val="single" w:sz="4" w:space="0" w:color="000000"/>
            </w:tcBorders>
          </w:tcPr>
          <w:p>
            <w:pPr/>
          </w:p>
        </w:tc>
        <w:tc>
          <w:tcPr>
            <w:tcW w:w="665" w:type="dxa"/>
            <w:tcBorders>
              <w:top w:val="single" w:sz="4" w:space="0" w:color="000000"/>
              <w:left w:val="single" w:sz="4" w:space="0" w:color="000000"/>
              <w:bottom w:val="single" w:sz="12" w:space="0" w:color="000000"/>
              <w:right w:val="single" w:sz="4" w:space="0" w:color="000000"/>
            </w:tcBorders>
          </w:tcPr>
          <w:p>
            <w:pPr/>
          </w:p>
        </w:tc>
        <w:tc>
          <w:tcPr>
            <w:tcW w:w="665" w:type="dxa"/>
            <w:tcBorders>
              <w:top w:val="single" w:sz="4" w:space="0" w:color="000000"/>
              <w:left w:val="single" w:sz="4" w:space="0" w:color="000000"/>
              <w:bottom w:val="single" w:sz="12" w:space="0" w:color="000000"/>
              <w:right w:val="single" w:sz="4" w:space="0" w:color="000000"/>
            </w:tcBorders>
          </w:tcPr>
          <w:p>
            <w:pPr/>
          </w:p>
        </w:tc>
        <w:tc>
          <w:tcPr>
            <w:tcW w:w="665" w:type="dxa"/>
            <w:tcBorders>
              <w:top w:val="single" w:sz="4" w:space="0" w:color="000000"/>
              <w:left w:val="single" w:sz="4" w:space="0" w:color="000000"/>
              <w:bottom w:val="single" w:sz="12" w:space="0" w:color="000000"/>
              <w:right w:val="single" w:sz="4" w:space="0" w:color="000000"/>
            </w:tcBorders>
          </w:tcPr>
          <w:p>
            <w:pPr/>
          </w:p>
        </w:tc>
        <w:tc>
          <w:tcPr>
            <w:tcW w:w="678" w:type="dxa"/>
            <w:tcBorders>
              <w:top w:val="single" w:sz="4" w:space="0" w:color="000000"/>
              <w:left w:val="single" w:sz="4" w:space="0" w:color="000000"/>
              <w:bottom w:val="single" w:sz="12" w:space="0" w:color="000000"/>
              <w:right w:val="single" w:sz="4" w:space="0" w:color="000000"/>
            </w:tcBorders>
          </w:tcPr>
          <w:p>
            <w:pPr/>
          </w:p>
        </w:tc>
        <w:tc>
          <w:tcPr>
            <w:tcW w:w="652" w:type="dxa"/>
            <w:tcBorders>
              <w:top w:val="single" w:sz="4" w:space="0" w:color="000000"/>
              <w:left w:val="single" w:sz="4" w:space="0" w:color="000000"/>
              <w:bottom w:val="single" w:sz="12" w:space="0" w:color="000000"/>
              <w:right w:val="single" w:sz="4" w:space="0" w:color="000000"/>
            </w:tcBorders>
          </w:tcPr>
          <w:p>
            <w:pPr/>
          </w:p>
        </w:tc>
        <w:tc>
          <w:tcPr>
            <w:tcW w:w="658" w:type="dxa"/>
            <w:tcBorders>
              <w:top w:val="single" w:sz="4" w:space="0" w:color="000000"/>
              <w:left w:val="single" w:sz="4" w:space="0" w:color="000000"/>
              <w:bottom w:val="single" w:sz="12" w:space="0" w:color="000000"/>
              <w:right w:val="single" w:sz="12"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18" w:type="dxa"/>
        <w:tblLayout w:type="fixed"/>
        <w:tblCellMar>
          <w:top w:w="0" w:type="dxa"/>
          <w:left w:w="0" w:type="dxa"/>
          <w:bottom w:w="0" w:type="dxa"/>
          <w:right w:w="0" w:type="dxa"/>
        </w:tblCellMar>
        <w:tblLook w:val="01E0"/>
      </w:tblPr>
      <w:tblGrid>
        <w:gridCol w:w="1438"/>
        <w:gridCol w:w="562"/>
        <w:gridCol w:w="530"/>
        <w:gridCol w:w="532"/>
        <w:gridCol w:w="530"/>
        <w:gridCol w:w="665"/>
        <w:gridCol w:w="665"/>
        <w:gridCol w:w="665"/>
        <w:gridCol w:w="665"/>
        <w:gridCol w:w="665"/>
        <w:gridCol w:w="665"/>
        <w:gridCol w:w="678"/>
        <w:gridCol w:w="652"/>
        <w:gridCol w:w="658"/>
      </w:tblGrid>
      <w:tr>
        <w:trPr>
          <w:trHeight w:val="371" w:hRule="exact"/>
        </w:trPr>
        <w:tc>
          <w:tcPr>
            <w:tcW w:w="143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1"/>
              <w:ind w:left="13" w:right="0"/>
              <w:jc w:val="left"/>
              <w:rPr>
                <w:rFonts w:ascii="宋体" w:hAnsi="宋体" w:cs="宋体" w:eastAsia="宋体" w:hint="default"/>
                <w:sz w:val="18"/>
                <w:szCs w:val="18"/>
              </w:rPr>
            </w:pPr>
            <w:r>
              <w:rPr>
                <w:rFonts w:ascii="宋体" w:hAnsi="宋体" w:cs="宋体" w:eastAsia="宋体" w:hint="default"/>
                <w:sz w:val="18"/>
                <w:szCs w:val="18"/>
              </w:rPr>
              <w:t>制下企业合并</w:t>
            </w:r>
          </w:p>
        </w:tc>
        <w:tc>
          <w:tcPr>
            <w:tcW w:w="562" w:type="dxa"/>
            <w:tcBorders>
              <w:top w:val="single" w:sz="12" w:space="0" w:color="000000"/>
              <w:left w:val="single" w:sz="4" w:space="0" w:color="000000"/>
              <w:bottom w:val="single" w:sz="4" w:space="0" w:color="000000"/>
              <w:right w:val="single" w:sz="4" w:space="0" w:color="000000"/>
            </w:tcBorders>
          </w:tcPr>
          <w:p>
            <w:pPr/>
          </w:p>
        </w:tc>
        <w:tc>
          <w:tcPr>
            <w:tcW w:w="530" w:type="dxa"/>
            <w:tcBorders>
              <w:top w:val="single" w:sz="12" w:space="0" w:color="000000"/>
              <w:left w:val="single" w:sz="4" w:space="0" w:color="000000"/>
              <w:bottom w:val="single" w:sz="4" w:space="0" w:color="000000"/>
              <w:right w:val="single" w:sz="4" w:space="0" w:color="000000"/>
            </w:tcBorders>
          </w:tcPr>
          <w:p>
            <w:pPr/>
          </w:p>
        </w:tc>
        <w:tc>
          <w:tcPr>
            <w:tcW w:w="532" w:type="dxa"/>
            <w:tcBorders>
              <w:top w:val="single" w:sz="12" w:space="0" w:color="000000"/>
              <w:left w:val="single" w:sz="4" w:space="0" w:color="000000"/>
              <w:bottom w:val="single" w:sz="4" w:space="0" w:color="000000"/>
              <w:right w:val="single" w:sz="4" w:space="0" w:color="000000"/>
            </w:tcBorders>
          </w:tcPr>
          <w:p>
            <w:pPr/>
          </w:p>
        </w:tc>
        <w:tc>
          <w:tcPr>
            <w:tcW w:w="530" w:type="dxa"/>
            <w:tcBorders>
              <w:top w:val="single" w:sz="12" w:space="0" w:color="000000"/>
              <w:left w:val="single" w:sz="4" w:space="0" w:color="000000"/>
              <w:bottom w:val="single" w:sz="4" w:space="0" w:color="000000"/>
              <w:right w:val="single" w:sz="4" w:space="0" w:color="000000"/>
            </w:tcBorders>
          </w:tcPr>
          <w:p>
            <w:pPr/>
          </w:p>
        </w:tc>
        <w:tc>
          <w:tcPr>
            <w:tcW w:w="665" w:type="dxa"/>
            <w:tcBorders>
              <w:top w:val="single" w:sz="12" w:space="0" w:color="000000"/>
              <w:left w:val="single" w:sz="4" w:space="0" w:color="000000"/>
              <w:bottom w:val="single" w:sz="4" w:space="0" w:color="000000"/>
              <w:right w:val="single" w:sz="4" w:space="0" w:color="000000"/>
            </w:tcBorders>
          </w:tcPr>
          <w:p>
            <w:pPr/>
          </w:p>
        </w:tc>
        <w:tc>
          <w:tcPr>
            <w:tcW w:w="665" w:type="dxa"/>
            <w:tcBorders>
              <w:top w:val="single" w:sz="12" w:space="0" w:color="000000"/>
              <w:left w:val="single" w:sz="4" w:space="0" w:color="000000"/>
              <w:bottom w:val="single" w:sz="4" w:space="0" w:color="000000"/>
              <w:right w:val="single" w:sz="4" w:space="0" w:color="000000"/>
            </w:tcBorders>
          </w:tcPr>
          <w:p>
            <w:pPr/>
          </w:p>
        </w:tc>
        <w:tc>
          <w:tcPr>
            <w:tcW w:w="665" w:type="dxa"/>
            <w:tcBorders>
              <w:top w:val="single" w:sz="12" w:space="0" w:color="000000"/>
              <w:left w:val="single" w:sz="4" w:space="0" w:color="000000"/>
              <w:bottom w:val="single" w:sz="4" w:space="0" w:color="000000"/>
              <w:right w:val="single" w:sz="4" w:space="0" w:color="000000"/>
            </w:tcBorders>
          </w:tcPr>
          <w:p>
            <w:pPr/>
          </w:p>
        </w:tc>
        <w:tc>
          <w:tcPr>
            <w:tcW w:w="665" w:type="dxa"/>
            <w:tcBorders>
              <w:top w:val="single" w:sz="12" w:space="0" w:color="000000"/>
              <w:left w:val="single" w:sz="4" w:space="0" w:color="000000"/>
              <w:bottom w:val="single" w:sz="4" w:space="0" w:color="000000"/>
              <w:right w:val="single" w:sz="4" w:space="0" w:color="000000"/>
            </w:tcBorders>
          </w:tcPr>
          <w:p>
            <w:pPr/>
          </w:p>
        </w:tc>
        <w:tc>
          <w:tcPr>
            <w:tcW w:w="665" w:type="dxa"/>
            <w:tcBorders>
              <w:top w:val="single" w:sz="12" w:space="0" w:color="000000"/>
              <w:left w:val="single" w:sz="4" w:space="0" w:color="000000"/>
              <w:bottom w:val="single" w:sz="4" w:space="0" w:color="000000"/>
              <w:right w:val="single" w:sz="4" w:space="0" w:color="000000"/>
            </w:tcBorders>
          </w:tcPr>
          <w:p>
            <w:pPr/>
          </w:p>
        </w:tc>
        <w:tc>
          <w:tcPr>
            <w:tcW w:w="665" w:type="dxa"/>
            <w:tcBorders>
              <w:top w:val="single" w:sz="12" w:space="0" w:color="000000"/>
              <w:left w:val="single" w:sz="4" w:space="0" w:color="000000"/>
              <w:bottom w:val="single" w:sz="4" w:space="0" w:color="000000"/>
              <w:right w:val="single" w:sz="4" w:space="0" w:color="000000"/>
            </w:tcBorders>
          </w:tcPr>
          <w:p>
            <w:pPr/>
          </w:p>
        </w:tc>
        <w:tc>
          <w:tcPr>
            <w:tcW w:w="678" w:type="dxa"/>
            <w:tcBorders>
              <w:top w:val="single" w:sz="12" w:space="0" w:color="000000"/>
              <w:left w:val="single" w:sz="4" w:space="0" w:color="000000"/>
              <w:bottom w:val="single" w:sz="4" w:space="0" w:color="000000"/>
              <w:right w:val="single" w:sz="4" w:space="0" w:color="000000"/>
            </w:tcBorders>
          </w:tcPr>
          <w:p>
            <w:pPr/>
          </w:p>
        </w:tc>
        <w:tc>
          <w:tcPr>
            <w:tcW w:w="652" w:type="dxa"/>
            <w:tcBorders>
              <w:top w:val="single" w:sz="12" w:space="0" w:color="000000"/>
              <w:left w:val="single" w:sz="4" w:space="0" w:color="000000"/>
              <w:bottom w:val="single" w:sz="4" w:space="0" w:color="000000"/>
              <w:right w:val="single" w:sz="4" w:space="0" w:color="000000"/>
            </w:tcBorders>
          </w:tcPr>
          <w:p>
            <w:pPr/>
          </w:p>
        </w:tc>
        <w:tc>
          <w:tcPr>
            <w:tcW w:w="658" w:type="dxa"/>
            <w:tcBorders>
              <w:top w:val="single" w:sz="12" w:space="0" w:color="000000"/>
              <w:left w:val="single" w:sz="4" w:space="0" w:color="000000"/>
              <w:bottom w:val="single" w:sz="4" w:space="0" w:color="000000"/>
              <w:right w:val="single" w:sz="12" w:space="0" w:color="000000"/>
            </w:tcBorders>
          </w:tcPr>
          <w:p>
            <w:pPr/>
          </w:p>
        </w:tc>
      </w:tr>
      <w:tr>
        <w:trPr>
          <w:trHeight w:val="402" w:hRule="exact"/>
        </w:trPr>
        <w:tc>
          <w:tcPr>
            <w:tcW w:w="143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2"/>
              <w:ind w:left="73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12" w:space="0" w:color="000000"/>
            </w:tcBorders>
          </w:tcPr>
          <w:p>
            <w:pPr/>
          </w:p>
        </w:tc>
      </w:tr>
      <w:tr>
        <w:trPr>
          <w:trHeight w:val="1026" w:hRule="exact"/>
        </w:trPr>
        <w:tc>
          <w:tcPr>
            <w:tcW w:w="143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3"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5" w:right="0"/>
              <w:jc w:val="left"/>
              <w:rPr>
                <w:rFonts w:ascii="Times New Roman" w:hAnsi="Times New Roman" w:cs="Times New Roman" w:eastAsia="Times New Roman" w:hint="default"/>
                <w:sz w:val="18"/>
                <w:szCs w:val="18"/>
              </w:rPr>
            </w:pPr>
            <w:r>
              <w:rPr>
                <w:rFonts w:ascii="Times New Roman"/>
                <w:sz w:val="18"/>
              </w:rPr>
              <w:t>293,02</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2,806.</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596,024</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,424.61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26,191,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673.25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304,257</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,726.70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281,859</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,186.17</w:t>
            </w:r>
          </w:p>
        </w:tc>
        <w:tc>
          <w:tcPr>
            <w:tcW w:w="65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z w:val="18"/>
              </w:rPr>
              <w:t>1,501,3</w:t>
            </w:r>
          </w:p>
          <w:p>
            <w:pPr>
              <w:pStyle w:val="TableParagraph"/>
              <w:spacing w:line="240" w:lineRule="auto" w:before="104"/>
              <w:ind w:right="10"/>
              <w:jc w:val="right"/>
              <w:rPr>
                <w:rFonts w:ascii="Times New Roman" w:hAnsi="Times New Roman" w:cs="Times New Roman" w:eastAsia="Times New Roman" w:hint="default"/>
                <w:sz w:val="18"/>
                <w:szCs w:val="18"/>
              </w:rPr>
            </w:pPr>
            <w:r>
              <w:rPr>
                <w:rFonts w:ascii="Times New Roman"/>
                <w:sz w:val="18"/>
              </w:rPr>
              <w:t>55,816.</w:t>
            </w:r>
          </w:p>
          <w:p>
            <w:pPr>
              <w:pStyle w:val="TableParagraph"/>
              <w:spacing w:line="240" w:lineRule="auto" w:before="106"/>
              <w:ind w:right="11"/>
              <w:jc w:val="right"/>
              <w:rPr>
                <w:rFonts w:ascii="Times New Roman" w:hAnsi="Times New Roman" w:cs="Times New Roman" w:eastAsia="Times New Roman" w:hint="default"/>
                <w:sz w:val="18"/>
                <w:szCs w:val="18"/>
              </w:rPr>
            </w:pPr>
            <w:r>
              <w:rPr>
                <w:rFonts w:ascii="Times New Roman"/>
                <w:sz w:val="18"/>
              </w:rPr>
              <w:t>73</w:t>
            </w:r>
          </w:p>
        </w:tc>
      </w:tr>
      <w:tr>
        <w:trPr>
          <w:trHeight w:val="1026" w:hRule="exact"/>
        </w:trPr>
        <w:tc>
          <w:tcPr>
            <w:tcW w:w="143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09" w:lineRule="auto" w:before="52"/>
              <w:ind w:left="13"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-9,319,9</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43.15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6,071,1</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61.28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78,697,</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842.62</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209,435</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,236.59</w:t>
            </w:r>
          </w:p>
        </w:tc>
        <w:tc>
          <w:tcPr>
            <w:tcW w:w="65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284,884</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,297.34</w:t>
            </w:r>
          </w:p>
        </w:tc>
      </w:tr>
      <w:tr>
        <w:trPr>
          <w:trHeight w:val="714" w:hRule="exact"/>
        </w:trPr>
        <w:tc>
          <w:tcPr>
            <w:tcW w:w="143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2"/>
              <w:ind w:left="13"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4" w:right="0"/>
              <w:jc w:val="left"/>
              <w:rPr>
                <w:rFonts w:ascii="Times New Roman" w:hAnsi="Times New Roman" w:cs="Times New Roman" w:eastAsia="Times New Roman" w:hint="default"/>
                <w:sz w:val="18"/>
                <w:szCs w:val="18"/>
              </w:rPr>
            </w:pPr>
            <w:r>
              <w:rPr>
                <w:rFonts w:ascii="Times New Roman"/>
                <w:sz w:val="18"/>
              </w:rPr>
              <w:t>90,629,</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460.02</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9" w:right="0"/>
              <w:jc w:val="left"/>
              <w:rPr>
                <w:rFonts w:ascii="Times New Roman" w:hAnsi="Times New Roman" w:cs="Times New Roman" w:eastAsia="Times New Roman" w:hint="default"/>
                <w:sz w:val="18"/>
                <w:szCs w:val="18"/>
              </w:rPr>
            </w:pPr>
            <w:r>
              <w:rPr>
                <w:rFonts w:ascii="Times New Roman"/>
                <w:sz w:val="18"/>
              </w:rPr>
              <w:t>37,445,</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661.38</w:t>
            </w:r>
          </w:p>
        </w:tc>
        <w:tc>
          <w:tcPr>
            <w:tcW w:w="65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left="40" w:right="0"/>
              <w:jc w:val="left"/>
              <w:rPr>
                <w:rFonts w:ascii="Times New Roman" w:hAnsi="Times New Roman" w:cs="Times New Roman" w:eastAsia="Times New Roman" w:hint="default"/>
                <w:sz w:val="18"/>
                <w:szCs w:val="18"/>
              </w:rPr>
            </w:pPr>
            <w:r>
              <w:rPr>
                <w:rFonts w:ascii="Times New Roman"/>
                <w:sz w:val="18"/>
              </w:rPr>
              <w:t>128,075</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,121.40</w:t>
            </w:r>
          </w:p>
        </w:tc>
      </w:tr>
      <w:tr>
        <w:trPr>
          <w:trHeight w:val="714" w:hRule="exact"/>
        </w:trPr>
        <w:tc>
          <w:tcPr>
            <w:tcW w:w="143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2"/>
              <w:ind w:left="13"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 w:right="0"/>
              <w:jc w:val="center"/>
              <w:rPr>
                <w:rFonts w:ascii="Times New Roman" w:hAnsi="Times New Roman" w:cs="Times New Roman" w:eastAsia="Times New Roman" w:hint="default"/>
                <w:sz w:val="18"/>
                <w:szCs w:val="18"/>
              </w:rPr>
            </w:pPr>
            <w:r>
              <w:rPr>
                <w:rFonts w:ascii="Times New Roman"/>
                <w:sz w:val="18"/>
              </w:rPr>
              <w:t>-9,319,9</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43.15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4" w:right="0"/>
              <w:jc w:val="left"/>
              <w:rPr>
                <w:rFonts w:ascii="Times New Roman" w:hAnsi="Times New Roman" w:cs="Times New Roman" w:eastAsia="Times New Roman" w:hint="default"/>
                <w:sz w:val="18"/>
                <w:szCs w:val="18"/>
              </w:rPr>
            </w:pPr>
            <w:r>
              <w:rPr>
                <w:rFonts w:ascii="Times New Roman"/>
                <w:sz w:val="18"/>
              </w:rPr>
              <w:t>171,989</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,575.21</w:t>
            </w:r>
          </w:p>
        </w:tc>
        <w:tc>
          <w:tcPr>
            <w:tcW w:w="65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left="40" w:right="0"/>
              <w:jc w:val="left"/>
              <w:rPr>
                <w:rFonts w:ascii="Times New Roman" w:hAnsi="Times New Roman" w:cs="Times New Roman" w:eastAsia="Times New Roman" w:hint="default"/>
                <w:sz w:val="18"/>
                <w:szCs w:val="18"/>
              </w:rPr>
            </w:pPr>
            <w:r>
              <w:rPr>
                <w:rFonts w:ascii="Times New Roman"/>
                <w:sz w:val="18"/>
              </w:rPr>
              <w:t>162,669</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,632.06</w:t>
            </w:r>
          </w:p>
        </w:tc>
      </w:tr>
      <w:tr>
        <w:trPr>
          <w:trHeight w:val="714" w:hRule="exact"/>
        </w:trPr>
        <w:tc>
          <w:tcPr>
            <w:tcW w:w="143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00" w:lineRule="auto" w:before="52"/>
              <w:ind w:left="13"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 w:right="0"/>
              <w:jc w:val="center"/>
              <w:rPr>
                <w:rFonts w:ascii="Times New Roman" w:hAnsi="Times New Roman" w:cs="Times New Roman" w:eastAsia="Times New Roman" w:hint="default"/>
                <w:sz w:val="18"/>
                <w:szCs w:val="18"/>
              </w:rPr>
            </w:pPr>
            <w:r>
              <w:rPr>
                <w:rFonts w:ascii="Times New Roman"/>
                <w:sz w:val="18"/>
              </w:rPr>
              <w:t>-9,319,9</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43.15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4" w:right="0"/>
              <w:jc w:val="left"/>
              <w:rPr>
                <w:rFonts w:ascii="Times New Roman" w:hAnsi="Times New Roman" w:cs="Times New Roman" w:eastAsia="Times New Roman" w:hint="default"/>
                <w:sz w:val="18"/>
                <w:szCs w:val="18"/>
              </w:rPr>
            </w:pPr>
            <w:r>
              <w:rPr>
                <w:rFonts w:ascii="Times New Roman"/>
                <w:sz w:val="18"/>
              </w:rPr>
              <w:t>171,989</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,575.21</w:t>
            </w:r>
          </w:p>
        </w:tc>
        <w:tc>
          <w:tcPr>
            <w:tcW w:w="65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left="40" w:right="0"/>
              <w:jc w:val="left"/>
              <w:rPr>
                <w:rFonts w:ascii="Times New Roman" w:hAnsi="Times New Roman" w:cs="Times New Roman" w:eastAsia="Times New Roman" w:hint="default"/>
                <w:sz w:val="18"/>
                <w:szCs w:val="18"/>
              </w:rPr>
            </w:pPr>
            <w:r>
              <w:rPr>
                <w:rFonts w:ascii="Times New Roman"/>
                <w:sz w:val="18"/>
              </w:rPr>
              <w:t>162,669</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,632.06</w:t>
            </w:r>
          </w:p>
        </w:tc>
      </w:tr>
      <w:tr>
        <w:trPr>
          <w:trHeight w:val="714" w:hRule="exact"/>
        </w:trPr>
        <w:tc>
          <w:tcPr>
            <w:tcW w:w="143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00" w:lineRule="auto" w:before="52"/>
              <w:ind w:left="13"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12" w:space="0" w:color="000000"/>
            </w:tcBorders>
          </w:tcPr>
          <w:p>
            <w:pPr/>
          </w:p>
        </w:tc>
      </w:tr>
      <w:tr>
        <w:trPr>
          <w:trHeight w:val="1026" w:hRule="exact"/>
        </w:trPr>
        <w:tc>
          <w:tcPr>
            <w:tcW w:w="143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09" w:lineRule="auto" w:before="52"/>
              <w:ind w:left="13"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143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12" w:space="0" w:color="000000"/>
            </w:tcBorders>
          </w:tcPr>
          <w:p>
            <w:pPr/>
          </w:p>
        </w:tc>
      </w:tr>
      <w:tr>
        <w:trPr>
          <w:trHeight w:val="714" w:hRule="exact"/>
        </w:trPr>
        <w:tc>
          <w:tcPr>
            <w:tcW w:w="143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7" w:right="0"/>
              <w:jc w:val="center"/>
              <w:rPr>
                <w:rFonts w:ascii="Times New Roman" w:hAnsi="Times New Roman" w:cs="Times New Roman" w:eastAsia="Times New Roman" w:hint="default"/>
                <w:sz w:val="18"/>
                <w:szCs w:val="18"/>
              </w:rPr>
            </w:pPr>
            <w:r>
              <w:rPr>
                <w:rFonts w:ascii="Times New Roman"/>
                <w:sz w:val="18"/>
              </w:rPr>
              <w:t>6,071,1</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61.28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 w:right="0"/>
              <w:jc w:val="left"/>
              <w:rPr>
                <w:rFonts w:ascii="Times New Roman" w:hAnsi="Times New Roman" w:cs="Times New Roman" w:eastAsia="Times New Roman" w:hint="default"/>
                <w:sz w:val="18"/>
                <w:szCs w:val="18"/>
              </w:rPr>
            </w:pPr>
            <w:r>
              <w:rPr>
                <w:rFonts w:ascii="Times New Roman"/>
                <w:sz w:val="18"/>
              </w:rPr>
              <w:t>-11,931,</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617.40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-5,860,4</w:t>
            </w:r>
          </w:p>
          <w:p>
            <w:pPr>
              <w:pStyle w:val="TableParagraph"/>
              <w:spacing w:line="240" w:lineRule="auto" w:before="105"/>
              <w:ind w:left="208" w:right="0"/>
              <w:jc w:val="center"/>
              <w:rPr>
                <w:rFonts w:ascii="Times New Roman" w:hAnsi="Times New Roman" w:cs="Times New Roman" w:eastAsia="Times New Roman" w:hint="default"/>
                <w:sz w:val="18"/>
                <w:szCs w:val="18"/>
              </w:rPr>
            </w:pPr>
            <w:r>
              <w:rPr>
                <w:rFonts w:ascii="Times New Roman"/>
                <w:sz w:val="18"/>
              </w:rPr>
              <w:t>56.12</w:t>
            </w:r>
          </w:p>
        </w:tc>
      </w:tr>
      <w:tr>
        <w:trPr>
          <w:trHeight w:val="714" w:hRule="exact"/>
        </w:trPr>
        <w:tc>
          <w:tcPr>
            <w:tcW w:w="143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7" w:right="0"/>
              <w:jc w:val="center"/>
              <w:rPr>
                <w:rFonts w:ascii="Times New Roman" w:hAnsi="Times New Roman" w:cs="Times New Roman" w:eastAsia="Times New Roman" w:hint="default"/>
                <w:sz w:val="18"/>
                <w:szCs w:val="18"/>
              </w:rPr>
            </w:pPr>
            <w:r>
              <w:rPr>
                <w:rFonts w:ascii="Times New Roman"/>
                <w:sz w:val="18"/>
              </w:rPr>
              <w:t>6,071,1</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61.28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 w:right="0"/>
              <w:jc w:val="center"/>
              <w:rPr>
                <w:rFonts w:ascii="Times New Roman" w:hAnsi="Times New Roman" w:cs="Times New Roman" w:eastAsia="Times New Roman" w:hint="default"/>
                <w:sz w:val="18"/>
                <w:szCs w:val="18"/>
              </w:rPr>
            </w:pPr>
            <w:r>
              <w:rPr>
                <w:rFonts w:ascii="Times New Roman"/>
                <w:sz w:val="18"/>
              </w:rPr>
              <w:t>-6,071,1</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61.28</w:t>
            </w:r>
          </w:p>
        </w:tc>
        <w:tc>
          <w:tcPr>
            <w:tcW w:w="652"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12" w:space="0" w:color="000000"/>
            </w:tcBorders>
          </w:tcPr>
          <w:p>
            <w:pPr/>
          </w:p>
        </w:tc>
      </w:tr>
      <w:tr>
        <w:trPr>
          <w:trHeight w:val="714" w:hRule="exact"/>
        </w:trPr>
        <w:tc>
          <w:tcPr>
            <w:tcW w:w="143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00" w:lineRule="auto" w:before="52"/>
              <w:ind w:left="13"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12" w:space="0" w:color="000000"/>
            </w:tcBorders>
          </w:tcPr>
          <w:p>
            <w:pPr/>
          </w:p>
        </w:tc>
      </w:tr>
      <w:tr>
        <w:trPr>
          <w:trHeight w:val="714" w:hRule="exact"/>
        </w:trPr>
        <w:tc>
          <w:tcPr>
            <w:tcW w:w="143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00" w:lineRule="auto" w:before="52"/>
              <w:ind w:left="13"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 w:right="0"/>
              <w:jc w:val="center"/>
              <w:rPr>
                <w:rFonts w:ascii="Times New Roman" w:hAnsi="Times New Roman" w:cs="Times New Roman" w:eastAsia="Times New Roman" w:hint="default"/>
                <w:sz w:val="18"/>
                <w:szCs w:val="18"/>
              </w:rPr>
            </w:pPr>
            <w:r>
              <w:rPr>
                <w:rFonts w:ascii="Times New Roman"/>
                <w:sz w:val="18"/>
              </w:rPr>
              <w:t>-5,860,4</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56.12</w:t>
            </w:r>
          </w:p>
        </w:tc>
        <w:tc>
          <w:tcPr>
            <w:tcW w:w="652"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-5,860,4</w:t>
            </w:r>
          </w:p>
          <w:p>
            <w:pPr>
              <w:pStyle w:val="TableParagraph"/>
              <w:spacing w:line="240" w:lineRule="auto" w:before="105"/>
              <w:ind w:left="208" w:right="0"/>
              <w:jc w:val="center"/>
              <w:rPr>
                <w:rFonts w:ascii="Times New Roman" w:hAnsi="Times New Roman" w:cs="Times New Roman" w:eastAsia="Times New Roman" w:hint="default"/>
                <w:sz w:val="18"/>
                <w:szCs w:val="18"/>
              </w:rPr>
            </w:pPr>
            <w:r>
              <w:rPr>
                <w:rFonts w:ascii="Times New Roman"/>
                <w:sz w:val="18"/>
              </w:rPr>
              <w:t>56.12</w:t>
            </w:r>
          </w:p>
        </w:tc>
      </w:tr>
      <w:tr>
        <w:trPr>
          <w:trHeight w:val="402" w:hRule="exact"/>
        </w:trPr>
        <w:tc>
          <w:tcPr>
            <w:tcW w:w="143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12" w:space="0" w:color="000000"/>
            </w:tcBorders>
          </w:tcPr>
          <w:p>
            <w:pPr/>
          </w:p>
        </w:tc>
      </w:tr>
      <w:tr>
        <w:trPr>
          <w:trHeight w:val="714" w:hRule="exact"/>
        </w:trPr>
        <w:tc>
          <w:tcPr>
            <w:tcW w:w="143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2"/>
              <w:ind w:left="13"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12" w:space="0" w:color="000000"/>
            </w:tcBorders>
          </w:tcPr>
          <w:p>
            <w:pPr/>
          </w:p>
        </w:tc>
      </w:tr>
      <w:tr>
        <w:trPr>
          <w:trHeight w:val="714" w:hRule="exact"/>
        </w:trPr>
        <w:tc>
          <w:tcPr>
            <w:tcW w:w="143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00" w:lineRule="auto" w:before="52"/>
              <w:ind w:left="13"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12" w:space="0" w:color="000000"/>
            </w:tcBorders>
          </w:tcPr>
          <w:p>
            <w:pPr/>
          </w:p>
        </w:tc>
      </w:tr>
      <w:tr>
        <w:trPr>
          <w:trHeight w:val="714" w:hRule="exact"/>
        </w:trPr>
        <w:tc>
          <w:tcPr>
            <w:tcW w:w="143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00" w:lineRule="auto" w:before="52"/>
              <w:ind w:left="13"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12" w:space="0" w:color="000000"/>
            </w:tcBorders>
          </w:tcPr>
          <w:p>
            <w:pPr/>
          </w:p>
        </w:tc>
      </w:tr>
      <w:tr>
        <w:trPr>
          <w:trHeight w:val="714" w:hRule="exact"/>
        </w:trPr>
        <w:tc>
          <w:tcPr>
            <w:tcW w:w="143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00" w:lineRule="auto" w:before="53"/>
              <w:ind w:left="13"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12" w:space="0" w:color="000000"/>
            </w:tcBorders>
          </w:tcPr>
          <w:p>
            <w:pPr/>
          </w:p>
        </w:tc>
      </w:tr>
      <w:tr>
        <w:trPr>
          <w:trHeight w:val="412" w:hRule="exact"/>
        </w:trPr>
        <w:tc>
          <w:tcPr>
            <w:tcW w:w="143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12" w:space="0" w:color="000000"/>
              <w:right w:val="single" w:sz="4" w:space="0" w:color="000000"/>
            </w:tcBorders>
          </w:tcPr>
          <w:p>
            <w:pPr/>
          </w:p>
        </w:tc>
        <w:tc>
          <w:tcPr>
            <w:tcW w:w="530" w:type="dxa"/>
            <w:tcBorders>
              <w:top w:val="single" w:sz="4" w:space="0" w:color="000000"/>
              <w:left w:val="single" w:sz="4" w:space="0" w:color="000000"/>
              <w:bottom w:val="single" w:sz="12" w:space="0" w:color="000000"/>
              <w:right w:val="single" w:sz="4" w:space="0" w:color="000000"/>
            </w:tcBorders>
          </w:tcPr>
          <w:p>
            <w:pPr/>
          </w:p>
        </w:tc>
        <w:tc>
          <w:tcPr>
            <w:tcW w:w="532" w:type="dxa"/>
            <w:tcBorders>
              <w:top w:val="single" w:sz="4" w:space="0" w:color="000000"/>
              <w:left w:val="single" w:sz="4" w:space="0" w:color="000000"/>
              <w:bottom w:val="single" w:sz="12" w:space="0" w:color="000000"/>
              <w:right w:val="single" w:sz="4" w:space="0" w:color="000000"/>
            </w:tcBorders>
          </w:tcPr>
          <w:p>
            <w:pPr/>
          </w:p>
        </w:tc>
        <w:tc>
          <w:tcPr>
            <w:tcW w:w="530" w:type="dxa"/>
            <w:tcBorders>
              <w:top w:val="single" w:sz="4" w:space="0" w:color="000000"/>
              <w:left w:val="single" w:sz="4" w:space="0" w:color="000000"/>
              <w:bottom w:val="single" w:sz="12" w:space="0" w:color="000000"/>
              <w:right w:val="single" w:sz="4" w:space="0" w:color="000000"/>
            </w:tcBorders>
          </w:tcPr>
          <w:p>
            <w:pPr/>
          </w:p>
        </w:tc>
        <w:tc>
          <w:tcPr>
            <w:tcW w:w="665" w:type="dxa"/>
            <w:tcBorders>
              <w:top w:val="single" w:sz="4" w:space="0" w:color="000000"/>
              <w:left w:val="single" w:sz="4" w:space="0" w:color="000000"/>
              <w:bottom w:val="single" w:sz="12" w:space="0" w:color="000000"/>
              <w:right w:val="single" w:sz="4" w:space="0" w:color="000000"/>
            </w:tcBorders>
          </w:tcPr>
          <w:p>
            <w:pPr/>
          </w:p>
        </w:tc>
        <w:tc>
          <w:tcPr>
            <w:tcW w:w="665" w:type="dxa"/>
            <w:tcBorders>
              <w:top w:val="single" w:sz="4" w:space="0" w:color="000000"/>
              <w:left w:val="single" w:sz="4" w:space="0" w:color="000000"/>
              <w:bottom w:val="single" w:sz="12" w:space="0" w:color="000000"/>
              <w:right w:val="single" w:sz="4" w:space="0" w:color="000000"/>
            </w:tcBorders>
          </w:tcPr>
          <w:p>
            <w:pPr/>
          </w:p>
        </w:tc>
        <w:tc>
          <w:tcPr>
            <w:tcW w:w="665" w:type="dxa"/>
            <w:tcBorders>
              <w:top w:val="single" w:sz="4" w:space="0" w:color="000000"/>
              <w:left w:val="single" w:sz="4" w:space="0" w:color="000000"/>
              <w:bottom w:val="single" w:sz="12" w:space="0" w:color="000000"/>
              <w:right w:val="single" w:sz="4" w:space="0" w:color="000000"/>
            </w:tcBorders>
          </w:tcPr>
          <w:p>
            <w:pPr/>
          </w:p>
        </w:tc>
        <w:tc>
          <w:tcPr>
            <w:tcW w:w="665" w:type="dxa"/>
            <w:tcBorders>
              <w:top w:val="single" w:sz="4" w:space="0" w:color="000000"/>
              <w:left w:val="single" w:sz="4" w:space="0" w:color="000000"/>
              <w:bottom w:val="single" w:sz="12" w:space="0" w:color="000000"/>
              <w:right w:val="single" w:sz="4" w:space="0" w:color="000000"/>
            </w:tcBorders>
          </w:tcPr>
          <w:p>
            <w:pPr/>
          </w:p>
        </w:tc>
        <w:tc>
          <w:tcPr>
            <w:tcW w:w="665" w:type="dxa"/>
            <w:tcBorders>
              <w:top w:val="single" w:sz="4" w:space="0" w:color="000000"/>
              <w:left w:val="single" w:sz="4" w:space="0" w:color="000000"/>
              <w:bottom w:val="single" w:sz="12" w:space="0" w:color="000000"/>
              <w:right w:val="single" w:sz="4" w:space="0" w:color="000000"/>
            </w:tcBorders>
          </w:tcPr>
          <w:p>
            <w:pPr/>
          </w:p>
        </w:tc>
        <w:tc>
          <w:tcPr>
            <w:tcW w:w="665" w:type="dxa"/>
            <w:tcBorders>
              <w:top w:val="single" w:sz="4" w:space="0" w:color="000000"/>
              <w:left w:val="single" w:sz="4" w:space="0" w:color="000000"/>
              <w:bottom w:val="single" w:sz="12" w:space="0" w:color="000000"/>
              <w:right w:val="single" w:sz="4" w:space="0" w:color="000000"/>
            </w:tcBorders>
          </w:tcPr>
          <w:p>
            <w:pPr/>
          </w:p>
        </w:tc>
        <w:tc>
          <w:tcPr>
            <w:tcW w:w="678" w:type="dxa"/>
            <w:tcBorders>
              <w:top w:val="single" w:sz="4" w:space="0" w:color="000000"/>
              <w:left w:val="single" w:sz="4" w:space="0" w:color="000000"/>
              <w:bottom w:val="single" w:sz="12" w:space="0" w:color="000000"/>
              <w:right w:val="single" w:sz="4" w:space="0" w:color="000000"/>
            </w:tcBorders>
          </w:tcPr>
          <w:p>
            <w:pPr/>
          </w:p>
        </w:tc>
        <w:tc>
          <w:tcPr>
            <w:tcW w:w="652" w:type="dxa"/>
            <w:tcBorders>
              <w:top w:val="single" w:sz="4" w:space="0" w:color="000000"/>
              <w:left w:val="single" w:sz="4" w:space="0" w:color="000000"/>
              <w:bottom w:val="single" w:sz="12" w:space="0" w:color="000000"/>
              <w:right w:val="single" w:sz="4" w:space="0" w:color="000000"/>
            </w:tcBorders>
          </w:tcPr>
          <w:p>
            <w:pPr/>
          </w:p>
        </w:tc>
        <w:tc>
          <w:tcPr>
            <w:tcW w:w="658" w:type="dxa"/>
            <w:tcBorders>
              <w:top w:val="single" w:sz="4" w:space="0" w:color="000000"/>
              <w:left w:val="single" w:sz="4" w:space="0" w:color="000000"/>
              <w:bottom w:val="single" w:sz="12" w:space="0" w:color="000000"/>
              <w:right w:val="single" w:sz="12" w:space="0" w:color="000000"/>
            </w:tcBorders>
          </w:tcPr>
          <w:p>
            <w:pPr/>
          </w:p>
        </w:tc>
      </w:tr>
    </w:tbl>
    <w:p>
      <w:pPr>
        <w:spacing w:after="0"/>
        <w:sectPr>
          <w:footerReference w:type="default" r:id="rId17"/>
          <w:pgSz w:w="11910" w:h="16840"/>
          <w:pgMar w:footer="979" w:header="747"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18" w:type="dxa"/>
        <w:tblLayout w:type="fixed"/>
        <w:tblCellMar>
          <w:top w:w="0" w:type="dxa"/>
          <w:left w:w="0" w:type="dxa"/>
          <w:bottom w:w="0" w:type="dxa"/>
          <w:right w:w="0" w:type="dxa"/>
        </w:tblCellMar>
        <w:tblLook w:val="01E0"/>
      </w:tblPr>
      <w:tblGrid>
        <w:gridCol w:w="1438"/>
        <w:gridCol w:w="562"/>
        <w:gridCol w:w="530"/>
        <w:gridCol w:w="532"/>
        <w:gridCol w:w="530"/>
        <w:gridCol w:w="665"/>
        <w:gridCol w:w="665"/>
        <w:gridCol w:w="665"/>
        <w:gridCol w:w="665"/>
        <w:gridCol w:w="665"/>
        <w:gridCol w:w="665"/>
        <w:gridCol w:w="678"/>
        <w:gridCol w:w="652"/>
        <w:gridCol w:w="658"/>
      </w:tblGrid>
      <w:tr>
        <w:trPr>
          <w:trHeight w:val="412" w:hRule="exact"/>
        </w:trPr>
        <w:tc>
          <w:tcPr>
            <w:tcW w:w="143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12" w:space="0" w:color="000000"/>
              <w:left w:val="single" w:sz="4" w:space="0" w:color="000000"/>
              <w:bottom w:val="single" w:sz="4" w:space="0" w:color="000000"/>
              <w:right w:val="single" w:sz="4" w:space="0" w:color="000000"/>
            </w:tcBorders>
          </w:tcPr>
          <w:p>
            <w:pPr/>
          </w:p>
        </w:tc>
        <w:tc>
          <w:tcPr>
            <w:tcW w:w="530" w:type="dxa"/>
            <w:tcBorders>
              <w:top w:val="single" w:sz="12" w:space="0" w:color="000000"/>
              <w:left w:val="single" w:sz="4" w:space="0" w:color="000000"/>
              <w:bottom w:val="single" w:sz="4" w:space="0" w:color="000000"/>
              <w:right w:val="single" w:sz="4" w:space="0" w:color="000000"/>
            </w:tcBorders>
          </w:tcPr>
          <w:p>
            <w:pPr/>
          </w:p>
        </w:tc>
        <w:tc>
          <w:tcPr>
            <w:tcW w:w="532" w:type="dxa"/>
            <w:tcBorders>
              <w:top w:val="single" w:sz="12" w:space="0" w:color="000000"/>
              <w:left w:val="single" w:sz="4" w:space="0" w:color="000000"/>
              <w:bottom w:val="single" w:sz="4" w:space="0" w:color="000000"/>
              <w:right w:val="single" w:sz="4" w:space="0" w:color="000000"/>
            </w:tcBorders>
          </w:tcPr>
          <w:p>
            <w:pPr/>
          </w:p>
        </w:tc>
        <w:tc>
          <w:tcPr>
            <w:tcW w:w="530" w:type="dxa"/>
            <w:tcBorders>
              <w:top w:val="single" w:sz="12" w:space="0" w:color="000000"/>
              <w:left w:val="single" w:sz="4" w:space="0" w:color="000000"/>
              <w:bottom w:val="single" w:sz="4" w:space="0" w:color="000000"/>
              <w:right w:val="single" w:sz="4" w:space="0" w:color="000000"/>
            </w:tcBorders>
          </w:tcPr>
          <w:p>
            <w:pPr/>
          </w:p>
        </w:tc>
        <w:tc>
          <w:tcPr>
            <w:tcW w:w="665" w:type="dxa"/>
            <w:tcBorders>
              <w:top w:val="single" w:sz="12" w:space="0" w:color="000000"/>
              <w:left w:val="single" w:sz="4" w:space="0" w:color="000000"/>
              <w:bottom w:val="single" w:sz="4" w:space="0" w:color="000000"/>
              <w:right w:val="single" w:sz="4" w:space="0" w:color="000000"/>
            </w:tcBorders>
          </w:tcPr>
          <w:p>
            <w:pPr/>
          </w:p>
        </w:tc>
        <w:tc>
          <w:tcPr>
            <w:tcW w:w="665" w:type="dxa"/>
            <w:tcBorders>
              <w:top w:val="single" w:sz="12" w:space="0" w:color="000000"/>
              <w:left w:val="single" w:sz="4" w:space="0" w:color="000000"/>
              <w:bottom w:val="single" w:sz="4" w:space="0" w:color="000000"/>
              <w:right w:val="single" w:sz="4" w:space="0" w:color="000000"/>
            </w:tcBorders>
          </w:tcPr>
          <w:p>
            <w:pPr/>
          </w:p>
        </w:tc>
        <w:tc>
          <w:tcPr>
            <w:tcW w:w="665" w:type="dxa"/>
            <w:tcBorders>
              <w:top w:val="single" w:sz="12" w:space="0" w:color="000000"/>
              <w:left w:val="single" w:sz="4" w:space="0" w:color="000000"/>
              <w:bottom w:val="single" w:sz="4" w:space="0" w:color="000000"/>
              <w:right w:val="single" w:sz="4" w:space="0" w:color="000000"/>
            </w:tcBorders>
          </w:tcPr>
          <w:p>
            <w:pPr/>
          </w:p>
        </w:tc>
        <w:tc>
          <w:tcPr>
            <w:tcW w:w="665" w:type="dxa"/>
            <w:tcBorders>
              <w:top w:val="single" w:sz="12" w:space="0" w:color="000000"/>
              <w:left w:val="single" w:sz="4" w:space="0" w:color="000000"/>
              <w:bottom w:val="single" w:sz="4" w:space="0" w:color="000000"/>
              <w:right w:val="single" w:sz="4" w:space="0" w:color="000000"/>
            </w:tcBorders>
          </w:tcPr>
          <w:p>
            <w:pPr/>
          </w:p>
        </w:tc>
        <w:tc>
          <w:tcPr>
            <w:tcW w:w="665" w:type="dxa"/>
            <w:tcBorders>
              <w:top w:val="single" w:sz="12" w:space="0" w:color="000000"/>
              <w:left w:val="single" w:sz="4" w:space="0" w:color="000000"/>
              <w:bottom w:val="single" w:sz="4" w:space="0" w:color="000000"/>
              <w:right w:val="single" w:sz="4" w:space="0" w:color="000000"/>
            </w:tcBorders>
          </w:tcPr>
          <w:p>
            <w:pPr/>
          </w:p>
        </w:tc>
        <w:tc>
          <w:tcPr>
            <w:tcW w:w="665" w:type="dxa"/>
            <w:tcBorders>
              <w:top w:val="single" w:sz="12" w:space="0" w:color="000000"/>
              <w:left w:val="single" w:sz="4" w:space="0" w:color="000000"/>
              <w:bottom w:val="single" w:sz="4" w:space="0" w:color="000000"/>
              <w:right w:val="single" w:sz="4" w:space="0" w:color="000000"/>
            </w:tcBorders>
          </w:tcPr>
          <w:p>
            <w:pPr/>
          </w:p>
        </w:tc>
        <w:tc>
          <w:tcPr>
            <w:tcW w:w="678" w:type="dxa"/>
            <w:tcBorders>
              <w:top w:val="single" w:sz="12" w:space="0" w:color="000000"/>
              <w:left w:val="single" w:sz="4" w:space="0" w:color="000000"/>
              <w:bottom w:val="single" w:sz="4" w:space="0" w:color="000000"/>
              <w:right w:val="single" w:sz="4" w:space="0" w:color="000000"/>
            </w:tcBorders>
          </w:tcPr>
          <w:p>
            <w:pPr/>
          </w:p>
        </w:tc>
        <w:tc>
          <w:tcPr>
            <w:tcW w:w="652" w:type="dxa"/>
            <w:tcBorders>
              <w:top w:val="single" w:sz="12" w:space="0" w:color="000000"/>
              <w:left w:val="single" w:sz="4" w:space="0" w:color="000000"/>
              <w:bottom w:val="single" w:sz="4" w:space="0" w:color="000000"/>
              <w:right w:val="single" w:sz="4" w:space="0" w:color="000000"/>
            </w:tcBorders>
          </w:tcPr>
          <w:p>
            <w:pPr/>
          </w:p>
        </w:tc>
        <w:tc>
          <w:tcPr>
            <w:tcW w:w="658" w:type="dxa"/>
            <w:tcBorders>
              <w:top w:val="single" w:sz="12" w:space="0" w:color="000000"/>
              <w:left w:val="single" w:sz="4" w:space="0" w:color="000000"/>
              <w:bottom w:val="single" w:sz="4" w:space="0" w:color="000000"/>
              <w:right w:val="single" w:sz="12" w:space="0" w:color="000000"/>
            </w:tcBorders>
          </w:tcPr>
          <w:p>
            <w:pPr/>
          </w:p>
        </w:tc>
      </w:tr>
      <w:tr>
        <w:trPr>
          <w:trHeight w:val="402" w:hRule="exact"/>
        </w:trPr>
        <w:tc>
          <w:tcPr>
            <w:tcW w:w="143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143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143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12" w:space="0" w:color="000000"/>
            </w:tcBorders>
          </w:tcPr>
          <w:p>
            <w:pPr/>
          </w:p>
        </w:tc>
      </w:tr>
      <w:tr>
        <w:trPr>
          <w:trHeight w:val="1036" w:hRule="exact"/>
        </w:trPr>
        <w:tc>
          <w:tcPr>
            <w:tcW w:w="143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3"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293,02</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2,806.</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12" w:space="0" w:color="000000"/>
              <w:right w:val="single" w:sz="4" w:space="0" w:color="000000"/>
            </w:tcBorders>
          </w:tcPr>
          <w:p>
            <w:pPr/>
          </w:p>
        </w:tc>
        <w:tc>
          <w:tcPr>
            <w:tcW w:w="532" w:type="dxa"/>
            <w:tcBorders>
              <w:top w:val="single" w:sz="4" w:space="0" w:color="000000"/>
              <w:left w:val="single" w:sz="4" w:space="0" w:color="000000"/>
              <w:bottom w:val="single" w:sz="12" w:space="0" w:color="000000"/>
              <w:right w:val="single" w:sz="4" w:space="0" w:color="000000"/>
            </w:tcBorders>
          </w:tcPr>
          <w:p>
            <w:pPr/>
          </w:p>
        </w:tc>
        <w:tc>
          <w:tcPr>
            <w:tcW w:w="530" w:type="dxa"/>
            <w:tcBorders>
              <w:top w:val="single" w:sz="4" w:space="0" w:color="000000"/>
              <w:left w:val="single" w:sz="4" w:space="0" w:color="000000"/>
              <w:bottom w:val="single" w:sz="12" w:space="0" w:color="000000"/>
              <w:right w:val="single" w:sz="4" w:space="0" w:color="000000"/>
            </w:tcBorders>
          </w:tcPr>
          <w:p>
            <w:pPr/>
          </w:p>
        </w:tc>
        <w:tc>
          <w:tcPr>
            <w:tcW w:w="6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586,704</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,481.46</w:t>
            </w:r>
          </w:p>
        </w:tc>
        <w:tc>
          <w:tcPr>
            <w:tcW w:w="665" w:type="dxa"/>
            <w:tcBorders>
              <w:top w:val="single" w:sz="4" w:space="0" w:color="000000"/>
              <w:left w:val="single" w:sz="4" w:space="0" w:color="000000"/>
              <w:bottom w:val="single" w:sz="12" w:space="0" w:color="000000"/>
              <w:right w:val="single" w:sz="4" w:space="0" w:color="000000"/>
            </w:tcBorders>
          </w:tcPr>
          <w:p>
            <w:pPr/>
          </w:p>
        </w:tc>
        <w:tc>
          <w:tcPr>
            <w:tcW w:w="665" w:type="dxa"/>
            <w:tcBorders>
              <w:top w:val="single" w:sz="4" w:space="0" w:color="000000"/>
              <w:left w:val="single" w:sz="4" w:space="0" w:color="000000"/>
              <w:bottom w:val="single" w:sz="12" w:space="0" w:color="000000"/>
              <w:right w:val="single" w:sz="4" w:space="0" w:color="000000"/>
            </w:tcBorders>
          </w:tcPr>
          <w:p>
            <w:pPr/>
          </w:p>
        </w:tc>
        <w:tc>
          <w:tcPr>
            <w:tcW w:w="665" w:type="dxa"/>
            <w:tcBorders>
              <w:top w:val="single" w:sz="4" w:space="0" w:color="000000"/>
              <w:left w:val="single" w:sz="4" w:space="0" w:color="000000"/>
              <w:bottom w:val="single" w:sz="12" w:space="0" w:color="000000"/>
              <w:right w:val="single" w:sz="4" w:space="0" w:color="000000"/>
            </w:tcBorders>
          </w:tcPr>
          <w:p>
            <w:pPr/>
          </w:p>
        </w:tc>
        <w:tc>
          <w:tcPr>
            <w:tcW w:w="6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32,262,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834.53</w:t>
            </w:r>
          </w:p>
        </w:tc>
        <w:tc>
          <w:tcPr>
            <w:tcW w:w="665" w:type="dxa"/>
            <w:tcBorders>
              <w:top w:val="single" w:sz="4" w:space="0" w:color="000000"/>
              <w:left w:val="single" w:sz="4" w:space="0" w:color="000000"/>
              <w:bottom w:val="single" w:sz="12" w:space="0" w:color="000000"/>
              <w:right w:val="single" w:sz="4" w:space="0" w:color="000000"/>
            </w:tcBorders>
          </w:tcPr>
          <w:p>
            <w:pPr/>
          </w:p>
        </w:tc>
        <w:tc>
          <w:tcPr>
            <w:tcW w:w="6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382,955</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,569.32</w:t>
            </w:r>
          </w:p>
        </w:tc>
        <w:tc>
          <w:tcPr>
            <w:tcW w:w="65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491,294</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,422.76</w:t>
            </w:r>
          </w:p>
        </w:tc>
        <w:tc>
          <w:tcPr>
            <w:tcW w:w="65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1,786,2</w:t>
            </w:r>
          </w:p>
          <w:p>
            <w:pPr>
              <w:pStyle w:val="TableParagraph"/>
              <w:spacing w:line="240" w:lineRule="auto" w:before="104"/>
              <w:ind w:right="10"/>
              <w:jc w:val="right"/>
              <w:rPr>
                <w:rFonts w:ascii="Times New Roman" w:hAnsi="Times New Roman" w:cs="Times New Roman" w:eastAsia="Times New Roman" w:hint="default"/>
                <w:sz w:val="18"/>
                <w:szCs w:val="18"/>
              </w:rPr>
            </w:pPr>
            <w:r>
              <w:rPr>
                <w:rFonts w:ascii="Times New Roman"/>
                <w:spacing w:val="-2"/>
                <w:sz w:val="18"/>
              </w:rPr>
              <w:t>40,114.</w:t>
            </w:r>
          </w:p>
          <w:p>
            <w:pPr>
              <w:pStyle w:val="TableParagraph"/>
              <w:spacing w:line="240" w:lineRule="auto" w:before="106"/>
              <w:ind w:right="11"/>
              <w:jc w:val="right"/>
              <w:rPr>
                <w:rFonts w:ascii="Times New Roman" w:hAnsi="Times New Roman" w:cs="Times New Roman" w:eastAsia="Times New Roman" w:hint="default"/>
                <w:sz w:val="18"/>
                <w:szCs w:val="18"/>
              </w:rPr>
            </w:pPr>
            <w:r>
              <w:rPr>
                <w:rFonts w:ascii="Times New Roman"/>
                <w:sz w:val="18"/>
              </w:rPr>
              <w:t>07</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1134" w:right="0"/>
        <w:jc w:val="left"/>
        <w:rPr>
          <w:b w:val="0"/>
          <w:bCs w:val="0"/>
        </w:rPr>
      </w:pPr>
      <w:bookmarkStart w:name="8、母公司所有者权益变动表" w:id="161"/>
      <w:bookmarkEnd w:id="161"/>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spacing w:before="44"/>
        <w:ind w:left="1134"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18" w:type="dxa"/>
        <w:tblLayout w:type="fixed"/>
        <w:tblCellMar>
          <w:top w:w="0" w:type="dxa"/>
          <w:left w:w="0" w:type="dxa"/>
          <w:bottom w:w="0" w:type="dxa"/>
          <w:right w:w="0" w:type="dxa"/>
        </w:tblCellMar>
        <w:tblLook w:val="01E0"/>
      </w:tblPr>
      <w:tblGrid>
        <w:gridCol w:w="1430"/>
        <w:gridCol w:w="703"/>
        <w:gridCol w:w="665"/>
        <w:gridCol w:w="665"/>
        <w:gridCol w:w="665"/>
        <w:gridCol w:w="797"/>
        <w:gridCol w:w="798"/>
        <w:gridCol w:w="798"/>
        <w:gridCol w:w="798"/>
        <w:gridCol w:w="797"/>
        <w:gridCol w:w="676"/>
        <w:gridCol w:w="781"/>
      </w:tblGrid>
      <w:tr>
        <w:trPr>
          <w:trHeight w:val="407" w:hRule="exact"/>
        </w:trPr>
        <w:tc>
          <w:tcPr>
            <w:tcW w:w="1430" w:type="dxa"/>
            <w:tcBorders>
              <w:top w:val="single" w:sz="12" w:space="0" w:color="000000"/>
              <w:left w:val="single" w:sz="12" w:space="0" w:color="000000"/>
              <w:bottom w:val="nil" w:sz="6" w:space="0" w:color="auto"/>
              <w:right w:val="single" w:sz="4" w:space="0" w:color="000000"/>
            </w:tcBorders>
            <w:shd w:val="clear" w:color="auto" w:fill="D2D2D2"/>
          </w:tcPr>
          <w:p>
            <w:pPr/>
          </w:p>
        </w:tc>
        <w:tc>
          <w:tcPr>
            <w:tcW w:w="8142" w:type="dxa"/>
            <w:gridSpan w:val="11"/>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1"/>
              <w:ind w:left="2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30" w:type="dxa"/>
            <w:vMerge w:val="restart"/>
            <w:tcBorders>
              <w:top w:val="nil" w:sz="6" w:space="0" w:color="auto"/>
              <w:left w:val="single" w:sz="12" w:space="0" w:color="000000"/>
              <w:right w:val="single" w:sz="4" w:space="0" w:color="000000"/>
            </w:tcBorders>
            <w:shd w:val="clear" w:color="auto" w:fill="D2D2D2"/>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12" w:space="0" w:color="000000"/>
            </w:tcBorders>
            <w:shd w:val="clear" w:color="auto" w:fill="D2D2D2"/>
          </w:tcPr>
          <w:p>
            <w:pPr>
              <w:pStyle w:val="TableParagraph"/>
              <w:spacing w:line="316" w:lineRule="auto" w:before="101"/>
              <w:ind w:left="115" w:right="13"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30" w:type="dxa"/>
            <w:vMerge/>
            <w:tcBorders>
              <w:left w:val="single" w:sz="12"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12" w:space="0" w:color="000000"/>
            </w:tcBorders>
            <w:shd w:val="clear" w:color="auto" w:fill="D2D2D2"/>
          </w:tcPr>
          <w:p>
            <w:pPr/>
          </w:p>
        </w:tc>
      </w:tr>
      <w:tr>
        <w:trPr>
          <w:trHeight w:val="202" w:hRule="exact"/>
        </w:trPr>
        <w:tc>
          <w:tcPr>
            <w:tcW w:w="1430" w:type="dxa"/>
            <w:vMerge w:val="restart"/>
            <w:tcBorders>
              <w:top w:val="nil" w:sz="6" w:space="0" w:color="auto"/>
              <w:left w:val="single" w:sz="12"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12" w:space="0" w:color="000000"/>
            </w:tcBorders>
            <w:shd w:val="clear" w:color="auto" w:fill="D2D2D2"/>
          </w:tcPr>
          <w:p>
            <w:pPr/>
          </w:p>
        </w:tc>
      </w:tr>
      <w:tr>
        <w:trPr>
          <w:trHeight w:val="205" w:hRule="exact"/>
        </w:trPr>
        <w:tc>
          <w:tcPr>
            <w:tcW w:w="1430" w:type="dxa"/>
            <w:vMerge/>
            <w:tcBorders>
              <w:left w:val="single" w:sz="12"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12" w:space="0" w:color="000000"/>
            </w:tcBorders>
            <w:shd w:val="clear" w:color="auto" w:fill="D2D2D2"/>
          </w:tcPr>
          <w:p>
            <w:pPr/>
          </w:p>
        </w:tc>
      </w:tr>
      <w:tr>
        <w:trPr>
          <w:trHeight w:val="161" w:hRule="exact"/>
        </w:trPr>
        <w:tc>
          <w:tcPr>
            <w:tcW w:w="1430" w:type="dxa"/>
            <w:tcBorders>
              <w:top w:val="single" w:sz="4" w:space="0" w:color="000000"/>
              <w:left w:val="single" w:sz="12"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293,022,</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806.00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647,930,5</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92.46</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32,262,83</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4.53</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9"/>
              <w:ind w:left="58" w:right="0"/>
              <w:jc w:val="left"/>
              <w:rPr>
                <w:rFonts w:ascii="Times New Roman" w:hAnsi="Times New Roman" w:cs="Times New Roman" w:eastAsia="Times New Roman" w:hint="default"/>
                <w:sz w:val="18"/>
                <w:szCs w:val="18"/>
              </w:rPr>
            </w:pPr>
            <w:r>
              <w:rPr>
                <w:rFonts w:ascii="Times New Roman"/>
                <w:sz w:val="18"/>
              </w:rPr>
              <w:t>214,399</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,484.52</w:t>
            </w:r>
          </w:p>
        </w:tc>
        <w:tc>
          <w:tcPr>
            <w:tcW w:w="781" w:type="dxa"/>
            <w:vMerge w:val="restart"/>
            <w:tcBorders>
              <w:top w:val="single" w:sz="22" w:space="0" w:color="D2D2D2"/>
              <w:left w:val="single" w:sz="4" w:space="0" w:color="000000"/>
              <w:right w:val="single" w:sz="12" w:space="0" w:color="000000"/>
            </w:tcBorders>
          </w:tcPr>
          <w:p>
            <w:pPr>
              <w:pStyle w:val="TableParagraph"/>
              <w:spacing w:line="240" w:lineRule="auto" w:before="69"/>
              <w:ind w:left="15" w:right="0"/>
              <w:jc w:val="center"/>
              <w:rPr>
                <w:rFonts w:ascii="Times New Roman" w:hAnsi="Times New Roman" w:cs="Times New Roman" w:eastAsia="Times New Roman" w:hint="default"/>
                <w:sz w:val="18"/>
                <w:szCs w:val="18"/>
              </w:rPr>
            </w:pPr>
            <w:r>
              <w:rPr>
                <w:rFonts w:ascii="Times New Roman"/>
                <w:sz w:val="18"/>
              </w:rPr>
              <w:t>1,187,615</w:t>
            </w:r>
          </w:p>
          <w:p>
            <w:pPr>
              <w:pStyle w:val="TableParagraph"/>
              <w:spacing w:line="240" w:lineRule="auto" w:before="106"/>
              <w:ind w:left="195" w:right="0"/>
              <w:jc w:val="center"/>
              <w:rPr>
                <w:rFonts w:ascii="Times New Roman" w:hAnsi="Times New Roman" w:cs="Times New Roman" w:eastAsia="Times New Roman" w:hint="default"/>
                <w:sz w:val="18"/>
                <w:szCs w:val="18"/>
              </w:rPr>
            </w:pPr>
            <w:r>
              <w:rPr>
                <w:rFonts w:ascii="Times New Roman"/>
                <w:sz w:val="18"/>
              </w:rPr>
              <w:t>,717.51</w:t>
            </w:r>
          </w:p>
        </w:tc>
      </w:tr>
      <w:tr>
        <w:trPr>
          <w:trHeight w:val="392" w:hRule="exact"/>
        </w:trPr>
        <w:tc>
          <w:tcPr>
            <w:tcW w:w="1430" w:type="dxa"/>
            <w:tcBorders>
              <w:top w:val="nil" w:sz="6" w:space="0" w:color="auto"/>
              <w:left w:val="single" w:sz="12"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12" w:space="0" w:color="000000"/>
            </w:tcBorders>
          </w:tcPr>
          <w:p>
            <w:pPr/>
          </w:p>
        </w:tc>
      </w:tr>
      <w:tr>
        <w:trPr>
          <w:trHeight w:val="161" w:hRule="exact"/>
        </w:trPr>
        <w:tc>
          <w:tcPr>
            <w:tcW w:w="1430" w:type="dxa"/>
            <w:tcBorders>
              <w:top w:val="nil" w:sz="6" w:space="0" w:color="auto"/>
              <w:left w:val="single" w:sz="12"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12" w:space="0" w:color="000000"/>
            </w:tcBorders>
          </w:tcPr>
          <w:p>
            <w:pPr/>
          </w:p>
        </w:tc>
      </w:tr>
      <w:tr>
        <w:trPr>
          <w:trHeight w:val="714" w:hRule="exact"/>
        </w:trPr>
        <w:tc>
          <w:tcPr>
            <w:tcW w:w="143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9" w:lineRule="auto" w:before="51"/>
              <w:ind w:left="13"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12" w:space="0" w:color="000000"/>
            </w:tcBorders>
          </w:tcPr>
          <w:p>
            <w:pPr/>
          </w:p>
        </w:tc>
      </w:tr>
      <w:tr>
        <w:trPr>
          <w:trHeight w:val="714" w:hRule="exact"/>
        </w:trPr>
        <w:tc>
          <w:tcPr>
            <w:tcW w:w="143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73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3"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143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73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12" w:space="0" w:color="000000"/>
            </w:tcBorders>
          </w:tcPr>
          <w:p>
            <w:pPr/>
          </w:p>
        </w:tc>
      </w:tr>
      <w:tr>
        <w:trPr>
          <w:trHeight w:val="161" w:hRule="exact"/>
        </w:trPr>
        <w:tc>
          <w:tcPr>
            <w:tcW w:w="1430" w:type="dxa"/>
            <w:tcBorders>
              <w:top w:val="single" w:sz="4" w:space="0" w:color="000000"/>
              <w:left w:val="single" w:sz="12"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293,022,</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806.00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647,930,5</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92.46</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32,262,83</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4.53</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214,399</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,484.52</w:t>
            </w:r>
          </w:p>
        </w:tc>
        <w:tc>
          <w:tcPr>
            <w:tcW w:w="781" w:type="dxa"/>
            <w:vMerge w:val="restart"/>
            <w:tcBorders>
              <w:top w:val="single" w:sz="4" w:space="0" w:color="000000"/>
              <w:left w:val="single" w:sz="4" w:space="0" w:color="000000"/>
              <w:right w:val="single" w:sz="12"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1,187,615</w:t>
            </w:r>
          </w:p>
          <w:p>
            <w:pPr>
              <w:pStyle w:val="TableParagraph"/>
              <w:spacing w:line="240" w:lineRule="auto" w:before="106"/>
              <w:ind w:left="195" w:right="0"/>
              <w:jc w:val="center"/>
              <w:rPr>
                <w:rFonts w:ascii="Times New Roman" w:hAnsi="Times New Roman" w:cs="Times New Roman" w:eastAsia="Times New Roman" w:hint="default"/>
                <w:sz w:val="18"/>
                <w:szCs w:val="18"/>
              </w:rPr>
            </w:pPr>
            <w:r>
              <w:rPr>
                <w:rFonts w:ascii="Times New Roman"/>
                <w:sz w:val="18"/>
              </w:rPr>
              <w:t>,717.51</w:t>
            </w:r>
          </w:p>
        </w:tc>
      </w:tr>
      <w:tr>
        <w:trPr>
          <w:trHeight w:val="392" w:hRule="exact"/>
        </w:trPr>
        <w:tc>
          <w:tcPr>
            <w:tcW w:w="1430" w:type="dxa"/>
            <w:tcBorders>
              <w:top w:val="nil" w:sz="6" w:space="0" w:color="auto"/>
              <w:left w:val="single" w:sz="12"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12" w:space="0" w:color="000000"/>
            </w:tcBorders>
          </w:tcPr>
          <w:p>
            <w:pPr/>
          </w:p>
        </w:tc>
      </w:tr>
      <w:tr>
        <w:trPr>
          <w:trHeight w:val="161" w:hRule="exact"/>
        </w:trPr>
        <w:tc>
          <w:tcPr>
            <w:tcW w:w="1430" w:type="dxa"/>
            <w:tcBorders>
              <w:top w:val="nil" w:sz="6" w:space="0" w:color="auto"/>
              <w:left w:val="single" w:sz="12"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12" w:space="0" w:color="000000"/>
            </w:tcBorders>
          </w:tcPr>
          <w:p>
            <w:pPr/>
          </w:p>
        </w:tc>
      </w:tr>
      <w:tr>
        <w:trPr>
          <w:trHeight w:val="1026" w:hRule="exact"/>
        </w:trPr>
        <w:tc>
          <w:tcPr>
            <w:tcW w:w="143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09" w:lineRule="auto" w:before="51"/>
              <w:ind w:left="13"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3,090,085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.47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17,554,</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971.64</w:t>
            </w:r>
          </w:p>
        </w:tc>
        <w:tc>
          <w:tcPr>
            <w:tcW w:w="78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20,645,05</w:t>
            </w:r>
          </w:p>
          <w:p>
            <w:pPr>
              <w:pStyle w:val="TableParagraph"/>
              <w:spacing w:line="240" w:lineRule="auto" w:before="106"/>
              <w:ind w:left="439" w:right="0"/>
              <w:jc w:val="left"/>
              <w:rPr>
                <w:rFonts w:ascii="Times New Roman" w:hAnsi="Times New Roman" w:cs="Times New Roman" w:eastAsia="Times New Roman" w:hint="default"/>
                <w:sz w:val="18"/>
                <w:szCs w:val="18"/>
              </w:rPr>
            </w:pPr>
            <w:r>
              <w:rPr>
                <w:rFonts w:ascii="Times New Roman"/>
                <w:sz w:val="18"/>
              </w:rPr>
              <w:t>7.11</w:t>
            </w:r>
          </w:p>
        </w:tc>
      </w:tr>
      <w:tr>
        <w:trPr>
          <w:trHeight w:val="714" w:hRule="exact"/>
        </w:trPr>
        <w:tc>
          <w:tcPr>
            <w:tcW w:w="143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9" w:lineRule="auto" w:before="51"/>
              <w:ind w:left="13"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30,900,</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854.67</w:t>
            </w:r>
          </w:p>
        </w:tc>
        <w:tc>
          <w:tcPr>
            <w:tcW w:w="78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30,900,85</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4.67</w:t>
            </w:r>
          </w:p>
        </w:tc>
      </w:tr>
      <w:tr>
        <w:trPr>
          <w:trHeight w:val="714" w:hRule="exact"/>
        </w:trPr>
        <w:tc>
          <w:tcPr>
            <w:tcW w:w="143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9" w:lineRule="auto" w:before="51"/>
              <w:ind w:left="13"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12" w:space="0" w:color="000000"/>
            </w:tcBorders>
          </w:tcPr>
          <w:p>
            <w:pPr/>
          </w:p>
        </w:tc>
      </w:tr>
      <w:tr>
        <w:trPr>
          <w:trHeight w:val="714" w:hRule="exact"/>
        </w:trPr>
        <w:tc>
          <w:tcPr>
            <w:tcW w:w="143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02" w:lineRule="auto" w:before="51"/>
              <w:ind w:left="13"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12" w:space="0" w:color="000000"/>
            </w:tcBorders>
          </w:tcPr>
          <w:p>
            <w:pPr/>
          </w:p>
        </w:tc>
      </w:tr>
      <w:tr>
        <w:trPr>
          <w:trHeight w:val="714" w:hRule="exact"/>
        </w:trPr>
        <w:tc>
          <w:tcPr>
            <w:tcW w:w="143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02" w:lineRule="auto" w:before="51"/>
              <w:ind w:left="13"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12" w:space="0" w:color="000000"/>
            </w:tcBorders>
          </w:tcPr>
          <w:p>
            <w:pPr/>
          </w:p>
        </w:tc>
      </w:tr>
      <w:tr>
        <w:trPr>
          <w:trHeight w:val="1036" w:hRule="exact"/>
        </w:trPr>
        <w:tc>
          <w:tcPr>
            <w:tcW w:w="1430"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309" w:lineRule="auto" w:before="51"/>
              <w:ind w:left="13"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3" w:type="dxa"/>
            <w:tcBorders>
              <w:top w:val="single" w:sz="4" w:space="0" w:color="000000"/>
              <w:left w:val="single" w:sz="10" w:space="0" w:color="D2D2D2"/>
              <w:bottom w:val="single" w:sz="12" w:space="0" w:color="000000"/>
              <w:right w:val="single" w:sz="4" w:space="0" w:color="000000"/>
            </w:tcBorders>
          </w:tcPr>
          <w:p>
            <w:pPr/>
          </w:p>
        </w:tc>
        <w:tc>
          <w:tcPr>
            <w:tcW w:w="665" w:type="dxa"/>
            <w:tcBorders>
              <w:top w:val="single" w:sz="4" w:space="0" w:color="000000"/>
              <w:left w:val="single" w:sz="4" w:space="0" w:color="000000"/>
              <w:bottom w:val="single" w:sz="12" w:space="0" w:color="000000"/>
              <w:right w:val="single" w:sz="4" w:space="0" w:color="000000"/>
            </w:tcBorders>
          </w:tcPr>
          <w:p>
            <w:pPr/>
          </w:p>
        </w:tc>
        <w:tc>
          <w:tcPr>
            <w:tcW w:w="665" w:type="dxa"/>
            <w:tcBorders>
              <w:top w:val="single" w:sz="4" w:space="0" w:color="000000"/>
              <w:left w:val="single" w:sz="4" w:space="0" w:color="000000"/>
              <w:bottom w:val="single" w:sz="12" w:space="0" w:color="000000"/>
              <w:right w:val="single" w:sz="4" w:space="0" w:color="000000"/>
            </w:tcBorders>
          </w:tcPr>
          <w:p>
            <w:pPr/>
          </w:p>
        </w:tc>
        <w:tc>
          <w:tcPr>
            <w:tcW w:w="665" w:type="dxa"/>
            <w:tcBorders>
              <w:top w:val="single" w:sz="4" w:space="0" w:color="000000"/>
              <w:left w:val="single" w:sz="4" w:space="0" w:color="000000"/>
              <w:bottom w:val="single" w:sz="12" w:space="0" w:color="000000"/>
              <w:right w:val="single" w:sz="4" w:space="0" w:color="000000"/>
            </w:tcBorders>
          </w:tcPr>
          <w:p>
            <w:pPr/>
          </w:p>
        </w:tc>
        <w:tc>
          <w:tcPr>
            <w:tcW w:w="797" w:type="dxa"/>
            <w:tcBorders>
              <w:top w:val="single" w:sz="4" w:space="0" w:color="000000"/>
              <w:left w:val="single" w:sz="4" w:space="0" w:color="000000"/>
              <w:bottom w:val="single" w:sz="12" w:space="0" w:color="000000"/>
              <w:right w:val="single" w:sz="4" w:space="0" w:color="000000"/>
            </w:tcBorders>
          </w:tcPr>
          <w:p>
            <w:pPr/>
          </w:p>
        </w:tc>
        <w:tc>
          <w:tcPr>
            <w:tcW w:w="798" w:type="dxa"/>
            <w:tcBorders>
              <w:top w:val="single" w:sz="4" w:space="0" w:color="000000"/>
              <w:left w:val="single" w:sz="4" w:space="0" w:color="000000"/>
              <w:bottom w:val="single" w:sz="12" w:space="0" w:color="000000"/>
              <w:right w:val="single" w:sz="4" w:space="0" w:color="000000"/>
            </w:tcBorders>
          </w:tcPr>
          <w:p>
            <w:pPr/>
          </w:p>
        </w:tc>
        <w:tc>
          <w:tcPr>
            <w:tcW w:w="798" w:type="dxa"/>
            <w:tcBorders>
              <w:top w:val="single" w:sz="4" w:space="0" w:color="000000"/>
              <w:left w:val="single" w:sz="4" w:space="0" w:color="000000"/>
              <w:bottom w:val="single" w:sz="12" w:space="0" w:color="000000"/>
              <w:right w:val="single" w:sz="4" w:space="0" w:color="000000"/>
            </w:tcBorders>
          </w:tcPr>
          <w:p>
            <w:pPr/>
          </w:p>
        </w:tc>
        <w:tc>
          <w:tcPr>
            <w:tcW w:w="798" w:type="dxa"/>
            <w:tcBorders>
              <w:top w:val="single" w:sz="4" w:space="0" w:color="000000"/>
              <w:left w:val="single" w:sz="4" w:space="0" w:color="000000"/>
              <w:bottom w:val="single" w:sz="12" w:space="0" w:color="000000"/>
              <w:right w:val="single" w:sz="4" w:space="0" w:color="000000"/>
            </w:tcBorders>
          </w:tcPr>
          <w:p>
            <w:pPr/>
          </w:p>
        </w:tc>
        <w:tc>
          <w:tcPr>
            <w:tcW w:w="797" w:type="dxa"/>
            <w:tcBorders>
              <w:top w:val="single" w:sz="4" w:space="0" w:color="000000"/>
              <w:left w:val="single" w:sz="4" w:space="0" w:color="000000"/>
              <w:bottom w:val="single" w:sz="12" w:space="0" w:color="000000"/>
              <w:right w:val="single" w:sz="4" w:space="0" w:color="000000"/>
            </w:tcBorders>
          </w:tcPr>
          <w:p>
            <w:pPr/>
          </w:p>
        </w:tc>
        <w:tc>
          <w:tcPr>
            <w:tcW w:w="676" w:type="dxa"/>
            <w:tcBorders>
              <w:top w:val="single" w:sz="4" w:space="0" w:color="000000"/>
              <w:left w:val="single" w:sz="4" w:space="0" w:color="000000"/>
              <w:bottom w:val="single" w:sz="12" w:space="0" w:color="000000"/>
              <w:right w:val="single" w:sz="4" w:space="0" w:color="000000"/>
            </w:tcBorders>
          </w:tcPr>
          <w:p>
            <w:pPr/>
          </w:p>
        </w:tc>
        <w:tc>
          <w:tcPr>
            <w:tcW w:w="781" w:type="dxa"/>
            <w:tcBorders>
              <w:top w:val="single" w:sz="4" w:space="0" w:color="000000"/>
              <w:left w:val="single" w:sz="4" w:space="0" w:color="000000"/>
              <w:bottom w:val="single" w:sz="12" w:space="0" w:color="000000"/>
              <w:right w:val="single" w:sz="12" w:space="0" w:color="000000"/>
            </w:tcBorders>
          </w:tcPr>
          <w:p>
            <w:pPr/>
          </w:p>
        </w:tc>
      </w:tr>
    </w:tbl>
    <w:p>
      <w:pPr>
        <w:spacing w:after="0"/>
        <w:sectPr>
          <w:footerReference w:type="default" r:id="rId18"/>
          <w:pgSz w:w="11910" w:h="16840"/>
          <w:pgMar w:footer="979" w:header="747" w:top="1060" w:bottom="1160" w:left="0" w:right="0"/>
          <w:pgNumType w:start="101"/>
        </w:sectPr>
      </w:pPr>
    </w:p>
    <w:p>
      <w:pPr>
        <w:spacing w:line="240" w:lineRule="auto" w:before="6"/>
        <w:rPr>
          <w:rFonts w:ascii="宋体" w:hAnsi="宋体" w:cs="宋体" w:eastAsia="宋体" w:hint="default"/>
          <w:sz w:val="28"/>
          <w:szCs w:val="28"/>
        </w:rPr>
      </w:pPr>
    </w:p>
    <w:tbl>
      <w:tblPr>
        <w:tblW w:w="0" w:type="auto"/>
        <w:jc w:val="left"/>
        <w:tblInd w:w="1118"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12" w:hRule="exact"/>
        </w:trPr>
        <w:tc>
          <w:tcPr>
            <w:tcW w:w="1442"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12" w:space="0" w:color="000000"/>
              <w:left w:val="single" w:sz="4" w:space="0" w:color="000000"/>
              <w:bottom w:val="single" w:sz="4" w:space="0" w:color="000000"/>
              <w:right w:val="single" w:sz="4" w:space="0" w:color="000000"/>
            </w:tcBorders>
          </w:tcPr>
          <w:p>
            <w:pPr/>
          </w:p>
        </w:tc>
        <w:tc>
          <w:tcPr>
            <w:tcW w:w="665" w:type="dxa"/>
            <w:tcBorders>
              <w:top w:val="single" w:sz="12" w:space="0" w:color="000000"/>
              <w:left w:val="single" w:sz="4" w:space="0" w:color="000000"/>
              <w:bottom w:val="single" w:sz="4" w:space="0" w:color="000000"/>
              <w:right w:val="single" w:sz="4" w:space="0" w:color="000000"/>
            </w:tcBorders>
          </w:tcPr>
          <w:p>
            <w:pPr/>
          </w:p>
        </w:tc>
        <w:tc>
          <w:tcPr>
            <w:tcW w:w="665" w:type="dxa"/>
            <w:tcBorders>
              <w:top w:val="single" w:sz="12" w:space="0" w:color="000000"/>
              <w:left w:val="single" w:sz="4" w:space="0" w:color="000000"/>
              <w:bottom w:val="single" w:sz="4" w:space="0" w:color="000000"/>
              <w:right w:val="single" w:sz="4" w:space="0" w:color="000000"/>
            </w:tcBorders>
          </w:tcPr>
          <w:p>
            <w:pPr/>
          </w:p>
        </w:tc>
        <w:tc>
          <w:tcPr>
            <w:tcW w:w="665" w:type="dxa"/>
            <w:tcBorders>
              <w:top w:val="single" w:sz="12" w:space="0" w:color="000000"/>
              <w:left w:val="single" w:sz="4" w:space="0" w:color="000000"/>
              <w:bottom w:val="single" w:sz="4" w:space="0" w:color="000000"/>
              <w:right w:val="single" w:sz="4" w:space="0" w:color="000000"/>
            </w:tcBorders>
          </w:tcPr>
          <w:p>
            <w:pPr/>
          </w:p>
        </w:tc>
        <w:tc>
          <w:tcPr>
            <w:tcW w:w="797" w:type="dxa"/>
            <w:tcBorders>
              <w:top w:val="single" w:sz="12" w:space="0" w:color="000000"/>
              <w:left w:val="single" w:sz="4" w:space="0" w:color="000000"/>
              <w:bottom w:val="single" w:sz="4" w:space="0" w:color="000000"/>
              <w:right w:val="single" w:sz="4" w:space="0" w:color="000000"/>
            </w:tcBorders>
          </w:tcPr>
          <w:p>
            <w:pPr/>
          </w:p>
        </w:tc>
        <w:tc>
          <w:tcPr>
            <w:tcW w:w="798" w:type="dxa"/>
            <w:tcBorders>
              <w:top w:val="single" w:sz="12" w:space="0" w:color="000000"/>
              <w:left w:val="single" w:sz="4" w:space="0" w:color="000000"/>
              <w:bottom w:val="single" w:sz="4" w:space="0" w:color="000000"/>
              <w:right w:val="single" w:sz="4" w:space="0" w:color="000000"/>
            </w:tcBorders>
          </w:tcPr>
          <w:p>
            <w:pPr/>
          </w:p>
        </w:tc>
        <w:tc>
          <w:tcPr>
            <w:tcW w:w="798" w:type="dxa"/>
            <w:tcBorders>
              <w:top w:val="single" w:sz="12" w:space="0" w:color="000000"/>
              <w:left w:val="single" w:sz="4" w:space="0" w:color="000000"/>
              <w:bottom w:val="single" w:sz="4" w:space="0" w:color="000000"/>
              <w:right w:val="single" w:sz="4" w:space="0" w:color="000000"/>
            </w:tcBorders>
          </w:tcPr>
          <w:p>
            <w:pPr/>
          </w:p>
        </w:tc>
        <w:tc>
          <w:tcPr>
            <w:tcW w:w="798" w:type="dxa"/>
            <w:tcBorders>
              <w:top w:val="single" w:sz="12" w:space="0" w:color="000000"/>
              <w:left w:val="single" w:sz="4" w:space="0" w:color="000000"/>
              <w:bottom w:val="single" w:sz="4" w:space="0" w:color="000000"/>
              <w:right w:val="single" w:sz="4" w:space="0" w:color="000000"/>
            </w:tcBorders>
          </w:tcPr>
          <w:p>
            <w:pPr/>
          </w:p>
        </w:tc>
        <w:tc>
          <w:tcPr>
            <w:tcW w:w="797" w:type="dxa"/>
            <w:tcBorders>
              <w:top w:val="single" w:sz="12" w:space="0" w:color="000000"/>
              <w:left w:val="single" w:sz="4" w:space="0" w:color="000000"/>
              <w:bottom w:val="single" w:sz="4" w:space="0" w:color="000000"/>
              <w:right w:val="single" w:sz="4" w:space="0" w:color="000000"/>
            </w:tcBorders>
          </w:tcPr>
          <w:p>
            <w:pPr/>
          </w:p>
        </w:tc>
        <w:tc>
          <w:tcPr>
            <w:tcW w:w="676" w:type="dxa"/>
            <w:tcBorders>
              <w:top w:val="single" w:sz="12" w:space="0" w:color="000000"/>
              <w:left w:val="single" w:sz="4" w:space="0" w:color="000000"/>
              <w:bottom w:val="single" w:sz="4" w:space="0" w:color="000000"/>
              <w:right w:val="single" w:sz="4" w:space="0" w:color="000000"/>
            </w:tcBorders>
          </w:tcPr>
          <w:p>
            <w:pPr/>
          </w:p>
        </w:tc>
        <w:tc>
          <w:tcPr>
            <w:tcW w:w="781" w:type="dxa"/>
            <w:tcBorders>
              <w:top w:val="single" w:sz="12" w:space="0" w:color="000000"/>
              <w:left w:val="single" w:sz="4" w:space="0" w:color="000000"/>
              <w:bottom w:val="single" w:sz="4" w:space="0" w:color="000000"/>
              <w:right w:val="single" w:sz="12" w:space="0" w:color="000000"/>
            </w:tcBorders>
          </w:tcPr>
          <w:p>
            <w:pPr/>
          </w:p>
        </w:tc>
      </w:tr>
      <w:tr>
        <w:trPr>
          <w:trHeight w:val="714" w:hRule="exact"/>
        </w:trPr>
        <w:tc>
          <w:tcPr>
            <w:tcW w:w="144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3,090,085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-13,345,</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883.03</w:t>
            </w:r>
          </w:p>
        </w:tc>
        <w:tc>
          <w:tcPr>
            <w:tcW w:w="78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-10,255,7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97.56</w:t>
            </w:r>
          </w:p>
        </w:tc>
      </w:tr>
      <w:tr>
        <w:trPr>
          <w:trHeight w:val="714" w:hRule="exact"/>
        </w:trPr>
        <w:tc>
          <w:tcPr>
            <w:tcW w:w="144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3,090,085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-3,090,0</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85.47</w:t>
            </w:r>
          </w:p>
        </w:tc>
        <w:tc>
          <w:tcPr>
            <w:tcW w:w="781" w:type="dxa"/>
            <w:tcBorders>
              <w:top w:val="single" w:sz="4" w:space="0" w:color="000000"/>
              <w:left w:val="single" w:sz="4" w:space="0" w:color="000000"/>
              <w:bottom w:val="single" w:sz="4" w:space="0" w:color="000000"/>
              <w:right w:val="single" w:sz="12" w:space="0" w:color="000000"/>
            </w:tcBorders>
          </w:tcPr>
          <w:p>
            <w:pPr/>
          </w:p>
        </w:tc>
      </w:tr>
      <w:tr>
        <w:trPr>
          <w:trHeight w:val="714" w:hRule="exact"/>
        </w:trPr>
        <w:tc>
          <w:tcPr>
            <w:tcW w:w="144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00" w:lineRule="auto" w:before="51"/>
              <w:ind w:left="13"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-10,255,</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797.56</w:t>
            </w:r>
          </w:p>
        </w:tc>
        <w:tc>
          <w:tcPr>
            <w:tcW w:w="78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-10,255,7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97.56</w:t>
            </w:r>
          </w:p>
        </w:tc>
      </w:tr>
      <w:tr>
        <w:trPr>
          <w:trHeight w:val="402" w:hRule="exact"/>
        </w:trPr>
        <w:tc>
          <w:tcPr>
            <w:tcW w:w="144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12" w:space="0" w:color="000000"/>
            </w:tcBorders>
          </w:tcPr>
          <w:p>
            <w:pPr/>
          </w:p>
        </w:tc>
      </w:tr>
      <w:tr>
        <w:trPr>
          <w:trHeight w:val="714" w:hRule="exact"/>
        </w:trPr>
        <w:tc>
          <w:tcPr>
            <w:tcW w:w="144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1"/>
              <w:ind w:left="13"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12" w:space="0" w:color="000000"/>
            </w:tcBorders>
          </w:tcPr>
          <w:p>
            <w:pPr/>
          </w:p>
        </w:tc>
      </w:tr>
      <w:tr>
        <w:trPr>
          <w:trHeight w:val="714" w:hRule="exact"/>
        </w:trPr>
        <w:tc>
          <w:tcPr>
            <w:tcW w:w="144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00" w:lineRule="auto" w:before="51"/>
              <w:ind w:left="13"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12" w:space="0" w:color="000000"/>
            </w:tcBorders>
          </w:tcPr>
          <w:p>
            <w:pPr/>
          </w:p>
        </w:tc>
      </w:tr>
      <w:tr>
        <w:trPr>
          <w:trHeight w:val="714" w:hRule="exact"/>
        </w:trPr>
        <w:tc>
          <w:tcPr>
            <w:tcW w:w="144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00" w:lineRule="auto" w:before="51"/>
              <w:ind w:left="13"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12" w:space="0" w:color="000000"/>
            </w:tcBorders>
          </w:tcPr>
          <w:p>
            <w:pPr/>
          </w:p>
        </w:tc>
      </w:tr>
      <w:tr>
        <w:trPr>
          <w:trHeight w:val="714" w:hRule="exact"/>
        </w:trPr>
        <w:tc>
          <w:tcPr>
            <w:tcW w:w="144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00" w:lineRule="auto" w:before="51"/>
              <w:ind w:left="13"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144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144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144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144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144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12" w:space="0" w:color="000000"/>
            </w:tcBorders>
          </w:tcPr>
          <w:p>
            <w:pPr/>
          </w:p>
        </w:tc>
      </w:tr>
      <w:tr>
        <w:trPr>
          <w:trHeight w:val="724" w:hRule="exact"/>
        </w:trPr>
        <w:tc>
          <w:tcPr>
            <w:tcW w:w="1442"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293,022,</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806.00</w:t>
            </w:r>
          </w:p>
        </w:tc>
        <w:tc>
          <w:tcPr>
            <w:tcW w:w="665" w:type="dxa"/>
            <w:tcBorders>
              <w:top w:val="single" w:sz="4" w:space="0" w:color="000000"/>
              <w:left w:val="single" w:sz="4" w:space="0" w:color="000000"/>
              <w:bottom w:val="single" w:sz="12" w:space="0" w:color="000000"/>
              <w:right w:val="single" w:sz="4" w:space="0" w:color="000000"/>
            </w:tcBorders>
          </w:tcPr>
          <w:p>
            <w:pPr/>
          </w:p>
        </w:tc>
        <w:tc>
          <w:tcPr>
            <w:tcW w:w="665" w:type="dxa"/>
            <w:tcBorders>
              <w:top w:val="single" w:sz="4" w:space="0" w:color="000000"/>
              <w:left w:val="single" w:sz="4" w:space="0" w:color="000000"/>
              <w:bottom w:val="single" w:sz="12" w:space="0" w:color="000000"/>
              <w:right w:val="single" w:sz="4" w:space="0" w:color="000000"/>
            </w:tcBorders>
          </w:tcPr>
          <w:p>
            <w:pPr/>
          </w:p>
        </w:tc>
        <w:tc>
          <w:tcPr>
            <w:tcW w:w="665" w:type="dxa"/>
            <w:tcBorders>
              <w:top w:val="single" w:sz="4" w:space="0" w:color="000000"/>
              <w:left w:val="single" w:sz="4" w:space="0" w:color="000000"/>
              <w:bottom w:val="single" w:sz="12" w:space="0" w:color="000000"/>
              <w:right w:val="single" w:sz="4" w:space="0" w:color="000000"/>
            </w:tcBorders>
          </w:tcPr>
          <w:p>
            <w:pPr/>
          </w:p>
        </w:tc>
        <w:tc>
          <w:tcPr>
            <w:tcW w:w="79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647,930,5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92.46</w:t>
            </w:r>
          </w:p>
        </w:tc>
        <w:tc>
          <w:tcPr>
            <w:tcW w:w="798" w:type="dxa"/>
            <w:tcBorders>
              <w:top w:val="single" w:sz="4" w:space="0" w:color="000000"/>
              <w:left w:val="single" w:sz="4" w:space="0" w:color="000000"/>
              <w:bottom w:val="single" w:sz="12" w:space="0" w:color="000000"/>
              <w:right w:val="single" w:sz="4" w:space="0" w:color="000000"/>
            </w:tcBorders>
          </w:tcPr>
          <w:p>
            <w:pPr/>
          </w:p>
        </w:tc>
        <w:tc>
          <w:tcPr>
            <w:tcW w:w="798" w:type="dxa"/>
            <w:tcBorders>
              <w:top w:val="single" w:sz="4" w:space="0" w:color="000000"/>
              <w:left w:val="single" w:sz="4" w:space="0" w:color="000000"/>
              <w:bottom w:val="single" w:sz="12" w:space="0" w:color="000000"/>
              <w:right w:val="single" w:sz="4" w:space="0" w:color="000000"/>
            </w:tcBorders>
          </w:tcPr>
          <w:p>
            <w:pPr/>
          </w:p>
        </w:tc>
        <w:tc>
          <w:tcPr>
            <w:tcW w:w="798" w:type="dxa"/>
            <w:tcBorders>
              <w:top w:val="single" w:sz="4" w:space="0" w:color="000000"/>
              <w:left w:val="single" w:sz="4" w:space="0" w:color="000000"/>
              <w:bottom w:val="single" w:sz="12" w:space="0" w:color="000000"/>
              <w:right w:val="single" w:sz="4" w:space="0" w:color="000000"/>
            </w:tcBorders>
          </w:tcPr>
          <w:p>
            <w:pPr/>
          </w:p>
        </w:tc>
        <w:tc>
          <w:tcPr>
            <w:tcW w:w="79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35,352,92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231,954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,456.16</w:t>
            </w:r>
          </w:p>
        </w:tc>
        <w:tc>
          <w:tcPr>
            <w:tcW w:w="78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1,208,260</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,774.62</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5" w:type="dxa"/>
        <w:tblLayout w:type="fixed"/>
        <w:tblCellMar>
          <w:top w:w="0" w:type="dxa"/>
          <w:left w:w="0" w:type="dxa"/>
          <w:bottom w:w="0" w:type="dxa"/>
          <w:right w:w="0" w:type="dxa"/>
        </w:tblCellMar>
        <w:tblLook w:val="01E0"/>
      </w:tblPr>
      <w:tblGrid>
        <w:gridCol w:w="1424"/>
        <w:gridCol w:w="703"/>
        <w:gridCol w:w="665"/>
        <w:gridCol w:w="665"/>
        <w:gridCol w:w="665"/>
        <w:gridCol w:w="797"/>
        <w:gridCol w:w="798"/>
        <w:gridCol w:w="798"/>
        <w:gridCol w:w="798"/>
        <w:gridCol w:w="797"/>
        <w:gridCol w:w="676"/>
        <w:gridCol w:w="781"/>
      </w:tblGrid>
      <w:tr>
        <w:trPr>
          <w:trHeight w:val="406" w:hRule="exact"/>
        </w:trPr>
        <w:tc>
          <w:tcPr>
            <w:tcW w:w="1424" w:type="dxa"/>
            <w:tcBorders>
              <w:top w:val="single" w:sz="12" w:space="0" w:color="000000"/>
              <w:left w:val="single" w:sz="12" w:space="0" w:color="000000"/>
              <w:bottom w:val="nil" w:sz="6" w:space="0" w:color="auto"/>
              <w:right w:val="single" w:sz="4" w:space="0" w:color="000000"/>
            </w:tcBorders>
            <w:shd w:val="clear" w:color="auto" w:fill="D2D2D2"/>
          </w:tcPr>
          <w:p>
            <w:pPr/>
          </w:p>
        </w:tc>
        <w:tc>
          <w:tcPr>
            <w:tcW w:w="8142" w:type="dxa"/>
            <w:gridSpan w:val="11"/>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1"/>
              <w:ind w:left="21"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24" w:type="dxa"/>
            <w:vMerge w:val="restart"/>
            <w:tcBorders>
              <w:top w:val="nil" w:sz="6" w:space="0" w:color="auto"/>
              <w:left w:val="single" w:sz="12" w:space="0" w:color="000000"/>
              <w:right w:val="single" w:sz="4" w:space="0" w:color="000000"/>
            </w:tcBorders>
            <w:shd w:val="clear" w:color="auto" w:fill="D2D2D2"/>
          </w:tcPr>
          <w:p>
            <w:pPr>
              <w:pStyle w:val="TableParagraph"/>
              <w:spacing w:line="240" w:lineRule="auto" w:before="62"/>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12" w:space="0" w:color="000000"/>
            </w:tcBorders>
            <w:shd w:val="clear" w:color="auto" w:fill="D2D2D2"/>
          </w:tcPr>
          <w:p>
            <w:pPr>
              <w:pStyle w:val="TableParagraph"/>
              <w:spacing w:line="316" w:lineRule="auto" w:before="101"/>
              <w:ind w:left="115" w:right="13"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3" w:hRule="exact"/>
        </w:trPr>
        <w:tc>
          <w:tcPr>
            <w:tcW w:w="1424" w:type="dxa"/>
            <w:vMerge/>
            <w:tcBorders>
              <w:left w:val="single" w:sz="12"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12" w:space="0" w:color="000000"/>
            </w:tcBorders>
            <w:shd w:val="clear" w:color="auto" w:fill="D2D2D2"/>
          </w:tcPr>
          <w:p>
            <w:pPr/>
          </w:p>
        </w:tc>
      </w:tr>
      <w:tr>
        <w:trPr>
          <w:trHeight w:val="199" w:hRule="exact"/>
        </w:trPr>
        <w:tc>
          <w:tcPr>
            <w:tcW w:w="1424" w:type="dxa"/>
            <w:vMerge w:val="restart"/>
            <w:tcBorders>
              <w:top w:val="nil" w:sz="6" w:space="0" w:color="auto"/>
              <w:left w:val="single" w:sz="12"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12" w:space="0" w:color="000000"/>
            </w:tcBorders>
            <w:shd w:val="clear" w:color="auto" w:fill="D2D2D2"/>
          </w:tcPr>
          <w:p>
            <w:pPr/>
          </w:p>
        </w:tc>
      </w:tr>
      <w:tr>
        <w:trPr>
          <w:trHeight w:val="205" w:hRule="exact"/>
        </w:trPr>
        <w:tc>
          <w:tcPr>
            <w:tcW w:w="1424" w:type="dxa"/>
            <w:vMerge/>
            <w:tcBorders>
              <w:left w:val="single" w:sz="12"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12" w:space="0" w:color="000000"/>
            </w:tcBorders>
            <w:shd w:val="clear" w:color="auto" w:fill="D2D2D2"/>
          </w:tcPr>
          <w:p>
            <w:pPr/>
          </w:p>
        </w:tc>
      </w:tr>
      <w:tr>
        <w:trPr>
          <w:trHeight w:val="162" w:hRule="exact"/>
        </w:trPr>
        <w:tc>
          <w:tcPr>
            <w:tcW w:w="1424" w:type="dxa"/>
            <w:tcBorders>
              <w:top w:val="single" w:sz="4" w:space="0" w:color="000000"/>
              <w:left w:val="single" w:sz="12"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293,022,</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806.00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647,930,5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92.46</w:t>
            </w: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26,191,67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3.25</w:t>
            </w:r>
          </w:p>
        </w:tc>
        <w:tc>
          <w:tcPr>
            <w:tcW w:w="676" w:type="dxa"/>
            <w:vMerge w:val="restart"/>
            <w:tcBorders>
              <w:top w:val="single" w:sz="18" w:space="0" w:color="D2D2D2"/>
              <w:left w:val="single" w:sz="4" w:space="0" w:color="000000"/>
              <w:right w:val="single" w:sz="4" w:space="0" w:color="000000"/>
            </w:tcBorders>
          </w:tcPr>
          <w:p>
            <w:pPr>
              <w:pStyle w:val="TableParagraph"/>
              <w:spacing w:line="240" w:lineRule="auto" w:before="75"/>
              <w:ind w:left="58" w:right="0"/>
              <w:jc w:val="left"/>
              <w:rPr>
                <w:rFonts w:ascii="Times New Roman" w:hAnsi="Times New Roman" w:cs="Times New Roman" w:eastAsia="Times New Roman" w:hint="default"/>
                <w:sz w:val="18"/>
                <w:szCs w:val="18"/>
              </w:rPr>
            </w:pPr>
            <w:r>
              <w:rPr>
                <w:rFonts w:ascii="Times New Roman"/>
                <w:sz w:val="18"/>
              </w:rPr>
              <w:t>165,619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,489.14</w:t>
            </w:r>
          </w:p>
        </w:tc>
        <w:tc>
          <w:tcPr>
            <w:tcW w:w="781" w:type="dxa"/>
            <w:vMerge w:val="restart"/>
            <w:tcBorders>
              <w:top w:val="single" w:sz="18" w:space="0" w:color="D2D2D2"/>
              <w:left w:val="single" w:sz="4" w:space="0" w:color="000000"/>
              <w:right w:val="single" w:sz="12" w:space="0" w:color="000000"/>
            </w:tcBorders>
          </w:tcPr>
          <w:p>
            <w:pPr>
              <w:pStyle w:val="TableParagraph"/>
              <w:spacing w:line="240" w:lineRule="auto" w:before="75"/>
              <w:ind w:left="15" w:right="0"/>
              <w:jc w:val="center"/>
              <w:rPr>
                <w:rFonts w:ascii="Times New Roman" w:hAnsi="Times New Roman" w:cs="Times New Roman" w:eastAsia="Times New Roman" w:hint="default"/>
                <w:sz w:val="18"/>
                <w:szCs w:val="18"/>
              </w:rPr>
            </w:pPr>
            <w:r>
              <w:rPr>
                <w:rFonts w:ascii="Times New Roman"/>
                <w:sz w:val="18"/>
              </w:rPr>
              <w:t>1,132,764</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,560.85</w:t>
            </w:r>
          </w:p>
        </w:tc>
      </w:tr>
      <w:tr>
        <w:trPr>
          <w:trHeight w:val="391" w:hRule="exact"/>
        </w:trPr>
        <w:tc>
          <w:tcPr>
            <w:tcW w:w="1424" w:type="dxa"/>
            <w:tcBorders>
              <w:top w:val="nil" w:sz="6" w:space="0" w:color="auto"/>
              <w:left w:val="single" w:sz="12"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12" w:space="0" w:color="000000"/>
            </w:tcBorders>
          </w:tcPr>
          <w:p>
            <w:pPr/>
          </w:p>
        </w:tc>
      </w:tr>
      <w:tr>
        <w:trPr>
          <w:trHeight w:val="161" w:hRule="exact"/>
        </w:trPr>
        <w:tc>
          <w:tcPr>
            <w:tcW w:w="1424" w:type="dxa"/>
            <w:tcBorders>
              <w:top w:val="nil" w:sz="6" w:space="0" w:color="auto"/>
              <w:left w:val="single" w:sz="12"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12" w:space="0" w:color="000000"/>
            </w:tcBorders>
          </w:tcPr>
          <w:p>
            <w:pPr/>
          </w:p>
        </w:tc>
      </w:tr>
      <w:tr>
        <w:trPr>
          <w:trHeight w:val="714" w:hRule="exact"/>
        </w:trPr>
        <w:tc>
          <w:tcPr>
            <w:tcW w:w="142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2"/>
              <w:ind w:left="6"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12" w:space="0" w:color="000000"/>
            </w:tcBorders>
          </w:tcPr>
          <w:p>
            <w:pPr/>
          </w:p>
        </w:tc>
      </w:tr>
      <w:tr>
        <w:trPr>
          <w:trHeight w:val="714" w:hRule="exact"/>
        </w:trPr>
        <w:tc>
          <w:tcPr>
            <w:tcW w:w="142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2"/>
              <w:ind w:left="726"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6"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142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2"/>
              <w:ind w:left="7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12" w:space="0" w:color="000000"/>
            </w:tcBorders>
          </w:tcPr>
          <w:p>
            <w:pPr/>
          </w:p>
        </w:tc>
      </w:tr>
      <w:tr>
        <w:trPr>
          <w:trHeight w:val="162" w:hRule="exact"/>
        </w:trPr>
        <w:tc>
          <w:tcPr>
            <w:tcW w:w="1424" w:type="dxa"/>
            <w:tcBorders>
              <w:top w:val="single" w:sz="4" w:space="0" w:color="000000"/>
              <w:left w:val="single" w:sz="12"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293,022,</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806.00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647,930,5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92.46</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26,191,67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3.25</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165,619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,489.14</w:t>
            </w:r>
          </w:p>
        </w:tc>
        <w:tc>
          <w:tcPr>
            <w:tcW w:w="781" w:type="dxa"/>
            <w:vMerge w:val="restart"/>
            <w:tcBorders>
              <w:top w:val="single" w:sz="4" w:space="0" w:color="000000"/>
              <w:left w:val="single" w:sz="4" w:space="0" w:color="000000"/>
              <w:right w:val="single" w:sz="12" w:space="0" w:color="000000"/>
            </w:tcBorders>
          </w:tcPr>
          <w:p>
            <w:pPr>
              <w:pStyle w:val="TableParagraph"/>
              <w:spacing w:line="240" w:lineRule="auto" w:before="92"/>
              <w:ind w:left="15" w:right="0"/>
              <w:jc w:val="center"/>
              <w:rPr>
                <w:rFonts w:ascii="Times New Roman" w:hAnsi="Times New Roman" w:cs="Times New Roman" w:eastAsia="Times New Roman" w:hint="default"/>
                <w:sz w:val="18"/>
                <w:szCs w:val="18"/>
              </w:rPr>
            </w:pPr>
            <w:r>
              <w:rPr>
                <w:rFonts w:ascii="Times New Roman"/>
                <w:sz w:val="18"/>
              </w:rPr>
              <w:t>1,132,764</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,560.85</w:t>
            </w:r>
          </w:p>
        </w:tc>
      </w:tr>
      <w:tr>
        <w:trPr>
          <w:trHeight w:val="391" w:hRule="exact"/>
        </w:trPr>
        <w:tc>
          <w:tcPr>
            <w:tcW w:w="1424" w:type="dxa"/>
            <w:tcBorders>
              <w:top w:val="nil" w:sz="6" w:space="0" w:color="auto"/>
              <w:left w:val="single" w:sz="12"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12" w:space="0" w:color="000000"/>
            </w:tcBorders>
          </w:tcPr>
          <w:p>
            <w:pPr/>
          </w:p>
        </w:tc>
      </w:tr>
      <w:tr>
        <w:trPr>
          <w:trHeight w:val="171" w:hRule="exact"/>
        </w:trPr>
        <w:tc>
          <w:tcPr>
            <w:tcW w:w="1424" w:type="dxa"/>
            <w:tcBorders>
              <w:top w:val="nil" w:sz="6" w:space="0" w:color="auto"/>
              <w:left w:val="single" w:sz="12" w:space="0" w:color="000000"/>
              <w:bottom w:val="single" w:sz="12" w:space="0" w:color="000000"/>
              <w:right w:val="single" w:sz="4" w:space="0" w:color="000000"/>
            </w:tcBorders>
            <w:shd w:val="clear" w:color="auto" w:fill="D2D2D2"/>
          </w:tcPr>
          <w:p>
            <w:pPr/>
          </w:p>
        </w:tc>
        <w:tc>
          <w:tcPr>
            <w:tcW w:w="703" w:type="dxa"/>
            <w:vMerge/>
            <w:tcBorders>
              <w:left w:val="single" w:sz="10" w:space="0" w:color="D2D2D2"/>
              <w:bottom w:val="single" w:sz="12" w:space="0" w:color="000000"/>
              <w:right w:val="single" w:sz="4" w:space="0" w:color="000000"/>
            </w:tcBorders>
          </w:tcPr>
          <w:p>
            <w:pPr/>
          </w:p>
        </w:tc>
        <w:tc>
          <w:tcPr>
            <w:tcW w:w="665" w:type="dxa"/>
            <w:vMerge/>
            <w:tcBorders>
              <w:left w:val="single" w:sz="4" w:space="0" w:color="000000"/>
              <w:bottom w:val="single" w:sz="12" w:space="0" w:color="000000"/>
              <w:right w:val="single" w:sz="4" w:space="0" w:color="000000"/>
            </w:tcBorders>
          </w:tcPr>
          <w:p>
            <w:pPr/>
          </w:p>
        </w:tc>
        <w:tc>
          <w:tcPr>
            <w:tcW w:w="665" w:type="dxa"/>
            <w:vMerge/>
            <w:tcBorders>
              <w:left w:val="single" w:sz="4" w:space="0" w:color="000000"/>
              <w:bottom w:val="single" w:sz="12" w:space="0" w:color="000000"/>
              <w:right w:val="single" w:sz="4" w:space="0" w:color="000000"/>
            </w:tcBorders>
          </w:tcPr>
          <w:p>
            <w:pPr/>
          </w:p>
        </w:tc>
        <w:tc>
          <w:tcPr>
            <w:tcW w:w="665" w:type="dxa"/>
            <w:vMerge/>
            <w:tcBorders>
              <w:left w:val="single" w:sz="4" w:space="0" w:color="000000"/>
              <w:bottom w:val="single" w:sz="12" w:space="0" w:color="000000"/>
              <w:right w:val="single" w:sz="4" w:space="0" w:color="000000"/>
            </w:tcBorders>
          </w:tcPr>
          <w:p>
            <w:pPr/>
          </w:p>
        </w:tc>
        <w:tc>
          <w:tcPr>
            <w:tcW w:w="797" w:type="dxa"/>
            <w:vMerge/>
            <w:tcBorders>
              <w:left w:val="single" w:sz="4" w:space="0" w:color="000000"/>
              <w:bottom w:val="single" w:sz="12" w:space="0" w:color="000000"/>
              <w:right w:val="single" w:sz="4" w:space="0" w:color="000000"/>
            </w:tcBorders>
          </w:tcPr>
          <w:p>
            <w:pPr/>
          </w:p>
        </w:tc>
        <w:tc>
          <w:tcPr>
            <w:tcW w:w="798" w:type="dxa"/>
            <w:vMerge/>
            <w:tcBorders>
              <w:left w:val="single" w:sz="4" w:space="0" w:color="000000"/>
              <w:bottom w:val="single" w:sz="12" w:space="0" w:color="000000"/>
              <w:right w:val="single" w:sz="4" w:space="0" w:color="000000"/>
            </w:tcBorders>
          </w:tcPr>
          <w:p>
            <w:pPr/>
          </w:p>
        </w:tc>
        <w:tc>
          <w:tcPr>
            <w:tcW w:w="798" w:type="dxa"/>
            <w:vMerge/>
            <w:tcBorders>
              <w:left w:val="single" w:sz="4" w:space="0" w:color="000000"/>
              <w:bottom w:val="single" w:sz="12" w:space="0" w:color="000000"/>
              <w:right w:val="single" w:sz="4" w:space="0" w:color="000000"/>
            </w:tcBorders>
          </w:tcPr>
          <w:p>
            <w:pPr/>
          </w:p>
        </w:tc>
        <w:tc>
          <w:tcPr>
            <w:tcW w:w="798" w:type="dxa"/>
            <w:vMerge/>
            <w:tcBorders>
              <w:left w:val="single" w:sz="4" w:space="0" w:color="000000"/>
              <w:bottom w:val="single" w:sz="12" w:space="0" w:color="000000"/>
              <w:right w:val="single" w:sz="4" w:space="0" w:color="000000"/>
            </w:tcBorders>
          </w:tcPr>
          <w:p>
            <w:pPr/>
          </w:p>
        </w:tc>
        <w:tc>
          <w:tcPr>
            <w:tcW w:w="797" w:type="dxa"/>
            <w:vMerge/>
            <w:tcBorders>
              <w:left w:val="single" w:sz="4" w:space="0" w:color="000000"/>
              <w:bottom w:val="single" w:sz="12" w:space="0" w:color="000000"/>
              <w:right w:val="single" w:sz="4" w:space="0" w:color="000000"/>
            </w:tcBorders>
          </w:tcPr>
          <w:p>
            <w:pPr/>
          </w:p>
        </w:tc>
        <w:tc>
          <w:tcPr>
            <w:tcW w:w="676" w:type="dxa"/>
            <w:vMerge/>
            <w:tcBorders>
              <w:left w:val="single" w:sz="4" w:space="0" w:color="000000"/>
              <w:bottom w:val="single" w:sz="12" w:space="0" w:color="000000"/>
              <w:right w:val="single" w:sz="4" w:space="0" w:color="000000"/>
            </w:tcBorders>
          </w:tcPr>
          <w:p>
            <w:pPr/>
          </w:p>
        </w:tc>
        <w:tc>
          <w:tcPr>
            <w:tcW w:w="781" w:type="dxa"/>
            <w:vMerge/>
            <w:tcBorders>
              <w:left w:val="single" w:sz="4" w:space="0" w:color="000000"/>
              <w:bottom w:val="single" w:sz="12" w:space="0" w:color="000000"/>
              <w:right w:val="single" w:sz="12"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18"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1036" w:hRule="exact"/>
        </w:trPr>
        <w:tc>
          <w:tcPr>
            <w:tcW w:w="1442"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309" w:lineRule="auto" w:before="51"/>
              <w:ind w:left="13"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12" w:space="0" w:color="000000"/>
              <w:left w:val="single" w:sz="4" w:space="0" w:color="000000"/>
              <w:bottom w:val="single" w:sz="4" w:space="0" w:color="000000"/>
              <w:right w:val="single" w:sz="4" w:space="0" w:color="000000"/>
            </w:tcBorders>
          </w:tcPr>
          <w:p>
            <w:pPr/>
          </w:p>
        </w:tc>
        <w:tc>
          <w:tcPr>
            <w:tcW w:w="665" w:type="dxa"/>
            <w:tcBorders>
              <w:top w:val="single" w:sz="12" w:space="0" w:color="000000"/>
              <w:left w:val="single" w:sz="4" w:space="0" w:color="000000"/>
              <w:bottom w:val="single" w:sz="4" w:space="0" w:color="000000"/>
              <w:right w:val="single" w:sz="4" w:space="0" w:color="000000"/>
            </w:tcBorders>
          </w:tcPr>
          <w:p>
            <w:pPr/>
          </w:p>
        </w:tc>
        <w:tc>
          <w:tcPr>
            <w:tcW w:w="665" w:type="dxa"/>
            <w:tcBorders>
              <w:top w:val="single" w:sz="12" w:space="0" w:color="000000"/>
              <w:left w:val="single" w:sz="4" w:space="0" w:color="000000"/>
              <w:bottom w:val="single" w:sz="4" w:space="0" w:color="000000"/>
              <w:right w:val="single" w:sz="4" w:space="0" w:color="000000"/>
            </w:tcBorders>
          </w:tcPr>
          <w:p>
            <w:pPr/>
          </w:p>
        </w:tc>
        <w:tc>
          <w:tcPr>
            <w:tcW w:w="665" w:type="dxa"/>
            <w:tcBorders>
              <w:top w:val="single" w:sz="12" w:space="0" w:color="000000"/>
              <w:left w:val="single" w:sz="4" w:space="0" w:color="000000"/>
              <w:bottom w:val="single" w:sz="4" w:space="0" w:color="000000"/>
              <w:right w:val="single" w:sz="4" w:space="0" w:color="000000"/>
            </w:tcBorders>
          </w:tcPr>
          <w:p>
            <w:pPr/>
          </w:p>
        </w:tc>
        <w:tc>
          <w:tcPr>
            <w:tcW w:w="797" w:type="dxa"/>
            <w:tcBorders>
              <w:top w:val="single" w:sz="12" w:space="0" w:color="000000"/>
              <w:left w:val="single" w:sz="4" w:space="0" w:color="000000"/>
              <w:bottom w:val="single" w:sz="4" w:space="0" w:color="000000"/>
              <w:right w:val="single" w:sz="4" w:space="0" w:color="000000"/>
            </w:tcBorders>
          </w:tcPr>
          <w:p>
            <w:pPr/>
          </w:p>
        </w:tc>
        <w:tc>
          <w:tcPr>
            <w:tcW w:w="798" w:type="dxa"/>
            <w:tcBorders>
              <w:top w:val="single" w:sz="12" w:space="0" w:color="000000"/>
              <w:left w:val="single" w:sz="4" w:space="0" w:color="000000"/>
              <w:bottom w:val="single" w:sz="4" w:space="0" w:color="000000"/>
              <w:right w:val="single" w:sz="4" w:space="0" w:color="000000"/>
            </w:tcBorders>
          </w:tcPr>
          <w:p>
            <w:pPr/>
          </w:p>
        </w:tc>
        <w:tc>
          <w:tcPr>
            <w:tcW w:w="798" w:type="dxa"/>
            <w:tcBorders>
              <w:top w:val="single" w:sz="12" w:space="0" w:color="000000"/>
              <w:left w:val="single" w:sz="4" w:space="0" w:color="000000"/>
              <w:bottom w:val="single" w:sz="4" w:space="0" w:color="000000"/>
              <w:right w:val="single" w:sz="4" w:space="0" w:color="000000"/>
            </w:tcBorders>
          </w:tcPr>
          <w:p>
            <w:pPr/>
          </w:p>
        </w:tc>
        <w:tc>
          <w:tcPr>
            <w:tcW w:w="798" w:type="dxa"/>
            <w:tcBorders>
              <w:top w:val="single" w:sz="12" w:space="0" w:color="000000"/>
              <w:left w:val="single" w:sz="4" w:space="0" w:color="000000"/>
              <w:bottom w:val="single" w:sz="4" w:space="0" w:color="000000"/>
              <w:right w:val="single" w:sz="4" w:space="0" w:color="000000"/>
            </w:tcBorders>
          </w:tcPr>
          <w:p>
            <w:pPr/>
          </w:p>
        </w:tc>
        <w:tc>
          <w:tcPr>
            <w:tcW w:w="79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6,071,161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.28</w:t>
            </w:r>
          </w:p>
        </w:tc>
        <w:tc>
          <w:tcPr>
            <w:tcW w:w="6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48,779,</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995.38</w:t>
            </w:r>
          </w:p>
        </w:tc>
        <w:tc>
          <w:tcPr>
            <w:tcW w:w="781"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54,851,15</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6.66</w:t>
            </w:r>
          </w:p>
        </w:tc>
      </w:tr>
      <w:tr>
        <w:trPr>
          <w:trHeight w:val="714" w:hRule="exact"/>
        </w:trPr>
        <w:tc>
          <w:tcPr>
            <w:tcW w:w="144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9" w:lineRule="auto" w:before="51"/>
              <w:ind w:left="13"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60,711,</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612.78</w:t>
            </w:r>
          </w:p>
        </w:tc>
        <w:tc>
          <w:tcPr>
            <w:tcW w:w="78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60,711,61</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2.78</w:t>
            </w:r>
          </w:p>
        </w:tc>
      </w:tr>
      <w:tr>
        <w:trPr>
          <w:trHeight w:val="714" w:hRule="exact"/>
        </w:trPr>
        <w:tc>
          <w:tcPr>
            <w:tcW w:w="144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1"/>
              <w:ind w:left="13"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12" w:space="0" w:color="000000"/>
            </w:tcBorders>
          </w:tcPr>
          <w:p>
            <w:pPr/>
          </w:p>
        </w:tc>
      </w:tr>
      <w:tr>
        <w:trPr>
          <w:trHeight w:val="714" w:hRule="exact"/>
        </w:trPr>
        <w:tc>
          <w:tcPr>
            <w:tcW w:w="144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00" w:lineRule="auto" w:before="51"/>
              <w:ind w:left="13"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12" w:space="0" w:color="000000"/>
            </w:tcBorders>
          </w:tcPr>
          <w:p>
            <w:pPr/>
          </w:p>
        </w:tc>
      </w:tr>
      <w:tr>
        <w:trPr>
          <w:trHeight w:val="714" w:hRule="exact"/>
        </w:trPr>
        <w:tc>
          <w:tcPr>
            <w:tcW w:w="144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00" w:lineRule="auto" w:before="51"/>
              <w:ind w:left="13"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12" w:space="0" w:color="000000"/>
            </w:tcBorders>
          </w:tcPr>
          <w:p>
            <w:pPr/>
          </w:p>
        </w:tc>
      </w:tr>
      <w:tr>
        <w:trPr>
          <w:trHeight w:val="1026" w:hRule="exact"/>
        </w:trPr>
        <w:tc>
          <w:tcPr>
            <w:tcW w:w="144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09" w:lineRule="auto" w:before="51"/>
              <w:ind w:left="13"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144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12" w:space="0" w:color="000000"/>
            </w:tcBorders>
          </w:tcPr>
          <w:p>
            <w:pPr/>
          </w:p>
        </w:tc>
      </w:tr>
      <w:tr>
        <w:trPr>
          <w:trHeight w:val="714" w:hRule="exact"/>
        </w:trPr>
        <w:tc>
          <w:tcPr>
            <w:tcW w:w="144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6,071,161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-11,931,</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617.40</w:t>
            </w:r>
          </w:p>
        </w:tc>
        <w:tc>
          <w:tcPr>
            <w:tcW w:w="78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-5,860,45</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6.12</w:t>
            </w:r>
          </w:p>
        </w:tc>
      </w:tr>
      <w:tr>
        <w:trPr>
          <w:trHeight w:val="714" w:hRule="exact"/>
        </w:trPr>
        <w:tc>
          <w:tcPr>
            <w:tcW w:w="144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6,071,161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-6,071,1</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61.28</w:t>
            </w:r>
          </w:p>
        </w:tc>
        <w:tc>
          <w:tcPr>
            <w:tcW w:w="781" w:type="dxa"/>
            <w:tcBorders>
              <w:top w:val="single" w:sz="4" w:space="0" w:color="000000"/>
              <w:left w:val="single" w:sz="4" w:space="0" w:color="000000"/>
              <w:bottom w:val="single" w:sz="4" w:space="0" w:color="000000"/>
              <w:right w:val="single" w:sz="12" w:space="0" w:color="000000"/>
            </w:tcBorders>
          </w:tcPr>
          <w:p>
            <w:pPr/>
          </w:p>
        </w:tc>
      </w:tr>
      <w:tr>
        <w:trPr>
          <w:trHeight w:val="714" w:hRule="exact"/>
        </w:trPr>
        <w:tc>
          <w:tcPr>
            <w:tcW w:w="144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00" w:lineRule="auto" w:before="51"/>
              <w:ind w:left="13"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-5,860,4</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56.12</w:t>
            </w:r>
          </w:p>
        </w:tc>
        <w:tc>
          <w:tcPr>
            <w:tcW w:w="78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-5,860,45</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6.12</w:t>
            </w:r>
          </w:p>
        </w:tc>
      </w:tr>
      <w:tr>
        <w:trPr>
          <w:trHeight w:val="402" w:hRule="exact"/>
        </w:trPr>
        <w:tc>
          <w:tcPr>
            <w:tcW w:w="144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12" w:space="0" w:color="000000"/>
            </w:tcBorders>
          </w:tcPr>
          <w:p>
            <w:pPr/>
          </w:p>
        </w:tc>
      </w:tr>
      <w:tr>
        <w:trPr>
          <w:trHeight w:val="714" w:hRule="exact"/>
        </w:trPr>
        <w:tc>
          <w:tcPr>
            <w:tcW w:w="144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1"/>
              <w:ind w:left="13"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12" w:space="0" w:color="000000"/>
            </w:tcBorders>
          </w:tcPr>
          <w:p>
            <w:pPr/>
          </w:p>
        </w:tc>
      </w:tr>
      <w:tr>
        <w:trPr>
          <w:trHeight w:val="714" w:hRule="exact"/>
        </w:trPr>
        <w:tc>
          <w:tcPr>
            <w:tcW w:w="144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00" w:lineRule="auto" w:before="51"/>
              <w:ind w:left="13"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12" w:space="0" w:color="000000"/>
            </w:tcBorders>
          </w:tcPr>
          <w:p>
            <w:pPr/>
          </w:p>
        </w:tc>
      </w:tr>
      <w:tr>
        <w:trPr>
          <w:trHeight w:val="714" w:hRule="exact"/>
        </w:trPr>
        <w:tc>
          <w:tcPr>
            <w:tcW w:w="144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00" w:lineRule="auto" w:before="51"/>
              <w:ind w:left="13"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12" w:space="0" w:color="000000"/>
            </w:tcBorders>
          </w:tcPr>
          <w:p>
            <w:pPr/>
          </w:p>
        </w:tc>
      </w:tr>
      <w:tr>
        <w:trPr>
          <w:trHeight w:val="714" w:hRule="exact"/>
        </w:trPr>
        <w:tc>
          <w:tcPr>
            <w:tcW w:w="144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00" w:lineRule="auto" w:before="51"/>
              <w:ind w:left="13"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144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144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144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144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144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12" w:space="0" w:color="000000"/>
            </w:tcBorders>
          </w:tcPr>
          <w:p>
            <w:pPr/>
          </w:p>
        </w:tc>
      </w:tr>
      <w:tr>
        <w:trPr>
          <w:trHeight w:val="724" w:hRule="exact"/>
        </w:trPr>
        <w:tc>
          <w:tcPr>
            <w:tcW w:w="1442"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293,022,</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806.00</w:t>
            </w:r>
          </w:p>
        </w:tc>
        <w:tc>
          <w:tcPr>
            <w:tcW w:w="665" w:type="dxa"/>
            <w:tcBorders>
              <w:top w:val="single" w:sz="4" w:space="0" w:color="000000"/>
              <w:left w:val="single" w:sz="4" w:space="0" w:color="000000"/>
              <w:bottom w:val="single" w:sz="12" w:space="0" w:color="000000"/>
              <w:right w:val="single" w:sz="4" w:space="0" w:color="000000"/>
            </w:tcBorders>
          </w:tcPr>
          <w:p>
            <w:pPr/>
          </w:p>
        </w:tc>
        <w:tc>
          <w:tcPr>
            <w:tcW w:w="665" w:type="dxa"/>
            <w:tcBorders>
              <w:top w:val="single" w:sz="4" w:space="0" w:color="000000"/>
              <w:left w:val="single" w:sz="4" w:space="0" w:color="000000"/>
              <w:bottom w:val="single" w:sz="12" w:space="0" w:color="000000"/>
              <w:right w:val="single" w:sz="4" w:space="0" w:color="000000"/>
            </w:tcBorders>
          </w:tcPr>
          <w:p>
            <w:pPr/>
          </w:p>
        </w:tc>
        <w:tc>
          <w:tcPr>
            <w:tcW w:w="665" w:type="dxa"/>
            <w:tcBorders>
              <w:top w:val="single" w:sz="4" w:space="0" w:color="000000"/>
              <w:left w:val="single" w:sz="4" w:space="0" w:color="000000"/>
              <w:bottom w:val="single" w:sz="12" w:space="0" w:color="000000"/>
              <w:right w:val="single" w:sz="4" w:space="0" w:color="000000"/>
            </w:tcBorders>
          </w:tcPr>
          <w:p>
            <w:pPr/>
          </w:p>
        </w:tc>
        <w:tc>
          <w:tcPr>
            <w:tcW w:w="79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647,930,5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92.46</w:t>
            </w:r>
          </w:p>
        </w:tc>
        <w:tc>
          <w:tcPr>
            <w:tcW w:w="798" w:type="dxa"/>
            <w:tcBorders>
              <w:top w:val="single" w:sz="4" w:space="0" w:color="000000"/>
              <w:left w:val="single" w:sz="4" w:space="0" w:color="000000"/>
              <w:bottom w:val="single" w:sz="12" w:space="0" w:color="000000"/>
              <w:right w:val="single" w:sz="4" w:space="0" w:color="000000"/>
            </w:tcBorders>
          </w:tcPr>
          <w:p>
            <w:pPr/>
          </w:p>
        </w:tc>
        <w:tc>
          <w:tcPr>
            <w:tcW w:w="798" w:type="dxa"/>
            <w:tcBorders>
              <w:top w:val="single" w:sz="4" w:space="0" w:color="000000"/>
              <w:left w:val="single" w:sz="4" w:space="0" w:color="000000"/>
              <w:bottom w:val="single" w:sz="12" w:space="0" w:color="000000"/>
              <w:right w:val="single" w:sz="4" w:space="0" w:color="000000"/>
            </w:tcBorders>
          </w:tcPr>
          <w:p>
            <w:pPr/>
          </w:p>
        </w:tc>
        <w:tc>
          <w:tcPr>
            <w:tcW w:w="798" w:type="dxa"/>
            <w:tcBorders>
              <w:top w:val="single" w:sz="4" w:space="0" w:color="000000"/>
              <w:left w:val="single" w:sz="4" w:space="0" w:color="000000"/>
              <w:bottom w:val="single" w:sz="12" w:space="0" w:color="000000"/>
              <w:right w:val="single" w:sz="4" w:space="0" w:color="000000"/>
            </w:tcBorders>
          </w:tcPr>
          <w:p>
            <w:pPr/>
          </w:p>
        </w:tc>
        <w:tc>
          <w:tcPr>
            <w:tcW w:w="79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32,262,83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4.53</w:t>
            </w:r>
          </w:p>
        </w:tc>
        <w:tc>
          <w:tcPr>
            <w:tcW w:w="6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214,399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,484.52</w:t>
            </w:r>
          </w:p>
        </w:tc>
        <w:tc>
          <w:tcPr>
            <w:tcW w:w="78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1,187,615</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,717.51</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1"/>
        <w:rPr>
          <w:rFonts w:ascii="Times New Roman" w:hAnsi="Times New Roman" w:cs="Times New Roman" w:eastAsia="Times New Roman" w:hint="default"/>
          <w:sz w:val="26"/>
          <w:szCs w:val="26"/>
        </w:rPr>
      </w:pPr>
    </w:p>
    <w:p>
      <w:pPr>
        <w:pStyle w:val="Heading2"/>
        <w:spacing w:line="240" w:lineRule="auto" w:before="26"/>
        <w:ind w:right="0"/>
        <w:jc w:val="left"/>
        <w:rPr>
          <w:b w:val="0"/>
          <w:bCs w:val="0"/>
        </w:rPr>
      </w:pPr>
      <w:bookmarkStart w:name="三、公司基本情况" w:id="162"/>
      <w:bookmarkEnd w:id="162"/>
      <w:r>
        <w:rPr>
          <w:b w:val="0"/>
          <w:bCs w:val="0"/>
        </w:rPr>
      </w:r>
      <w:r>
        <w:rPr/>
        <w:t>三、公司基本情况</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left="1553" w:right="0"/>
        <w:jc w:val="left"/>
      </w:pPr>
      <w:r>
        <w:rPr>
          <w:rFonts w:ascii="宋体" w:hAnsi="宋体" w:cs="宋体" w:eastAsia="宋体" w:hint="default"/>
        </w:rPr>
        <w:t>1</w:t>
      </w:r>
      <w:r>
        <w:rPr/>
        <w:t>、企业基本信息 汉威科技集团股份有限公司系在深圳证券交易所创业板上市的股份有限公司，股票简称：汉威科技，</w:t>
      </w:r>
    </w:p>
    <w:p>
      <w:pPr>
        <w:pStyle w:val="BodyText"/>
        <w:spacing w:line="408" w:lineRule="auto"/>
        <w:ind w:left="1553" w:right="2983" w:hanging="420"/>
        <w:jc w:val="left"/>
      </w:pPr>
      <w:r>
        <w:rPr/>
        <w:t>股票代码：</w:t>
      </w:r>
      <w:r>
        <w:rPr>
          <w:rFonts w:ascii="宋体" w:hAnsi="宋体" w:cs="宋体" w:eastAsia="宋体" w:hint="default"/>
        </w:rPr>
        <w:t>300007</w:t>
      </w:r>
      <w:r>
        <w:rPr/>
        <w:t>； 公司注册地：河南省郑州市，企业法人营业执照注册号：</w:t>
      </w:r>
      <w:r>
        <w:rPr>
          <w:rFonts w:ascii="宋体" w:hAnsi="宋体" w:cs="宋体" w:eastAsia="宋体" w:hint="default"/>
        </w:rPr>
        <w:t>914101007067858314</w:t>
      </w:r>
      <w:r>
        <w:rPr/>
        <w:t>； 公司法定代表人：任红军；</w:t>
      </w:r>
    </w:p>
    <w:p>
      <w:pPr>
        <w:pStyle w:val="BodyText"/>
        <w:spacing w:line="408" w:lineRule="auto"/>
        <w:ind w:left="1764" w:right="5926" w:hanging="211"/>
        <w:jc w:val="left"/>
      </w:pPr>
      <w:r>
        <w:rPr/>
        <w:t>公司总部地址：郑州高新开发区雪松路</w:t>
      </w:r>
      <w:r>
        <w:rPr>
          <w:spacing w:val="-54"/>
        </w:rPr>
        <w:t> </w:t>
      </w:r>
      <w:r>
        <w:rPr>
          <w:rFonts w:ascii="宋体" w:hAnsi="宋体" w:cs="宋体" w:eastAsia="宋体" w:hint="default"/>
        </w:rPr>
        <w:t>169</w:t>
      </w:r>
      <w:r>
        <w:rPr>
          <w:rFonts w:ascii="宋体" w:hAnsi="宋体" w:cs="宋体" w:eastAsia="宋体" w:hint="default"/>
          <w:spacing w:val="-54"/>
        </w:rPr>
        <w:t> </w:t>
      </w:r>
      <w:r>
        <w:rPr/>
        <w:t>号。</w:t>
      </w:r>
      <w:r>
        <w:rPr>
          <w:spacing w:val="-2"/>
        </w:rPr>
        <w:t> </w:t>
      </w:r>
      <w:r>
        <w:rPr>
          <w:rFonts w:ascii="宋体" w:hAnsi="宋体" w:cs="宋体" w:eastAsia="宋体" w:hint="default"/>
        </w:rPr>
        <w:t>2</w:t>
      </w:r>
      <w:r>
        <w:rPr/>
        <w:t>、企业的业务性质和主要经营活动。</w:t>
      </w:r>
    </w:p>
    <w:p>
      <w:pPr>
        <w:pStyle w:val="BodyText"/>
        <w:spacing w:line="408" w:lineRule="auto"/>
        <w:ind w:left="1134" w:right="1133" w:firstLine="420"/>
        <w:jc w:val="both"/>
      </w:pPr>
      <w:r>
        <w:rPr>
          <w:spacing w:val="-1"/>
        </w:rPr>
        <w:t>公司属于物联网行业。主要产品包括传感器、物联网平台系统、智慧市政系统、废气废水处理监测及</w:t>
      </w:r>
      <w:r>
        <w:rPr/>
        <w:t> </w:t>
      </w:r>
      <w:r>
        <w:rPr>
          <w:spacing w:val="-1"/>
        </w:rPr>
        <w:t>运维系统、安全管理监控一体化系统等，业务涵盖传感器、物联网综合解决方案、居家智能和健康等业务</w:t>
      </w:r>
      <w:r>
        <w:rPr>
          <w:spacing w:val="-86"/>
        </w:rPr>
        <w:t> </w:t>
      </w:r>
      <w:r>
        <w:rPr>
          <w:spacing w:val="-86"/>
        </w:rPr>
      </w:r>
      <w:r>
        <w:rPr/>
        <w:t>领域。</w:t>
      </w:r>
    </w:p>
    <w:p>
      <w:pPr>
        <w:pStyle w:val="BodyText"/>
        <w:spacing w:line="408" w:lineRule="auto"/>
        <w:ind w:left="1553" w:right="2983" w:firstLine="210"/>
        <w:jc w:val="left"/>
      </w:pPr>
      <w:r>
        <w:rPr>
          <w:rFonts w:ascii="宋体" w:hAnsi="宋体" w:cs="宋体" w:eastAsia="宋体" w:hint="default"/>
        </w:rPr>
        <w:t>3</w:t>
      </w:r>
      <w:r>
        <w:rPr/>
        <w:t>、财务报告批准报出者和财务报告批准报出日 本财务报表业经本公司董事会于</w:t>
      </w:r>
      <w:r>
        <w:rPr>
          <w:spacing w:val="-52"/>
        </w:rPr>
        <w:t> </w:t>
      </w:r>
      <w:r>
        <w:rPr>
          <w:rFonts w:ascii="宋体" w:hAnsi="宋体" w:cs="宋体" w:eastAsia="宋体" w:hint="default"/>
        </w:rPr>
        <w:t>2018</w:t>
      </w:r>
      <w:r>
        <w:rPr>
          <w:rFonts w:ascii="宋体" w:hAnsi="宋体" w:cs="宋体" w:eastAsia="宋体" w:hint="default"/>
          <w:spacing w:val="-52"/>
        </w:rPr>
        <w:t> </w:t>
      </w:r>
      <w:r>
        <w:rPr/>
        <w:t>年</w:t>
      </w:r>
      <w:r>
        <w:rPr>
          <w:spacing w:val="-54"/>
        </w:rPr>
        <w:t> </w:t>
      </w:r>
      <w:r>
        <w:rPr>
          <w:rFonts w:ascii="宋体" w:hAnsi="宋体" w:cs="宋体" w:eastAsia="宋体" w:hint="default"/>
        </w:rPr>
        <w:t>3</w:t>
      </w:r>
      <w:r>
        <w:rPr>
          <w:rFonts w:ascii="宋体" w:hAnsi="宋体" w:cs="宋体" w:eastAsia="宋体" w:hint="default"/>
          <w:spacing w:val="-52"/>
        </w:rPr>
        <w:t> </w:t>
      </w:r>
      <w:r>
        <w:rPr/>
        <w:t>月</w:t>
      </w:r>
      <w:r>
        <w:rPr>
          <w:spacing w:val="-54"/>
        </w:rPr>
        <w:t> </w:t>
      </w:r>
      <w:r>
        <w:rPr>
          <w:rFonts w:ascii="宋体" w:hAnsi="宋体" w:cs="宋体" w:eastAsia="宋体" w:hint="default"/>
        </w:rPr>
        <w:t>22</w:t>
      </w:r>
      <w:r>
        <w:rPr>
          <w:rFonts w:ascii="宋体" w:hAnsi="宋体" w:cs="宋体" w:eastAsia="宋体" w:hint="default"/>
          <w:spacing w:val="-53"/>
        </w:rPr>
        <w:t> </w:t>
      </w:r>
      <w:r>
        <w:rPr/>
        <w:t>日决议批准报出。 关于合并范围子公司详细信息，请参阅本附注八“在其他主体中的权益”披露。</w:t>
      </w:r>
    </w:p>
    <w:p>
      <w:pPr>
        <w:spacing w:line="240" w:lineRule="auto" w:before="11"/>
        <w:rPr>
          <w:rFonts w:ascii="宋体" w:hAnsi="宋体" w:cs="宋体" w:eastAsia="宋体" w:hint="default"/>
          <w:sz w:val="18"/>
          <w:szCs w:val="18"/>
        </w:rPr>
      </w:pPr>
    </w:p>
    <w:p>
      <w:pPr>
        <w:pStyle w:val="Heading2"/>
        <w:spacing w:line="240" w:lineRule="auto"/>
        <w:ind w:right="0"/>
        <w:jc w:val="left"/>
        <w:rPr>
          <w:b w:val="0"/>
          <w:bCs w:val="0"/>
        </w:rPr>
      </w:pPr>
      <w:bookmarkStart w:name="四、财务报表的编制基础" w:id="163"/>
      <w:bookmarkEnd w:id="163"/>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编制基础" w:id="164"/>
      <w:bookmarkEnd w:id="164"/>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30"/>
          <w:szCs w:val="30"/>
        </w:rPr>
      </w:pPr>
    </w:p>
    <w:p>
      <w:pPr>
        <w:pStyle w:val="BodyText"/>
        <w:spacing w:line="240" w:lineRule="auto" w:before="0"/>
        <w:ind w:left="1553" w:right="0"/>
        <w:jc w:val="left"/>
      </w:pPr>
      <w:r>
        <w:rPr/>
        <w:t>本公司财务报表以持续经营为基础，根据实际发生的交易和事项，按照财政部颁布的《企业会计准则</w:t>
      </w:r>
    </w:p>
    <w:p>
      <w:pPr>
        <w:spacing w:line="240" w:lineRule="auto" w:before="10"/>
        <w:rPr>
          <w:rFonts w:ascii="宋体" w:hAnsi="宋体" w:cs="宋体" w:eastAsia="宋体" w:hint="default"/>
          <w:sz w:val="14"/>
          <w:szCs w:val="14"/>
        </w:rPr>
      </w:pPr>
    </w:p>
    <w:p>
      <w:pPr>
        <w:pStyle w:val="BodyText"/>
        <w:spacing w:line="408" w:lineRule="auto" w:before="0"/>
        <w:ind w:right="1129"/>
        <w:jc w:val="left"/>
      </w:pPr>
      <w:r>
        <w:rPr>
          <w:rFonts w:ascii="宋体" w:hAnsi="宋体" w:cs="宋体" w:eastAsia="宋体" w:hint="default"/>
          <w:spacing w:val="-3"/>
        </w:rPr>
        <w:t>-</w:t>
      </w:r>
      <w:r>
        <w:rPr>
          <w:spacing w:val="-3"/>
        </w:rPr>
        <w:t>基本准则》和具体会计准则等规定（以下合称“企业会计准则”），并基于以下所述重要会计政策、会计</w:t>
      </w:r>
      <w:r>
        <w:rPr>
          <w:spacing w:val="-97"/>
        </w:rPr>
        <w:t> </w:t>
      </w:r>
      <w:r>
        <w:rPr>
          <w:spacing w:val="-97"/>
        </w:rPr>
      </w:r>
      <w:r>
        <w:rPr/>
        <w:t>估计进行编制。</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bookmarkStart w:name="2、持续经营" w:id="165"/>
      <w:bookmarkEnd w:id="165"/>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30"/>
          <w:szCs w:val="30"/>
        </w:rPr>
      </w:pPr>
    </w:p>
    <w:p>
      <w:pPr>
        <w:pStyle w:val="BodyText"/>
        <w:spacing w:line="240" w:lineRule="auto" w:before="0"/>
        <w:ind w:left="1553" w:right="0"/>
        <w:jc w:val="left"/>
      </w:pPr>
      <w:r>
        <w:rPr/>
        <w:t>本公司至本报告期末至少</w:t>
      </w:r>
      <w:r>
        <w:rPr>
          <w:spacing w:val="-54"/>
        </w:rPr>
        <w:t> </w:t>
      </w:r>
      <w:r>
        <w:rPr>
          <w:rFonts w:ascii="宋体" w:hAnsi="宋体" w:cs="宋体" w:eastAsia="宋体" w:hint="default"/>
        </w:rPr>
        <w:t>12</w:t>
      </w:r>
      <w:r>
        <w:rPr>
          <w:rFonts w:ascii="宋体" w:hAnsi="宋体" w:cs="宋体" w:eastAsia="宋体" w:hint="default"/>
          <w:spacing w:val="-54"/>
        </w:rPr>
        <w:t> </w:t>
      </w:r>
      <w:r>
        <w:rPr/>
        <w:t>个月内具备持续经营能力，无影响持续经营能力的重大事项。</w:t>
      </w:r>
    </w:p>
    <w:p>
      <w:pPr>
        <w:spacing w:line="240" w:lineRule="auto" w:before="0"/>
        <w:rPr>
          <w:rFonts w:ascii="宋体" w:hAnsi="宋体" w:cs="宋体" w:eastAsia="宋体" w:hint="default"/>
          <w:sz w:val="20"/>
          <w:szCs w:val="20"/>
        </w:rPr>
      </w:pPr>
    </w:p>
    <w:p>
      <w:pPr>
        <w:pStyle w:val="Heading2"/>
        <w:spacing w:line="240" w:lineRule="auto" w:before="131"/>
        <w:ind w:left="1134" w:right="0"/>
        <w:jc w:val="left"/>
        <w:rPr>
          <w:b w:val="0"/>
          <w:bCs w:val="0"/>
        </w:rPr>
      </w:pPr>
      <w:bookmarkStart w:name="五、重要会计政策及会计估计" w:id="166"/>
      <w:bookmarkEnd w:id="166"/>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spacing w:line="360" w:lineRule="auto" w:before="0"/>
        <w:ind w:left="113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spacing w:before="26"/>
        <w:ind w:left="1134" w:right="0" w:firstLine="0"/>
        <w:jc w:val="left"/>
        <w:rPr>
          <w:rFonts w:ascii="宋体" w:hAnsi="宋体" w:cs="宋体" w:eastAsia="宋体" w:hint="default"/>
          <w:sz w:val="18"/>
          <w:szCs w:val="18"/>
        </w:rPr>
      </w:pPr>
      <w:r>
        <w:rPr>
          <w:rFonts w:ascii="宋体" w:hAnsi="宋体" w:cs="宋体" w:eastAsia="宋体" w:hint="default"/>
          <w:sz w:val="18"/>
          <w:szCs w:val="18"/>
        </w:rPr>
        <w:t>具体会计政策和会计估计提示：</w:t>
      </w:r>
    </w:p>
    <w:p>
      <w:pPr>
        <w:spacing w:line="240" w:lineRule="auto" w:before="10"/>
        <w:rPr>
          <w:rFonts w:ascii="宋体" w:hAnsi="宋体" w:cs="宋体" w:eastAsia="宋体" w:hint="default"/>
          <w:sz w:val="12"/>
          <w:szCs w:val="12"/>
        </w:rPr>
      </w:pPr>
    </w:p>
    <w:p>
      <w:pPr>
        <w:pStyle w:val="BodyText"/>
        <w:spacing w:line="408" w:lineRule="auto" w:before="0"/>
        <w:ind w:left="1134" w:right="1131" w:firstLine="420"/>
        <w:jc w:val="both"/>
      </w:pPr>
      <w:r>
        <w:rPr>
          <w:spacing w:val="-1"/>
        </w:rPr>
        <w:t>本公司从事传感器及物联网综合解决方案等业务。公司根据实际生产经营特点，依据相关企业会计准</w:t>
      </w:r>
      <w:r>
        <w:rPr/>
        <w:t> 则的规定，对收入确认等交易和事项制定了若干项具体会计政策和会计估计。</w:t>
      </w:r>
    </w:p>
    <w:p>
      <w:pPr>
        <w:spacing w:after="0" w:line="408" w:lineRule="auto"/>
        <w:jc w:val="both"/>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both"/>
        <w:rPr>
          <w:b w:val="0"/>
          <w:bCs w:val="0"/>
        </w:rPr>
      </w:pPr>
      <w:bookmarkStart w:name="1、遵循企业会计准则的声明" w:id="167"/>
      <w:bookmarkEnd w:id="167"/>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1123" w:firstLine="420"/>
        <w:jc w:val="left"/>
      </w:pPr>
      <w:r>
        <w:rPr/>
        <w:t>本公司编制的财务报表符合《企业会计准则》的要求，真实、完整地反映了本公司</w:t>
      </w:r>
      <w:r>
        <w:rPr>
          <w:spacing w:val="-26"/>
        </w:rPr>
        <w:t> </w:t>
      </w:r>
      <w:r>
        <w:rPr>
          <w:rFonts w:ascii="宋体" w:hAnsi="宋体" w:cs="宋体" w:eastAsia="宋体" w:hint="default"/>
        </w:rPr>
        <w:t>2017</w:t>
      </w:r>
      <w:r>
        <w:rPr>
          <w:rFonts w:ascii="宋体" w:hAnsi="宋体" w:cs="宋体" w:eastAsia="宋体" w:hint="default"/>
          <w:spacing w:val="-27"/>
        </w:rPr>
        <w:t> </w:t>
      </w:r>
      <w:r>
        <w:rPr/>
        <w:t>年</w:t>
      </w:r>
      <w:r>
        <w:rPr>
          <w:spacing w:val="-28"/>
        </w:rPr>
        <w:t> </w:t>
      </w:r>
      <w:r>
        <w:rPr>
          <w:rFonts w:ascii="宋体" w:hAnsi="宋体" w:cs="宋体" w:eastAsia="宋体" w:hint="default"/>
        </w:rPr>
        <w:t>12</w:t>
      </w:r>
      <w:r>
        <w:rPr>
          <w:rFonts w:ascii="宋体" w:hAnsi="宋体" w:cs="宋体" w:eastAsia="宋体" w:hint="default"/>
          <w:spacing w:val="-27"/>
        </w:rPr>
        <w:t> </w:t>
      </w:r>
      <w:r>
        <w:rPr/>
        <w:t>月</w:t>
      </w:r>
      <w:r>
        <w:rPr>
          <w:spacing w:val="-27"/>
        </w:rPr>
        <w:t> </w:t>
      </w:r>
      <w:r>
        <w:rPr>
          <w:rFonts w:ascii="宋体" w:hAnsi="宋体" w:cs="宋体" w:eastAsia="宋体" w:hint="default"/>
        </w:rPr>
        <w:t>31 </w:t>
      </w:r>
      <w:r>
        <w:rPr/>
        <w:t>日的财务状况、</w:t>
      </w:r>
      <w:r>
        <w:rPr>
          <w:rFonts w:ascii="宋体" w:hAnsi="宋体" w:cs="宋体" w:eastAsia="宋体" w:hint="default"/>
        </w:rPr>
        <w:t>2017</w:t>
      </w:r>
      <w:r>
        <w:rPr>
          <w:rFonts w:ascii="宋体" w:hAnsi="宋体" w:cs="宋体" w:eastAsia="宋体" w:hint="default"/>
          <w:spacing w:val="-53"/>
        </w:rPr>
        <w:t> </w:t>
      </w:r>
      <w:r>
        <w:rPr/>
        <w:t>年度的经营成果和现金流量等相关信息。</w:t>
      </w:r>
    </w:p>
    <w:p>
      <w:pPr>
        <w:spacing w:line="240" w:lineRule="auto" w:before="8"/>
        <w:rPr>
          <w:rFonts w:ascii="宋体" w:hAnsi="宋体" w:cs="宋体" w:eastAsia="宋体" w:hint="default"/>
          <w:sz w:val="20"/>
          <w:szCs w:val="20"/>
        </w:rPr>
      </w:pPr>
    </w:p>
    <w:p>
      <w:pPr>
        <w:pStyle w:val="Heading4"/>
        <w:spacing w:line="240" w:lineRule="auto"/>
        <w:ind w:right="0"/>
        <w:jc w:val="both"/>
        <w:rPr>
          <w:b w:val="0"/>
          <w:bCs w:val="0"/>
        </w:rPr>
      </w:pPr>
      <w:bookmarkStart w:name="2、会计期间" w:id="168"/>
      <w:bookmarkEnd w:id="168"/>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30"/>
          <w:szCs w:val="30"/>
        </w:rPr>
      </w:pPr>
    </w:p>
    <w:p>
      <w:pPr>
        <w:pStyle w:val="BodyText"/>
        <w:spacing w:line="240" w:lineRule="auto" w:before="0"/>
        <w:ind w:left="1553" w:right="0"/>
        <w:jc w:val="left"/>
      </w:pPr>
      <w:r>
        <w:rPr/>
        <w:t>本公司会计年度为公历年度，即每年</w:t>
      </w:r>
      <w:r>
        <w:rPr>
          <w:spacing w:val="-53"/>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1</w:t>
      </w:r>
      <w:r>
        <w:rPr>
          <w:rFonts w:ascii="宋体" w:hAnsi="宋体" w:cs="宋体" w:eastAsia="宋体" w:hint="default"/>
          <w:spacing w:val="-53"/>
        </w:rPr>
        <w:t> </w:t>
      </w:r>
      <w:r>
        <w:rPr/>
        <w:t>日起至</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日止。</w:t>
      </w:r>
    </w:p>
    <w:p>
      <w:pPr>
        <w:spacing w:line="240" w:lineRule="auto" w:before="0"/>
        <w:rPr>
          <w:rFonts w:ascii="宋体" w:hAnsi="宋体" w:cs="宋体" w:eastAsia="宋体" w:hint="default"/>
          <w:sz w:val="20"/>
          <w:szCs w:val="20"/>
        </w:rPr>
      </w:pPr>
    </w:p>
    <w:p>
      <w:pPr>
        <w:pStyle w:val="Heading4"/>
        <w:spacing w:line="240" w:lineRule="auto" w:before="154"/>
        <w:ind w:right="0"/>
        <w:jc w:val="both"/>
        <w:rPr>
          <w:b w:val="0"/>
          <w:bCs w:val="0"/>
        </w:rPr>
      </w:pPr>
      <w:bookmarkStart w:name="3、营业周期" w:id="169"/>
      <w:bookmarkEnd w:id="169"/>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30"/>
          <w:szCs w:val="30"/>
        </w:rPr>
      </w:pPr>
    </w:p>
    <w:p>
      <w:pPr>
        <w:pStyle w:val="BodyText"/>
        <w:spacing w:line="240" w:lineRule="auto" w:before="0"/>
        <w:ind w:left="1553" w:right="0"/>
        <w:jc w:val="left"/>
      </w:pPr>
      <w:r>
        <w:rPr/>
        <w:t>本公司以一年</w:t>
      </w:r>
      <w:r>
        <w:rPr>
          <w:spacing w:val="-54"/>
        </w:rPr>
        <w:t> </w:t>
      </w:r>
      <w:r>
        <w:rPr>
          <w:rFonts w:ascii="宋体" w:hAnsi="宋体" w:cs="宋体" w:eastAsia="宋体" w:hint="default"/>
        </w:rPr>
        <w:t>12</w:t>
      </w:r>
      <w:r>
        <w:rPr>
          <w:rFonts w:ascii="宋体" w:hAnsi="宋体" w:cs="宋体" w:eastAsia="宋体" w:hint="default"/>
          <w:spacing w:val="-54"/>
        </w:rPr>
        <w:t> </w:t>
      </w:r>
      <w:r>
        <w:rPr/>
        <w:t>个月作为正常营业周期，并以营业周期作为资产和负债的流动性划分标准。</w:t>
      </w:r>
    </w:p>
    <w:p>
      <w:pPr>
        <w:spacing w:line="240" w:lineRule="auto" w:before="0"/>
        <w:rPr>
          <w:rFonts w:ascii="宋体" w:hAnsi="宋体" w:cs="宋体" w:eastAsia="宋体" w:hint="default"/>
          <w:sz w:val="20"/>
          <w:szCs w:val="20"/>
        </w:rPr>
      </w:pPr>
    </w:p>
    <w:p>
      <w:pPr>
        <w:pStyle w:val="Heading4"/>
        <w:spacing w:line="240" w:lineRule="auto" w:before="154"/>
        <w:ind w:right="0"/>
        <w:jc w:val="both"/>
        <w:rPr>
          <w:b w:val="0"/>
          <w:bCs w:val="0"/>
        </w:rPr>
      </w:pPr>
      <w:bookmarkStart w:name="4、记账本位币" w:id="170"/>
      <w:bookmarkEnd w:id="170"/>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30"/>
          <w:szCs w:val="30"/>
        </w:rPr>
      </w:pPr>
    </w:p>
    <w:p>
      <w:pPr>
        <w:pStyle w:val="BodyText"/>
        <w:spacing w:line="240" w:lineRule="auto" w:before="0"/>
        <w:ind w:left="1553" w:right="0"/>
        <w:jc w:val="left"/>
      </w:pPr>
      <w:r>
        <w:rPr/>
        <w:t>本公司以人民币为记账本位币。</w:t>
      </w:r>
    </w:p>
    <w:p>
      <w:pPr>
        <w:spacing w:line="240" w:lineRule="auto" w:before="0"/>
        <w:rPr>
          <w:rFonts w:ascii="宋体" w:hAnsi="宋体" w:cs="宋体" w:eastAsia="宋体" w:hint="default"/>
          <w:sz w:val="20"/>
          <w:szCs w:val="20"/>
        </w:rPr>
      </w:pPr>
    </w:p>
    <w:p>
      <w:pPr>
        <w:pStyle w:val="Heading4"/>
        <w:spacing w:line="240" w:lineRule="auto" w:before="154"/>
        <w:ind w:right="0"/>
        <w:jc w:val="both"/>
        <w:rPr>
          <w:b w:val="0"/>
          <w:bCs w:val="0"/>
        </w:rPr>
      </w:pPr>
      <w:bookmarkStart w:name="5、同一控制下和非同一控制下企业合并的会计处理方法" w:id="171"/>
      <w:bookmarkEnd w:id="171"/>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1553" w:right="0"/>
        <w:jc w:val="left"/>
      </w:pPr>
      <w:r>
        <w:rPr>
          <w:rFonts w:ascii="宋体" w:hAnsi="宋体" w:cs="宋体" w:eastAsia="宋体" w:hint="default"/>
        </w:rPr>
        <w:t>1</w:t>
      </w:r>
      <w:r>
        <w:rPr/>
        <w:t>、同一控制下的企业合并 </w:t>
      </w:r>
      <w:r>
        <w:rPr>
          <w:spacing w:val="-1"/>
        </w:rPr>
        <w:t>同一控制下企业合并形成的长期股权投资合并方以支付现金、转让非现金资产或承担债务方式作为合</w:t>
      </w:r>
    </w:p>
    <w:p>
      <w:pPr>
        <w:pStyle w:val="BodyText"/>
        <w:spacing w:line="408" w:lineRule="auto"/>
        <w:ind w:right="1131"/>
        <w:jc w:val="both"/>
      </w:pPr>
      <w:r>
        <w:rPr>
          <w:spacing w:val="-1"/>
        </w:rPr>
        <w:t>并对价的，本公司在合并日按照所取得的被合并方在最终控制方合并财务报表中的净资产的账面价值的份</w:t>
      </w:r>
      <w:r>
        <w:rPr>
          <w:spacing w:val="-81"/>
        </w:rPr>
        <w:t> </w:t>
      </w:r>
      <w:r>
        <w:rPr>
          <w:spacing w:val="-81"/>
        </w:rPr>
      </w:r>
      <w:r>
        <w:rPr>
          <w:spacing w:val="-1"/>
        </w:rPr>
        <w:t>额作为长期股权投资的初始投资成本。合并方以发行权益性工具作为合并对价的，按发行股份的面值总额</w:t>
      </w:r>
      <w:r>
        <w:rPr>
          <w:spacing w:val="-81"/>
        </w:rPr>
        <w:t> </w:t>
      </w:r>
      <w:r>
        <w:rPr>
          <w:spacing w:val="-81"/>
        </w:rPr>
      </w:r>
      <w:r>
        <w:rPr>
          <w:spacing w:val="-1"/>
        </w:rPr>
        <w:t>作为股本。长期股权投资的初始投资成本与合并对价账面价值（或发行股份面值总额）的差额，应当调整</w:t>
      </w:r>
      <w:r>
        <w:rPr>
          <w:spacing w:val="-86"/>
        </w:rPr>
        <w:t> </w:t>
      </w:r>
      <w:r>
        <w:rPr>
          <w:spacing w:val="-86"/>
        </w:rPr>
      </w:r>
      <w:r>
        <w:rPr/>
        <w:t>资本公积；资本公积不足冲减的，调整留存收益。</w:t>
      </w:r>
    </w:p>
    <w:p>
      <w:pPr>
        <w:pStyle w:val="BodyText"/>
        <w:spacing w:line="408" w:lineRule="auto"/>
        <w:ind w:left="1553" w:right="0"/>
        <w:jc w:val="left"/>
      </w:pPr>
      <w:r>
        <w:rPr>
          <w:rFonts w:ascii="宋体" w:hAnsi="宋体" w:cs="宋体" w:eastAsia="宋体" w:hint="default"/>
        </w:rPr>
        <w:t>2</w:t>
      </w:r>
      <w:r>
        <w:rPr/>
        <w:t>、非同一控制下的企业合并 </w:t>
      </w:r>
      <w:r>
        <w:rPr>
          <w:spacing w:val="-1"/>
        </w:rPr>
        <w:t>对于非同一控制下的企业合并，合并成本为购买方在购买日为取得对被购买方的控制权而付出的资产、</w:t>
      </w:r>
    </w:p>
    <w:p>
      <w:pPr>
        <w:pStyle w:val="BodyText"/>
        <w:spacing w:line="408" w:lineRule="auto"/>
        <w:ind w:right="1131"/>
        <w:jc w:val="both"/>
      </w:pPr>
      <w:r>
        <w:rPr>
          <w:spacing w:val="-1"/>
        </w:rPr>
        <w:t>发生或承担的负债以及发行的权益性证券的公允价值之和。非同一控制下企业合并中所取得的被购买方符</w:t>
      </w:r>
      <w:r>
        <w:rPr>
          <w:spacing w:val="-81"/>
        </w:rPr>
        <w:t> </w:t>
      </w:r>
      <w:r>
        <w:rPr>
          <w:spacing w:val="-81"/>
        </w:rPr>
      </w:r>
      <w:r>
        <w:rPr>
          <w:spacing w:val="-1"/>
        </w:rPr>
        <w:t>合确认条件的可辨认资产、负债及或有负债，在购买日以公允价值计量。购买方对合并成本大于合并中取</w:t>
      </w:r>
      <w:r>
        <w:rPr>
          <w:spacing w:val="-83"/>
        </w:rPr>
        <w:t> </w:t>
      </w:r>
      <w:r>
        <w:rPr>
          <w:spacing w:val="-83"/>
        </w:rPr>
      </w:r>
      <w:r>
        <w:rPr>
          <w:spacing w:val="-1"/>
        </w:rPr>
        <w:t>得的被购买方可辨认净资产公允价值份额的差额，体现为商誉价值。购买方对合并成本小于合并中取得的</w:t>
      </w:r>
      <w:r>
        <w:rPr>
          <w:spacing w:val="-81"/>
        </w:rPr>
        <w:t> </w:t>
      </w:r>
      <w:r>
        <w:rPr>
          <w:spacing w:val="-81"/>
        </w:rPr>
      </w:r>
      <w:r>
        <w:rPr>
          <w:spacing w:val="-1"/>
        </w:rPr>
        <w:t>被购买方可辨认净资产公允价值份额的，经复核后合并成本仍小于合并中取得的被购买方可辨认净资产公</w:t>
      </w:r>
      <w:r>
        <w:rPr>
          <w:spacing w:val="-81"/>
        </w:rPr>
        <w:t> </w:t>
      </w:r>
      <w:r>
        <w:rPr>
          <w:spacing w:val="-81"/>
        </w:rPr>
      </w:r>
      <w:r>
        <w:rPr/>
        <w:t>允价值份额的差额，计入当期营业外收入。</w:t>
      </w:r>
    </w:p>
    <w:p>
      <w:pPr>
        <w:spacing w:after="0" w:line="408" w:lineRule="auto"/>
        <w:jc w:val="both"/>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6、合并财务报表的编制方法" w:id="172"/>
      <w:bookmarkEnd w:id="172"/>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1553" w:right="0"/>
        <w:jc w:val="left"/>
      </w:pPr>
      <w:r>
        <w:rPr>
          <w:rFonts w:ascii="宋体" w:hAnsi="宋体" w:cs="宋体" w:eastAsia="宋体" w:hint="default"/>
        </w:rPr>
        <w:t>1</w:t>
      </w:r>
      <w:r>
        <w:rPr/>
        <w:t>、合并财务报表范围 </w:t>
      </w:r>
      <w:r>
        <w:rPr>
          <w:spacing w:val="-1"/>
        </w:rPr>
        <w:t>本公司将全部子公司（包括本公司所控制的单独主体）纳入合并财务报表范围，包括被本公司控制的</w:t>
      </w:r>
    </w:p>
    <w:p>
      <w:pPr>
        <w:pStyle w:val="BodyText"/>
        <w:spacing w:line="408" w:lineRule="auto"/>
        <w:ind w:left="1553" w:right="0" w:hanging="420"/>
        <w:jc w:val="left"/>
      </w:pPr>
      <w:r>
        <w:rPr/>
        <w:t>企业、被投资单位中可分割的部分以及结构化主体。 </w:t>
      </w:r>
      <w:r>
        <w:rPr>
          <w:rFonts w:ascii="宋体" w:hAnsi="宋体" w:cs="宋体" w:eastAsia="宋体" w:hint="default"/>
        </w:rPr>
        <w:t>2</w:t>
      </w:r>
      <w:r>
        <w:rPr/>
        <w:t>、统一母子公司的会计政策、统一母子公司的资产负债表日及会计期间 </w:t>
      </w:r>
      <w:r>
        <w:rPr>
          <w:spacing w:val="-1"/>
        </w:rPr>
        <w:t>子公司与本公司采用的会计政策或会计期间不一致的，在编制合并财务报表时，按照本公司的会计政</w:t>
      </w:r>
    </w:p>
    <w:p>
      <w:pPr>
        <w:pStyle w:val="BodyText"/>
        <w:spacing w:line="408" w:lineRule="auto"/>
        <w:ind w:left="1553" w:right="6133" w:hanging="420"/>
        <w:jc w:val="left"/>
      </w:pPr>
      <w:r>
        <w:rPr/>
        <w:t>策或会计期间对子公司财务报表进行必要的调整。 </w:t>
      </w:r>
      <w:r>
        <w:rPr>
          <w:rFonts w:ascii="宋体" w:hAnsi="宋体" w:cs="宋体" w:eastAsia="宋体" w:hint="default"/>
        </w:rPr>
        <w:t>3</w:t>
      </w:r>
      <w:r>
        <w:rPr/>
        <w:t>、合并财务报表抵销事项</w:t>
      </w:r>
    </w:p>
    <w:p>
      <w:pPr>
        <w:pStyle w:val="BodyText"/>
        <w:spacing w:line="408" w:lineRule="auto"/>
        <w:ind w:right="1024" w:firstLine="420"/>
        <w:jc w:val="left"/>
      </w:pPr>
      <w:r>
        <w:rPr/>
        <w:t>合并财务报表以母公司和子公司的资产负债表为基础，已抵销了母公司与子公司、子公司相互之间发 生的内部交易。子公司所有者权益中不属于母公司的份额，作为少数股东权益，在合并资产负债表中所有 </w:t>
      </w:r>
      <w:r>
        <w:rPr>
          <w:spacing w:val="-3"/>
        </w:rPr>
        <w:t>者权益项目下以“少数股东权益”项目列示。子公司持有母公司的长期股权投资，视为企业集团的库存股，</w:t>
      </w:r>
      <w:r>
        <w:rPr>
          <w:spacing w:val="-93"/>
        </w:rPr>
        <w:t> </w:t>
      </w:r>
      <w:r>
        <w:rPr>
          <w:spacing w:val="-93"/>
        </w:rPr>
      </w:r>
      <w:r>
        <w:rPr/>
        <w:t>作为所有者权益的减项，在合并资产负债表中所有者权益项目下以“减：库存股”项目列示。</w:t>
      </w:r>
    </w:p>
    <w:p>
      <w:pPr>
        <w:pStyle w:val="BodyText"/>
        <w:spacing w:line="408" w:lineRule="auto"/>
        <w:ind w:left="1553" w:right="0"/>
        <w:jc w:val="left"/>
      </w:pPr>
      <w:r>
        <w:rPr>
          <w:rFonts w:ascii="宋体" w:hAnsi="宋体" w:cs="宋体" w:eastAsia="宋体" w:hint="default"/>
        </w:rPr>
        <w:t>4</w:t>
      </w:r>
      <w:r>
        <w:rPr/>
        <w:t>、合并取得子公司会计处理 对于同一控制下企业合并取得的子公司，视同该企业合并于自最终控制方开始实时控制时已经发生，</w:t>
      </w:r>
    </w:p>
    <w:p>
      <w:pPr>
        <w:pStyle w:val="BodyText"/>
        <w:spacing w:line="408" w:lineRule="auto"/>
        <w:ind w:right="1131"/>
        <w:jc w:val="both"/>
      </w:pPr>
      <w:r>
        <w:rPr>
          <w:spacing w:val="-1"/>
        </w:rPr>
        <w:t>从合并当期的期初起将其资产、负债、经营成果和现金流量纳入合并财务报表；对于非同一控制下企业合</w:t>
      </w:r>
      <w:r>
        <w:rPr>
          <w:spacing w:val="-83"/>
        </w:rPr>
        <w:t> </w:t>
      </w:r>
      <w:r>
        <w:rPr>
          <w:spacing w:val="-83"/>
        </w:rPr>
      </w:r>
      <w:r>
        <w:rPr>
          <w:spacing w:val="-1"/>
        </w:rPr>
        <w:t>并取得的子公司，在编制合并财务报表时，以购买日可辨认净资产公允价值为基础对其个别财务报表进行</w:t>
      </w:r>
      <w:r>
        <w:rPr>
          <w:spacing w:val="-81"/>
        </w:rPr>
        <w:t> </w:t>
      </w:r>
      <w:r>
        <w:rPr>
          <w:spacing w:val="-81"/>
        </w:rPr>
      </w:r>
      <w:r>
        <w:rPr/>
        <w:t>调整。</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bookmarkStart w:name="7、合营安排分类及共同经营会计处理方法" w:id="173"/>
      <w:bookmarkEnd w:id="173"/>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1553" w:right="0"/>
        <w:jc w:val="left"/>
      </w:pPr>
      <w:r>
        <w:rPr>
          <w:rFonts w:ascii="宋体" w:hAnsi="宋体" w:cs="宋体" w:eastAsia="宋体" w:hint="default"/>
        </w:rPr>
        <w:t>1</w:t>
      </w:r>
      <w:r>
        <w:rPr/>
        <w:t>、合营安排的分类 合营安排分为共同经营和合营企业。未通过单独主体达成的合营安排，划分为共同经营。单独主体，</w:t>
      </w:r>
    </w:p>
    <w:p>
      <w:pPr>
        <w:pStyle w:val="BodyText"/>
        <w:spacing w:line="408" w:lineRule="auto"/>
        <w:ind w:right="0"/>
        <w:jc w:val="left"/>
      </w:pPr>
      <w:r>
        <w:rPr/>
        <w:t>是指具有单独可辨认的财务架构的主体，包括单独的法人主体和不具备法人主体资格但法律认可的主体。</w:t>
      </w:r>
      <w:r>
        <w:rPr>
          <w:spacing w:val="-35"/>
        </w:rPr>
        <w:t> </w:t>
      </w:r>
      <w:r>
        <w:rPr>
          <w:spacing w:val="-35"/>
        </w:rPr>
      </w:r>
      <w:r>
        <w:rPr/>
        <w:t>通过单独主体达成的合营安排，通常划分为合营企业。相关事实和情况变化导致合营方在合营安排中享有</w:t>
      </w:r>
      <w:r>
        <w:rPr/>
        <w:t> 的权利和承担的义务发生变化的，合营方对合营安排的分类进行重新评估。</w:t>
      </w:r>
    </w:p>
    <w:p>
      <w:pPr>
        <w:pStyle w:val="BodyText"/>
        <w:spacing w:line="408" w:lineRule="auto"/>
        <w:ind w:left="1553" w:right="0"/>
        <w:jc w:val="left"/>
      </w:pPr>
      <w:r>
        <w:rPr>
          <w:rFonts w:ascii="宋体" w:hAnsi="宋体" w:cs="宋体" w:eastAsia="宋体" w:hint="default"/>
        </w:rPr>
        <w:t>2</w:t>
      </w:r>
      <w:r>
        <w:rPr/>
        <w:t>、共同经营的会计处理 </w:t>
      </w:r>
      <w:r>
        <w:rPr>
          <w:spacing w:val="-1"/>
        </w:rPr>
        <w:t>共同经营参与方应当确认其与共同经营中利益份额相关的下列项目，并按照相关企业会计准则的规定</w:t>
      </w:r>
    </w:p>
    <w:p>
      <w:pPr>
        <w:pStyle w:val="BodyText"/>
        <w:spacing w:line="408" w:lineRule="auto"/>
        <w:ind w:right="1131"/>
        <w:jc w:val="both"/>
      </w:pPr>
      <w:r>
        <w:rPr>
          <w:spacing w:val="-1"/>
        </w:rPr>
        <w:t>进行会计处理：确认单独所持有的资产或负债，以及按其份额确认共同持有的资产或负债；确认出售其享</w:t>
      </w:r>
      <w:r>
        <w:rPr>
          <w:spacing w:val="-83"/>
        </w:rPr>
        <w:t> </w:t>
      </w:r>
      <w:r>
        <w:rPr>
          <w:spacing w:val="-83"/>
        </w:rPr>
      </w:r>
      <w:r>
        <w:rPr>
          <w:spacing w:val="-1"/>
        </w:rPr>
        <w:t>有的共同经营产出份额所产生的收入；按其份额确认共同经营因出售产出所产生的收入；确认单独所发生</w:t>
      </w:r>
      <w:r>
        <w:rPr>
          <w:spacing w:val="-81"/>
        </w:rPr>
        <w:t> </w:t>
      </w:r>
      <w:r>
        <w:rPr>
          <w:spacing w:val="-81"/>
        </w:rPr>
      </w:r>
      <w:r>
        <w:rPr/>
        <w:t>的费用，以及按其份额确认共同经营发生的费用。</w:t>
      </w:r>
    </w:p>
    <w:p>
      <w:pPr>
        <w:spacing w:after="0" w:line="408"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right="0" w:firstLine="420"/>
        <w:jc w:val="left"/>
      </w:pPr>
      <w:r>
        <w:rPr/>
        <w:t>对共同经营不享有共同控制的参与方，如果享有该共同经营相关资产且承担该共同经营相关负债的， 参照共同经营参与方的规定进行会计处理；否则，应当按照相关企业会计准则的规定进行会计处理。</w:t>
      </w:r>
    </w:p>
    <w:p>
      <w:pPr>
        <w:pStyle w:val="BodyText"/>
        <w:spacing w:line="408" w:lineRule="auto"/>
        <w:ind w:left="1553" w:right="1136"/>
        <w:jc w:val="left"/>
      </w:pPr>
      <w:r>
        <w:rPr>
          <w:rFonts w:ascii="宋体" w:hAnsi="宋体" w:cs="宋体" w:eastAsia="宋体" w:hint="default"/>
        </w:rPr>
        <w:t>3</w:t>
      </w:r>
      <w:r>
        <w:rPr/>
        <w:t>、合营企业的会计处理                          </w:t>
      </w:r>
      <w:r>
        <w:rPr>
          <w:spacing w:val="91"/>
        </w:rPr>
        <w:t> </w:t>
      </w:r>
      <w:r>
        <w:rPr>
          <w:spacing w:val="91"/>
        </w:rPr>
      </w:r>
      <w:r>
        <w:rPr/>
        <w:t>合营企业参与方应当按照《</w:t>
      </w:r>
      <w:r>
        <w:rPr>
          <w:color w:val="6C6C6C"/>
        </w:rPr>
      </w:r>
      <w:hyperlink r:id="rId19">
        <w:r>
          <w:rPr>
            <w:color w:val="6C6C6C"/>
            <w:u w:val="single" w:color="6C6C6C"/>
          </w:rPr>
          <w:t>企业会计准则第</w:t>
        </w:r>
        <w:r>
          <w:rPr>
            <w:color w:val="6C6C6C"/>
            <w:spacing w:val="-52"/>
            <w:u w:val="single" w:color="6C6C6C"/>
          </w:rPr>
          <w:t> </w:t>
        </w:r>
        <w:r>
          <w:rPr>
            <w:color w:val="6C6C6C"/>
            <w:spacing w:val="-52"/>
            <w:u w:val="single" w:color="6C6C6C"/>
          </w:rPr>
          <w:t>                                                     </w:t>
        </w:r>
        <w:r>
          <w:rPr>
            <w:rFonts w:ascii="宋体" w:hAnsi="宋体" w:cs="宋体" w:eastAsia="宋体" w:hint="default"/>
            <w:color w:val="6C6C6C"/>
            <w:u w:val="single" w:color="6C6C6C"/>
          </w:rPr>
          <w:t>2</w:t>
        </w:r>
        <w:r>
          <w:rPr>
            <w:rFonts w:ascii="宋体" w:hAnsi="宋体" w:cs="宋体" w:eastAsia="宋体" w:hint="default"/>
            <w:color w:val="6C6C6C"/>
            <w:spacing w:val="-64"/>
            <w:u w:val="single" w:color="6C6C6C"/>
          </w:rPr>
          <w:t> </w:t>
        </w:r>
        <w:r>
          <w:rPr>
            <w:color w:val="6C6C6C"/>
            <w:u w:val="single" w:color="6C6C6C"/>
          </w:rPr>
          <w:t>号—长期股权投资</w:t>
        </w:r>
        <w:r>
          <w:rPr>
            <w:color w:val="6C6C6C"/>
          </w:rPr>
        </w:r>
      </w:hyperlink>
      <w:r>
        <w:rPr/>
        <w:t>》的规定对合营企业的投资进行会计</w:t>
      </w:r>
    </w:p>
    <w:p>
      <w:pPr>
        <w:pStyle w:val="BodyText"/>
        <w:spacing w:line="240" w:lineRule="auto"/>
        <w:ind w:right="0"/>
        <w:jc w:val="both"/>
      </w:pPr>
      <w:r>
        <w:rPr/>
        <w:t>处理，不享有共同控制的参与方应当根据其对该合营企业的影响程度进行会计处理。</w:t>
      </w:r>
    </w:p>
    <w:p>
      <w:pPr>
        <w:spacing w:line="670" w:lineRule="atLeast" w:before="37"/>
        <w:ind w:left="1553" w:right="0" w:hanging="420"/>
        <w:jc w:val="left"/>
        <w:rPr>
          <w:rFonts w:ascii="宋体" w:hAnsi="宋体" w:cs="宋体" w:eastAsia="宋体" w:hint="default"/>
          <w:sz w:val="21"/>
          <w:szCs w:val="21"/>
        </w:rPr>
      </w:pPr>
      <w:bookmarkStart w:name="8、现金及现金等价物的确定标准" w:id="174"/>
      <w:bookmarkEnd w:id="174"/>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b/>
          <w:bCs/>
          <w:w w:val="99"/>
          <w:sz w:val="21"/>
          <w:szCs w:val="21"/>
        </w:rPr>
        <w:t> </w:t>
      </w:r>
      <w:r>
        <w:rPr>
          <w:rFonts w:ascii="宋体" w:hAnsi="宋体" w:cs="宋体" w:eastAsia="宋体" w:hint="default"/>
          <w:spacing w:val="-1"/>
          <w:sz w:val="21"/>
          <w:szCs w:val="21"/>
        </w:rPr>
        <w:t>本公司在编制现金流量表时所确定的现金，是指本公司库存现金以及可以随时用于支付的存款。在编</w:t>
      </w:r>
    </w:p>
    <w:p>
      <w:pPr>
        <w:spacing w:line="240" w:lineRule="auto" w:before="10"/>
        <w:rPr>
          <w:rFonts w:ascii="宋体" w:hAnsi="宋体" w:cs="宋体" w:eastAsia="宋体" w:hint="default"/>
          <w:sz w:val="14"/>
          <w:szCs w:val="14"/>
        </w:rPr>
      </w:pPr>
    </w:p>
    <w:p>
      <w:pPr>
        <w:pStyle w:val="BodyText"/>
        <w:spacing w:line="408" w:lineRule="auto" w:before="0"/>
        <w:ind w:right="1133"/>
        <w:jc w:val="both"/>
      </w:pPr>
      <w:r>
        <w:rPr>
          <w:spacing w:val="-1"/>
        </w:rPr>
        <w:t>制现金流量表时所确定的现金等价物，是指持有的期限短、流动性强、易于转换为已知金额现金、价值变</w:t>
      </w:r>
      <w:r>
        <w:rPr>
          <w:spacing w:val="-86"/>
        </w:rPr>
        <w:t> </w:t>
      </w:r>
      <w:r>
        <w:rPr>
          <w:spacing w:val="-86"/>
        </w:rPr>
      </w:r>
      <w:r>
        <w:rPr/>
        <w:t>动风险很小的投资。</w:t>
      </w:r>
    </w:p>
    <w:p>
      <w:pPr>
        <w:spacing w:line="240" w:lineRule="auto" w:before="8"/>
        <w:rPr>
          <w:rFonts w:ascii="宋体" w:hAnsi="宋体" w:cs="宋体" w:eastAsia="宋体" w:hint="default"/>
          <w:sz w:val="20"/>
          <w:szCs w:val="20"/>
        </w:rPr>
      </w:pPr>
    </w:p>
    <w:p>
      <w:pPr>
        <w:pStyle w:val="Heading4"/>
        <w:spacing w:line="240" w:lineRule="auto"/>
        <w:ind w:right="0"/>
        <w:jc w:val="both"/>
        <w:rPr>
          <w:b w:val="0"/>
          <w:bCs w:val="0"/>
        </w:rPr>
      </w:pPr>
      <w:bookmarkStart w:name="9、外币业务和外币报表折算" w:id="175"/>
      <w:bookmarkEnd w:id="175"/>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1553" w:right="0"/>
        <w:jc w:val="left"/>
      </w:pPr>
      <w:r>
        <w:rPr>
          <w:rFonts w:ascii="宋体" w:hAnsi="宋体" w:cs="宋体" w:eastAsia="宋体" w:hint="default"/>
        </w:rPr>
        <w:t>1</w:t>
      </w:r>
      <w:r>
        <w:rPr/>
        <w:t>、外币业务折算 </w:t>
      </w:r>
      <w:r>
        <w:rPr>
          <w:spacing w:val="-1"/>
        </w:rPr>
        <w:t>本公司对发生的外币交易，采用与交易发生日即期汇率折合本位币入账。资产负债表日外币货币性项</w:t>
      </w:r>
    </w:p>
    <w:p>
      <w:pPr>
        <w:pStyle w:val="BodyText"/>
        <w:spacing w:line="408" w:lineRule="auto"/>
        <w:ind w:right="1131"/>
        <w:jc w:val="both"/>
      </w:pPr>
      <w:r>
        <w:rPr>
          <w:spacing w:val="-1"/>
        </w:rPr>
        <w:t>目按资产负债表日即期汇率折算，因该日的即期汇率与初始确认时或者前一资产负债表日即期汇率不同而</w:t>
      </w:r>
      <w:r>
        <w:rPr>
          <w:spacing w:val="-81"/>
        </w:rPr>
        <w:t> </w:t>
      </w:r>
      <w:r>
        <w:rPr>
          <w:spacing w:val="-81"/>
        </w:rPr>
      </w:r>
      <w:r>
        <w:rPr>
          <w:spacing w:val="-1"/>
        </w:rPr>
        <w:t>产生的汇兑差额，除符合资本化条件的外币专门借款的汇兑差额在资本化期间予以资本化计入相关资产的</w:t>
      </w:r>
      <w:r>
        <w:rPr>
          <w:spacing w:val="-81"/>
        </w:rPr>
        <w:t> </w:t>
      </w:r>
      <w:r>
        <w:rPr>
          <w:spacing w:val="-81"/>
        </w:rPr>
      </w:r>
      <w:r>
        <w:rPr>
          <w:spacing w:val="-1"/>
        </w:rPr>
        <w:t>成本外，均计入当期损益。以历史成本计量的外币非货币性项目，仍采用交易发生日的即期汇率折算，不</w:t>
      </w:r>
      <w:r>
        <w:rPr>
          <w:spacing w:val="-85"/>
        </w:rPr>
        <w:t> </w:t>
      </w:r>
      <w:r>
        <w:rPr>
          <w:spacing w:val="-85"/>
        </w:rPr>
      </w:r>
      <w:r>
        <w:rPr>
          <w:spacing w:val="-1"/>
        </w:rPr>
        <w:t>改变其记账本位币金额。以公允价值计量的外币非货币性项目，采用公允价值确定日的即期汇率折算，折</w:t>
      </w:r>
      <w:r>
        <w:rPr>
          <w:spacing w:val="-83"/>
        </w:rPr>
        <w:t> </w:t>
      </w:r>
      <w:r>
        <w:rPr>
          <w:spacing w:val="-83"/>
        </w:rPr>
      </w:r>
      <w:r>
        <w:rPr>
          <w:spacing w:val="-1"/>
        </w:rPr>
        <w:t>算后的记账本位币金额与原记账本位币金额的差额，作为公允价值变动</w:t>
      </w:r>
      <w:r>
        <w:rPr>
          <w:rFonts w:ascii="宋体" w:hAnsi="宋体" w:cs="宋体" w:eastAsia="宋体" w:hint="default"/>
          <w:spacing w:val="-1"/>
        </w:rPr>
        <w:t>(</w:t>
      </w:r>
      <w:r>
        <w:rPr>
          <w:spacing w:val="-1"/>
        </w:rPr>
        <w:t>含汇率变动</w:t>
      </w:r>
      <w:r>
        <w:rPr>
          <w:rFonts w:ascii="宋体" w:hAnsi="宋体" w:cs="宋体" w:eastAsia="宋体" w:hint="default"/>
          <w:spacing w:val="-1"/>
        </w:rPr>
        <w:t>)</w:t>
      </w:r>
      <w:r>
        <w:rPr>
          <w:spacing w:val="-1"/>
        </w:rPr>
        <w:t>处理，计入当期损益</w:t>
      </w:r>
      <w:r>
        <w:rPr>
          <w:spacing w:val="-84"/>
        </w:rPr>
        <w:t> </w:t>
      </w:r>
      <w:r>
        <w:rPr>
          <w:spacing w:val="-84"/>
        </w:rPr>
      </w:r>
      <w:r>
        <w:rPr/>
        <w:t>或确认为其他综合收益。</w:t>
      </w:r>
    </w:p>
    <w:p>
      <w:pPr>
        <w:pStyle w:val="BodyText"/>
        <w:spacing w:line="408" w:lineRule="auto"/>
        <w:ind w:left="1553" w:right="0"/>
        <w:jc w:val="left"/>
      </w:pPr>
      <w:r>
        <w:rPr>
          <w:rFonts w:ascii="宋体" w:hAnsi="宋体" w:cs="宋体" w:eastAsia="宋体" w:hint="default"/>
        </w:rPr>
        <w:t>2</w:t>
      </w:r>
      <w:r>
        <w:rPr/>
        <w:t>、外币财务报表折算 </w:t>
      </w:r>
      <w:r>
        <w:rPr>
          <w:spacing w:val="-1"/>
        </w:rPr>
        <w:t>本公司的控股子公司、合营企业、联营企业等，若采用与本公司不同的记账本位币，需对其外币财务</w:t>
      </w:r>
    </w:p>
    <w:p>
      <w:pPr>
        <w:pStyle w:val="BodyText"/>
        <w:spacing w:line="408" w:lineRule="auto"/>
        <w:ind w:right="1131"/>
        <w:jc w:val="both"/>
      </w:pPr>
      <w:r>
        <w:rPr>
          <w:spacing w:val="-1"/>
        </w:rPr>
        <w:t>报表折算后，再进行会计核算及合并财务报表的编报。资产负债表中的资产和负债项目，采用资产负债表</w:t>
      </w:r>
      <w:r>
        <w:rPr>
          <w:spacing w:val="-83"/>
        </w:rPr>
        <w:t> </w:t>
      </w:r>
      <w:r>
        <w:rPr>
          <w:spacing w:val="-83"/>
        </w:rPr>
      </w:r>
      <w:r>
        <w:rPr>
          <w:spacing w:val="-1"/>
        </w:rPr>
        <w:t>日的即期汇率折算，所有者权益项目除“未分配利润”项目外，其他项目采用发生时的即期汇率折算。利</w:t>
      </w:r>
      <w:r>
        <w:rPr>
          <w:spacing w:val="-84"/>
        </w:rPr>
        <w:t> </w:t>
      </w:r>
      <w:r>
        <w:rPr>
          <w:spacing w:val="-84"/>
        </w:rPr>
      </w:r>
      <w:r>
        <w:rPr>
          <w:spacing w:val="-1"/>
        </w:rPr>
        <w:t>润表中的收入和费用项目，采用交易发生日的即期汇率折算。折算产生的外币财务报表折算差额，在资产</w:t>
      </w:r>
      <w:r>
        <w:rPr>
          <w:spacing w:val="-83"/>
        </w:rPr>
        <w:t> </w:t>
      </w:r>
      <w:r>
        <w:rPr>
          <w:spacing w:val="-83"/>
        </w:rPr>
      </w:r>
      <w:r>
        <w:rPr>
          <w:spacing w:val="-1"/>
        </w:rPr>
        <w:t>负债表中所有者权益项目其他综合收益下列示。外币现金流量按照系统合理方法确定的，采用交易发生日</w:t>
      </w:r>
      <w:r>
        <w:rPr>
          <w:spacing w:val="-81"/>
        </w:rPr>
        <w:t> </w:t>
      </w:r>
      <w:r>
        <w:rPr>
          <w:spacing w:val="-81"/>
        </w:rPr>
      </w:r>
      <w:r>
        <w:rPr>
          <w:spacing w:val="-1"/>
        </w:rPr>
        <w:t>的即期汇率折算。汇率变动对现金的影响额，在现金流量表中单独列示。处置境外经营时，与该境外经营</w:t>
      </w:r>
      <w:r>
        <w:rPr>
          <w:spacing w:val="-86"/>
        </w:rPr>
        <w:t> </w:t>
      </w:r>
      <w:r>
        <w:rPr>
          <w:spacing w:val="-86"/>
        </w:rPr>
      </w:r>
      <w:r>
        <w:rPr/>
        <w:t>有关的外币报表折算差额，全部或按处置该境外经营的比例转入处置当期损益。</w:t>
      </w:r>
    </w:p>
    <w:p>
      <w:pPr>
        <w:spacing w:after="0" w:line="408" w:lineRule="auto"/>
        <w:jc w:val="both"/>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both"/>
        <w:rPr>
          <w:b w:val="0"/>
          <w:bCs w:val="0"/>
        </w:rPr>
      </w:pPr>
      <w:bookmarkStart w:name="10、金融工具" w:id="176"/>
      <w:bookmarkEnd w:id="176"/>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1554" w:right="0"/>
        <w:jc w:val="left"/>
      </w:pPr>
      <w:r>
        <w:rPr>
          <w:rFonts w:ascii="宋体" w:hAnsi="宋体" w:cs="宋体" w:eastAsia="宋体" w:hint="default"/>
        </w:rPr>
        <w:t>1</w:t>
      </w:r>
      <w:r>
        <w:rPr/>
        <w:t>、金融工具的分类及确认 </w:t>
      </w:r>
      <w:r>
        <w:rPr>
          <w:spacing w:val="-1"/>
        </w:rPr>
        <w:t>金融工具划分为金融资产或金融负债和权益工具。本公司成为金融工具合同的一方时，确认为一项金</w:t>
      </w:r>
    </w:p>
    <w:p>
      <w:pPr>
        <w:pStyle w:val="BodyText"/>
        <w:spacing w:line="408" w:lineRule="auto"/>
        <w:ind w:left="1554" w:right="1017" w:hanging="420"/>
        <w:jc w:val="left"/>
      </w:pPr>
      <w:r>
        <w:rPr/>
        <w:t>融资产或金融负债，或权益工具。 </w:t>
      </w:r>
      <w:r>
        <w:rPr>
          <w:spacing w:val="-3"/>
        </w:rPr>
        <w:t>金融资产于初始确认时分类为：以公允价值计量且其变动计入当期损益的金融资产、持有至到期投资、</w:t>
      </w:r>
    </w:p>
    <w:p>
      <w:pPr>
        <w:pStyle w:val="BodyText"/>
        <w:spacing w:line="408" w:lineRule="auto"/>
        <w:ind w:left="1134" w:right="1130"/>
        <w:jc w:val="both"/>
      </w:pPr>
      <w:r>
        <w:rPr>
          <w:spacing w:val="-1"/>
        </w:rPr>
        <w:t>应收款项、可供出售金融资产。除应收款项以外的金融资产的分类取决于本公司及其子公司对金融资产的</w:t>
      </w:r>
      <w:r>
        <w:rPr>
          <w:spacing w:val="-80"/>
        </w:rPr>
        <w:t> </w:t>
      </w:r>
      <w:r>
        <w:rPr>
          <w:spacing w:val="-80"/>
        </w:rPr>
      </w:r>
      <w:r>
        <w:rPr>
          <w:spacing w:val="-1"/>
        </w:rPr>
        <w:t>持有意图和持有能力等。金融负债于初始确认时分类为：以公允价值计量且其变动计入当期损益的金融负</w:t>
      </w:r>
      <w:r>
        <w:rPr>
          <w:spacing w:val="-81"/>
        </w:rPr>
        <w:t> </w:t>
      </w:r>
      <w:r>
        <w:rPr>
          <w:spacing w:val="-81"/>
        </w:rPr>
      </w:r>
      <w:r>
        <w:rPr/>
        <w:t>债以及其他金融负债。</w:t>
      </w:r>
    </w:p>
    <w:p>
      <w:pPr>
        <w:pStyle w:val="BodyText"/>
        <w:spacing w:line="408" w:lineRule="auto"/>
        <w:ind w:left="1134" w:right="1131" w:firstLine="420"/>
        <w:jc w:val="both"/>
      </w:pPr>
      <w:r>
        <w:rPr>
          <w:spacing w:val="3"/>
        </w:rPr>
        <w:t>以公允价值计量且其变动计入当期损益的金融资产包括持有目的为短期内出售的交易性金融资产和</w:t>
      </w:r>
      <w:r>
        <w:rPr/>
        <w:t> </w:t>
      </w:r>
      <w:r>
        <w:rPr>
          <w:spacing w:val="-1"/>
        </w:rPr>
        <w:t>初始确认时指定为以公允价值计量且其变动计入当期损益的金融资产；应收款项是指在活跃市场中没有报</w:t>
      </w:r>
      <w:r>
        <w:rPr>
          <w:spacing w:val="-81"/>
        </w:rPr>
        <w:t> </w:t>
      </w:r>
      <w:r>
        <w:rPr>
          <w:spacing w:val="-81"/>
        </w:rPr>
      </w:r>
      <w:r>
        <w:rPr>
          <w:spacing w:val="-1"/>
        </w:rPr>
        <w:t>价、回收金额固定或可确定的非衍生金融资产；可供出售金融资产包括初始确认时即被指定为可供出售的</w:t>
      </w:r>
      <w:r>
        <w:rPr>
          <w:spacing w:val="-81"/>
        </w:rPr>
        <w:t> </w:t>
      </w:r>
      <w:r>
        <w:rPr>
          <w:spacing w:val="-81"/>
        </w:rPr>
      </w:r>
      <w:r>
        <w:rPr>
          <w:spacing w:val="-1"/>
        </w:rPr>
        <w:t>非衍生金融资产及未被划分为其他类的金融资产；持有至到期投资是指到期日固定、回收金额固定或可确</w:t>
      </w:r>
      <w:r>
        <w:rPr>
          <w:spacing w:val="-81"/>
        </w:rPr>
        <w:t> </w:t>
      </w:r>
      <w:r>
        <w:rPr>
          <w:spacing w:val="-81"/>
        </w:rPr>
      </w:r>
      <w:r>
        <w:rPr/>
        <w:t>定，且管理层有明确意图和能力持有至到期的非衍生金融资产。</w:t>
      </w:r>
    </w:p>
    <w:p>
      <w:pPr>
        <w:pStyle w:val="BodyText"/>
        <w:spacing w:line="408" w:lineRule="auto"/>
        <w:ind w:left="1554" w:right="0"/>
        <w:jc w:val="left"/>
      </w:pPr>
      <w:r>
        <w:rPr>
          <w:rFonts w:ascii="宋体" w:hAnsi="宋体" w:cs="宋体" w:eastAsia="宋体" w:hint="default"/>
        </w:rPr>
        <w:t>2</w:t>
      </w:r>
      <w:r>
        <w:rPr/>
        <w:t>、金融工具的计量 </w:t>
      </w:r>
      <w:r>
        <w:rPr>
          <w:spacing w:val="-1"/>
        </w:rPr>
        <w:t>本公司金融工具始确认按公允价值计量。后续计量分类为：以公允价值计量且其变动计入当期损益的</w:t>
      </w:r>
    </w:p>
    <w:p>
      <w:pPr>
        <w:pStyle w:val="BodyText"/>
        <w:spacing w:line="408" w:lineRule="auto"/>
        <w:ind w:left="1134" w:right="1130"/>
        <w:jc w:val="both"/>
      </w:pPr>
      <w:r>
        <w:rPr>
          <w:spacing w:val="-1"/>
        </w:rPr>
        <w:t>金融资产、可供出售金融资产及以公允价值计量且其变动计入当期损益的金融负债按公允价值计量；持有</w:t>
      </w:r>
      <w:r>
        <w:rPr>
          <w:spacing w:val="-81"/>
        </w:rPr>
        <w:t> </w:t>
      </w:r>
      <w:r>
        <w:rPr>
          <w:spacing w:val="-81"/>
        </w:rPr>
      </w:r>
      <w:r>
        <w:rPr>
          <w:spacing w:val="-1"/>
        </w:rPr>
        <w:t>到期投资、贷款和应收款项以及其他金融负债按摊余成本计量；在活跃市场中没有报价且其公允价值不能</w:t>
      </w:r>
      <w:r>
        <w:rPr>
          <w:spacing w:val="-81"/>
        </w:rPr>
        <w:t> </w:t>
      </w:r>
      <w:r>
        <w:rPr>
          <w:spacing w:val="-81"/>
        </w:rPr>
      </w:r>
      <w:r>
        <w:rPr>
          <w:spacing w:val="-1"/>
        </w:rPr>
        <w:t>可靠计量的权益工具投资，以及与该权益工具挂钩并须通过交付该权益工具结算的衍生金融资产或者衍生</w:t>
      </w:r>
      <w:r>
        <w:rPr>
          <w:spacing w:val="-81"/>
        </w:rPr>
        <w:t> </w:t>
      </w:r>
      <w:r>
        <w:rPr>
          <w:spacing w:val="-81"/>
        </w:rPr>
      </w:r>
      <w:r>
        <w:rPr>
          <w:spacing w:val="-1"/>
        </w:rPr>
        <w:t>金融负债，按照成本计量。本公司金融资产或金融负债后续计量中公允价值变动形成的利得或损失，除与</w:t>
      </w:r>
      <w:r>
        <w:rPr>
          <w:spacing w:val="-82"/>
        </w:rPr>
        <w:t> </w:t>
      </w:r>
      <w:r>
        <w:rPr>
          <w:spacing w:val="-82"/>
        </w:rPr>
      </w:r>
      <w:r>
        <w:rPr>
          <w:spacing w:val="-1"/>
        </w:rPr>
        <w:t>套期保值有关外，按照如下方法处理：①以公允价值计量且其变动计入当期损益的金融资产或金融负债公</w:t>
      </w:r>
      <w:r>
        <w:rPr>
          <w:spacing w:val="-81"/>
        </w:rPr>
        <w:t> </w:t>
      </w:r>
      <w:r>
        <w:rPr>
          <w:spacing w:val="-81"/>
        </w:rPr>
      </w:r>
      <w:r>
        <w:rPr>
          <w:spacing w:val="-1"/>
        </w:rPr>
        <w:t>允价值变动形成的利得或损失，计入公允价值变动损益。②可供出售金融资产的公允价值变动计入其他综</w:t>
      </w:r>
      <w:r>
        <w:rPr>
          <w:spacing w:val="-81"/>
        </w:rPr>
        <w:t> </w:t>
      </w:r>
      <w:r>
        <w:rPr>
          <w:spacing w:val="-81"/>
        </w:rPr>
      </w:r>
      <w:r>
        <w:rPr/>
        <w:t>合收益。</w:t>
      </w:r>
    </w:p>
    <w:p>
      <w:pPr>
        <w:pStyle w:val="BodyText"/>
        <w:spacing w:line="408" w:lineRule="auto"/>
        <w:ind w:left="1554" w:right="0"/>
        <w:jc w:val="left"/>
      </w:pPr>
      <w:r>
        <w:rPr>
          <w:rFonts w:ascii="宋体" w:hAnsi="宋体" w:cs="宋体" w:eastAsia="宋体" w:hint="default"/>
        </w:rPr>
        <w:t>3</w:t>
      </w:r>
      <w:r>
        <w:rPr/>
        <w:t>、本公司对金融工具的公允价值的确认方法 如存在活跃市场的金融工具，以活跃市场中的报价确定其公允价值；如不存在活跃市场的金融工具，</w:t>
      </w:r>
    </w:p>
    <w:p>
      <w:pPr>
        <w:pStyle w:val="BodyText"/>
        <w:spacing w:line="408" w:lineRule="auto"/>
        <w:ind w:left="1554" w:right="0" w:hanging="420"/>
        <w:jc w:val="left"/>
      </w:pPr>
      <w:r>
        <w:rPr/>
        <w:t>采用估值技术确定其公允价值。估值技术主要包括市场法、收益法和成本法。 </w:t>
      </w:r>
      <w:r>
        <w:rPr>
          <w:rFonts w:ascii="宋体" w:hAnsi="宋体" w:cs="宋体" w:eastAsia="宋体" w:hint="default"/>
        </w:rPr>
        <w:t>4</w:t>
      </w:r>
      <w:r>
        <w:rPr/>
        <w:t>、金融资产负债转移的确认依据和计量方法 </w:t>
      </w:r>
      <w:r>
        <w:rPr>
          <w:spacing w:val="-1"/>
        </w:rPr>
        <w:t>金融资产所有权上几乎所有的风险和报酬转移时，或既没有转移也没有保留金融资产所有权上几乎所</w:t>
      </w:r>
    </w:p>
    <w:p>
      <w:pPr>
        <w:pStyle w:val="BodyText"/>
        <w:spacing w:line="408" w:lineRule="auto"/>
        <w:ind w:left="1134" w:right="1131"/>
        <w:jc w:val="both"/>
      </w:pPr>
      <w:r>
        <w:rPr>
          <w:spacing w:val="-1"/>
        </w:rPr>
        <w:t>有的风险和报酬，但放弃了对该金融资产控制的，应当终止确认该项金融资产。金融资产满足终止确认条</w:t>
      </w:r>
      <w:r>
        <w:rPr>
          <w:spacing w:val="-83"/>
        </w:rPr>
        <w:t> </w:t>
      </w:r>
      <w:r>
        <w:rPr>
          <w:spacing w:val="-83"/>
        </w:rPr>
      </w:r>
      <w:r>
        <w:rPr>
          <w:spacing w:val="-1"/>
        </w:rPr>
        <w:t>件的，将所转移金融资产的账面价值与因转移而收到的对价和原直接计入其他综合收益的公允价值变动累</w:t>
      </w:r>
    </w:p>
    <w:p>
      <w:pPr>
        <w:spacing w:after="0" w:line="408"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right="1118"/>
        <w:jc w:val="left"/>
      </w:pPr>
      <w:r>
        <w:rPr>
          <w:spacing w:val="-5"/>
        </w:rPr>
        <w:t>计额之和的差额部分，计入当期损益。部分转移满足终止确认条件的，将所转移金融资产整体的账面价值，</w:t>
      </w:r>
      <w:r>
        <w:rPr>
          <w:spacing w:val="-101"/>
        </w:rPr>
        <w:t> </w:t>
      </w:r>
      <w:r>
        <w:rPr>
          <w:spacing w:val="-101"/>
        </w:rPr>
      </w:r>
      <w:r>
        <w:rPr/>
        <w:t>在终止确认部分和未终止确认部分之间，按照各自的相对公允价值进行分摊。</w:t>
      </w:r>
    </w:p>
    <w:p>
      <w:pPr>
        <w:pStyle w:val="BodyText"/>
        <w:spacing w:line="408" w:lineRule="auto"/>
        <w:ind w:left="1553" w:right="1118"/>
        <w:jc w:val="left"/>
      </w:pPr>
      <w:r>
        <w:rPr/>
        <w:t>金融负债的现时义务全部或部分已经解除的，则应终止确认该金融负债或其一部分。 </w:t>
      </w:r>
      <w:r>
        <w:rPr>
          <w:rFonts w:ascii="宋体" w:hAnsi="宋体" w:cs="宋体" w:eastAsia="宋体" w:hint="default"/>
        </w:rPr>
        <w:t>5</w:t>
      </w:r>
      <w:r>
        <w:rPr/>
        <w:t>、金融资产减值 </w:t>
      </w:r>
      <w:r>
        <w:rPr>
          <w:spacing w:val="-1"/>
        </w:rPr>
        <w:t>以摊余成本计量的金融资产发生减值时，按预计未来现金流量</w:t>
      </w:r>
      <w:r>
        <w:rPr>
          <w:rFonts w:ascii="宋体" w:hAnsi="宋体" w:cs="宋体" w:eastAsia="宋体" w:hint="default"/>
          <w:spacing w:val="-1"/>
        </w:rPr>
        <w:t>(</w:t>
      </w:r>
      <w:r>
        <w:rPr>
          <w:spacing w:val="-1"/>
        </w:rPr>
        <w:t>不包括尚未发生的未来信用损失</w:t>
      </w:r>
      <w:r>
        <w:rPr>
          <w:rFonts w:ascii="宋体" w:hAnsi="宋体" w:cs="宋体" w:eastAsia="宋体" w:hint="default"/>
          <w:spacing w:val="-1"/>
        </w:rPr>
        <w:t>)</w:t>
      </w:r>
      <w:r>
        <w:rPr>
          <w:spacing w:val="-1"/>
        </w:rPr>
        <w:t>现值</w:t>
      </w:r>
    </w:p>
    <w:p>
      <w:pPr>
        <w:pStyle w:val="BodyText"/>
        <w:spacing w:line="408" w:lineRule="auto"/>
        <w:ind w:right="0"/>
        <w:jc w:val="left"/>
      </w:pPr>
      <w:r>
        <w:rPr>
          <w:spacing w:val="-1"/>
        </w:rPr>
        <w:t>低于账面价值的差额，计提减值准备。如果有客观证据表明该金融资产价值已恢复，且客观上与确认该损</w:t>
      </w:r>
      <w:r>
        <w:rPr>
          <w:spacing w:val="-83"/>
        </w:rPr>
        <w:t> </w:t>
      </w:r>
      <w:r>
        <w:rPr>
          <w:spacing w:val="-83"/>
        </w:rPr>
      </w:r>
      <w:r>
        <w:rPr/>
        <w:t>失后发生的事项有关，原确认的减值损失予以转回，计入当期损益。</w:t>
      </w:r>
    </w:p>
    <w:p>
      <w:pPr>
        <w:pStyle w:val="BodyText"/>
        <w:spacing w:line="408" w:lineRule="auto"/>
        <w:ind w:right="1132" w:firstLine="420"/>
        <w:jc w:val="both"/>
      </w:pPr>
      <w:r>
        <w:rPr>
          <w:spacing w:val="-1"/>
        </w:rPr>
        <w:t>以成本计量的金融资产发生减值时，以账面价值与按照类似金融资产当时市场收益率对未来现金流量</w:t>
      </w:r>
      <w:r>
        <w:rPr/>
        <w:t> 折现确定的现值之间的差额，计提减值准备。</w:t>
      </w:r>
    </w:p>
    <w:p>
      <w:pPr>
        <w:pStyle w:val="BodyText"/>
        <w:spacing w:line="408" w:lineRule="auto"/>
        <w:ind w:right="1131" w:firstLine="420"/>
        <w:jc w:val="both"/>
      </w:pPr>
      <w:r>
        <w:rPr>
          <w:spacing w:val="-1"/>
        </w:rPr>
        <w:t>当有客观证据表明可供出售金融资产发生减值时，原直接计入股东权益的因公允价值下降形成的累计</w:t>
      </w:r>
      <w:r>
        <w:rPr/>
        <w:t> </w:t>
      </w:r>
      <w:r>
        <w:rPr>
          <w:spacing w:val="-1"/>
        </w:rPr>
        <w:t>损失予以转出并计入减值损失。对已确认减值损失的可供出售债务工具投资，在期后公允价值上升且客观</w:t>
      </w:r>
      <w:r>
        <w:rPr>
          <w:spacing w:val="-81"/>
        </w:rPr>
        <w:t> </w:t>
      </w:r>
      <w:r>
        <w:rPr>
          <w:spacing w:val="-81"/>
        </w:rPr>
      </w:r>
      <w:r>
        <w:rPr>
          <w:spacing w:val="-1"/>
        </w:rPr>
        <w:t>上与确认原减值损失后发生的事项有关的，原确认的减值损失予以转回并计入当期损益。对已确认减值损</w:t>
      </w:r>
      <w:r>
        <w:rPr>
          <w:spacing w:val="-81"/>
        </w:rPr>
        <w:t> </w:t>
      </w:r>
      <w:r>
        <w:rPr>
          <w:spacing w:val="-81"/>
        </w:rPr>
      </w:r>
      <w:r>
        <w:rPr/>
        <w:t>失的可供出售权益工具投资，期后公允价值上升直接计入股东权益。</w:t>
      </w:r>
    </w:p>
    <w:p>
      <w:pPr>
        <w:pStyle w:val="BodyText"/>
        <w:spacing w:line="408" w:lineRule="auto"/>
        <w:ind w:right="1130" w:firstLine="420"/>
        <w:jc w:val="both"/>
      </w:pPr>
      <w:r>
        <w:rPr>
          <w:spacing w:val="-1"/>
        </w:rPr>
        <w:t>对于权益工具投资，本公司判断其公允价值发生“严重”或“非暂时性”下跌的具体量化标准、成本</w:t>
      </w:r>
      <w:r>
        <w:rPr/>
        <w:t> 的计算方法、期末公允价值的确定方法，以及持续下跌期间的确定依据为：</w:t>
      </w:r>
    </w:p>
    <w:tbl>
      <w:tblPr>
        <w:tblW w:w="0" w:type="auto"/>
        <w:jc w:val="left"/>
        <w:tblInd w:w="1113" w:type="dxa"/>
        <w:tblLayout w:type="fixed"/>
        <w:tblCellMar>
          <w:top w:w="0" w:type="dxa"/>
          <w:left w:w="0" w:type="dxa"/>
          <w:bottom w:w="0" w:type="dxa"/>
          <w:right w:w="0" w:type="dxa"/>
        </w:tblCellMar>
        <w:tblLook w:val="01E0"/>
      </w:tblPr>
      <w:tblGrid>
        <w:gridCol w:w="3692"/>
        <w:gridCol w:w="5761"/>
      </w:tblGrid>
      <w:tr>
        <w:trPr>
          <w:trHeight w:val="352" w:hRule="exact"/>
        </w:trPr>
        <w:tc>
          <w:tcPr>
            <w:tcW w:w="3692"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r>
              <w:rPr>
                <w:rFonts w:ascii="宋体" w:hAnsi="宋体" w:cs="宋体" w:eastAsia="宋体" w:hint="default"/>
                <w:sz w:val="18"/>
                <w:szCs w:val="18"/>
              </w:rPr>
              <w:t>公允价值发生</w:t>
            </w:r>
            <w:r>
              <w:rPr>
                <w:rFonts w:ascii="Times New Roman" w:hAnsi="Times New Roman" w:cs="Times New Roman" w:eastAsia="Times New Roman" w:hint="default"/>
                <w:sz w:val="18"/>
                <w:szCs w:val="18"/>
              </w:rPr>
              <w:t>“</w:t>
            </w:r>
            <w:r>
              <w:rPr>
                <w:rFonts w:ascii="宋体" w:hAnsi="宋体" w:cs="宋体" w:eastAsia="宋体" w:hint="default"/>
                <w:sz w:val="18"/>
                <w:szCs w:val="18"/>
              </w:rPr>
              <w:t>严重</w:t>
            </w:r>
            <w:r>
              <w:rPr>
                <w:rFonts w:ascii="Times New Roman" w:hAnsi="Times New Roman" w:cs="Times New Roman" w:eastAsia="Times New Roman" w:hint="default"/>
                <w:sz w:val="18"/>
                <w:szCs w:val="18"/>
              </w:rPr>
              <w:t>”</w:t>
            </w:r>
            <w:r>
              <w:rPr>
                <w:rFonts w:ascii="宋体" w:hAnsi="宋体" w:cs="宋体" w:eastAsia="宋体" w:hint="default"/>
                <w:sz w:val="18"/>
                <w:szCs w:val="18"/>
              </w:rPr>
              <w:t>下跌的具体量化标准</w:t>
            </w:r>
          </w:p>
        </w:tc>
        <w:tc>
          <w:tcPr>
            <w:tcW w:w="5761"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3"/>
              <w:ind w:left="4" w:right="0"/>
              <w:jc w:val="left"/>
              <w:rPr>
                <w:rFonts w:ascii="宋体" w:hAnsi="宋体" w:cs="宋体" w:eastAsia="宋体" w:hint="default"/>
                <w:sz w:val="18"/>
                <w:szCs w:val="18"/>
              </w:rPr>
            </w:pPr>
            <w:r>
              <w:rPr>
                <w:rFonts w:ascii="宋体" w:hAnsi="宋体" w:cs="宋体" w:eastAsia="宋体" w:hint="default"/>
                <w:sz w:val="18"/>
                <w:szCs w:val="18"/>
              </w:rPr>
              <w:t>期末公允价值相对于成本的下跌幅度已达到或超过</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r>
      <w:tr>
        <w:trPr>
          <w:trHeight w:val="342" w:hRule="exact"/>
        </w:trPr>
        <w:tc>
          <w:tcPr>
            <w:tcW w:w="369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r>
              <w:rPr>
                <w:rFonts w:ascii="宋体" w:hAnsi="宋体" w:cs="宋体" w:eastAsia="宋体" w:hint="default"/>
                <w:sz w:val="18"/>
                <w:szCs w:val="18"/>
              </w:rPr>
              <w:t>公允价值发生</w:t>
            </w:r>
            <w:r>
              <w:rPr>
                <w:rFonts w:ascii="Times New Roman" w:hAnsi="Times New Roman" w:cs="Times New Roman" w:eastAsia="Times New Roman" w:hint="default"/>
                <w:sz w:val="18"/>
                <w:szCs w:val="18"/>
              </w:rPr>
              <w:t>“</w:t>
            </w:r>
            <w:r>
              <w:rPr>
                <w:rFonts w:ascii="宋体" w:hAnsi="宋体" w:cs="宋体" w:eastAsia="宋体" w:hint="default"/>
                <w:sz w:val="18"/>
                <w:szCs w:val="18"/>
              </w:rPr>
              <w:t>非暂时性</w:t>
            </w:r>
            <w:r>
              <w:rPr>
                <w:rFonts w:ascii="Times New Roman" w:hAnsi="Times New Roman" w:cs="Times New Roman" w:eastAsia="Times New Roman" w:hint="default"/>
                <w:sz w:val="18"/>
                <w:szCs w:val="18"/>
              </w:rPr>
              <w:t>”</w:t>
            </w:r>
            <w:r>
              <w:rPr>
                <w:rFonts w:ascii="宋体" w:hAnsi="宋体" w:cs="宋体" w:eastAsia="宋体" w:hint="default"/>
                <w:sz w:val="18"/>
                <w:szCs w:val="18"/>
              </w:rPr>
              <w:t>下跌的具体量化标准</w:t>
            </w:r>
          </w:p>
        </w:tc>
        <w:tc>
          <w:tcPr>
            <w:tcW w:w="576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
              <w:ind w:left="4" w:right="0"/>
              <w:jc w:val="left"/>
              <w:rPr>
                <w:rFonts w:ascii="宋体" w:hAnsi="宋体" w:cs="宋体" w:eastAsia="宋体" w:hint="default"/>
                <w:sz w:val="18"/>
                <w:szCs w:val="18"/>
              </w:rPr>
            </w:pPr>
            <w:r>
              <w:rPr>
                <w:rFonts w:ascii="宋体" w:hAnsi="宋体" w:cs="宋体" w:eastAsia="宋体" w:hint="default"/>
                <w:sz w:val="18"/>
                <w:szCs w:val="18"/>
              </w:rPr>
              <w:t>连续</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个月出现下跌。</w:t>
            </w:r>
          </w:p>
        </w:tc>
      </w:tr>
      <w:tr>
        <w:trPr>
          <w:trHeight w:val="654" w:hRule="exact"/>
        </w:trPr>
        <w:tc>
          <w:tcPr>
            <w:tcW w:w="369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59"/>
              <w:ind w:right="0"/>
              <w:jc w:val="left"/>
              <w:rPr>
                <w:rFonts w:ascii="宋体" w:hAnsi="宋体" w:cs="宋体" w:eastAsia="宋体" w:hint="default"/>
                <w:sz w:val="18"/>
                <w:szCs w:val="18"/>
              </w:rPr>
            </w:pPr>
            <w:r>
              <w:rPr>
                <w:rFonts w:ascii="宋体" w:hAnsi="宋体" w:cs="宋体" w:eastAsia="宋体" w:hint="default"/>
                <w:sz w:val="18"/>
                <w:szCs w:val="18"/>
              </w:rPr>
              <w:t>成本的计算方法</w:t>
            </w:r>
          </w:p>
        </w:tc>
        <w:tc>
          <w:tcPr>
            <w:tcW w:w="5761" w:type="dxa"/>
            <w:tcBorders>
              <w:top w:val="single" w:sz="4" w:space="0" w:color="000000"/>
              <w:left w:val="single" w:sz="4" w:space="0" w:color="000000"/>
              <w:bottom w:val="single" w:sz="4" w:space="0" w:color="000000"/>
              <w:right w:val="single" w:sz="12" w:space="0" w:color="000000"/>
            </w:tcBorders>
          </w:tcPr>
          <w:p>
            <w:pPr>
              <w:pStyle w:val="TableParagraph"/>
              <w:spacing w:line="316" w:lineRule="auto" w:before="3"/>
              <w:ind w:left="4" w:right="-6"/>
              <w:jc w:val="left"/>
              <w:rPr>
                <w:rFonts w:ascii="宋体" w:hAnsi="宋体" w:cs="宋体" w:eastAsia="宋体" w:hint="default"/>
                <w:sz w:val="18"/>
                <w:szCs w:val="18"/>
              </w:rPr>
            </w:pPr>
            <w:r>
              <w:rPr>
                <w:rFonts w:ascii="宋体" w:hAnsi="宋体" w:cs="宋体" w:eastAsia="宋体" w:hint="default"/>
                <w:spacing w:val="-1"/>
                <w:sz w:val="18"/>
                <w:szCs w:val="18"/>
              </w:rPr>
              <w:t>取得时按支付对价（扣除已宣告但尚未发放的现金股利或已到付息期但尚</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未领取的债券利息）和相关交易费用之和作为投资成本。</w:t>
            </w:r>
          </w:p>
        </w:tc>
      </w:tr>
      <w:tr>
        <w:trPr>
          <w:trHeight w:val="654" w:hRule="exact"/>
        </w:trPr>
        <w:tc>
          <w:tcPr>
            <w:tcW w:w="369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59"/>
              <w:ind w:right="0"/>
              <w:jc w:val="left"/>
              <w:rPr>
                <w:rFonts w:ascii="宋体" w:hAnsi="宋体" w:cs="宋体" w:eastAsia="宋体" w:hint="default"/>
                <w:sz w:val="18"/>
                <w:szCs w:val="18"/>
              </w:rPr>
            </w:pPr>
            <w:r>
              <w:rPr>
                <w:rFonts w:ascii="宋体" w:hAnsi="宋体" w:cs="宋体" w:eastAsia="宋体" w:hint="default"/>
                <w:sz w:val="18"/>
                <w:szCs w:val="18"/>
              </w:rPr>
              <w:t>期末公允价值的确定方法</w:t>
            </w:r>
          </w:p>
        </w:tc>
        <w:tc>
          <w:tcPr>
            <w:tcW w:w="5761" w:type="dxa"/>
            <w:tcBorders>
              <w:top w:val="single" w:sz="4" w:space="0" w:color="000000"/>
              <w:left w:val="single" w:sz="4" w:space="0" w:color="000000"/>
              <w:bottom w:val="single" w:sz="4" w:space="0" w:color="000000"/>
              <w:right w:val="single" w:sz="12" w:space="0" w:color="000000"/>
            </w:tcBorders>
          </w:tcPr>
          <w:p>
            <w:pPr>
              <w:pStyle w:val="TableParagraph"/>
              <w:spacing w:line="316" w:lineRule="auto" w:before="3"/>
              <w:ind w:left="4" w:right="-4"/>
              <w:jc w:val="left"/>
              <w:rPr>
                <w:rFonts w:ascii="宋体" w:hAnsi="宋体" w:cs="宋体" w:eastAsia="宋体" w:hint="default"/>
                <w:sz w:val="18"/>
                <w:szCs w:val="18"/>
              </w:rPr>
            </w:pPr>
            <w:r>
              <w:rPr>
                <w:rFonts w:ascii="宋体" w:hAnsi="宋体" w:cs="宋体" w:eastAsia="宋体" w:hint="default"/>
                <w:spacing w:val="-1"/>
                <w:sz w:val="18"/>
                <w:szCs w:val="18"/>
              </w:rPr>
              <w:t>存在活跃市场的金融工具，以活跃市场中的报价确定其公允价值；如不存</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在活跃市场的金融工具，采用估值技术确定其公允价值。</w:t>
            </w:r>
          </w:p>
        </w:tc>
      </w:tr>
      <w:tr>
        <w:trPr>
          <w:trHeight w:val="664" w:hRule="exact"/>
        </w:trPr>
        <w:tc>
          <w:tcPr>
            <w:tcW w:w="3692"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159"/>
              <w:ind w:right="0"/>
              <w:jc w:val="left"/>
              <w:rPr>
                <w:rFonts w:ascii="宋体" w:hAnsi="宋体" w:cs="宋体" w:eastAsia="宋体" w:hint="default"/>
                <w:sz w:val="18"/>
                <w:szCs w:val="18"/>
              </w:rPr>
            </w:pPr>
            <w:r>
              <w:rPr>
                <w:rFonts w:ascii="宋体" w:hAnsi="宋体" w:cs="宋体" w:eastAsia="宋体" w:hint="default"/>
                <w:sz w:val="18"/>
                <w:szCs w:val="18"/>
              </w:rPr>
              <w:t>持续下跌期间的确定依据</w:t>
            </w:r>
          </w:p>
        </w:tc>
        <w:tc>
          <w:tcPr>
            <w:tcW w:w="5761" w:type="dxa"/>
            <w:tcBorders>
              <w:top w:val="single" w:sz="4" w:space="0" w:color="000000"/>
              <w:left w:val="single" w:sz="4" w:space="0" w:color="000000"/>
              <w:bottom w:val="single" w:sz="12" w:space="0" w:color="000000"/>
              <w:right w:val="single" w:sz="12" w:space="0" w:color="000000"/>
            </w:tcBorders>
          </w:tcPr>
          <w:p>
            <w:pPr>
              <w:pStyle w:val="TableParagraph"/>
              <w:spacing w:line="300" w:lineRule="auto" w:before="3"/>
              <w:ind w:left="4" w:right="-6"/>
              <w:jc w:val="left"/>
              <w:rPr>
                <w:rFonts w:ascii="宋体" w:hAnsi="宋体" w:cs="宋体" w:eastAsia="宋体" w:hint="default"/>
                <w:sz w:val="18"/>
                <w:szCs w:val="18"/>
              </w:rPr>
            </w:pPr>
            <w:r>
              <w:rPr>
                <w:rFonts w:ascii="宋体" w:hAnsi="宋体" w:cs="宋体" w:eastAsia="宋体" w:hint="default"/>
                <w:sz w:val="18"/>
                <w:szCs w:val="18"/>
              </w:rPr>
              <w:t>连续下跌或在下跌趋势持续期间反弹上扬幅度低于</w:t>
            </w:r>
            <w:r>
              <w:rPr>
                <w:rFonts w:ascii="Times New Roman" w:hAnsi="Times New Roman" w:cs="Times New Roman" w:eastAsia="Times New Roman" w:hint="default"/>
                <w:sz w:val="18"/>
                <w:szCs w:val="18"/>
              </w:rPr>
              <w:t>20%</w:t>
            </w:r>
            <w:r>
              <w:rPr>
                <w:rFonts w:ascii="宋体" w:hAnsi="宋体" w:cs="宋体" w:eastAsia="宋体" w:hint="default"/>
                <w:sz w:val="18"/>
                <w:szCs w:val="18"/>
              </w:rPr>
              <w:t>，反弹持续时间未</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超过</w:t>
            </w:r>
            <w:r>
              <w:rPr>
                <w:rFonts w:ascii="Times New Roman" w:hAnsi="Times New Roman" w:cs="Times New Roman" w:eastAsia="Times New Roman" w:hint="default"/>
                <w:sz w:val="18"/>
                <w:szCs w:val="18"/>
              </w:rPr>
              <w:t>6</w:t>
            </w:r>
            <w:r>
              <w:rPr>
                <w:rFonts w:ascii="宋体" w:hAnsi="宋体" w:cs="宋体" w:eastAsia="宋体" w:hint="default"/>
                <w:sz w:val="18"/>
                <w:szCs w:val="18"/>
              </w:rPr>
              <w:t>个月的均作为持续下跌期间。</w:t>
            </w:r>
          </w:p>
        </w:tc>
      </w:tr>
    </w:tbl>
    <w:p>
      <w:pPr>
        <w:spacing w:line="240" w:lineRule="auto" w:before="12"/>
        <w:rPr>
          <w:rFonts w:ascii="宋体" w:hAnsi="宋体" w:cs="宋体" w:eastAsia="宋体" w:hint="default"/>
          <w:sz w:val="17"/>
          <w:szCs w:val="17"/>
        </w:rPr>
      </w:pPr>
    </w:p>
    <w:p>
      <w:pPr>
        <w:pStyle w:val="Heading4"/>
        <w:spacing w:line="240" w:lineRule="auto" w:before="35"/>
        <w:ind w:left="1134" w:right="0"/>
        <w:jc w:val="left"/>
        <w:rPr>
          <w:b w:val="0"/>
          <w:bCs w:val="0"/>
        </w:rPr>
      </w:pPr>
      <w:bookmarkStart w:name="11、应收款项" w:id="177"/>
      <w:bookmarkEnd w:id="177"/>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1）单项金额重大并单独计提坏账准备的应收款项" w:id="178"/>
      <w:bookmarkEnd w:id="178"/>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118" w:type="dxa"/>
        <w:tblLayout w:type="fixed"/>
        <w:tblCellMar>
          <w:top w:w="0" w:type="dxa"/>
          <w:left w:w="0" w:type="dxa"/>
          <w:bottom w:w="0" w:type="dxa"/>
          <w:right w:w="0" w:type="dxa"/>
        </w:tblCellMar>
        <w:tblLook w:val="01E0"/>
      </w:tblPr>
      <w:tblGrid>
        <w:gridCol w:w="4821"/>
        <w:gridCol w:w="4748"/>
      </w:tblGrid>
      <w:tr>
        <w:trPr>
          <w:trHeight w:val="723" w:hRule="exact"/>
        </w:trPr>
        <w:tc>
          <w:tcPr>
            <w:tcW w:w="4821"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48"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应收款项账面余额在</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500.00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万元以上或占应收款项账面余额</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以上的款项（剔除已认定为低风险关联方款项）</w:t>
            </w:r>
          </w:p>
        </w:tc>
      </w:tr>
      <w:tr>
        <w:trPr>
          <w:trHeight w:val="412" w:hRule="exact"/>
        </w:trPr>
        <w:tc>
          <w:tcPr>
            <w:tcW w:w="4821"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4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根据其账面价值与预计未来现金流量现值之间差额确认</w:t>
            </w:r>
          </w:p>
        </w:tc>
      </w:tr>
    </w:tbl>
    <w:p>
      <w:pPr>
        <w:spacing w:line="240" w:lineRule="auto" w:before="3"/>
        <w:rPr>
          <w:rFonts w:ascii="宋体" w:hAnsi="宋体" w:cs="宋体" w:eastAsia="宋体" w:hint="default"/>
          <w:b/>
          <w:bCs/>
          <w:sz w:val="19"/>
          <w:szCs w:val="19"/>
        </w:rPr>
      </w:pPr>
    </w:p>
    <w:p>
      <w:pPr>
        <w:pStyle w:val="Heading4"/>
        <w:spacing w:line="240" w:lineRule="auto" w:before="35"/>
        <w:ind w:left="1134" w:right="0"/>
        <w:jc w:val="left"/>
        <w:rPr>
          <w:b w:val="0"/>
          <w:bCs w:val="0"/>
        </w:rPr>
      </w:pPr>
      <w:bookmarkStart w:name="（2）按信用风险特征组合计提坏账准备的应收款项" w:id="179"/>
      <w:bookmarkEnd w:id="179"/>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118" w:type="dxa"/>
        <w:tblLayout w:type="fixed"/>
        <w:tblCellMar>
          <w:top w:w="0" w:type="dxa"/>
          <w:left w:w="0" w:type="dxa"/>
          <w:bottom w:w="0" w:type="dxa"/>
          <w:right w:w="0" w:type="dxa"/>
        </w:tblCellMar>
        <w:tblLook w:val="01E0"/>
      </w:tblPr>
      <w:tblGrid>
        <w:gridCol w:w="7232"/>
        <w:gridCol w:w="2337"/>
      </w:tblGrid>
      <w:tr>
        <w:trPr>
          <w:trHeight w:val="422" w:hRule="exact"/>
        </w:trPr>
        <w:tc>
          <w:tcPr>
            <w:tcW w:w="7232" w:type="dxa"/>
            <w:tcBorders>
              <w:top w:val="single" w:sz="12"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337" w:type="dxa"/>
            <w:tcBorders>
              <w:top w:val="single" w:sz="12" w:space="0" w:color="000000"/>
              <w:left w:val="single" w:sz="4" w:space="0" w:color="000000"/>
              <w:bottom w:val="single" w:sz="12" w:space="0" w:color="000000"/>
              <w:right w:val="single" w:sz="12" w:space="0" w:color="000000"/>
            </w:tcBorders>
            <w:shd w:val="clear" w:color="auto" w:fill="D2D2D2"/>
          </w:tcPr>
          <w:p>
            <w:pPr>
              <w:pStyle w:val="TableParagraph"/>
              <w:spacing w:line="240" w:lineRule="auto" w:before="51"/>
              <w:ind w:left="443" w:right="0"/>
              <w:jc w:val="left"/>
              <w:rPr>
                <w:rFonts w:ascii="宋体" w:hAnsi="宋体" w:cs="宋体" w:eastAsia="宋体" w:hint="default"/>
                <w:sz w:val="18"/>
                <w:szCs w:val="18"/>
              </w:rPr>
            </w:pPr>
            <w:r>
              <w:rPr>
                <w:rFonts w:ascii="宋体" w:hAnsi="宋体" w:cs="宋体" w:eastAsia="宋体" w:hint="default"/>
                <w:sz w:val="18"/>
                <w:szCs w:val="18"/>
              </w:rPr>
              <w:t>坏账准备计提方法</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18" w:type="dxa"/>
        <w:tblLayout w:type="fixed"/>
        <w:tblCellMar>
          <w:top w:w="0" w:type="dxa"/>
          <w:left w:w="0" w:type="dxa"/>
          <w:bottom w:w="0" w:type="dxa"/>
          <w:right w:w="0" w:type="dxa"/>
        </w:tblCellMar>
        <w:tblLook w:val="01E0"/>
      </w:tblPr>
      <w:tblGrid>
        <w:gridCol w:w="7232"/>
        <w:gridCol w:w="2337"/>
      </w:tblGrid>
      <w:tr>
        <w:trPr>
          <w:trHeight w:val="1036" w:hRule="exact"/>
        </w:trPr>
        <w:tc>
          <w:tcPr>
            <w:tcW w:w="7232" w:type="dxa"/>
            <w:tcBorders>
              <w:top w:val="single" w:sz="12" w:space="0" w:color="000000"/>
              <w:left w:val="single" w:sz="12" w:space="0" w:color="000000"/>
              <w:bottom w:val="single" w:sz="4" w:space="0" w:color="000000"/>
              <w:right w:val="single" w:sz="4" w:space="0" w:color="000000"/>
            </w:tcBorders>
          </w:tcPr>
          <w:p>
            <w:pPr>
              <w:pStyle w:val="TableParagraph"/>
              <w:spacing w:line="316" w:lineRule="auto" w:before="51"/>
              <w:ind w:left="13" w:right="23"/>
              <w:jc w:val="left"/>
              <w:rPr>
                <w:rFonts w:ascii="宋体" w:hAnsi="宋体" w:cs="宋体" w:eastAsia="宋体" w:hint="default"/>
                <w:sz w:val="18"/>
                <w:szCs w:val="18"/>
              </w:rPr>
            </w:pPr>
            <w:r>
              <w:rPr>
                <w:rFonts w:ascii="宋体" w:hAnsi="宋体" w:cs="宋体" w:eastAsia="宋体" w:hint="default"/>
                <w:spacing w:val="-1"/>
                <w:sz w:val="18"/>
                <w:szCs w:val="18"/>
              </w:rPr>
              <w:t>单项金额重大但不用单项计提坏账准备的款项，汇同单项金额不重大的应收款项（剔除已单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项计提坏账准备的单项金额不重大款项和已认定为低风险应收关联方款项），按账龄作为判</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断信用风险特征的主要依据划分资产组合，并根据公司确定的比例计提坏账准备</w:t>
            </w:r>
          </w:p>
        </w:tc>
        <w:tc>
          <w:tcPr>
            <w:tcW w:w="2337"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13" w:hRule="exact"/>
        </w:trPr>
        <w:tc>
          <w:tcPr>
            <w:tcW w:w="7232"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应收关联方款项等风险不大的款项</w:t>
            </w:r>
          </w:p>
        </w:tc>
        <w:tc>
          <w:tcPr>
            <w:tcW w:w="233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6"/>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125" w:type="dxa"/>
        <w:tblLayout w:type="fixed"/>
        <w:tblCellMar>
          <w:top w:w="0" w:type="dxa"/>
          <w:left w:w="0" w:type="dxa"/>
          <w:bottom w:w="0" w:type="dxa"/>
          <w:right w:w="0" w:type="dxa"/>
        </w:tblCellMar>
        <w:tblLook w:val="01E0"/>
      </w:tblPr>
      <w:tblGrid>
        <w:gridCol w:w="3172"/>
        <w:gridCol w:w="3202"/>
        <w:gridCol w:w="3189"/>
      </w:tblGrid>
      <w:tr>
        <w:trPr>
          <w:trHeight w:val="411" w:hRule="exact"/>
        </w:trPr>
        <w:tc>
          <w:tcPr>
            <w:tcW w:w="3172"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89"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7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c>
          <w:tcPr>
            <w:tcW w:w="318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7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c>
          <w:tcPr>
            <w:tcW w:w="318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7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c>
          <w:tcPr>
            <w:tcW w:w="318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7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c>
          <w:tcPr>
            <w:tcW w:w="318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7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c>
          <w:tcPr>
            <w:tcW w:w="318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z w:val="18"/>
              </w:rPr>
              <w:t>50.00%</w:t>
            </w:r>
          </w:p>
        </w:tc>
      </w:tr>
      <w:tr>
        <w:trPr>
          <w:trHeight w:val="412" w:hRule="exact"/>
        </w:trPr>
        <w:tc>
          <w:tcPr>
            <w:tcW w:w="3172"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2"/>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12"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318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z w:val="18"/>
              </w:rPr>
              <w:t>100.00%</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38" w:lineRule="auto" w:before="117"/>
        <w:ind w:left="1133" w:right="75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w:t>
      </w:r>
    </w:p>
    <w:p>
      <w:pPr>
        <w:spacing w:before="43"/>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单项金额不重大但单独计提坏账准备的应收款项" w:id="180"/>
      <w:bookmarkEnd w:id="180"/>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118" w:type="dxa"/>
        <w:tblLayout w:type="fixed"/>
        <w:tblCellMar>
          <w:top w:w="0" w:type="dxa"/>
          <w:left w:w="0" w:type="dxa"/>
          <w:bottom w:w="0" w:type="dxa"/>
          <w:right w:w="0" w:type="dxa"/>
        </w:tblCellMar>
        <w:tblLook w:val="01E0"/>
      </w:tblPr>
      <w:tblGrid>
        <w:gridCol w:w="4785"/>
        <w:gridCol w:w="4784"/>
      </w:tblGrid>
      <w:tr>
        <w:trPr>
          <w:trHeight w:val="412" w:hRule="exact"/>
        </w:trPr>
        <w:tc>
          <w:tcPr>
            <w:tcW w:w="4785"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年以上的应收款项且有客观证据表明其发生了减值</w:t>
            </w:r>
          </w:p>
        </w:tc>
      </w:tr>
      <w:tr>
        <w:trPr>
          <w:trHeight w:val="412" w:hRule="exact"/>
        </w:trPr>
        <w:tc>
          <w:tcPr>
            <w:tcW w:w="4785"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根据其账面价值与预计未来现金流量现值之间差额确认</w:t>
            </w:r>
          </w:p>
        </w:tc>
      </w:tr>
    </w:tbl>
    <w:p>
      <w:pPr>
        <w:spacing w:line="240" w:lineRule="auto" w:before="2"/>
        <w:rPr>
          <w:rFonts w:ascii="宋体" w:hAnsi="宋体" w:cs="宋体" w:eastAsia="宋体" w:hint="default"/>
          <w:b/>
          <w:bCs/>
          <w:sz w:val="19"/>
          <w:szCs w:val="19"/>
        </w:rPr>
      </w:pPr>
    </w:p>
    <w:p>
      <w:pPr>
        <w:pStyle w:val="Heading4"/>
        <w:spacing w:line="240" w:lineRule="auto" w:before="35"/>
        <w:ind w:left="1134" w:right="0"/>
        <w:jc w:val="left"/>
        <w:rPr>
          <w:b w:val="0"/>
          <w:bCs w:val="0"/>
        </w:rPr>
      </w:pPr>
      <w:bookmarkStart w:name="12、存货" w:id="181"/>
      <w:bookmarkEnd w:id="181"/>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spacing w:line="360" w:lineRule="auto" w:before="0"/>
        <w:ind w:left="113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408" w:lineRule="auto" w:before="77"/>
        <w:ind w:left="1554" w:right="0"/>
        <w:jc w:val="left"/>
      </w:pPr>
      <w:r>
        <w:rPr>
          <w:rFonts w:ascii="宋体" w:hAnsi="宋体" w:cs="宋体" w:eastAsia="宋体" w:hint="default"/>
        </w:rPr>
        <w:t>1</w:t>
      </w:r>
      <w:r>
        <w:rPr/>
        <w:t>、存货的分类 </w:t>
      </w:r>
      <w:r>
        <w:rPr>
          <w:spacing w:val="-1"/>
        </w:rPr>
        <w:t>存货是指本公司在日常活动中持有以备出售的产成品或商品、处在生产过程中的在产品、在生产过程</w:t>
      </w:r>
    </w:p>
    <w:p>
      <w:pPr>
        <w:pStyle w:val="BodyText"/>
        <w:spacing w:line="408" w:lineRule="auto"/>
        <w:ind w:left="1134" w:right="0"/>
        <w:jc w:val="left"/>
      </w:pPr>
      <w:r>
        <w:rPr>
          <w:spacing w:val="-1"/>
        </w:rPr>
        <w:t>或提供劳务过程中耗用的材料和物料等。公司存货包括原材料、周转材料、委托加工材料、包装物、低值</w:t>
      </w:r>
      <w:r>
        <w:rPr>
          <w:spacing w:val="-83"/>
        </w:rPr>
        <w:t> </w:t>
      </w:r>
      <w:r>
        <w:rPr>
          <w:spacing w:val="-83"/>
        </w:rPr>
      </w:r>
      <w:r>
        <w:rPr>
          <w:spacing w:val="-4"/>
        </w:rPr>
        <w:t>易耗品、在产品、自制半成品、产成品（库存商品）、工程施工等。</w:t>
      </w:r>
    </w:p>
    <w:p>
      <w:pPr>
        <w:pStyle w:val="BodyText"/>
        <w:spacing w:line="408" w:lineRule="auto"/>
        <w:ind w:left="1553" w:right="4033"/>
        <w:jc w:val="left"/>
      </w:pPr>
      <w:r>
        <w:rPr>
          <w:rFonts w:ascii="宋体" w:hAnsi="宋体" w:cs="宋体" w:eastAsia="宋体" w:hint="default"/>
        </w:rPr>
        <w:t>2</w:t>
      </w:r>
      <w:r>
        <w:rPr/>
        <w:t>、发出存货的计价方法 存货发出时，采取加权平均法或个别计价法确定其发出的实际成本。 </w:t>
      </w:r>
      <w:r>
        <w:rPr>
          <w:rFonts w:ascii="宋体" w:hAnsi="宋体" w:cs="宋体" w:eastAsia="宋体" w:hint="default"/>
        </w:rPr>
        <w:t>3</w:t>
      </w:r>
      <w:r>
        <w:rPr/>
        <w:t>、存货跌价准备的计提方法</w:t>
      </w:r>
    </w:p>
    <w:p>
      <w:pPr>
        <w:pStyle w:val="BodyText"/>
        <w:spacing w:line="240" w:lineRule="auto"/>
        <w:ind w:left="1553" w:right="0"/>
        <w:jc w:val="left"/>
      </w:pPr>
      <w:r>
        <w:rPr/>
        <w:t>资产负债表日，存货按照成本与可变现净值孰低计量，并按单个存货项目计提存货跌价准备，但对于</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left="1554" w:right="0" w:hanging="420"/>
        <w:jc w:val="left"/>
      </w:pPr>
      <w:r>
        <w:rPr/>
        <w:t>数量繁多、单价较低的存货，按照存货类别计提存货跌价准备。 </w:t>
      </w:r>
      <w:r>
        <w:rPr>
          <w:spacing w:val="-1"/>
        </w:rPr>
        <w:t>可变现净值是指在日常活动中，存货的估计售价减去至完工时估计将要发生的成本、估计的销售费用</w:t>
      </w:r>
    </w:p>
    <w:p>
      <w:pPr>
        <w:pStyle w:val="BodyText"/>
        <w:spacing w:line="408" w:lineRule="auto"/>
        <w:ind w:left="1134" w:right="1131"/>
        <w:jc w:val="both"/>
      </w:pPr>
      <w:r>
        <w:rPr>
          <w:spacing w:val="-1"/>
        </w:rPr>
        <w:t>以及相关税费后的金额。在确定存货的可变现净值时，以取得的确凿证据为基础，同时考虑持有存货的目</w:t>
      </w:r>
      <w:r>
        <w:rPr>
          <w:spacing w:val="-83"/>
        </w:rPr>
        <w:t> </w:t>
      </w:r>
      <w:r>
        <w:rPr>
          <w:spacing w:val="-83"/>
        </w:rPr>
      </w:r>
      <w:r>
        <w:rPr/>
        <w:t>的以及资产负债表日后事项的影响。</w:t>
      </w:r>
    </w:p>
    <w:p>
      <w:pPr>
        <w:pStyle w:val="BodyText"/>
        <w:spacing w:line="408" w:lineRule="auto"/>
        <w:ind w:left="1554" w:right="6342"/>
        <w:jc w:val="left"/>
      </w:pPr>
      <w:r>
        <w:rPr>
          <w:rFonts w:ascii="宋体" w:hAnsi="宋体" w:cs="宋体" w:eastAsia="宋体" w:hint="default"/>
        </w:rPr>
        <w:t>4</w:t>
      </w:r>
      <w:r>
        <w:rPr/>
        <w:t>、存货的盘存制度 本公司的存货盘存制度为永续盘存制。 </w:t>
      </w:r>
      <w:r>
        <w:rPr>
          <w:rFonts w:ascii="宋体" w:hAnsi="宋体" w:cs="宋体" w:eastAsia="宋体" w:hint="default"/>
        </w:rPr>
        <w:t>5</w:t>
      </w:r>
      <w:r>
        <w:rPr/>
        <w:t>、低值易耗品和包装物的摊销方法 低值易耗品和包装物采用一次转销法摊销</w:t>
      </w:r>
      <w:r>
        <w:rPr>
          <w:color w:val="000099"/>
        </w:rPr>
        <w:t>。</w:t>
      </w:r>
      <w:r>
        <w:rPr/>
      </w:r>
    </w:p>
    <w:p>
      <w:pPr>
        <w:spacing w:line="240" w:lineRule="auto" w:before="8"/>
        <w:rPr>
          <w:rFonts w:ascii="宋体" w:hAnsi="宋体" w:cs="宋体" w:eastAsia="宋体" w:hint="default"/>
          <w:sz w:val="20"/>
          <w:szCs w:val="20"/>
        </w:rPr>
      </w:pPr>
    </w:p>
    <w:p>
      <w:pPr>
        <w:pStyle w:val="Heading4"/>
        <w:spacing w:line="240" w:lineRule="auto"/>
        <w:ind w:left="1134" w:right="0"/>
        <w:jc w:val="both"/>
        <w:rPr>
          <w:b w:val="0"/>
          <w:bCs w:val="0"/>
        </w:rPr>
      </w:pPr>
      <w:bookmarkStart w:name="13、持有待售资产" w:id="182"/>
      <w:bookmarkEnd w:id="182"/>
      <w:r>
        <w:rPr>
          <w:b w:val="0"/>
          <w:bCs w:val="0"/>
        </w:rPr>
      </w:r>
      <w:r>
        <w:rPr>
          <w:rFonts w:ascii="Times New Roman" w:hAnsi="Times New Roman" w:cs="Times New Roman" w:eastAsia="Times New Roman" w:hint="default"/>
        </w:rPr>
        <w:t>13</w:t>
      </w:r>
      <w:r>
        <w:rPr/>
        <w:t>、持有待售资产</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1134" w:right="1131" w:firstLine="420"/>
        <w:jc w:val="both"/>
      </w:pPr>
      <w:r>
        <w:rPr>
          <w:spacing w:val="-1"/>
        </w:rPr>
        <w:t>本公司将同时满足下列条件的非流动资产或处置组划分为持有待售类别：一是根据类似交易中出售此</w:t>
      </w:r>
      <w:r>
        <w:rPr/>
        <w:t> </w:t>
      </w:r>
      <w:r>
        <w:rPr>
          <w:spacing w:val="-1"/>
        </w:rPr>
        <w:t>类资产或处置组的惯例，在当前状况下即可立即出售；二是出售极可能发生，即企业已经就一项出售计划</w:t>
      </w:r>
      <w:r>
        <w:rPr>
          <w:spacing w:val="-83"/>
        </w:rPr>
        <w:t> </w:t>
      </w:r>
      <w:r>
        <w:rPr>
          <w:spacing w:val="-83"/>
        </w:rPr>
      </w:r>
      <w:r>
        <w:rPr>
          <w:spacing w:val="-1"/>
        </w:rPr>
        <w:t>作出决议且获得确定的购买承诺，预计出售将在一年内完成。有关规定要求企业相关权力机构或者监管部</w:t>
      </w:r>
      <w:r>
        <w:rPr>
          <w:spacing w:val="-81"/>
        </w:rPr>
        <w:t> </w:t>
      </w:r>
      <w:r>
        <w:rPr>
          <w:spacing w:val="-81"/>
        </w:rPr>
      </w:r>
      <w:r>
        <w:rPr/>
        <w:t>门批准后方可出售的，应当已经获得批准。</w:t>
      </w:r>
    </w:p>
    <w:p>
      <w:pPr>
        <w:pStyle w:val="BodyText"/>
        <w:spacing w:line="408" w:lineRule="auto"/>
        <w:ind w:left="1134" w:right="1131" w:firstLine="420"/>
        <w:jc w:val="both"/>
      </w:pPr>
      <w:r>
        <w:rPr>
          <w:spacing w:val="-1"/>
        </w:rPr>
        <w:t>初始计量或在资产负债表日重新计量持有待售的非流动资产或处置组时，其账面价值高于公允价值减</w:t>
      </w:r>
      <w:r>
        <w:rPr/>
        <w:t> </w:t>
      </w:r>
      <w:r>
        <w:rPr>
          <w:spacing w:val="-1"/>
        </w:rPr>
        <w:t>去出售费用后的净额的，应当将账面价值减记至公允价值减去出售费用后的净额，减记的金额确认为资产</w:t>
      </w:r>
      <w:r>
        <w:rPr>
          <w:spacing w:val="-81"/>
        </w:rPr>
        <w:t> </w:t>
      </w:r>
      <w:r>
        <w:rPr>
          <w:spacing w:val="-81"/>
        </w:rPr>
      </w:r>
      <w:r>
        <w:rPr/>
        <w:t>减值损失计入当期损益，同时计提持有待售资产减值准备。</w:t>
      </w:r>
    </w:p>
    <w:p>
      <w:pPr>
        <w:pStyle w:val="BodyText"/>
        <w:spacing w:line="408" w:lineRule="auto"/>
        <w:ind w:left="1134" w:right="1132" w:firstLine="420"/>
        <w:jc w:val="both"/>
      </w:pPr>
      <w:r>
        <w:rPr>
          <w:spacing w:val="-1"/>
        </w:rPr>
        <w:t>资产负债表中持有待售的非流动资产或持有待售的处置组中的资产列示为划分为持有待售的资产，持</w:t>
      </w:r>
      <w:r>
        <w:rPr/>
        <w:t> 有待售的处置组中的负债列示为划分为持有待售的负债。</w:t>
      </w:r>
    </w:p>
    <w:p>
      <w:pPr>
        <w:spacing w:line="240" w:lineRule="auto" w:before="8"/>
        <w:rPr>
          <w:rFonts w:ascii="宋体" w:hAnsi="宋体" w:cs="宋体" w:eastAsia="宋体" w:hint="default"/>
          <w:sz w:val="20"/>
          <w:szCs w:val="20"/>
        </w:rPr>
      </w:pPr>
    </w:p>
    <w:p>
      <w:pPr>
        <w:pStyle w:val="Heading4"/>
        <w:spacing w:line="240" w:lineRule="auto"/>
        <w:ind w:right="0"/>
        <w:jc w:val="both"/>
        <w:rPr>
          <w:b w:val="0"/>
          <w:bCs w:val="0"/>
        </w:rPr>
      </w:pPr>
      <w:bookmarkStart w:name="14、长期股权投资" w:id="183"/>
      <w:bookmarkEnd w:id="183"/>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1554" w:right="0"/>
        <w:jc w:val="left"/>
      </w:pPr>
      <w:r>
        <w:rPr>
          <w:rFonts w:ascii="宋体" w:hAnsi="宋体" w:cs="宋体" w:eastAsia="宋体" w:hint="default"/>
        </w:rPr>
        <w:t>1</w:t>
      </w:r>
      <w:r>
        <w:rPr/>
        <w:t>、初始投资成本确定 </w:t>
      </w:r>
      <w:r>
        <w:rPr>
          <w:spacing w:val="-1"/>
        </w:rPr>
        <w:t>对于企业合并取得的长期股权投资，如为同一控制下的企业合并，应当按照取得被合并方所有者权益</w:t>
      </w:r>
    </w:p>
    <w:p>
      <w:pPr>
        <w:pStyle w:val="BodyText"/>
        <w:spacing w:line="408" w:lineRule="auto"/>
        <w:ind w:right="1131"/>
        <w:jc w:val="both"/>
      </w:pPr>
      <w:r>
        <w:rPr>
          <w:spacing w:val="-1"/>
        </w:rPr>
        <w:t>账面价值的份额确认为初始成本；非同一控制下的企业合并，应当按购买日确定的合并成本确认为初始成</w:t>
      </w:r>
      <w:r>
        <w:rPr>
          <w:spacing w:val="-81"/>
        </w:rPr>
        <w:t> </w:t>
      </w:r>
      <w:r>
        <w:rPr>
          <w:spacing w:val="-81"/>
        </w:rPr>
      </w:r>
      <w:r>
        <w:rPr>
          <w:spacing w:val="-1"/>
        </w:rPr>
        <w:t>本；以支付现金取得的长期股权投资，初始投资成本为实际支付的购买价款；以发行权益性证券取得的长</w:t>
      </w:r>
      <w:r>
        <w:rPr>
          <w:spacing w:val="-83"/>
        </w:rPr>
        <w:t> </w:t>
      </w:r>
      <w:r>
        <w:rPr>
          <w:spacing w:val="-83"/>
        </w:rPr>
      </w:r>
      <w:r>
        <w:rPr>
          <w:spacing w:val="-1"/>
        </w:rPr>
        <w:t>期股权投资，初始投资成本为发行权益性证券的公允价值；通过债务重组取得的长期股权投资，其初始投</w:t>
      </w:r>
      <w:r>
        <w:rPr>
          <w:spacing w:val="-83"/>
        </w:rPr>
        <w:t> </w:t>
      </w:r>
      <w:r>
        <w:rPr>
          <w:spacing w:val="-83"/>
        </w:rPr>
      </w:r>
      <w:r>
        <w:rPr/>
        <w:t>资成本应当按照《企业会计准则第 </w:t>
      </w:r>
      <w:r>
        <w:rPr>
          <w:rFonts w:ascii="宋体" w:hAnsi="宋体" w:cs="宋体" w:eastAsia="宋体" w:hint="default"/>
        </w:rPr>
        <w:t>12</w:t>
      </w:r>
      <w:r>
        <w:rPr>
          <w:rFonts w:ascii="宋体" w:hAnsi="宋体" w:cs="宋体" w:eastAsia="宋体" w:hint="default"/>
          <w:spacing w:val="-25"/>
        </w:rPr>
        <w:t> </w:t>
      </w:r>
      <w:r>
        <w:rPr/>
        <w:t>号—债务重组》的有关规定确定；非货币性资产交换取得的长期股 权投资，初始投资成本根据准则相关规定确定。</w:t>
      </w:r>
    </w:p>
    <w:p>
      <w:pPr>
        <w:pStyle w:val="BodyText"/>
        <w:spacing w:line="408" w:lineRule="auto"/>
        <w:ind w:left="1554" w:right="0"/>
        <w:jc w:val="left"/>
      </w:pPr>
      <w:r>
        <w:rPr>
          <w:rFonts w:ascii="宋体" w:hAnsi="宋体" w:cs="宋体" w:eastAsia="宋体" w:hint="default"/>
        </w:rPr>
        <w:t>2</w:t>
      </w:r>
      <w:r>
        <w:rPr/>
        <w:t>、后续计量及损益确认方法 </w:t>
      </w:r>
      <w:r>
        <w:rPr>
          <w:spacing w:val="-1"/>
        </w:rPr>
        <w:t>投资方能够对被投资单位实施控制的长期股权投资应当采用成本法核算，对联营企业和合营企业的长</w:t>
      </w:r>
    </w:p>
    <w:p>
      <w:pPr>
        <w:spacing w:after="0" w:line="408"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right="0"/>
        <w:jc w:val="left"/>
      </w:pPr>
      <w:r>
        <w:rPr>
          <w:spacing w:val="-5"/>
        </w:rPr>
        <w:t>期股权投资采用权益法核算。投资方对联营企业的权益性投资，其中一部分通过风险投资机构、共同基金、</w:t>
      </w:r>
      <w:r>
        <w:rPr>
          <w:spacing w:val="-101"/>
        </w:rPr>
        <w:t> </w:t>
      </w:r>
      <w:r>
        <w:rPr>
          <w:spacing w:val="-101"/>
        </w:rPr>
      </w:r>
      <w:r>
        <w:rPr/>
        <w:t>信托公司或包括投连险基金在内的类似主体间接持有的，无论以上主体是否对这部分投资具有重大影响，</w:t>
      </w:r>
      <w:r>
        <w:rPr>
          <w:spacing w:val="-35"/>
        </w:rPr>
        <w:t> </w:t>
      </w:r>
      <w:r>
        <w:rPr>
          <w:spacing w:val="-35"/>
        </w:rPr>
      </w:r>
      <w:r>
        <w:rPr/>
        <w:t>投资方都应当按照《企业会计准则第 </w:t>
      </w:r>
      <w:r>
        <w:rPr>
          <w:rFonts w:ascii="宋体" w:hAnsi="宋体" w:cs="宋体" w:eastAsia="宋体" w:hint="default"/>
        </w:rPr>
        <w:t>22</w:t>
      </w:r>
      <w:r>
        <w:rPr>
          <w:rFonts w:ascii="宋体" w:hAnsi="宋体" w:cs="宋体" w:eastAsia="宋体" w:hint="default"/>
          <w:spacing w:val="-22"/>
        </w:rPr>
        <w:t> </w:t>
      </w:r>
      <w:r>
        <w:rPr/>
        <w:t>号——金融工具确认和计量》的有关规定，对间接持有的该部分 投资选择以公允价值计量且其变动计入损益，并对其余部分采用权益法核算。</w:t>
      </w:r>
    </w:p>
    <w:p>
      <w:pPr>
        <w:pStyle w:val="BodyText"/>
        <w:spacing w:line="408" w:lineRule="auto"/>
        <w:ind w:left="1553" w:right="0"/>
        <w:jc w:val="left"/>
      </w:pPr>
      <w:r>
        <w:rPr>
          <w:rFonts w:ascii="宋体" w:hAnsi="宋体" w:cs="宋体" w:eastAsia="宋体" w:hint="default"/>
        </w:rPr>
        <w:t>3</w:t>
      </w:r>
      <w:r>
        <w:rPr/>
        <w:t>、确定对被投资单位具有共同控制、重大影响的依据 </w:t>
      </w:r>
      <w:r>
        <w:rPr>
          <w:spacing w:val="-1"/>
        </w:rPr>
        <w:t>对被投资单位具有共同控制，是指对某项安排的回报产生重大影响的活动必须经过分享控制权的参与</w:t>
      </w:r>
    </w:p>
    <w:p>
      <w:pPr>
        <w:pStyle w:val="BodyText"/>
        <w:spacing w:line="408" w:lineRule="auto"/>
        <w:ind w:right="1130"/>
        <w:jc w:val="both"/>
      </w:pPr>
      <w:r>
        <w:rPr>
          <w:spacing w:val="-1"/>
        </w:rPr>
        <w:t>方一致同意后才能决策，包括商品或劳务的销售和购买、金融资产的管理、资产的购买和处置、研究与开</w:t>
      </w:r>
      <w:r>
        <w:rPr>
          <w:spacing w:val="-86"/>
        </w:rPr>
        <w:t> </w:t>
      </w:r>
      <w:r>
        <w:rPr>
          <w:spacing w:val="-86"/>
        </w:rPr>
      </w:r>
      <w:r>
        <w:rPr/>
        <w:t>发活动以及融资活动等；对被投资单位具有重大影响，是指当持有被投资单位 </w:t>
      </w:r>
      <w:r>
        <w:rPr>
          <w:rFonts w:ascii="宋体" w:hAnsi="宋体" w:cs="宋体" w:eastAsia="宋体" w:hint="default"/>
        </w:rPr>
        <w:t>20%</w:t>
      </w:r>
      <w:r>
        <w:rPr/>
        <w:t>以上至</w:t>
      </w:r>
      <w:r>
        <w:rPr>
          <w:spacing w:val="-24"/>
        </w:rPr>
        <w:t> </w:t>
      </w:r>
      <w:r>
        <w:rPr>
          <w:rFonts w:ascii="宋体" w:hAnsi="宋体" w:cs="宋体" w:eastAsia="宋体" w:hint="default"/>
        </w:rPr>
        <w:t>50%</w:t>
      </w:r>
      <w:r>
        <w:rPr/>
        <w:t>的表决权资 本时，具有重大影响。或虽不足</w:t>
      </w:r>
      <w:r>
        <w:rPr>
          <w:spacing w:val="-24"/>
        </w:rPr>
        <w:t> </w:t>
      </w:r>
      <w:r>
        <w:rPr>
          <w:rFonts w:ascii="宋体" w:hAnsi="宋体" w:cs="宋体" w:eastAsia="宋体" w:hint="default"/>
        </w:rPr>
        <w:t>20%</w:t>
      </w:r>
      <w:r>
        <w:rPr/>
        <w:t>，但符合下列条件之一时，具有重大影响：在被投资单位的董事会或 </w:t>
      </w:r>
      <w:r>
        <w:rPr>
          <w:spacing w:val="-1"/>
        </w:rPr>
        <w:t>类似的权力机构中派有代表；参与被投资单位的政策制定过程；向被投资单位派出管理人员；被投资单位</w:t>
      </w:r>
      <w:r>
        <w:rPr>
          <w:spacing w:val="-82"/>
        </w:rPr>
        <w:t> </w:t>
      </w:r>
      <w:r>
        <w:rPr>
          <w:spacing w:val="-82"/>
        </w:rPr>
      </w:r>
      <w:r>
        <w:rPr/>
        <w:t>依赖投资公司的技术或技术资料；与被投资单位之间发生重要交易。</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bookmarkStart w:name="15、投资性房地产" w:id="184"/>
      <w:bookmarkEnd w:id="184"/>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spacing w:line="360" w:lineRule="auto" w:before="0"/>
        <w:ind w:left="1134" w:right="8952"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成本法计量 折旧或摊销方法</w:t>
      </w:r>
    </w:p>
    <w:p>
      <w:pPr>
        <w:pStyle w:val="BodyText"/>
        <w:spacing w:line="408" w:lineRule="auto" w:before="77"/>
        <w:ind w:left="1134" w:right="0" w:firstLine="420"/>
        <w:jc w:val="left"/>
      </w:pPr>
      <w:r>
        <w:rPr>
          <w:spacing w:val="-1"/>
        </w:rPr>
        <w:t>本公司投资性房地产的类别，包括出租的土地使用权、出租的建筑物、持有并准备增值后转让的土地</w:t>
      </w:r>
      <w:r>
        <w:rPr/>
        <w:t> 使用权。投资性房地产按照成本进行初始计量，采用成本模式进行后续计量。</w:t>
      </w:r>
    </w:p>
    <w:p>
      <w:pPr>
        <w:pStyle w:val="BodyText"/>
        <w:spacing w:line="408" w:lineRule="auto"/>
        <w:ind w:right="0" w:firstLine="420"/>
        <w:jc w:val="left"/>
      </w:pPr>
      <w:r>
        <w:rPr/>
        <w:t>本公司投资性房地产中出租的建筑物采用年限平均法计提折旧，具体核算政策与固定资产部分相同。 投资性房地产中出租的土地使用权、持有并准备增值后转让的土地使用权采用直线法摊销，具体核算政策 与无形资产部分相同。</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bookmarkStart w:name="16、固定资产" w:id="185"/>
      <w:bookmarkEnd w:id="185"/>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1）确认条件" w:id="186"/>
      <w:bookmarkEnd w:id="186"/>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1134" w:right="1131" w:firstLine="420"/>
        <w:jc w:val="both"/>
      </w:pPr>
      <w:r>
        <w:rPr>
          <w:spacing w:val="-1"/>
        </w:rPr>
        <w:t>固定资产指为生产商品、提供劳务、出租或经营管理而持有的，使用寿命超过一个会计年度的有形资</w:t>
      </w:r>
      <w:r>
        <w:rPr/>
        <w:t> </w:t>
      </w:r>
      <w:r>
        <w:rPr>
          <w:spacing w:val="-1"/>
        </w:rPr>
        <w:t>产。同时满足以下条件时予以确认：与该固定资产有关的经济利益很可能流入企业；该固定资产的成本能</w:t>
      </w:r>
      <w:r>
        <w:rPr>
          <w:spacing w:val="-83"/>
        </w:rPr>
        <w:t> </w:t>
      </w:r>
      <w:r>
        <w:rPr>
          <w:spacing w:val="-83"/>
        </w:rPr>
      </w:r>
      <w:r>
        <w:rPr/>
        <w:t>够可靠地计量。</w:t>
      </w:r>
    </w:p>
    <w:p>
      <w:pPr>
        <w:spacing w:line="240" w:lineRule="auto" w:before="8"/>
        <w:rPr>
          <w:rFonts w:ascii="宋体" w:hAnsi="宋体" w:cs="宋体" w:eastAsia="宋体" w:hint="default"/>
          <w:sz w:val="20"/>
          <w:szCs w:val="20"/>
        </w:rPr>
      </w:pPr>
    </w:p>
    <w:p>
      <w:pPr>
        <w:pStyle w:val="Heading4"/>
        <w:spacing w:line="240" w:lineRule="auto"/>
        <w:ind w:left="1134" w:right="0"/>
        <w:jc w:val="left"/>
        <w:rPr>
          <w:b w:val="0"/>
          <w:bCs w:val="0"/>
        </w:rPr>
      </w:pPr>
      <w:bookmarkStart w:name="（2）折旧方法" w:id="187"/>
      <w:bookmarkEnd w:id="187"/>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9.50-2.375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管网</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6.33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19.00-9.50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19.00-9.50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31.67-19.00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31.67-19.00</w:t>
            </w:r>
          </w:p>
        </w:tc>
      </w:tr>
    </w:tbl>
    <w:p>
      <w:pPr>
        <w:spacing w:line="240" w:lineRule="auto" w:before="2"/>
        <w:rPr>
          <w:rFonts w:ascii="宋体" w:hAnsi="宋体" w:cs="宋体" w:eastAsia="宋体" w:hint="default"/>
          <w:b/>
          <w:bCs/>
          <w:sz w:val="19"/>
          <w:szCs w:val="19"/>
        </w:rPr>
      </w:pPr>
    </w:p>
    <w:p>
      <w:pPr>
        <w:pStyle w:val="Heading4"/>
        <w:spacing w:line="240" w:lineRule="auto" w:before="35"/>
        <w:ind w:left="1134" w:right="0"/>
        <w:jc w:val="both"/>
        <w:rPr>
          <w:b w:val="0"/>
          <w:bCs w:val="0"/>
        </w:rPr>
      </w:pPr>
      <w:bookmarkStart w:name="（3）融资租入固定资产的认定依据、计价和折旧方法" w:id="188"/>
      <w:bookmarkEnd w:id="188"/>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1134" w:right="1132" w:firstLine="420"/>
        <w:jc w:val="both"/>
      </w:pPr>
      <w:r>
        <w:rPr>
          <w:spacing w:val="-1"/>
        </w:rPr>
        <w:t>融资租入固定资产为实质上转移了与资产所有权有关的全部风险和报酬的租赁。融资租入固定资产初</w:t>
      </w:r>
      <w:r>
        <w:rPr/>
        <w:t> </w:t>
      </w:r>
      <w:r>
        <w:rPr>
          <w:spacing w:val="-1"/>
        </w:rPr>
        <w:t>始计价为租赁期开始日租赁资产公允价值与最低租赁付款额现值较低者作为入账价值；融资租入固定资产</w:t>
      </w:r>
      <w:r>
        <w:rPr>
          <w:spacing w:val="-81"/>
        </w:rPr>
        <w:t> </w:t>
      </w:r>
      <w:r>
        <w:rPr>
          <w:spacing w:val="-81"/>
        </w:rPr>
      </w:r>
      <w:r>
        <w:rPr/>
        <w:t>后续计价采用与自有固定资产相一致的折旧政策计提折旧及减值准备。</w:t>
      </w:r>
    </w:p>
    <w:p>
      <w:pPr>
        <w:spacing w:line="240" w:lineRule="auto" w:before="8"/>
        <w:rPr>
          <w:rFonts w:ascii="宋体" w:hAnsi="宋体" w:cs="宋体" w:eastAsia="宋体" w:hint="default"/>
          <w:sz w:val="20"/>
          <w:szCs w:val="20"/>
        </w:rPr>
      </w:pPr>
    </w:p>
    <w:p>
      <w:pPr>
        <w:pStyle w:val="Heading4"/>
        <w:spacing w:line="240" w:lineRule="auto"/>
        <w:ind w:right="0"/>
        <w:jc w:val="both"/>
        <w:rPr>
          <w:b w:val="0"/>
          <w:bCs w:val="0"/>
        </w:rPr>
      </w:pPr>
      <w:bookmarkStart w:name="17、在建工程" w:id="189"/>
      <w:bookmarkEnd w:id="189"/>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8"/>
        <w:rPr>
          <w:rFonts w:ascii="宋体" w:hAnsi="宋体" w:cs="宋体" w:eastAsia="宋体" w:hint="default"/>
          <w:b/>
          <w:bCs/>
          <w:sz w:val="26"/>
          <w:szCs w:val="26"/>
        </w:rPr>
      </w:pPr>
    </w:p>
    <w:p>
      <w:pPr>
        <w:spacing w:line="360" w:lineRule="auto" w:before="0"/>
        <w:ind w:left="113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408" w:lineRule="auto" w:before="77"/>
        <w:ind w:right="0" w:firstLine="420"/>
        <w:jc w:val="left"/>
      </w:pPr>
      <w:r>
        <w:rPr>
          <w:spacing w:val="-1"/>
        </w:rPr>
        <w:t>本公司在建工程分为自营方式建造和出包方式建造两种。在建工程在工程完工达到预定可使用状态时，</w:t>
      </w:r>
      <w:r>
        <w:rPr/>
        <w:t> 结转固定资产。预定可使用状态的判断标准，应符合下列情况之一：固定资产的实体建造（包括安装）工 作已经全部完成或实质上已经全部完成；已经试生产或试运行，并且其结果表明资产能够正常运行或能够 稳定地生产出合格产品，或者试运行结果表明其能够正常运转或营业；该项建造的固定资产上的支出金额 很少或者几乎不再发生；所购建的固定资产已经达到设计或合同要求，或与设计或合同要求基本相符。</w:t>
      </w:r>
    </w:p>
    <w:p>
      <w:pPr>
        <w:spacing w:line="240" w:lineRule="auto" w:before="8"/>
        <w:rPr>
          <w:rFonts w:ascii="宋体" w:hAnsi="宋体" w:cs="宋体" w:eastAsia="宋体" w:hint="default"/>
          <w:sz w:val="20"/>
          <w:szCs w:val="20"/>
        </w:rPr>
      </w:pPr>
    </w:p>
    <w:p>
      <w:pPr>
        <w:pStyle w:val="Heading4"/>
        <w:spacing w:line="240" w:lineRule="auto"/>
        <w:ind w:right="0"/>
        <w:jc w:val="both"/>
        <w:rPr>
          <w:b w:val="0"/>
          <w:bCs w:val="0"/>
        </w:rPr>
      </w:pPr>
      <w:bookmarkStart w:name="18、借款费用" w:id="190"/>
      <w:bookmarkEnd w:id="190"/>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1554" w:right="0"/>
        <w:jc w:val="left"/>
      </w:pPr>
      <w:r>
        <w:rPr>
          <w:rFonts w:ascii="宋体" w:hAnsi="宋体" w:cs="宋体" w:eastAsia="宋体" w:hint="default"/>
        </w:rPr>
        <w:t>1</w:t>
      </w:r>
      <w:r>
        <w:rPr/>
        <w:t>、借款费用资本化的确认原则 </w:t>
      </w:r>
      <w:r>
        <w:rPr>
          <w:spacing w:val="-1"/>
        </w:rPr>
        <w:t>本公司发生的借款费用，可直接归属于符合资本化条件的资产的购建或者生产的，予以资本化，计入</w:t>
      </w:r>
    </w:p>
    <w:p>
      <w:pPr>
        <w:pStyle w:val="BodyText"/>
        <w:spacing w:line="408" w:lineRule="auto"/>
        <w:ind w:left="1134" w:right="1131"/>
        <w:jc w:val="both"/>
      </w:pPr>
      <w:r>
        <w:rPr>
          <w:spacing w:val="-1"/>
        </w:rPr>
        <w:t>相关资产成本；其他借款费用，在发生时根据其发生额确认为费用，计入当期损益。符合资本化条件的资</w:t>
      </w:r>
      <w:r>
        <w:rPr>
          <w:spacing w:val="-86"/>
        </w:rPr>
        <w:t> </w:t>
      </w:r>
      <w:r>
        <w:rPr>
          <w:spacing w:val="-86"/>
        </w:rPr>
      </w:r>
      <w:r>
        <w:rPr>
          <w:spacing w:val="-1"/>
        </w:rPr>
        <w:t>产，是指需要经过相当长时间的购建或者生产活动才能达到预定可使用或者可销售状态的固定资产、投资</w:t>
      </w:r>
      <w:r>
        <w:rPr>
          <w:spacing w:val="-81"/>
        </w:rPr>
        <w:t> </w:t>
      </w:r>
      <w:r>
        <w:rPr>
          <w:spacing w:val="-81"/>
        </w:rPr>
      </w:r>
      <w:r>
        <w:rPr/>
        <w:t>性房地产和存货等资产。</w:t>
      </w:r>
    </w:p>
    <w:p>
      <w:pPr>
        <w:pStyle w:val="BodyText"/>
        <w:spacing w:line="408" w:lineRule="auto"/>
        <w:ind w:left="1554" w:right="0"/>
        <w:jc w:val="left"/>
      </w:pPr>
      <w:r>
        <w:rPr>
          <w:rFonts w:ascii="宋体" w:hAnsi="宋体" w:cs="宋体" w:eastAsia="宋体" w:hint="default"/>
        </w:rPr>
        <w:t>2</w:t>
      </w:r>
      <w:r>
        <w:rPr/>
        <w:t>、资本化金额计算方法 </w:t>
      </w:r>
      <w:r>
        <w:rPr>
          <w:spacing w:val="-1"/>
        </w:rPr>
        <w:t>资本化期间，是指从借款费用开始资本化时点到停止资本化时点的期间。借款费用暂停资本化的期间</w:t>
      </w:r>
    </w:p>
    <w:p>
      <w:pPr>
        <w:pStyle w:val="BodyText"/>
        <w:spacing w:line="408" w:lineRule="auto"/>
        <w:ind w:left="1134" w:right="1115"/>
        <w:jc w:val="left"/>
      </w:pPr>
      <w:r>
        <w:rPr/>
        <w:t>不包括在内。在购建或生产过程中发生非正常中断、且中断时间连续超过</w:t>
      </w:r>
      <w:r>
        <w:rPr>
          <w:spacing w:val="-64"/>
        </w:rPr>
        <w:t> </w:t>
      </w:r>
      <w:r>
        <w:rPr>
          <w:rFonts w:ascii="宋体" w:hAnsi="宋体" w:cs="宋体" w:eastAsia="宋体" w:hint="default"/>
        </w:rPr>
        <w:t>3</w:t>
      </w:r>
      <w:r>
        <w:rPr>
          <w:rFonts w:ascii="宋体" w:hAnsi="宋体" w:cs="宋体" w:eastAsia="宋体" w:hint="default"/>
          <w:spacing w:val="-64"/>
        </w:rPr>
        <w:t> </w:t>
      </w:r>
      <w:r>
        <w:rPr/>
        <w:t>个月的，应当暂停借款费用的 资本化。</w:t>
      </w:r>
    </w:p>
    <w:p>
      <w:pPr>
        <w:spacing w:after="0" w:line="408"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right="1131" w:firstLine="420"/>
        <w:jc w:val="both"/>
      </w:pPr>
      <w:r>
        <w:rPr>
          <w:spacing w:val="-1"/>
        </w:rPr>
        <w:t>借入专门借款，按照专门借款当期实际发生的利息费用，减去将尚未动用的借款资金存入银行取得的</w:t>
      </w:r>
      <w:r>
        <w:rPr/>
        <w:t> </w:t>
      </w:r>
      <w:r>
        <w:rPr>
          <w:spacing w:val="-1"/>
        </w:rPr>
        <w:t>利息收入或进行暂时性投资取得的投资收益后的金额确定；占用一般借款按照累计资产支出超过专门借款</w:t>
      </w:r>
      <w:r>
        <w:rPr>
          <w:spacing w:val="-81"/>
        </w:rPr>
        <w:t> </w:t>
      </w:r>
      <w:r>
        <w:rPr>
          <w:spacing w:val="-81"/>
        </w:rPr>
      </w:r>
      <w:r>
        <w:rPr>
          <w:spacing w:val="-1"/>
        </w:rPr>
        <w:t>部分的资产支出加权平均数乘以所占用一般借款的资本化率计算确定，资本化率为一般借款的加权平均利</w:t>
      </w:r>
      <w:r>
        <w:rPr>
          <w:spacing w:val="-81"/>
        </w:rPr>
        <w:t> </w:t>
      </w:r>
      <w:r>
        <w:rPr>
          <w:spacing w:val="-81"/>
        </w:rPr>
      </w:r>
      <w:r>
        <w:rPr>
          <w:spacing w:val="-1"/>
        </w:rPr>
        <w:t>率；借款存在折价或溢价的，按照实际利率法确定每一会计期间应摊销的折价或溢价金额，调整每期利息</w:t>
      </w:r>
      <w:r>
        <w:rPr>
          <w:spacing w:val="-83"/>
        </w:rPr>
        <w:t> </w:t>
      </w:r>
      <w:r>
        <w:rPr>
          <w:spacing w:val="-83"/>
        </w:rPr>
      </w:r>
      <w:r>
        <w:rPr/>
        <w:t>金额。</w:t>
      </w:r>
    </w:p>
    <w:p>
      <w:pPr>
        <w:pStyle w:val="BodyText"/>
        <w:spacing w:line="408" w:lineRule="auto"/>
        <w:ind w:right="1132" w:firstLine="420"/>
        <w:jc w:val="both"/>
      </w:pPr>
      <w:r>
        <w:rPr>
          <w:spacing w:val="-1"/>
        </w:rPr>
        <w:t>实际利率法是根据借款实际利率计算其摊余折价或溢价或利息费用的方法。其中实际利率是借款在预</w:t>
      </w:r>
      <w:r>
        <w:rPr/>
        <w:t> 期存续期间的未来现金流量，折现为该借款当前账面价值所使用的利率。</w:t>
      </w:r>
    </w:p>
    <w:p>
      <w:pPr>
        <w:spacing w:line="240" w:lineRule="auto" w:before="8"/>
        <w:rPr>
          <w:rFonts w:ascii="宋体" w:hAnsi="宋体" w:cs="宋体" w:eastAsia="宋体" w:hint="default"/>
          <w:sz w:val="20"/>
          <w:szCs w:val="20"/>
        </w:rPr>
      </w:pPr>
    </w:p>
    <w:p>
      <w:pPr>
        <w:pStyle w:val="Heading4"/>
        <w:spacing w:line="240" w:lineRule="auto"/>
        <w:ind w:right="0"/>
        <w:jc w:val="both"/>
        <w:rPr>
          <w:b w:val="0"/>
          <w:bCs w:val="0"/>
        </w:rPr>
      </w:pPr>
      <w:bookmarkStart w:name="19、无形资产" w:id="191"/>
      <w:bookmarkEnd w:id="191"/>
      <w:r>
        <w:rPr>
          <w:b w:val="0"/>
          <w:bCs w:val="0"/>
        </w:rPr>
      </w:r>
      <w:r>
        <w:rPr>
          <w:rFonts w:ascii="Times New Roman" w:hAnsi="Times New Roman" w:cs="Times New Roman" w:eastAsia="Times New Roman" w:hint="default"/>
        </w:rPr>
        <w:t>19</w:t>
      </w:r>
      <w:r>
        <w:rPr/>
        <w:t>、无形资产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both"/>
        <w:rPr>
          <w:b w:val="0"/>
          <w:bCs w:val="0"/>
        </w:rPr>
      </w:pPr>
      <w:bookmarkStart w:name="（1）计价方法、使用寿命、减值测试" w:id="192"/>
      <w:bookmarkEnd w:id="192"/>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8"/>
        <w:rPr>
          <w:rFonts w:ascii="宋体" w:hAnsi="宋体" w:cs="宋体" w:eastAsia="宋体" w:hint="default"/>
          <w:b/>
          <w:bCs/>
          <w:sz w:val="26"/>
          <w:szCs w:val="26"/>
        </w:rPr>
      </w:pPr>
    </w:p>
    <w:p>
      <w:pPr>
        <w:spacing w:line="357" w:lineRule="auto" w:before="0"/>
        <w:ind w:left="113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408" w:lineRule="auto" w:before="80"/>
        <w:ind w:left="1554" w:right="0"/>
        <w:jc w:val="left"/>
      </w:pPr>
      <w:r>
        <w:rPr>
          <w:rFonts w:ascii="宋体" w:hAnsi="宋体" w:cs="宋体" w:eastAsia="宋体" w:hint="default"/>
        </w:rPr>
        <w:t>1</w:t>
      </w:r>
      <w:r>
        <w:rPr/>
        <w:t>、无形资产的计价方法 </w:t>
      </w:r>
      <w:r>
        <w:rPr>
          <w:spacing w:val="-1"/>
        </w:rPr>
        <w:t>本公司无形资产按照成本进行初始计量。购入的无形资产，按实际支付的价款和相关支出作为实际成</w:t>
      </w:r>
    </w:p>
    <w:p>
      <w:pPr>
        <w:pStyle w:val="BodyText"/>
        <w:spacing w:line="408" w:lineRule="auto"/>
        <w:ind w:left="1134" w:right="0"/>
        <w:jc w:val="left"/>
      </w:pPr>
      <w:r>
        <w:rPr>
          <w:spacing w:val="-1"/>
        </w:rPr>
        <w:t>本。投资者投入的无形资产，按投资合同或协议约定的价值确定实际成本，但合同或协议约定价值不公允</w:t>
      </w:r>
      <w:r>
        <w:rPr>
          <w:spacing w:val="-83"/>
        </w:rPr>
        <w:t> </w:t>
      </w:r>
      <w:r>
        <w:rPr>
          <w:spacing w:val="-83"/>
        </w:rPr>
      </w:r>
      <w:r>
        <w:rPr/>
        <w:t>的，按公允价值确定实际成本。自行开发的无形资产，其成本为达到预定用途前所发生的支出总额。</w:t>
      </w:r>
    </w:p>
    <w:p>
      <w:pPr>
        <w:pStyle w:val="BodyText"/>
        <w:spacing w:line="408" w:lineRule="auto"/>
        <w:ind w:right="1131" w:firstLine="420"/>
        <w:jc w:val="both"/>
      </w:pPr>
      <w:r>
        <w:rPr>
          <w:spacing w:val="-1"/>
        </w:rPr>
        <w:t>本公司无形资产后续计量方法分别为：使用寿命有限无形资产采用直线法摊销，并在年度终了，对无</w:t>
      </w:r>
      <w:r>
        <w:rPr/>
        <w:t> </w:t>
      </w:r>
      <w:r>
        <w:rPr>
          <w:spacing w:val="-1"/>
        </w:rPr>
        <w:t>形资产的使用寿命和摊销方法进行复核，如与原先估计数存在差异的，进行相应的调整；使用寿命不确定</w:t>
      </w:r>
      <w:r>
        <w:rPr>
          <w:spacing w:val="-83"/>
        </w:rPr>
        <w:t> </w:t>
      </w:r>
      <w:r>
        <w:rPr>
          <w:spacing w:val="-83"/>
        </w:rPr>
      </w:r>
      <w:r>
        <w:rPr>
          <w:spacing w:val="-1"/>
        </w:rPr>
        <w:t>的无形资产不摊销，但在年度终了，对使用寿命进行复核，当有确凿证据表明其使用寿命是有限的，则估</w:t>
      </w:r>
      <w:r>
        <w:rPr>
          <w:spacing w:val="-86"/>
        </w:rPr>
        <w:t> </w:t>
      </w:r>
      <w:r>
        <w:rPr>
          <w:spacing w:val="-86"/>
        </w:rPr>
      </w:r>
      <w:r>
        <w:rPr/>
        <w:t>计其使用寿命，按直线法进行摊销。</w:t>
      </w:r>
    </w:p>
    <w:p>
      <w:pPr>
        <w:pStyle w:val="BodyText"/>
        <w:spacing w:line="408" w:lineRule="auto"/>
        <w:ind w:left="1553" w:right="0"/>
        <w:jc w:val="left"/>
      </w:pPr>
      <w:r>
        <w:rPr>
          <w:rFonts w:ascii="宋体" w:hAnsi="宋体" w:cs="宋体" w:eastAsia="宋体" w:hint="default"/>
        </w:rPr>
        <w:t>2</w:t>
      </w:r>
      <w:r>
        <w:rPr/>
        <w:t>、使用寿命不确定的判断依据 </w:t>
      </w:r>
      <w:r>
        <w:rPr>
          <w:spacing w:val="-1"/>
        </w:rPr>
        <w:t>本公司将无法预见该资产为公司带来经济利益的期限，或使用期限不确定等无形资产确定为使用寿命</w:t>
      </w:r>
    </w:p>
    <w:p>
      <w:pPr>
        <w:pStyle w:val="BodyText"/>
        <w:spacing w:line="408" w:lineRule="auto"/>
        <w:ind w:right="1131"/>
        <w:jc w:val="both"/>
      </w:pPr>
      <w:r>
        <w:rPr>
          <w:spacing w:val="-1"/>
        </w:rPr>
        <w:t>不确定的无形资产。使用寿命不确定的判断依据为：来源于合同性权利或其他法定权利，但合同规定或法</w:t>
      </w:r>
      <w:r>
        <w:rPr>
          <w:spacing w:val="-83"/>
        </w:rPr>
        <w:t> </w:t>
      </w:r>
      <w:r>
        <w:rPr>
          <w:spacing w:val="-83"/>
        </w:rPr>
      </w:r>
      <w:r>
        <w:rPr>
          <w:spacing w:val="-1"/>
        </w:rPr>
        <w:t>律规定无明确使用年限；综合同行业情况或相关专家论证等，仍无法判断无形资产为公司带来经济利益的</w:t>
      </w:r>
      <w:r>
        <w:rPr>
          <w:spacing w:val="-81"/>
        </w:rPr>
        <w:t> </w:t>
      </w:r>
      <w:r>
        <w:rPr>
          <w:spacing w:val="-81"/>
        </w:rPr>
      </w:r>
      <w:r>
        <w:rPr/>
        <w:t>期限。</w:t>
      </w:r>
    </w:p>
    <w:p>
      <w:pPr>
        <w:pStyle w:val="BodyText"/>
        <w:spacing w:line="408" w:lineRule="auto"/>
        <w:ind w:right="1131" w:firstLine="420"/>
        <w:jc w:val="both"/>
      </w:pPr>
      <w:r>
        <w:rPr>
          <w:spacing w:val="-1"/>
        </w:rPr>
        <w:t>每年年末，对使用寿命不确定无形资产使用寿命进行复核，主要采取自下而上的方式，由无形资产使</w:t>
      </w:r>
      <w:r>
        <w:rPr/>
        <w:t> 用相关部门进行基础复核，评价使用寿命不确定判断依据是否存在变化等。</w:t>
      </w:r>
    </w:p>
    <w:p>
      <w:pPr>
        <w:spacing w:line="240" w:lineRule="auto" w:before="8"/>
        <w:rPr>
          <w:rFonts w:ascii="宋体" w:hAnsi="宋体" w:cs="宋体" w:eastAsia="宋体" w:hint="default"/>
          <w:sz w:val="20"/>
          <w:szCs w:val="20"/>
        </w:rPr>
      </w:pPr>
    </w:p>
    <w:p>
      <w:pPr>
        <w:spacing w:line="568" w:lineRule="auto" w:before="0"/>
        <w:ind w:left="1553" w:right="0" w:hanging="420"/>
        <w:jc w:val="left"/>
        <w:rPr>
          <w:rFonts w:ascii="宋体" w:hAnsi="宋体" w:cs="宋体" w:eastAsia="宋体" w:hint="default"/>
          <w:sz w:val="21"/>
          <w:szCs w:val="21"/>
        </w:rPr>
      </w:pPr>
      <w:bookmarkStart w:name="（2）内部研究开发支出会计政策" w:id="193"/>
      <w:bookmarkEnd w:id="19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）内部研究开发支出会计政策</w:t>
      </w:r>
      <w:r>
        <w:rPr>
          <w:rFonts w:ascii="宋体" w:hAnsi="宋体" w:cs="宋体" w:eastAsia="宋体" w:hint="default"/>
          <w:b/>
          <w:bCs/>
          <w:w w:val="99"/>
          <w:sz w:val="21"/>
          <w:szCs w:val="21"/>
        </w:rPr>
        <w:t> </w:t>
      </w:r>
      <w:r>
        <w:rPr>
          <w:rFonts w:ascii="宋体" w:hAnsi="宋体" w:cs="宋体" w:eastAsia="宋体" w:hint="default"/>
          <w:spacing w:val="-1"/>
          <w:sz w:val="21"/>
          <w:szCs w:val="21"/>
        </w:rPr>
        <w:t>内部研究开发项目研究阶段的支出，于发生时计入当期损益；开发阶段的支出，满足确认为无形资产</w:t>
      </w:r>
    </w:p>
    <w:p>
      <w:pPr>
        <w:spacing w:after="0" w:line="568" w:lineRule="auto"/>
        <w:jc w:val="left"/>
        <w:rPr>
          <w:rFonts w:ascii="宋体" w:hAnsi="宋体" w:cs="宋体" w:eastAsia="宋体" w:hint="default"/>
          <w:sz w:val="21"/>
          <w:szCs w:val="21"/>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left="1553" w:right="0" w:hanging="420"/>
        <w:jc w:val="left"/>
      </w:pPr>
      <w:r>
        <w:rPr/>
        <w:t>条件的转入无形资产核算。 </w:t>
      </w:r>
      <w:r>
        <w:rPr>
          <w:spacing w:val="-1"/>
        </w:rPr>
        <w:t>划分内部研究开发项目的研究阶段和开发阶段的具体标准：内部研究开发项目研究阶段的支出，于发</w:t>
      </w:r>
    </w:p>
    <w:p>
      <w:pPr>
        <w:pStyle w:val="BodyText"/>
        <w:spacing w:line="408" w:lineRule="auto"/>
        <w:ind w:right="1130"/>
        <w:jc w:val="both"/>
      </w:pPr>
      <w:r>
        <w:rPr>
          <w:spacing w:val="-1"/>
        </w:rPr>
        <w:t>生时计入当期损益；开发阶段的支出，满足确认为无形资产条件的转入无形资产核算。划分内部研究开发</w:t>
      </w:r>
      <w:r>
        <w:rPr>
          <w:spacing w:val="-83"/>
        </w:rPr>
        <w:t> </w:t>
      </w:r>
      <w:r>
        <w:rPr>
          <w:spacing w:val="-83"/>
        </w:rPr>
      </w:r>
      <w:r>
        <w:rPr>
          <w:spacing w:val="-1"/>
        </w:rPr>
        <w:t>项目的研究阶段和开发阶段的具体标准：为获取新的技术和知识等进行的有计划的调查阶段，应确定为研</w:t>
      </w:r>
      <w:r>
        <w:rPr>
          <w:spacing w:val="-81"/>
        </w:rPr>
        <w:t> </w:t>
      </w:r>
      <w:r>
        <w:rPr>
          <w:spacing w:val="-81"/>
        </w:rPr>
      </w:r>
      <w:r>
        <w:rPr>
          <w:spacing w:val="-1"/>
        </w:rPr>
        <w:t>究阶段，该阶段具有计划性和探索性等特点；在进行商业性生产或使用前，将研究成果或其他知识应用于</w:t>
      </w:r>
      <w:r>
        <w:rPr>
          <w:spacing w:val="-83"/>
        </w:rPr>
        <w:t> </w:t>
      </w:r>
      <w:r>
        <w:rPr>
          <w:spacing w:val="-83"/>
        </w:rPr>
      </w:r>
      <w:r>
        <w:rPr>
          <w:spacing w:val="-1"/>
        </w:rPr>
        <w:t>某项计划或设计，以生产出新的或具有实质性改进的材料、装置、产品等阶段，应确定为开发阶段，该阶</w:t>
      </w:r>
      <w:r>
        <w:rPr>
          <w:spacing w:val="-83"/>
        </w:rPr>
        <w:t> </w:t>
      </w:r>
      <w:r>
        <w:rPr>
          <w:spacing w:val="-83"/>
        </w:rPr>
      </w:r>
      <w:r>
        <w:rPr>
          <w:spacing w:val="-5"/>
        </w:rPr>
        <w:t>段具有针对性和形成成果的可能性较大等特点。开发阶段的支出，同时满足下列条件的，确认为无形资产：</w:t>
      </w:r>
    </w:p>
    <w:p>
      <w:pPr>
        <w:pStyle w:val="BodyText"/>
        <w:spacing w:line="408" w:lineRule="auto"/>
        <w:ind w:right="1131"/>
        <w:jc w:val="both"/>
      </w:pPr>
      <w:r>
        <w:rPr>
          <w:spacing w:val="-1"/>
        </w:rPr>
        <w:t>①完成该无形资产以使其能够使用或出售在技术上具有可行性；②具有完成该无形资产并使用或出售的意</w:t>
      </w:r>
      <w:r>
        <w:rPr>
          <w:spacing w:val="-81"/>
        </w:rPr>
        <w:t> </w:t>
      </w:r>
      <w:r>
        <w:rPr>
          <w:spacing w:val="-81"/>
        </w:rPr>
      </w:r>
      <w:r>
        <w:rPr>
          <w:spacing w:val="-1"/>
        </w:rPr>
        <w:t>图；③无形资产产生经济利益的方式，包括能够证明运用该无形资产生产的产品存在市场或无形资产自身</w:t>
      </w:r>
      <w:r>
        <w:rPr>
          <w:spacing w:val="-81"/>
        </w:rPr>
        <w:t> </w:t>
      </w:r>
      <w:r>
        <w:rPr>
          <w:spacing w:val="-81"/>
        </w:rPr>
      </w:r>
      <w:r>
        <w:rPr>
          <w:spacing w:val="-1"/>
        </w:rPr>
        <w:t>存在市场，无形资产将在内部使用的，能证明其有用性；④有足够的技术、财务资源和其他资源支持，以</w:t>
      </w:r>
      <w:r>
        <w:rPr>
          <w:spacing w:val="-83"/>
        </w:rPr>
        <w:t> </w:t>
      </w:r>
      <w:r>
        <w:rPr>
          <w:spacing w:val="-83"/>
        </w:rPr>
      </w:r>
      <w:r>
        <w:rPr>
          <w:spacing w:val="-1"/>
        </w:rPr>
        <w:t>完成该无形资产的开发，并有能力使用或出售该无形资产；⑤归属于该无形资产开发阶段的支出能够可靠</w:t>
      </w:r>
      <w:r>
        <w:rPr>
          <w:spacing w:val="-81"/>
        </w:rPr>
        <w:t> </w:t>
      </w:r>
      <w:r>
        <w:rPr>
          <w:spacing w:val="-81"/>
        </w:rPr>
      </w:r>
      <w:r>
        <w:rPr/>
        <w:t>地计量。</w:t>
      </w:r>
    </w:p>
    <w:p>
      <w:pPr>
        <w:spacing w:line="240" w:lineRule="auto" w:before="8"/>
        <w:rPr>
          <w:rFonts w:ascii="宋体" w:hAnsi="宋体" w:cs="宋体" w:eastAsia="宋体" w:hint="default"/>
          <w:sz w:val="20"/>
          <w:szCs w:val="20"/>
        </w:rPr>
      </w:pPr>
    </w:p>
    <w:p>
      <w:pPr>
        <w:pStyle w:val="Heading4"/>
        <w:spacing w:line="240" w:lineRule="auto"/>
        <w:ind w:right="0"/>
        <w:jc w:val="both"/>
        <w:rPr>
          <w:b w:val="0"/>
          <w:bCs w:val="0"/>
        </w:rPr>
      </w:pPr>
      <w:bookmarkStart w:name="20、长期资产减值" w:id="194"/>
      <w:bookmarkEnd w:id="194"/>
      <w:r>
        <w:rPr>
          <w:b w:val="0"/>
          <w:bCs w:val="0"/>
        </w:rPr>
      </w:r>
      <w:r>
        <w:rPr>
          <w:rFonts w:ascii="Times New Roman" w:hAnsi="Times New Roman" w:cs="Times New Roman" w:eastAsia="Times New Roman" w:hint="default"/>
        </w:rPr>
        <w:t>20</w:t>
      </w:r>
      <w:r>
        <w:rPr/>
        <w:t>、长期资产减值</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1134" w:right="1133" w:firstLine="420"/>
        <w:jc w:val="both"/>
      </w:pPr>
      <w:r>
        <w:rPr>
          <w:spacing w:val="-1"/>
        </w:rPr>
        <w:t>长期股权投资、采用成本模式计量的投资性房地产、固定资产、在建工程、采用成本模式计量的生产</w:t>
      </w:r>
      <w:r>
        <w:rPr/>
        <w:t> </w:t>
      </w:r>
      <w:r>
        <w:rPr>
          <w:spacing w:val="-1"/>
        </w:rPr>
        <w:t>性生物资产、油气资产、无形资产、商誉等长期资产于资产负债表日存在减值迹象的，进行减值测试。减</w:t>
      </w:r>
      <w:r>
        <w:rPr>
          <w:spacing w:val="-83"/>
        </w:rPr>
        <w:t> </w:t>
      </w:r>
      <w:r>
        <w:rPr>
          <w:spacing w:val="-83"/>
        </w:rPr>
      </w:r>
      <w:r>
        <w:rPr/>
        <w:t>值测试结果表明资产的可收回金额低于其账面价值的，按其差额计提减值准备并计入减值损失。</w:t>
      </w:r>
    </w:p>
    <w:p>
      <w:pPr>
        <w:pStyle w:val="BodyText"/>
        <w:spacing w:line="408" w:lineRule="auto"/>
        <w:ind w:right="1131" w:firstLine="420"/>
        <w:jc w:val="both"/>
      </w:pPr>
      <w:r>
        <w:rPr>
          <w:spacing w:val="3"/>
        </w:rPr>
        <w:t>可收回金额为资产的公允价值减去处置费用后的净额与资产预计未来现金流量的现值两者之间的较</w:t>
      </w:r>
      <w:r>
        <w:rPr/>
        <w:t> </w:t>
      </w:r>
      <w:r>
        <w:rPr>
          <w:spacing w:val="-1"/>
        </w:rPr>
        <w:t>高者。资产减值准备按单项资产为基础计算并确认，如果难以对单项资产的可收回金额进行估计的，以该</w:t>
      </w:r>
      <w:r>
        <w:rPr>
          <w:spacing w:val="-83"/>
        </w:rPr>
        <w:t> </w:t>
      </w:r>
      <w:r>
        <w:rPr>
          <w:spacing w:val="-83"/>
        </w:rPr>
      </w:r>
      <w:r>
        <w:rPr/>
        <w:t>资产所属的资产组确定资产组的可收回金额。资产组是能够独立产生现金流入的最小资产组合。</w:t>
      </w:r>
    </w:p>
    <w:p>
      <w:pPr>
        <w:pStyle w:val="BodyText"/>
        <w:spacing w:line="408" w:lineRule="auto"/>
        <w:ind w:right="1131" w:firstLine="420"/>
        <w:jc w:val="both"/>
      </w:pPr>
      <w:r>
        <w:rPr>
          <w:spacing w:val="-1"/>
        </w:rPr>
        <w:t>在财务报表中单独列示的商誉，无论是否存在减值迹象，至少每年进行减值测试。减值测试时，商誉</w:t>
      </w:r>
      <w:r>
        <w:rPr/>
        <w:t> </w:t>
      </w:r>
      <w:r>
        <w:rPr>
          <w:spacing w:val="-1"/>
        </w:rPr>
        <w:t>的账面价值分摊至预期从企业合并的协同效应中受益的资产组或资产组组合。测试结果表明包含分摊的商</w:t>
      </w:r>
      <w:r>
        <w:rPr>
          <w:spacing w:val="-81"/>
        </w:rPr>
        <w:t> </w:t>
      </w:r>
      <w:r>
        <w:rPr>
          <w:spacing w:val="-81"/>
        </w:rPr>
      </w:r>
      <w:r>
        <w:rPr>
          <w:spacing w:val="-1"/>
        </w:rPr>
        <w:t>誉的资产组或资产组组合的可收回金额低于其账面价值的，确认相应的减值损失。减值损失金额先抵减分</w:t>
      </w:r>
      <w:r>
        <w:rPr>
          <w:spacing w:val="-81"/>
        </w:rPr>
        <w:t> </w:t>
      </w:r>
      <w:r>
        <w:rPr>
          <w:spacing w:val="-81"/>
        </w:rPr>
      </w:r>
      <w:r>
        <w:rPr>
          <w:spacing w:val="-1"/>
        </w:rPr>
        <w:t>摊至该资产组或资产组组合的商誉的账面价值，再根据资产组或资产组组合中除商誉以外的其他各项资产</w:t>
      </w:r>
      <w:r>
        <w:rPr>
          <w:spacing w:val="-81"/>
        </w:rPr>
        <w:t> </w:t>
      </w:r>
      <w:r>
        <w:rPr>
          <w:spacing w:val="-81"/>
        </w:rPr>
      </w:r>
      <w:r>
        <w:rPr/>
        <w:t>的账面价值所占比重，按比例抵减其他各项资产的账面价值。</w:t>
      </w:r>
    </w:p>
    <w:p>
      <w:pPr>
        <w:pStyle w:val="BodyText"/>
        <w:spacing w:line="240" w:lineRule="auto"/>
        <w:ind w:left="1553" w:right="0"/>
        <w:jc w:val="left"/>
      </w:pPr>
      <w:r>
        <w:rPr/>
        <w:t>上述资产减值损失一经确认，以后期间不予转回价值得以恢复的部分。</w:t>
      </w:r>
    </w:p>
    <w:p>
      <w:pPr>
        <w:pStyle w:val="BodyText"/>
        <w:spacing w:line="670" w:lineRule="atLeast" w:before="37"/>
        <w:ind w:left="1554" w:right="0" w:hanging="420"/>
        <w:jc w:val="left"/>
      </w:pPr>
      <w:bookmarkStart w:name="21、长期待摊费用" w:id="195"/>
      <w:bookmarkEnd w:id="195"/>
      <w:r>
        <w:rPr/>
      </w:r>
      <w:r>
        <w:rPr>
          <w:rFonts w:ascii="Times New Roman" w:hAnsi="Times New Roman" w:cs="Times New Roman" w:eastAsia="Times New Roman" w:hint="default"/>
          <w:b/>
          <w:bCs/>
        </w:rPr>
        <w:t>21</w:t>
      </w:r>
      <w:r>
        <w:rPr>
          <w:rFonts w:ascii="宋体" w:hAnsi="宋体" w:cs="宋体" w:eastAsia="宋体" w:hint="default"/>
          <w:b/>
          <w:bCs/>
        </w:rPr>
        <w:t>、长期待摊费用</w:t>
      </w:r>
      <w:r>
        <w:rPr>
          <w:rFonts w:ascii="宋体" w:hAnsi="宋体" w:cs="宋体" w:eastAsia="宋体" w:hint="default"/>
          <w:b/>
          <w:bCs/>
          <w:w w:val="99"/>
        </w:rPr>
        <w:t> </w:t>
      </w:r>
      <w:r>
        <w:rPr>
          <w:spacing w:val="-1"/>
        </w:rPr>
        <w:t>本公司长期待摊费用是指已经支出，但受益期限在一年以上（不含一年）的各项费用。长期待摊费用</w:t>
      </w:r>
    </w:p>
    <w:p>
      <w:pPr>
        <w:spacing w:line="240" w:lineRule="auto" w:before="10"/>
        <w:rPr>
          <w:rFonts w:ascii="宋体" w:hAnsi="宋体" w:cs="宋体" w:eastAsia="宋体" w:hint="default"/>
          <w:sz w:val="14"/>
          <w:szCs w:val="14"/>
        </w:rPr>
      </w:pPr>
    </w:p>
    <w:p>
      <w:pPr>
        <w:pStyle w:val="BodyText"/>
        <w:spacing w:line="240" w:lineRule="auto" w:before="0"/>
        <w:ind w:left="1134" w:right="0"/>
        <w:jc w:val="both"/>
      </w:pPr>
      <w:r>
        <w:rPr/>
        <w:t>按费用项目的受益期限分期摊销。若长期待摊的费用项目不能使以后会计期间受益，则将尚未摊销的该项</w:t>
      </w:r>
    </w:p>
    <w:p>
      <w:pPr>
        <w:spacing w:after="0" w:line="240"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240" w:lineRule="auto" w:before="174"/>
        <w:ind w:right="0"/>
        <w:jc w:val="left"/>
      </w:pPr>
      <w:r>
        <w:rPr/>
        <w:t>目的摊余价值全部转入当期损益。</w:t>
      </w:r>
    </w:p>
    <w:p>
      <w:pPr>
        <w:spacing w:line="240" w:lineRule="auto" w:before="0"/>
        <w:rPr>
          <w:rFonts w:ascii="宋体" w:hAnsi="宋体" w:cs="宋体" w:eastAsia="宋体" w:hint="default"/>
          <w:sz w:val="20"/>
          <w:szCs w:val="20"/>
        </w:rPr>
      </w:pPr>
    </w:p>
    <w:p>
      <w:pPr>
        <w:pStyle w:val="Heading4"/>
        <w:spacing w:line="240" w:lineRule="auto" w:before="154"/>
        <w:ind w:right="0"/>
        <w:jc w:val="left"/>
        <w:rPr>
          <w:b w:val="0"/>
          <w:bCs w:val="0"/>
        </w:rPr>
      </w:pPr>
      <w:bookmarkStart w:name="22、职工薪酬" w:id="196"/>
      <w:bookmarkEnd w:id="196"/>
      <w:r>
        <w:rPr>
          <w:b w:val="0"/>
          <w:bCs w:val="0"/>
        </w:rPr>
      </w:r>
      <w:r>
        <w:rPr>
          <w:rFonts w:ascii="Times New Roman" w:hAnsi="Times New Roman" w:cs="Times New Roman" w:eastAsia="Times New Roman" w:hint="default"/>
        </w:rPr>
        <w:t>22</w:t>
      </w:r>
      <w:r>
        <w:rPr/>
        <w:t>、职工薪酬</w:t>
      </w:r>
      <w:r>
        <w:rPr>
          <w:b w:val="0"/>
          <w:bCs w:val="0"/>
        </w:rPr>
      </w:r>
    </w:p>
    <w:p>
      <w:pPr>
        <w:spacing w:line="690" w:lineRule="exact" w:before="16"/>
        <w:ind w:left="1554" w:right="0" w:hanging="420"/>
        <w:jc w:val="left"/>
        <w:rPr>
          <w:rFonts w:ascii="宋体" w:hAnsi="宋体" w:cs="宋体" w:eastAsia="宋体" w:hint="default"/>
          <w:sz w:val="21"/>
          <w:szCs w:val="21"/>
        </w:rPr>
      </w:pPr>
      <w:bookmarkStart w:name="（1）短期薪酬的会计处理方法" w:id="197"/>
      <w:bookmarkEnd w:id="19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在职工为本公司提供服务的会计期间，将实际发生的短期薪酬确认为负债，并计入当期损益，其他会</w:t>
      </w:r>
    </w:p>
    <w:p>
      <w:pPr>
        <w:pStyle w:val="BodyText"/>
        <w:spacing w:line="408" w:lineRule="auto" w:before="84"/>
        <w:ind w:left="1134" w:right="0"/>
        <w:jc w:val="left"/>
      </w:pPr>
      <w:r>
        <w:rPr/>
        <w:t>计准则要求或允许计入资产成本的除外。本公司发生的职工福利费，在实际发生时根据实际发生额计入当 期损益或相关资产成本。职工福利费为非货币性福利的，按照公允价值计量。企业为职工缴纳的医疗保险 费、工伤保险费、生育保险费等社会保险费和住房公积金，以及按规定提取的工会经费和职工教育经费，</w:t>
      </w:r>
      <w:r>
        <w:rPr>
          <w:spacing w:val="-35"/>
        </w:rPr>
        <w:t> </w:t>
      </w:r>
      <w:r>
        <w:rPr>
          <w:spacing w:val="-35"/>
        </w:rPr>
      </w:r>
      <w:r>
        <w:rPr/>
        <w:t>在职工提供服务的会计期间，根据规定的计提基础和计提比例计算确定相应的职工薪酬金额，并确认相应</w:t>
      </w:r>
      <w:r>
        <w:rPr/>
        <w:t> 负债，计入当期损益或相关资产成本。</w:t>
      </w:r>
    </w:p>
    <w:p>
      <w:pPr>
        <w:spacing w:line="240" w:lineRule="auto" w:before="8"/>
        <w:rPr>
          <w:rFonts w:ascii="宋体" w:hAnsi="宋体" w:cs="宋体" w:eastAsia="宋体" w:hint="default"/>
          <w:sz w:val="20"/>
          <w:szCs w:val="20"/>
        </w:rPr>
      </w:pPr>
    </w:p>
    <w:p>
      <w:pPr>
        <w:pStyle w:val="Heading4"/>
        <w:spacing w:line="240" w:lineRule="auto"/>
        <w:ind w:left="1134" w:right="0"/>
        <w:jc w:val="left"/>
        <w:rPr>
          <w:b w:val="0"/>
          <w:bCs w:val="0"/>
        </w:rPr>
      </w:pPr>
      <w:bookmarkStart w:name="（2）离职后福利的会计处理方法" w:id="198"/>
      <w:bookmarkEnd w:id="198"/>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1134" w:right="1131" w:firstLine="420"/>
        <w:jc w:val="both"/>
      </w:pPr>
      <w:r>
        <w:rPr>
          <w:spacing w:val="-1"/>
        </w:rPr>
        <w:t>本公司在职工提供服务的会计期间，根据设定提存计划计算的应缴存金额确认为负债，并计入当期损</w:t>
      </w:r>
      <w:r>
        <w:rPr/>
        <w:t> </w:t>
      </w:r>
      <w:r>
        <w:rPr>
          <w:spacing w:val="-1"/>
        </w:rPr>
        <w:t>益或相关资产成本。根据预期累计福利单位法确定的公式将设定受益计划产生的福利义务归属于职工提供</w:t>
      </w:r>
      <w:r>
        <w:rPr>
          <w:spacing w:val="-81"/>
        </w:rPr>
        <w:t> </w:t>
      </w:r>
      <w:r>
        <w:rPr>
          <w:spacing w:val="-81"/>
        </w:rPr>
      </w:r>
      <w:r>
        <w:rPr/>
        <w:t>服务的期间，并计入当期损益或相关资产成本。</w:t>
      </w:r>
    </w:p>
    <w:p>
      <w:pPr>
        <w:spacing w:line="240" w:lineRule="auto" w:before="8"/>
        <w:rPr>
          <w:rFonts w:ascii="宋体" w:hAnsi="宋体" w:cs="宋体" w:eastAsia="宋体" w:hint="default"/>
          <w:sz w:val="20"/>
          <w:szCs w:val="20"/>
        </w:rPr>
      </w:pPr>
    </w:p>
    <w:p>
      <w:pPr>
        <w:pStyle w:val="Heading4"/>
        <w:spacing w:line="240" w:lineRule="auto"/>
        <w:ind w:left="1134" w:right="0"/>
        <w:jc w:val="left"/>
        <w:rPr>
          <w:b w:val="0"/>
          <w:bCs w:val="0"/>
        </w:rPr>
      </w:pPr>
      <w:bookmarkStart w:name="（3）辞退福利的会计处理方法" w:id="199"/>
      <w:bookmarkEnd w:id="199"/>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1131" w:firstLine="420"/>
        <w:jc w:val="both"/>
      </w:pPr>
      <w:r>
        <w:rPr>
          <w:spacing w:val="-1"/>
        </w:rPr>
        <w:t>本公司向职工提供辞退福利时，在下列两者孰早日确认辞退福利产生的职工薪酬负债，并计入当期损</w:t>
      </w:r>
      <w:r>
        <w:rPr/>
        <w:t> </w:t>
      </w:r>
      <w:r>
        <w:rPr>
          <w:spacing w:val="-1"/>
        </w:rPr>
        <w:t>益：本公司不能单方面撤回因解除劳动关系计划或裁减建议所提供的辞退福利时；本公司确认与涉及支付</w:t>
      </w:r>
      <w:r>
        <w:rPr>
          <w:spacing w:val="-81"/>
        </w:rPr>
        <w:t> </w:t>
      </w:r>
      <w:r>
        <w:rPr>
          <w:spacing w:val="-81"/>
        </w:rPr>
      </w:r>
      <w:r>
        <w:rPr/>
        <w:t>辞退福利的重组相关的成本或费用时。</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bookmarkStart w:name="（4）其他长期职工福利的会计处理方法" w:id="200"/>
      <w:bookmarkEnd w:id="200"/>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1131" w:firstLine="420"/>
        <w:jc w:val="both"/>
      </w:pPr>
      <w:r>
        <w:rPr>
          <w:spacing w:val="-1"/>
        </w:rPr>
        <w:t>本公司向职工提供的其他长期职工福利，符合设定提存计划条件的，应当按照有关设定提存计划的规</w:t>
      </w:r>
      <w:r>
        <w:rPr/>
        <w:t> 定进行处理；除此外，根据设定受益计划的有关规定，确认和计量其他长期职工福利净负债或净资产。</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bookmarkStart w:name="23、预计负债" w:id="201"/>
      <w:bookmarkEnd w:id="201"/>
      <w:r>
        <w:rPr>
          <w:b w:val="0"/>
          <w:bCs w:val="0"/>
        </w:rPr>
      </w:r>
      <w:r>
        <w:rPr>
          <w:rFonts w:ascii="Times New Roman" w:hAnsi="Times New Roman" w:cs="Times New Roman" w:eastAsia="Times New Roman" w:hint="default"/>
        </w:rPr>
        <w:t>23</w:t>
      </w:r>
      <w:r>
        <w:rPr/>
        <w:t>、预计负债</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1134" w:right="1131" w:firstLine="420"/>
        <w:jc w:val="both"/>
      </w:pPr>
      <w:r>
        <w:rPr>
          <w:spacing w:val="-1"/>
        </w:rPr>
        <w:t>当与或有事项相关的义务是公司承担的现时义务，且履行该义务很可能导致经济利益流出，同时其金</w:t>
      </w:r>
      <w:r>
        <w:rPr/>
        <w:t> </w:t>
      </w:r>
      <w:r>
        <w:rPr>
          <w:spacing w:val="-1"/>
        </w:rPr>
        <w:t>额能够可靠地计量时确认该义务为预计负债。本公司按照履行相关现时义务所需支出的最佳估计数进行初</w:t>
      </w:r>
      <w:r>
        <w:rPr>
          <w:spacing w:val="-81"/>
        </w:rPr>
        <w:t> </w:t>
      </w:r>
      <w:r>
        <w:rPr>
          <w:spacing w:val="-81"/>
        </w:rPr>
      </w:r>
      <w:r>
        <w:rPr>
          <w:spacing w:val="-1"/>
        </w:rPr>
        <w:t>始计量，如所需支出存在一个连续范围，且该范围内各种结果发生的可能性相同，最佳估计数按照该范围</w:t>
      </w:r>
    </w:p>
    <w:p>
      <w:pPr>
        <w:spacing w:after="0" w:line="408"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left="1553" w:right="0" w:hanging="420"/>
        <w:jc w:val="left"/>
      </w:pPr>
      <w:r>
        <w:rPr/>
        <w:t>内的中间值确定；如涉及多个项目，按照各种可能结果及相关概率计算确定最佳估计数。 </w:t>
      </w:r>
      <w:r>
        <w:rPr>
          <w:spacing w:val="-1"/>
        </w:rPr>
        <w:t>资产负债表日应当对预计负债账面价值进行复核，有确凿证据表明该账面价值不能真实反映当前最佳</w:t>
      </w:r>
    </w:p>
    <w:p>
      <w:pPr>
        <w:pStyle w:val="BodyText"/>
        <w:spacing w:line="408" w:lineRule="auto"/>
        <w:ind w:left="1553" w:right="5293" w:hanging="420"/>
        <w:jc w:val="left"/>
      </w:pPr>
      <w:r>
        <w:rPr/>
        <w:t>估计数，应当按照当前最佳估计数对该账面价值进行调整。 依据上述计量方法，公司实际预计负债确认程序为：</w:t>
      </w:r>
    </w:p>
    <w:p>
      <w:pPr>
        <w:pStyle w:val="BodyText"/>
        <w:spacing w:line="408" w:lineRule="auto"/>
        <w:ind w:right="0" w:firstLine="420"/>
        <w:jc w:val="left"/>
      </w:pPr>
      <w:r>
        <w:rPr>
          <w:spacing w:val="-1"/>
        </w:rPr>
        <w:t>①对工程建造项目产生的预计质保维修费用，根据以往年度经验确定的发生质保维修费用最佳估计数，</w:t>
      </w:r>
      <w:r>
        <w:rPr/>
        <w:t> 按照报告期实际确认的工程建造项目营业收入的</w:t>
      </w:r>
      <w:r>
        <w:rPr>
          <w:spacing w:val="-54"/>
        </w:rPr>
        <w:t> </w:t>
      </w:r>
      <w:r>
        <w:rPr>
          <w:rFonts w:ascii="宋体" w:hAnsi="宋体" w:cs="宋体" w:eastAsia="宋体" w:hint="default"/>
        </w:rPr>
        <w:t>1%</w:t>
      </w:r>
      <w:r>
        <w:rPr/>
        <w:t>确认预计负债。</w:t>
      </w:r>
    </w:p>
    <w:p>
      <w:pPr>
        <w:pStyle w:val="BodyText"/>
        <w:spacing w:line="408" w:lineRule="auto"/>
        <w:ind w:right="1131" w:firstLine="420"/>
        <w:jc w:val="both"/>
      </w:pPr>
      <w:r>
        <w:rPr/>
        <w:t>②对</w:t>
      </w:r>
      <w:r>
        <w:rPr>
          <w:spacing w:val="-64"/>
        </w:rPr>
        <w:t> </w:t>
      </w:r>
      <w:r>
        <w:rPr>
          <w:rFonts w:ascii="宋体" w:hAnsi="宋体" w:cs="宋体" w:eastAsia="宋体" w:hint="default"/>
        </w:rPr>
        <w:t>BOT</w:t>
      </w:r>
      <w:r>
        <w:rPr>
          <w:rFonts w:ascii="宋体" w:hAnsi="宋体" w:cs="宋体" w:eastAsia="宋体" w:hint="default"/>
          <w:spacing w:val="-64"/>
        </w:rPr>
        <w:t> </w:t>
      </w:r>
      <w:r>
        <w:rPr/>
        <w:t>项目产生的预计环保设备大修及更新费用，按照当前确定的最佳估计数确认预计负债，每个 </w:t>
      </w:r>
      <w:r>
        <w:rPr>
          <w:spacing w:val="-1"/>
        </w:rPr>
        <w:t>报告期末对上期确定的最佳估计数进行复核，如有有确凿证据表明该账面价值不能真实反映当前最佳估计</w:t>
      </w:r>
      <w:r>
        <w:rPr>
          <w:spacing w:val="-81"/>
        </w:rPr>
        <w:t> </w:t>
      </w:r>
      <w:r>
        <w:rPr>
          <w:spacing w:val="-81"/>
        </w:rPr>
      </w:r>
      <w:r>
        <w:rPr/>
        <w:t>数，按照当前最佳估计数对该账面价值进行调整</w:t>
      </w:r>
    </w:p>
    <w:p>
      <w:pPr>
        <w:spacing w:line="240" w:lineRule="auto" w:before="8"/>
        <w:rPr>
          <w:rFonts w:ascii="宋体" w:hAnsi="宋体" w:cs="宋体" w:eastAsia="宋体" w:hint="default"/>
          <w:sz w:val="20"/>
          <w:szCs w:val="20"/>
        </w:rPr>
      </w:pPr>
    </w:p>
    <w:p>
      <w:pPr>
        <w:pStyle w:val="Heading4"/>
        <w:spacing w:line="240" w:lineRule="auto"/>
        <w:ind w:left="1134" w:right="0"/>
        <w:jc w:val="left"/>
        <w:rPr>
          <w:b w:val="0"/>
          <w:bCs w:val="0"/>
        </w:rPr>
      </w:pPr>
      <w:bookmarkStart w:name="24、股份支付" w:id="202"/>
      <w:bookmarkEnd w:id="202"/>
      <w:r>
        <w:rPr>
          <w:b w:val="0"/>
          <w:bCs w:val="0"/>
        </w:rPr>
      </w:r>
      <w:r>
        <w:rPr>
          <w:rFonts w:ascii="Times New Roman" w:hAnsi="Times New Roman" w:cs="Times New Roman" w:eastAsia="Times New Roman" w:hint="default"/>
        </w:rPr>
        <w:t>24</w:t>
      </w:r>
      <w:r>
        <w:rPr/>
        <w:t>、股份支付</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1134" w:right="1131" w:firstLine="420"/>
        <w:jc w:val="both"/>
      </w:pPr>
      <w:r>
        <w:rPr>
          <w:spacing w:val="-1"/>
        </w:rPr>
        <w:t>本公司股份支付包括以权益结算的股份支付和以现金结算的股份支付。以权益结算的股份支付换取职</w:t>
      </w:r>
      <w:r>
        <w:rPr/>
        <w:t> </w:t>
      </w:r>
      <w:r>
        <w:rPr>
          <w:spacing w:val="-1"/>
        </w:rPr>
        <w:t>工提供服务的，以授予职工权益工具的公允价值计量。存在活跃市场的，按照活跃市场中的报价确定；不</w:t>
      </w:r>
      <w:r>
        <w:rPr>
          <w:spacing w:val="-84"/>
        </w:rPr>
        <w:t> </w:t>
      </w:r>
      <w:r>
        <w:rPr>
          <w:spacing w:val="-84"/>
        </w:rPr>
      </w:r>
      <w:r>
        <w:rPr>
          <w:spacing w:val="-1"/>
        </w:rPr>
        <w:t>存在活跃市场的，采用估值技术确定，包括参考熟悉情况并自愿交易的各方最近进行的市场交易中使用的</w:t>
      </w:r>
      <w:r>
        <w:rPr>
          <w:spacing w:val="-81"/>
        </w:rPr>
        <w:t> </w:t>
      </w:r>
      <w:r>
        <w:rPr>
          <w:spacing w:val="-81"/>
        </w:rPr>
      </w:r>
      <w:r>
        <w:rPr/>
        <w:t>价格、参照实质上相同的其他金融工具的当前公允价值、现金流量折现法和期权定价模型等。</w:t>
      </w:r>
    </w:p>
    <w:p>
      <w:pPr>
        <w:pStyle w:val="BodyText"/>
        <w:spacing w:line="408" w:lineRule="auto"/>
        <w:ind w:right="1131" w:firstLine="420"/>
        <w:jc w:val="both"/>
      </w:pPr>
      <w:r>
        <w:rPr>
          <w:spacing w:val="-1"/>
        </w:rPr>
        <w:t>在各个资产负债表日，根据最新取得的可行权人数变动、业绩指标完成情况等后续信息，修正预计可</w:t>
      </w:r>
      <w:r>
        <w:rPr/>
        <w:t> </w:t>
      </w:r>
      <w:r>
        <w:rPr>
          <w:spacing w:val="-1"/>
        </w:rPr>
        <w:t>行权的股票期权数量，并以此为依据确认各期应分摊的费用。对于跨越多个会计期间的期权费用，一般可</w:t>
      </w:r>
      <w:r>
        <w:rPr>
          <w:spacing w:val="-83"/>
        </w:rPr>
        <w:t> </w:t>
      </w:r>
      <w:r>
        <w:rPr>
          <w:spacing w:val="-83"/>
        </w:rPr>
      </w:r>
      <w:r>
        <w:rPr/>
        <w:t>以按照该期权在某会计期间内等待期长度占整个等待期长度的比例进行分摊。</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bookmarkStart w:name="25、收入" w:id="203"/>
      <w:bookmarkEnd w:id="203"/>
      <w:r>
        <w:rPr>
          <w:b w:val="0"/>
          <w:bCs w:val="0"/>
        </w:rPr>
      </w:r>
      <w:r>
        <w:rPr>
          <w:rFonts w:ascii="Times New Roman" w:hAnsi="Times New Roman" w:cs="Times New Roman" w:eastAsia="Times New Roman" w:hint="default"/>
        </w:rPr>
        <w:t>25</w:t>
      </w:r>
      <w:r>
        <w:rPr/>
        <w:t>、收入</w:t>
      </w:r>
      <w:r>
        <w:rPr>
          <w:b w:val="0"/>
          <w:bCs w:val="0"/>
        </w:rPr>
      </w:r>
    </w:p>
    <w:p>
      <w:pPr>
        <w:spacing w:line="240" w:lineRule="auto" w:before="8"/>
        <w:rPr>
          <w:rFonts w:ascii="宋体" w:hAnsi="宋体" w:cs="宋体" w:eastAsia="宋体" w:hint="default"/>
          <w:b/>
          <w:bCs/>
          <w:sz w:val="26"/>
          <w:szCs w:val="26"/>
        </w:rPr>
      </w:pPr>
    </w:p>
    <w:p>
      <w:pPr>
        <w:spacing w:line="357" w:lineRule="auto" w:before="0"/>
        <w:ind w:left="113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408" w:lineRule="auto" w:before="80"/>
        <w:ind w:left="1553" w:right="1118"/>
        <w:jc w:val="left"/>
      </w:pPr>
      <w:r>
        <w:rPr>
          <w:rFonts w:ascii="宋体" w:hAnsi="宋体" w:cs="宋体" w:eastAsia="宋体" w:hint="default"/>
        </w:rPr>
        <w:t>1</w:t>
      </w:r>
      <w:r>
        <w:rPr/>
        <w:t>、销售商品 </w:t>
      </w:r>
      <w:r>
        <w:rPr>
          <w:spacing w:val="-1"/>
        </w:rPr>
        <w:t>公司按照从购货方已收或应收的合同或协议价款确定销售商品收入金额，但已收或应收的合同或协议</w:t>
      </w:r>
    </w:p>
    <w:p>
      <w:pPr>
        <w:pStyle w:val="BodyText"/>
        <w:spacing w:line="408" w:lineRule="auto"/>
        <w:ind w:right="1131"/>
        <w:jc w:val="both"/>
      </w:pPr>
      <w:r>
        <w:rPr>
          <w:spacing w:val="-1"/>
        </w:rPr>
        <w:t>价款不公允的除外。合同或协议价款的收取采用递延方式，实质上具有融资性质的，按照应收的合同或协</w:t>
      </w:r>
      <w:r>
        <w:rPr>
          <w:spacing w:val="-83"/>
        </w:rPr>
        <w:t> </w:t>
      </w:r>
      <w:r>
        <w:rPr>
          <w:spacing w:val="-83"/>
        </w:rPr>
      </w:r>
      <w:r>
        <w:rPr>
          <w:spacing w:val="-1"/>
        </w:rPr>
        <w:t>议价款的公允价值确定销售商品收入金额。应收的合同或协议价款与其公允价值之间的差额，在合同或协</w:t>
      </w:r>
      <w:r>
        <w:rPr>
          <w:spacing w:val="-81"/>
        </w:rPr>
        <w:t> </w:t>
      </w:r>
      <w:r>
        <w:rPr>
          <w:spacing w:val="-81"/>
        </w:rPr>
      </w:r>
      <w:r>
        <w:rPr/>
        <w:t>议期间内采用实际利率法进行摊销，计入当期损益。</w:t>
      </w:r>
    </w:p>
    <w:p>
      <w:pPr>
        <w:pStyle w:val="BodyText"/>
        <w:spacing w:line="408" w:lineRule="auto"/>
        <w:ind w:left="1134" w:right="1131" w:firstLine="420"/>
        <w:jc w:val="both"/>
      </w:pPr>
      <w:r>
        <w:rPr>
          <w:spacing w:val="-1"/>
        </w:rPr>
        <w:t>销售商品涉及现金折扣的，按照扣除现金折扣前的金额确定销售商品收入金额。销售商品涉及商业折</w:t>
      </w:r>
      <w:r>
        <w:rPr/>
        <w:t> </w:t>
      </w:r>
      <w:r>
        <w:rPr>
          <w:spacing w:val="-1"/>
        </w:rPr>
        <w:t>扣的，按照扣除商业折扣后的金额确定销售商品收入金额。本公司已经确认销售商品收入的售出商品发生</w:t>
      </w:r>
      <w:r>
        <w:rPr>
          <w:spacing w:val="-81"/>
        </w:rPr>
        <w:t> </w:t>
      </w:r>
      <w:r>
        <w:rPr>
          <w:spacing w:val="-81"/>
        </w:rPr>
      </w:r>
      <w:r>
        <w:rPr/>
        <w:t>销售折让的，在发生时冲减当期销售商品收入。</w:t>
      </w:r>
    </w:p>
    <w:p>
      <w:pPr>
        <w:spacing w:after="0" w:line="408"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left="1553" w:right="0"/>
        <w:jc w:val="left"/>
      </w:pPr>
      <w:r>
        <w:rPr/>
        <w:t>公司已经确认销售商品收入的售出商品发生销售退回的，在发生时冲减当期销售商品收入。 确认销售收入具体方法： 系统产品销售收入：公司根据和客户签订的系统产品销售合同约定</w:t>
      </w:r>
      <w:r>
        <w:rPr>
          <w:rFonts w:ascii="宋体" w:hAnsi="宋体" w:cs="宋体" w:eastAsia="宋体" w:hint="default"/>
        </w:rPr>
        <w:t>,</w:t>
      </w:r>
      <w:r>
        <w:rPr/>
        <w:t>经审批后组织发货并安装调试，</w:t>
      </w:r>
    </w:p>
    <w:p>
      <w:pPr>
        <w:pStyle w:val="BodyText"/>
        <w:spacing w:line="408" w:lineRule="auto"/>
        <w:ind w:right="1133"/>
        <w:jc w:val="both"/>
      </w:pPr>
      <w:r>
        <w:rPr>
          <w:spacing w:val="-1"/>
        </w:rPr>
        <w:t>客户验收后出具安装调试报告或验收报告，公司根据合同、销售出库单、货物回单、安装调试报告或验收</w:t>
      </w:r>
      <w:r>
        <w:rPr>
          <w:spacing w:val="-86"/>
        </w:rPr>
        <w:t> </w:t>
      </w:r>
      <w:r>
        <w:rPr>
          <w:spacing w:val="-86"/>
        </w:rPr>
      </w:r>
      <w:r>
        <w:rPr/>
        <w:t>报告确认收入。</w:t>
      </w:r>
    </w:p>
    <w:p>
      <w:pPr>
        <w:pStyle w:val="BodyText"/>
        <w:spacing w:line="408" w:lineRule="auto"/>
        <w:ind w:right="0" w:firstLine="420"/>
        <w:jc w:val="left"/>
      </w:pPr>
      <w:r>
        <w:rPr/>
        <w:t>软件产品销售收入：公司根据和客户签订的软件产品销售合同约定，经审批后组织发货并安装调试， 客户进行初验，公司根据初验报告确认收入。</w:t>
      </w:r>
    </w:p>
    <w:p>
      <w:pPr>
        <w:pStyle w:val="BodyText"/>
        <w:spacing w:line="408" w:lineRule="auto"/>
        <w:ind w:left="1134" w:right="0" w:firstLine="420"/>
        <w:jc w:val="left"/>
      </w:pPr>
      <w:r>
        <w:rPr/>
        <w:t>其他产品销售收入：根据和客户签订的产品销售合同经审批后组织发货，产品送达客户指定地点后， 由客户检验核对无误，验收后出具收货或验收确认单据，公司根据合同、销售出库单、货物回单、收货或 验收确认单据确认收入。</w:t>
      </w:r>
    </w:p>
    <w:p>
      <w:pPr>
        <w:pStyle w:val="BodyText"/>
        <w:spacing w:line="408" w:lineRule="auto"/>
        <w:ind w:left="1554" w:right="8022"/>
        <w:jc w:val="left"/>
      </w:pPr>
      <w:r>
        <w:rPr>
          <w:rFonts w:ascii="宋体" w:hAnsi="宋体" w:cs="宋体" w:eastAsia="宋体" w:hint="default"/>
        </w:rPr>
        <w:t>2</w:t>
      </w:r>
      <w:r>
        <w:rPr/>
        <w:t>、提供劳务 确认劳务收入具体方法：</w:t>
      </w:r>
    </w:p>
    <w:p>
      <w:pPr>
        <w:pStyle w:val="BodyText"/>
        <w:spacing w:line="408" w:lineRule="auto"/>
        <w:ind w:left="1554" w:right="0"/>
        <w:jc w:val="left"/>
      </w:pPr>
      <w:r>
        <w:rPr/>
        <w:t>运营收入：按每个月计量的实际处理的工作量（水量或气量等）经业主确认后确认收入。 </w:t>
      </w:r>
      <w:r>
        <w:rPr>
          <w:spacing w:val="-1"/>
        </w:rPr>
        <w:t>技术服务收入：公司在完成技术服务合同中约定结算的具体服务内容并提交相应技术服务成果，经业</w:t>
      </w:r>
    </w:p>
    <w:p>
      <w:pPr>
        <w:pStyle w:val="BodyText"/>
        <w:spacing w:line="408" w:lineRule="auto"/>
        <w:ind w:left="1554" w:right="0" w:hanging="420"/>
        <w:jc w:val="left"/>
      </w:pPr>
      <w:r>
        <w:rPr/>
        <w:t>主确认后确认收入。 </w:t>
      </w:r>
      <w:r>
        <w:rPr>
          <w:spacing w:val="-1"/>
        </w:rPr>
        <w:t>工程收入：对于公司提供的土建、安装等劳务，按照实际发生的成本占预计总成本的比例计算的完工</w:t>
      </w:r>
    </w:p>
    <w:p>
      <w:pPr>
        <w:pStyle w:val="BodyText"/>
        <w:spacing w:line="408" w:lineRule="auto"/>
        <w:ind w:left="1134" w:right="1131"/>
        <w:jc w:val="both"/>
      </w:pPr>
      <w:r>
        <w:rPr>
          <w:spacing w:val="-1"/>
        </w:rPr>
        <w:t>进度确认营业收入，并需取得完工进度外部确认文件。外部确认文件包括但不限于最终验收报告、工程量</w:t>
      </w:r>
      <w:r>
        <w:rPr>
          <w:spacing w:val="-83"/>
        </w:rPr>
        <w:t> </w:t>
      </w:r>
      <w:r>
        <w:rPr>
          <w:spacing w:val="-83"/>
        </w:rPr>
      </w:r>
      <w:r>
        <w:rPr/>
        <w:t>确认单或其他按照业主统一格式出具的验收文件等。</w:t>
      </w:r>
    </w:p>
    <w:p>
      <w:pPr>
        <w:pStyle w:val="BodyText"/>
        <w:spacing w:line="408" w:lineRule="auto"/>
        <w:ind w:left="1554" w:right="0"/>
        <w:jc w:val="left"/>
      </w:pPr>
      <w:r>
        <w:rPr>
          <w:rFonts w:ascii="宋体" w:hAnsi="宋体" w:cs="宋体" w:eastAsia="宋体" w:hint="default"/>
        </w:rPr>
        <w:t>3</w:t>
      </w:r>
      <w:r>
        <w:rPr/>
        <w:t>、让渡资产使用权 </w:t>
      </w:r>
      <w:r>
        <w:rPr>
          <w:spacing w:val="-1"/>
        </w:rPr>
        <w:t>让渡资产使用权根据与资产使用权让渡相关的经济利益能够流入及收入的金额能够可靠地计量时，确</w:t>
      </w:r>
    </w:p>
    <w:p>
      <w:pPr>
        <w:pStyle w:val="BodyText"/>
        <w:spacing w:line="240" w:lineRule="auto"/>
        <w:ind w:left="1134" w:right="0"/>
        <w:jc w:val="both"/>
      </w:pPr>
      <w:r>
        <w:rPr/>
        <w:t>认收入。</w:t>
      </w:r>
    </w:p>
    <w:p>
      <w:pPr>
        <w:spacing w:line="240" w:lineRule="auto" w:before="10"/>
        <w:rPr>
          <w:rFonts w:ascii="宋体" w:hAnsi="宋体" w:cs="宋体" w:eastAsia="宋体" w:hint="default"/>
          <w:sz w:val="14"/>
          <w:szCs w:val="14"/>
        </w:rPr>
      </w:pPr>
    </w:p>
    <w:p>
      <w:pPr>
        <w:pStyle w:val="BodyText"/>
        <w:spacing w:line="240" w:lineRule="auto" w:before="0"/>
        <w:ind w:left="1554" w:right="0"/>
        <w:jc w:val="left"/>
      </w:pPr>
      <w:r>
        <w:rPr>
          <w:rFonts w:ascii="宋体" w:hAnsi="宋体" w:cs="宋体" w:eastAsia="宋体" w:hint="default"/>
        </w:rPr>
        <w:t>4</w:t>
      </w:r>
      <w:r>
        <w:rPr/>
        <w:t>、建造合同</w:t>
      </w:r>
    </w:p>
    <w:p>
      <w:pPr>
        <w:spacing w:line="240" w:lineRule="auto" w:before="10"/>
        <w:rPr>
          <w:rFonts w:ascii="宋体" w:hAnsi="宋体" w:cs="宋体" w:eastAsia="宋体" w:hint="default"/>
          <w:sz w:val="14"/>
          <w:szCs w:val="14"/>
        </w:rPr>
      </w:pPr>
    </w:p>
    <w:p>
      <w:pPr>
        <w:pStyle w:val="BodyText"/>
        <w:spacing w:line="240" w:lineRule="auto" w:before="0"/>
        <w:ind w:left="1554" w:right="0"/>
        <w:jc w:val="left"/>
      </w:pPr>
      <w:r>
        <w:rPr>
          <w:rFonts w:ascii="宋体" w:hAnsi="宋体" w:cs="宋体" w:eastAsia="宋体" w:hint="default"/>
        </w:rPr>
        <w:t>BOT</w:t>
      </w:r>
      <w:r>
        <w:rPr>
          <w:rFonts w:ascii="宋体" w:hAnsi="宋体" w:cs="宋体" w:eastAsia="宋体" w:hint="default"/>
          <w:spacing w:val="-54"/>
        </w:rPr>
        <w:t> </w:t>
      </w:r>
      <w:r>
        <w:rPr/>
        <w:t>项目收入确认的具体方式：</w:t>
      </w:r>
    </w:p>
    <w:p>
      <w:pPr>
        <w:spacing w:line="240" w:lineRule="auto" w:before="10"/>
        <w:rPr>
          <w:rFonts w:ascii="宋体" w:hAnsi="宋体" w:cs="宋体" w:eastAsia="宋体" w:hint="default"/>
          <w:sz w:val="14"/>
          <w:szCs w:val="14"/>
        </w:rPr>
      </w:pPr>
    </w:p>
    <w:p>
      <w:pPr>
        <w:pStyle w:val="BodyText"/>
        <w:spacing w:line="240" w:lineRule="auto" w:before="0"/>
        <w:ind w:left="1554" w:right="0"/>
        <w:jc w:val="left"/>
      </w:pPr>
      <w:r>
        <w:rPr/>
        <w:t>建造期间，公司对于所提供的建造服务按照《企业会计准则第 </w:t>
      </w:r>
      <w:r>
        <w:rPr>
          <w:rFonts w:ascii="宋体" w:hAnsi="宋体" w:cs="宋体" w:eastAsia="宋体" w:hint="default"/>
        </w:rPr>
        <w:t>15</w:t>
      </w:r>
      <w:r>
        <w:rPr>
          <w:rFonts w:ascii="宋体" w:hAnsi="宋体" w:cs="宋体" w:eastAsia="宋体" w:hint="default"/>
          <w:spacing w:val="-23"/>
        </w:rPr>
        <w:t> </w:t>
      </w:r>
      <w:r>
        <w:rPr/>
        <w:t>号——建造合同》确认相关的收入</w:t>
      </w:r>
    </w:p>
    <w:p>
      <w:pPr>
        <w:spacing w:line="240" w:lineRule="auto" w:before="10"/>
        <w:rPr>
          <w:rFonts w:ascii="宋体" w:hAnsi="宋体" w:cs="宋体" w:eastAsia="宋体" w:hint="default"/>
          <w:sz w:val="14"/>
          <w:szCs w:val="14"/>
        </w:rPr>
      </w:pPr>
    </w:p>
    <w:p>
      <w:pPr>
        <w:pStyle w:val="BodyText"/>
        <w:spacing w:line="408" w:lineRule="auto" w:before="0"/>
        <w:ind w:left="1134" w:right="1131"/>
        <w:jc w:val="both"/>
      </w:pPr>
      <w:r>
        <w:rPr/>
        <w:t>和费用。基础设施建成后，项目公司按照《企业会计准则第 </w:t>
      </w:r>
      <w:r>
        <w:rPr>
          <w:rFonts w:ascii="宋体" w:hAnsi="宋体" w:cs="宋体" w:eastAsia="宋体" w:hint="default"/>
        </w:rPr>
        <w:t>14</w:t>
      </w:r>
      <w:r>
        <w:rPr>
          <w:rFonts w:ascii="宋体" w:hAnsi="宋体" w:cs="宋体" w:eastAsia="宋体" w:hint="default"/>
          <w:spacing w:val="-22"/>
        </w:rPr>
        <w:t> </w:t>
      </w:r>
      <w:r>
        <w:rPr/>
        <w:t>号——收入》确认与后续经营服务相关的 </w:t>
      </w:r>
      <w:r>
        <w:rPr>
          <w:spacing w:val="-1"/>
        </w:rPr>
        <w:t>收入。建造合同收入按照收取或应收对价的公允价值计量，并分别以下情况在确认收入的同时，确认金融</w:t>
      </w:r>
      <w:r>
        <w:rPr>
          <w:spacing w:val="-83"/>
        </w:rPr>
        <w:t> </w:t>
      </w:r>
      <w:r>
        <w:rPr>
          <w:spacing w:val="-83"/>
        </w:rPr>
      </w:r>
      <w:r>
        <w:rPr/>
        <w:t>资产或无形资产：</w:t>
      </w:r>
    </w:p>
    <w:p>
      <w:pPr>
        <w:pStyle w:val="BodyText"/>
        <w:spacing w:line="408" w:lineRule="auto"/>
        <w:ind w:left="1134" w:right="1130" w:firstLine="420"/>
        <w:jc w:val="both"/>
      </w:pPr>
      <w:r>
        <w:rPr>
          <w:spacing w:val="-1"/>
        </w:rPr>
        <w:t>合同规定基础设施建成后的一定期间内，项目公司可以无条件地自合同授予方收取确定金额的货币资</w:t>
      </w:r>
      <w:r>
        <w:rPr/>
        <w:t> </w:t>
      </w:r>
      <w:r>
        <w:rPr>
          <w:spacing w:val="-1"/>
        </w:rPr>
        <w:t>金或其他金融资产的；或在项目公司提供经营服务的收费低于某一限定金额的情况下，合同授予方按照合</w:t>
      </w:r>
      <w:r>
        <w:rPr>
          <w:spacing w:val="-81"/>
        </w:rPr>
        <w:t> </w:t>
      </w:r>
      <w:r>
        <w:rPr>
          <w:spacing w:val="-81"/>
        </w:rPr>
      </w:r>
      <w:r>
        <w:rPr>
          <w:spacing w:val="-1"/>
        </w:rPr>
        <w:t>同规定负责将有关差价补偿给项目公司的，应当在确认收入的同时确认金融资产，并按照《企业会计准则</w:t>
      </w:r>
    </w:p>
    <w:p>
      <w:pPr>
        <w:spacing w:after="0" w:line="408"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left="1554" w:right="0" w:hanging="420"/>
        <w:jc w:val="left"/>
      </w:pPr>
      <w:r>
        <w:rPr/>
        <w:t>第</w:t>
      </w:r>
      <w:r>
        <w:rPr>
          <w:spacing w:val="-53"/>
        </w:rPr>
        <w:t> </w:t>
      </w:r>
      <w:r>
        <w:rPr>
          <w:rFonts w:ascii="宋体" w:hAnsi="宋体" w:cs="宋体" w:eastAsia="宋体" w:hint="default"/>
        </w:rPr>
        <w:t>22</w:t>
      </w:r>
      <w:r>
        <w:rPr>
          <w:rFonts w:ascii="宋体" w:hAnsi="宋体" w:cs="宋体" w:eastAsia="宋体" w:hint="default"/>
          <w:spacing w:val="-53"/>
        </w:rPr>
        <w:t> </w:t>
      </w:r>
      <w:r>
        <w:rPr/>
        <w:t>号——金融工具确认和计量》的规定处理。 </w:t>
      </w:r>
      <w:r>
        <w:rPr>
          <w:spacing w:val="-1"/>
        </w:rPr>
        <w:t>合同规定项目公司在有关基础设施建成后，从事经营的一定期间内有权利向获取服务的对象收取费用，</w:t>
      </w:r>
    </w:p>
    <w:p>
      <w:pPr>
        <w:pStyle w:val="BodyText"/>
        <w:spacing w:line="408" w:lineRule="auto"/>
        <w:ind w:left="1134" w:right="1131"/>
        <w:jc w:val="both"/>
      </w:pPr>
      <w:r>
        <w:rPr>
          <w:spacing w:val="-1"/>
        </w:rPr>
        <w:t>但收费金额不确定的，该权利不构成一项无条件收取现金的权利，项目公司在确认收入的同时确认无形资</w:t>
      </w:r>
      <w:r>
        <w:rPr>
          <w:spacing w:val="-81"/>
        </w:rPr>
        <w:t> </w:t>
      </w:r>
      <w:r>
        <w:rPr>
          <w:spacing w:val="-81"/>
        </w:rPr>
      </w:r>
      <w:r>
        <w:rPr/>
        <w:t>产。</w:t>
      </w:r>
    </w:p>
    <w:p>
      <w:pPr>
        <w:pStyle w:val="BodyText"/>
        <w:spacing w:line="408" w:lineRule="auto"/>
        <w:ind w:left="1134" w:right="0" w:firstLine="420"/>
        <w:jc w:val="left"/>
      </w:pPr>
      <w:r>
        <w:rPr>
          <w:spacing w:val="-1"/>
        </w:rPr>
        <w:t>项目公司未提供实际建造服务，将基础设施建造发包给其他方的，不确认建造服务收入，按照建造过</w:t>
      </w:r>
      <w:r>
        <w:rPr/>
        <w:t> 程中支付的工程价款等考虑合同规定，分别确认为金融资产或无形资产。</w:t>
      </w:r>
    </w:p>
    <w:p>
      <w:pPr>
        <w:pStyle w:val="BodyText"/>
        <w:spacing w:line="408" w:lineRule="auto"/>
        <w:ind w:right="0" w:firstLine="420"/>
        <w:jc w:val="left"/>
      </w:pPr>
      <w:r>
        <w:rPr/>
        <w:t>对于公司提供的建造服务，按照实际发生的成本占预计总成本的比例计算的完工进度确认营业收入， 并需取得完工进度外部确认文件。外部确认文件包括但不限于最终验收报告、工程量确认单或其他按照业 主统一格式出具的验收文件等。</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bookmarkStart w:name="26、政府补助" w:id="204"/>
      <w:bookmarkEnd w:id="204"/>
      <w:r>
        <w:rPr>
          <w:b w:val="0"/>
          <w:bCs w:val="0"/>
        </w:rPr>
      </w:r>
      <w:r>
        <w:rPr>
          <w:rFonts w:ascii="Times New Roman" w:hAnsi="Times New Roman" w:cs="Times New Roman" w:eastAsia="Times New Roman" w:hint="default"/>
        </w:rPr>
        <w:t>26</w:t>
      </w:r>
      <w:r>
        <w:rPr/>
        <w:t>、政府补助</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1）与资产相关的政府补助判断依据及会计处理方法" w:id="205"/>
      <w:bookmarkEnd w:id="205"/>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1553" w:right="0"/>
        <w:jc w:val="left"/>
      </w:pPr>
      <w:r>
        <w:rPr/>
        <w:t>本公司取得的、用于购建或以其他方式形成长期资产的政府补助，确认为与资产相关的政府补助。 </w:t>
      </w:r>
      <w:r>
        <w:rPr>
          <w:spacing w:val="-6"/>
        </w:rPr>
        <w:t>与资产相关的政府补助，确认为递延收益。确认为递延收益的金额，在相关资产使用寿命内按照合理、</w:t>
      </w:r>
    </w:p>
    <w:p>
      <w:pPr>
        <w:pStyle w:val="BodyText"/>
        <w:spacing w:line="408" w:lineRule="auto"/>
        <w:ind w:right="1130"/>
        <w:jc w:val="both"/>
      </w:pPr>
      <w:r>
        <w:rPr>
          <w:spacing w:val="-5"/>
        </w:rPr>
        <w:t>系统的方法分期计入当期损益。其中与本公司日常活动相关的，计入其他收益，与本公司日常活动无关的，</w:t>
      </w:r>
      <w:r>
        <w:rPr>
          <w:spacing w:val="-101"/>
        </w:rPr>
        <w:t> </w:t>
      </w:r>
      <w:r>
        <w:rPr>
          <w:spacing w:val="-101"/>
        </w:rPr>
      </w:r>
      <w:r>
        <w:rPr/>
        <w:t>计入营业外收入。</w:t>
      </w:r>
    </w:p>
    <w:p>
      <w:pPr>
        <w:pStyle w:val="BodyText"/>
        <w:spacing w:line="240" w:lineRule="auto"/>
        <w:ind w:left="1553" w:right="0"/>
        <w:jc w:val="left"/>
      </w:pPr>
      <w:r>
        <w:rPr/>
        <w:t>按照名义金额计量的政府补助，直接计入当期损益。</w:t>
      </w:r>
    </w:p>
    <w:p>
      <w:pPr>
        <w:spacing w:line="670" w:lineRule="atLeast" w:before="37"/>
        <w:ind w:left="1554" w:right="0" w:hanging="420"/>
        <w:jc w:val="left"/>
        <w:rPr>
          <w:rFonts w:ascii="宋体" w:hAnsi="宋体" w:cs="宋体" w:eastAsia="宋体" w:hint="default"/>
          <w:sz w:val="21"/>
          <w:szCs w:val="21"/>
        </w:rPr>
      </w:pPr>
      <w:bookmarkStart w:name="（2）与收益相关的政府补助判断依据及会计处理方法" w:id="206"/>
      <w:bookmarkEnd w:id="20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）与收益相关的政府补助判断依据及会计处理方法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除与资产相关的政府补助之外的政府补助，确认为与收益相关的政府补助。若政府文件未明确规定补</w:t>
      </w:r>
    </w:p>
    <w:p>
      <w:pPr>
        <w:spacing w:line="240" w:lineRule="auto" w:before="10"/>
        <w:rPr>
          <w:rFonts w:ascii="宋体" w:hAnsi="宋体" w:cs="宋体" w:eastAsia="宋体" w:hint="default"/>
          <w:sz w:val="14"/>
          <w:szCs w:val="14"/>
        </w:rPr>
      </w:pPr>
    </w:p>
    <w:p>
      <w:pPr>
        <w:pStyle w:val="BodyText"/>
        <w:spacing w:line="408" w:lineRule="auto" w:before="0"/>
        <w:ind w:left="1134" w:right="1131"/>
        <w:jc w:val="both"/>
      </w:pPr>
      <w:r>
        <w:rPr>
          <w:spacing w:val="-1"/>
        </w:rPr>
        <w:t>助对象，将该政府补助划分为与资产相关或与收益相关的判断依据：①政府文件明确了补助所针对的特定</w:t>
      </w:r>
      <w:r>
        <w:rPr>
          <w:spacing w:val="-81"/>
        </w:rPr>
        <w:t> </w:t>
      </w:r>
      <w:r>
        <w:rPr>
          <w:spacing w:val="-81"/>
        </w:rPr>
      </w:r>
      <w:r>
        <w:rPr>
          <w:spacing w:val="-1"/>
        </w:rPr>
        <w:t>项目的，根据该特定项目的预算中将形成资产的支出金额和计入费用的支出金额的相对比例进行划分，对</w:t>
      </w:r>
      <w:r>
        <w:rPr>
          <w:spacing w:val="-81"/>
        </w:rPr>
        <w:t> </w:t>
      </w:r>
      <w:r>
        <w:rPr>
          <w:spacing w:val="-81"/>
        </w:rPr>
      </w:r>
      <w:r>
        <w:rPr>
          <w:spacing w:val="-1"/>
        </w:rPr>
        <w:t>该划分比例需在每个资产负债表日进行复核，必要时进行变更；②政府文件中对用途仅作一般性表述，没</w:t>
      </w:r>
      <w:r>
        <w:rPr>
          <w:spacing w:val="-83"/>
        </w:rPr>
        <w:t> </w:t>
      </w:r>
      <w:r>
        <w:rPr>
          <w:spacing w:val="-83"/>
        </w:rPr>
      </w:r>
      <w:r>
        <w:rPr>
          <w:spacing w:val="-1"/>
        </w:rPr>
        <w:t>有指明特定项目的，作为与收益相关的政府补助。与收益相关的政府补助，分别下列情况处理：用于补偿</w:t>
      </w:r>
      <w:r>
        <w:rPr>
          <w:spacing w:val="-85"/>
        </w:rPr>
        <w:t> </w:t>
      </w:r>
      <w:r>
        <w:rPr>
          <w:spacing w:val="-85"/>
        </w:rPr>
      </w:r>
      <w:r>
        <w:rPr>
          <w:spacing w:val="-1"/>
        </w:rPr>
        <w:t>企业以后期间的相关费用或损失的，确认为递延收益，并在确认相关费用的期间，计入当期损益。用于补</w:t>
      </w:r>
      <w:r>
        <w:rPr>
          <w:spacing w:val="-86"/>
        </w:rPr>
        <w:t> </w:t>
      </w:r>
      <w:r>
        <w:rPr>
          <w:spacing w:val="-86"/>
        </w:rPr>
      </w:r>
      <w:r>
        <w:rPr>
          <w:spacing w:val="-1"/>
        </w:rPr>
        <w:t>偿企业已发生的相关费用或损失的，直接计入当期损益。计入当期损益时，与本公司日常活动相关的政府</w:t>
      </w:r>
      <w:r>
        <w:rPr>
          <w:spacing w:val="-83"/>
        </w:rPr>
        <w:t> </w:t>
      </w:r>
      <w:r>
        <w:rPr>
          <w:spacing w:val="-83"/>
        </w:rPr>
      </w:r>
      <w:r>
        <w:rPr/>
        <w:t>补助，计入其他收益；与本公司日常活动无关的政府补助，计入营业外收入。</w:t>
      </w:r>
    </w:p>
    <w:p>
      <w:pPr>
        <w:spacing w:after="0" w:line="408" w:lineRule="auto"/>
        <w:jc w:val="both"/>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7、递延所得税资产/递延所得税负债" w:id="207"/>
      <w:bookmarkEnd w:id="207"/>
      <w:r>
        <w:rPr>
          <w:b w:val="0"/>
          <w:bCs w:val="0"/>
        </w:rPr>
      </w:r>
      <w:r>
        <w:rPr>
          <w:rFonts w:ascii="Times New Roman" w:hAnsi="Times New Roman" w:cs="Times New Roman" w:eastAsia="Times New Roman" w:hint="default"/>
        </w:rPr>
        <w:t>27</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1140" w:firstLine="420"/>
        <w:jc w:val="both"/>
      </w:pPr>
      <w:r>
        <w:rPr>
          <w:rFonts w:ascii="宋体" w:hAnsi="宋体" w:cs="宋体" w:eastAsia="宋体" w:hint="default"/>
        </w:rPr>
        <w:t>1</w:t>
      </w:r>
      <w:r>
        <w:rPr/>
        <w:t>、根据资产、负债的账面价值与其计税基础之间的差额（未作为资产和负债确认的项目按照税法规 </w:t>
      </w:r>
      <w:r>
        <w:rPr>
          <w:spacing w:val="-1"/>
        </w:rPr>
        <w:t>定可以确定其计税基础的，确定该计税基础为其差额），按照预期收回该资产或清偿该负债期间的适用税</w:t>
      </w:r>
      <w:r>
        <w:rPr>
          <w:spacing w:val="-94"/>
        </w:rPr>
        <w:t> </w:t>
      </w:r>
      <w:r>
        <w:rPr>
          <w:spacing w:val="-94"/>
        </w:rPr>
      </w:r>
      <w:r>
        <w:rPr/>
        <w:t>率计算确认递延所得税资产或递延所得税负债。</w:t>
      </w:r>
    </w:p>
    <w:p>
      <w:pPr>
        <w:pStyle w:val="BodyText"/>
        <w:spacing w:line="408" w:lineRule="auto"/>
        <w:ind w:left="1134" w:right="1131" w:firstLine="420"/>
        <w:jc w:val="both"/>
      </w:pPr>
      <w:r>
        <w:rPr>
          <w:rFonts w:ascii="宋体" w:hAnsi="宋体" w:cs="宋体" w:eastAsia="宋体" w:hint="default"/>
        </w:rPr>
        <w:t>2</w:t>
      </w:r>
      <w:r>
        <w:rPr/>
        <w:t>、递延所得税资产的确认以很可能取得用来抵扣可抵扣暂时性差异的应纳税所得额为限。资产负债 </w:t>
      </w:r>
      <w:r>
        <w:rPr>
          <w:spacing w:val="-1"/>
        </w:rPr>
        <w:t>表日，有确凿证据表明未来期间很可能获得足够的应纳税所得额用来抵扣可抵扣暂时性差异的，确认以前</w:t>
      </w:r>
      <w:r>
        <w:rPr>
          <w:spacing w:val="-81"/>
        </w:rPr>
        <w:t> </w:t>
      </w:r>
      <w:r>
        <w:rPr>
          <w:spacing w:val="-81"/>
        </w:rPr>
      </w:r>
      <w:r>
        <w:rPr>
          <w:spacing w:val="-1"/>
        </w:rPr>
        <w:t>会计期间未确认的递延所得税资产。如未来期间很可能无法获得足够的应纳税所得额用以抵扣递延所得税</w:t>
      </w:r>
      <w:r>
        <w:rPr>
          <w:spacing w:val="-81"/>
        </w:rPr>
        <w:t> </w:t>
      </w:r>
      <w:r>
        <w:rPr>
          <w:spacing w:val="-81"/>
        </w:rPr>
      </w:r>
      <w:r>
        <w:rPr/>
        <w:t>资产的，则减记递延所得税资产的账面价值。</w:t>
      </w:r>
    </w:p>
    <w:p>
      <w:pPr>
        <w:pStyle w:val="BodyText"/>
        <w:spacing w:line="408" w:lineRule="auto"/>
        <w:ind w:left="1134" w:right="1132" w:firstLine="420"/>
        <w:jc w:val="both"/>
      </w:pPr>
      <w:r>
        <w:rPr>
          <w:rFonts w:ascii="宋体" w:hAnsi="宋体" w:cs="宋体" w:eastAsia="宋体" w:hint="default"/>
        </w:rPr>
        <w:t>3</w:t>
      </w:r>
      <w:r>
        <w:rPr/>
        <w:t>、对与子公司及联营企业投资相关的应纳税暂时性差异，确认递延所得税负债，除非本公司能够控 </w:t>
      </w:r>
      <w:r>
        <w:rPr>
          <w:spacing w:val="-1"/>
        </w:rPr>
        <w:t>制暂时性差异转回的时间且该暂时性差异在可预见的未来很可能不会转回。对与子公司及联营企业投资相</w:t>
      </w:r>
      <w:r>
        <w:rPr>
          <w:spacing w:val="-81"/>
        </w:rPr>
        <w:t> </w:t>
      </w:r>
      <w:r>
        <w:rPr>
          <w:spacing w:val="-81"/>
        </w:rPr>
      </w:r>
      <w:r>
        <w:rPr>
          <w:spacing w:val="-1"/>
        </w:rPr>
        <w:t>关的可抵扣暂时性差异，当该暂时性差异在可预见的未来很可能转回且未来很可能获得用来抵扣可抵扣暂</w:t>
      </w:r>
      <w:r>
        <w:rPr>
          <w:spacing w:val="-81"/>
        </w:rPr>
        <w:t> </w:t>
      </w:r>
      <w:r>
        <w:rPr>
          <w:spacing w:val="-81"/>
        </w:rPr>
      </w:r>
      <w:r>
        <w:rPr/>
        <w:t>时性差异的应纳税所得额时，确认递延所得税资产。</w:t>
      </w:r>
    </w:p>
    <w:p>
      <w:pPr>
        <w:spacing w:line="240" w:lineRule="auto" w:before="8"/>
        <w:rPr>
          <w:rFonts w:ascii="宋体" w:hAnsi="宋体" w:cs="宋体" w:eastAsia="宋体" w:hint="default"/>
          <w:sz w:val="20"/>
          <w:szCs w:val="20"/>
        </w:rPr>
      </w:pPr>
    </w:p>
    <w:p>
      <w:pPr>
        <w:pStyle w:val="Heading4"/>
        <w:spacing w:line="240" w:lineRule="auto"/>
        <w:ind w:left="1134" w:right="0"/>
        <w:jc w:val="left"/>
        <w:rPr>
          <w:b w:val="0"/>
          <w:bCs w:val="0"/>
        </w:rPr>
      </w:pPr>
      <w:bookmarkStart w:name="28、租赁" w:id="208"/>
      <w:bookmarkEnd w:id="208"/>
      <w:r>
        <w:rPr>
          <w:b w:val="0"/>
          <w:bCs w:val="0"/>
        </w:rPr>
      </w:r>
      <w:r>
        <w:rPr>
          <w:rFonts w:ascii="Times New Roman" w:hAnsi="Times New Roman" w:cs="Times New Roman" w:eastAsia="Times New Roman" w:hint="default"/>
        </w:rPr>
        <w:t>28</w:t>
      </w:r>
      <w:r>
        <w:rPr/>
        <w:t>、租赁</w:t>
      </w:r>
      <w:r>
        <w:rPr>
          <w:b w:val="0"/>
          <w:bCs w:val="0"/>
        </w:rPr>
      </w:r>
    </w:p>
    <w:p>
      <w:pPr>
        <w:spacing w:line="240" w:lineRule="auto" w:before="8"/>
        <w:rPr>
          <w:rFonts w:ascii="宋体" w:hAnsi="宋体" w:cs="宋体" w:eastAsia="宋体" w:hint="default"/>
          <w:b/>
          <w:bCs/>
          <w:sz w:val="24"/>
          <w:szCs w:val="24"/>
        </w:rPr>
      </w:pPr>
    </w:p>
    <w:p>
      <w:pPr>
        <w:spacing w:line="568" w:lineRule="auto" w:before="0"/>
        <w:ind w:left="1554" w:right="3402" w:hanging="420"/>
        <w:jc w:val="left"/>
        <w:rPr>
          <w:rFonts w:ascii="宋体" w:hAnsi="宋体" w:cs="宋体" w:eastAsia="宋体" w:hint="default"/>
          <w:sz w:val="21"/>
          <w:szCs w:val="21"/>
        </w:rPr>
      </w:pPr>
      <w:bookmarkStart w:name="（1）经营租赁的会计处理方法" w:id="209"/>
      <w:bookmarkEnd w:id="20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b/>
          <w:bCs/>
          <w:w w:val="99"/>
          <w:sz w:val="21"/>
          <w:szCs w:val="21"/>
        </w:rPr>
        <w:t> </w:t>
      </w:r>
      <w:r>
        <w:rPr>
          <w:rFonts w:ascii="宋体" w:hAnsi="宋体" w:cs="宋体" w:eastAsia="宋体" w:hint="default"/>
          <w:sz w:val="21"/>
          <w:szCs w:val="21"/>
        </w:rPr>
        <w:t>经营租赁的租金支出在租赁期内按照直线法计入相关资产成本或当期损益。</w:t>
      </w:r>
    </w:p>
    <w:p>
      <w:pPr>
        <w:pStyle w:val="Heading4"/>
        <w:spacing w:line="240" w:lineRule="auto" w:before="128"/>
        <w:ind w:right="0"/>
        <w:jc w:val="left"/>
        <w:rPr>
          <w:b w:val="0"/>
          <w:bCs w:val="0"/>
        </w:rPr>
      </w:pPr>
      <w:bookmarkStart w:name="（2）融资租赁的会计处理方法" w:id="210"/>
      <w:bookmarkEnd w:id="210"/>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1131" w:firstLine="420"/>
        <w:jc w:val="both"/>
      </w:pPr>
      <w:r>
        <w:rPr>
          <w:spacing w:val="-1"/>
        </w:rPr>
        <w:t>以租赁资产的公允价值与最低租赁付款额的现值两者中较低者作为租入资产的入账价值，租入资产的</w:t>
      </w:r>
      <w:r>
        <w:rPr/>
        <w:t> </w:t>
      </w:r>
      <w:r>
        <w:rPr>
          <w:spacing w:val="-1"/>
        </w:rPr>
        <w:t>入账价值与最低租赁付款额之间的差额作为未确认融资费用，在租赁期内按实际利率法摊销。最低租赁付</w:t>
      </w:r>
      <w:r>
        <w:rPr>
          <w:spacing w:val="-81"/>
        </w:rPr>
        <w:t> </w:t>
      </w:r>
      <w:r>
        <w:rPr>
          <w:spacing w:val="-81"/>
        </w:rPr>
      </w:r>
      <w:r>
        <w:rPr/>
        <w:t>款额扣除未确认融资费用后的余额作为长期应付款列示。</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bookmarkStart w:name="29、重要会计政策和会计估计变更" w:id="211"/>
      <w:bookmarkEnd w:id="211"/>
      <w:r>
        <w:rPr>
          <w:b w:val="0"/>
          <w:bCs w:val="0"/>
        </w:rPr>
      </w:r>
      <w:r>
        <w:rPr>
          <w:rFonts w:ascii="Times New Roman" w:hAnsi="Times New Roman" w:cs="Times New Roman" w:eastAsia="Times New Roman" w:hint="default"/>
        </w:rPr>
        <w:t>29</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重要会计政策变更" w:id="212"/>
      <w:bookmarkEnd w:id="212"/>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1"/>
        <w:gridCol w:w="3190"/>
        <w:gridCol w:w="3189"/>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338"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96"/>
              <w:jc w:val="left"/>
              <w:rPr>
                <w:rFonts w:ascii="宋体" w:hAnsi="宋体" w:cs="宋体" w:eastAsia="宋体" w:hint="default"/>
                <w:sz w:val="18"/>
                <w:szCs w:val="18"/>
              </w:rPr>
            </w:pPr>
            <w:r>
              <w:rPr>
                <w:rFonts w:ascii="宋体" w:hAnsi="宋体" w:cs="宋体" w:eastAsia="宋体" w:hint="default"/>
                <w:sz w:val="18"/>
                <w:szCs w:val="18"/>
              </w:rPr>
              <w:t>与本公司日常活动相关的政府补助计入 其他收益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both"/>
              <w:rPr>
                <w:rFonts w:ascii="宋体" w:hAnsi="宋体" w:cs="宋体" w:eastAsia="宋体" w:hint="default"/>
                <w:sz w:val="18"/>
                <w:szCs w:val="18"/>
              </w:rPr>
            </w:pPr>
            <w:r>
              <w:rPr>
                <w:rFonts w:ascii="宋体" w:hAnsi="宋体" w:cs="宋体" w:eastAsia="宋体" w:hint="default"/>
                <w:sz w:val="18"/>
                <w:szCs w:val="18"/>
              </w:rPr>
              <w:t>本次变更已分别经公司第四届董事会第 八次会议及第四届监事会第三次会议审 议通过。根据相关规定，本次变更事项 无需提交股东大会审议。</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2" w:right="0"/>
              <w:jc w:val="left"/>
              <w:rPr>
                <w:rFonts w:ascii="宋体" w:hAnsi="宋体" w:cs="宋体" w:eastAsia="宋体" w:hint="default"/>
                <w:sz w:val="18"/>
                <w:szCs w:val="18"/>
              </w:rPr>
            </w:pPr>
            <w:r>
              <w:rPr>
                <w:rFonts w:ascii="宋体" w:hAnsi="宋体" w:cs="宋体" w:eastAsia="宋体" w:hint="default"/>
                <w:sz w:val="18"/>
                <w:szCs w:val="18"/>
              </w:rPr>
              <w:t>公司对</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日存在的政府补助</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采用未来适用法处理，将自</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p>
          <w:p>
            <w:pPr>
              <w:pStyle w:val="TableParagraph"/>
              <w:spacing w:line="300" w:lineRule="auto" w:before="63"/>
              <w:ind w:left="22" w:right="14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日起企业新增的与日常活动相关的政 府补助从营业外收入重分类至其他收</w:t>
            </w:r>
          </w:p>
        </w:tc>
      </w:tr>
    </w:tbl>
    <w:p>
      <w:pPr>
        <w:spacing w:after="0" w:line="30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91"/>
        <w:gridCol w:w="3190"/>
        <w:gridCol w:w="3189"/>
      </w:tblGrid>
      <w:tr>
        <w:trPr>
          <w:trHeight w:val="986" w:hRule="exact"/>
        </w:trPr>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2" w:right="20"/>
              <w:jc w:val="left"/>
              <w:rPr>
                <w:rFonts w:ascii="宋体" w:hAnsi="宋体" w:cs="宋体" w:eastAsia="宋体" w:hint="default"/>
                <w:sz w:val="18"/>
                <w:szCs w:val="18"/>
              </w:rPr>
            </w:pPr>
            <w:r>
              <w:rPr>
                <w:rFonts w:ascii="宋体" w:hAnsi="宋体" w:cs="宋体" w:eastAsia="宋体" w:hint="default"/>
                <w:spacing w:val="-4"/>
                <w:sz w:val="18"/>
                <w:szCs w:val="18"/>
              </w:rPr>
              <w:t>益。</w:t>
            </w:r>
            <w:r>
              <w:rPr>
                <w:rFonts w:ascii="Times New Roman" w:hAnsi="Times New Roman" w:cs="Times New Roman" w:eastAsia="Times New Roman" w:hint="default"/>
                <w:spacing w:val="-4"/>
                <w:sz w:val="18"/>
                <w:szCs w:val="18"/>
              </w:rPr>
              <w:t>2017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年财务报表累计影响为：</w:t>
            </w:r>
            <w:r>
              <w:rPr>
                <w:rFonts w:ascii="Times New Roman" w:hAnsi="Times New Roman" w:cs="Times New Roman" w:eastAsia="Times New Roman" w:hint="default"/>
                <w:sz w:val="18"/>
                <w:szCs w:val="18"/>
              </w:rPr>
              <w:t>"</w:t>
            </w:r>
            <w:r>
              <w:rPr>
                <w:rFonts w:ascii="宋体" w:hAnsi="宋体" w:cs="宋体" w:eastAsia="宋体" w:hint="default"/>
                <w:sz w:val="18"/>
                <w:szCs w:val="18"/>
              </w:rPr>
              <w:t>其他 收益</w:t>
            </w:r>
            <w:r>
              <w:rPr>
                <w:rFonts w:ascii="Times New Roman" w:hAnsi="Times New Roman" w:cs="Times New Roman" w:eastAsia="Times New Roman" w:hint="default"/>
                <w:sz w:val="18"/>
                <w:szCs w:val="18"/>
              </w:rPr>
              <w:t>"</w:t>
            </w:r>
            <w:r>
              <w:rPr>
                <w:rFonts w:ascii="宋体" w:hAnsi="宋体" w:cs="宋体" w:eastAsia="宋体" w:hint="default"/>
                <w:sz w:val="18"/>
                <w:szCs w:val="18"/>
              </w:rPr>
              <w:t>科目增加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62,450,161.88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营业</w:t>
            </w:r>
          </w:p>
          <w:p>
            <w:pPr>
              <w:pStyle w:val="TableParagraph"/>
              <w:spacing w:line="240" w:lineRule="auto" w:before="14"/>
              <w:ind w:left="22" w:right="0"/>
              <w:jc w:val="left"/>
              <w:rPr>
                <w:rFonts w:ascii="宋体" w:hAnsi="宋体" w:cs="宋体" w:eastAsia="宋体" w:hint="default"/>
                <w:sz w:val="18"/>
                <w:szCs w:val="18"/>
              </w:rPr>
            </w:pPr>
            <w:r>
              <w:rPr>
                <w:rFonts w:ascii="宋体" w:hAnsi="宋体" w:cs="宋体" w:eastAsia="宋体" w:hint="default"/>
                <w:sz w:val="18"/>
                <w:szCs w:val="18"/>
              </w:rPr>
              <w:t>外收入</w:t>
            </w:r>
            <w:r>
              <w:rPr>
                <w:rFonts w:ascii="Times New Roman" w:hAnsi="Times New Roman" w:cs="Times New Roman" w:eastAsia="Times New Roman" w:hint="default"/>
                <w:sz w:val="18"/>
                <w:szCs w:val="18"/>
              </w:rPr>
              <w:t>"</w:t>
            </w:r>
            <w:r>
              <w:rPr>
                <w:rFonts w:ascii="宋体" w:hAnsi="宋体" w:cs="宋体" w:eastAsia="宋体" w:hint="default"/>
                <w:sz w:val="18"/>
                <w:szCs w:val="18"/>
              </w:rPr>
              <w:t>科目减少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62,450,161.88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r>
        <w:trPr>
          <w:trHeight w:val="71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在利润表中分别列示持续经营损益和终 止经营损益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利润表列报项目调整，无需经过董事会 审批。</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对本期报表数字没有影响。</w:t>
            </w:r>
          </w:p>
        </w:tc>
      </w:tr>
      <w:tr>
        <w:trPr>
          <w:trHeight w:val="71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资产处置损益列报调整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利润表列报项目调整，无需经过董事会 审批。</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本期受影响的报表项目金额</w:t>
            </w:r>
            <w:r>
              <w:rPr>
                <w:rFonts w:ascii="Times New Roman" w:hAnsi="Times New Roman" w:cs="Times New Roman" w:eastAsia="Times New Roman" w:hint="default"/>
                <w:sz w:val="18"/>
                <w:szCs w:val="18"/>
              </w:rPr>
              <w:t>-455,564.93 </w:t>
            </w:r>
            <w:r>
              <w:rPr>
                <w:rFonts w:ascii="宋体" w:hAnsi="宋体" w:cs="宋体" w:eastAsia="宋体" w:hint="default"/>
                <w:sz w:val="18"/>
                <w:szCs w:val="18"/>
              </w:rPr>
              <w:t>元。</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重要会计估计变更" w:id="213"/>
      <w:bookmarkEnd w:id="213"/>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六、税项" w:id="214"/>
      <w:bookmarkEnd w:id="214"/>
      <w:r>
        <w:rPr>
          <w:b w:val="0"/>
          <w:bCs w:val="0"/>
        </w:rPr>
      </w:r>
      <w:r>
        <w:rPr/>
        <w:t>六、税项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主要税种及税率" w:id="215"/>
      <w:bookmarkEnd w:id="215"/>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销售货物或者提供应税劳务收入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或</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应交增值税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4" w:right="0"/>
              <w:jc w:val="left"/>
              <w:rPr>
                <w:rFonts w:ascii="宋体" w:hAnsi="宋体" w:cs="宋体" w:eastAsia="宋体" w:hint="default"/>
                <w:sz w:val="18"/>
                <w:szCs w:val="18"/>
              </w:rPr>
            </w:pPr>
            <w:r>
              <w:rPr>
                <w:rFonts w:ascii="宋体" w:hAnsi="宋体" w:cs="宋体" w:eastAsia="宋体" w:hint="default"/>
                <w:sz w:val="18"/>
                <w:szCs w:val="18"/>
              </w:rPr>
              <w:t>应交增值税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4" w:right="0"/>
              <w:jc w:val="left"/>
              <w:rPr>
                <w:rFonts w:ascii="宋体" w:hAnsi="宋体" w:cs="宋体" w:eastAsia="宋体" w:hint="default"/>
                <w:sz w:val="18"/>
                <w:szCs w:val="18"/>
              </w:rPr>
            </w:pPr>
            <w:r>
              <w:rPr>
                <w:rFonts w:ascii="宋体" w:hAnsi="宋体" w:cs="宋体" w:eastAsia="宋体" w:hint="default"/>
                <w:sz w:val="18"/>
                <w:szCs w:val="18"/>
              </w:rPr>
              <w:t>应交增值税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汉威科技</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炜盛科技</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汉威智慧安全</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上海英吉森</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沈阳金建</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鞍山易兴</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嘉园环保</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合肥嘉园</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12.50%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上海嘉园</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福安嘉园</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重庆嘉园</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光山嘉园</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雪城软件</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汉威智能仪表</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广东龙泉</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苏州能斯达</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沈阳汉威</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智威宇讯</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15.00%</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both"/>
        <w:rPr>
          <w:b w:val="0"/>
          <w:bCs w:val="0"/>
        </w:rPr>
      </w:pPr>
      <w:bookmarkStart w:name="2、税收优惠" w:id="216"/>
      <w:bookmarkEnd w:id="216"/>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1554" w:right="0"/>
        <w:jc w:val="left"/>
      </w:pPr>
      <w:r>
        <w:rPr>
          <w:rFonts w:ascii="宋体" w:hAnsi="宋体" w:cs="宋体" w:eastAsia="宋体" w:hint="default"/>
        </w:rPr>
        <w:t>1</w:t>
      </w:r>
      <w:r>
        <w:rPr/>
        <w:t>、所得税税收优惠 </w:t>
      </w:r>
      <w:r>
        <w:rPr>
          <w:spacing w:val="-6"/>
        </w:rPr>
        <w:t>本公司及子公司炜盛科技、汉威智慧安全、上海英吉森、沈阳金建、鞍山易兴、嘉园环保、上海嘉园、</w:t>
      </w:r>
    </w:p>
    <w:p>
      <w:pPr>
        <w:pStyle w:val="BodyText"/>
        <w:spacing w:line="408" w:lineRule="auto"/>
        <w:ind w:left="1134" w:right="1132"/>
        <w:jc w:val="both"/>
      </w:pPr>
      <w:r>
        <w:rPr>
          <w:spacing w:val="-1"/>
        </w:rPr>
        <w:t>雪城软件、汉威智能仪表、广东龙泉、苏州能斯达、沈阳汉威、智威宇讯经相关部门批复认定为高新技术</w:t>
      </w:r>
      <w:r>
        <w:rPr>
          <w:spacing w:val="-83"/>
        </w:rPr>
        <w:t> </w:t>
      </w:r>
      <w:r>
        <w:rPr>
          <w:spacing w:val="-83"/>
        </w:rPr>
      </w:r>
      <w:r>
        <w:rPr/>
        <w:t>企业，根据《中华人民共和国企业所得税法》及《关于高新技术企业 </w:t>
      </w:r>
      <w:r>
        <w:rPr>
          <w:rFonts w:ascii="宋体" w:hAnsi="宋体" w:cs="宋体" w:eastAsia="宋体" w:hint="default"/>
        </w:rPr>
        <w:t>2008</w:t>
      </w:r>
      <w:r>
        <w:rPr>
          <w:rFonts w:ascii="宋体" w:hAnsi="宋体" w:cs="宋体" w:eastAsia="宋体" w:hint="default"/>
          <w:spacing w:val="-24"/>
        </w:rPr>
        <w:t> </w:t>
      </w:r>
      <w:r>
        <w:rPr/>
        <w:t>年度缴纳企业所得税问题的通 </w:t>
      </w:r>
      <w:r>
        <w:rPr>
          <w:spacing w:val="-8"/>
        </w:rPr>
        <w:t>知》（国税（</w:t>
      </w:r>
      <w:r>
        <w:rPr>
          <w:rFonts w:ascii="宋体" w:hAnsi="宋体" w:cs="宋体" w:eastAsia="宋体" w:hint="default"/>
          <w:spacing w:val="-8"/>
        </w:rPr>
        <w:t>2008</w:t>
      </w:r>
      <w:r>
        <w:rPr>
          <w:spacing w:val="-8"/>
        </w:rPr>
        <w:t>）</w:t>
      </w:r>
      <w:r>
        <w:rPr>
          <w:rFonts w:ascii="宋体" w:hAnsi="宋体" w:cs="宋体" w:eastAsia="宋体" w:hint="default"/>
          <w:spacing w:val="-8"/>
        </w:rPr>
        <w:t>985</w:t>
      </w:r>
      <w:r>
        <w:rPr>
          <w:rFonts w:ascii="宋体" w:hAnsi="宋体" w:cs="宋体" w:eastAsia="宋体" w:hint="default"/>
        </w:rPr>
        <w:t> </w:t>
      </w:r>
      <w:r>
        <w:rPr>
          <w:spacing w:val="-1"/>
        </w:rPr>
        <w:t>号）有关规定，适用</w:t>
      </w:r>
      <w:r>
        <w:rPr>
          <w:spacing w:val="-82"/>
        </w:rPr>
        <w:t> </w:t>
      </w:r>
      <w:r>
        <w:rPr>
          <w:rFonts w:ascii="宋体" w:hAnsi="宋体" w:cs="宋体" w:eastAsia="宋体" w:hint="default"/>
          <w:spacing w:val="-1"/>
        </w:rPr>
        <w:t>15%</w:t>
      </w:r>
      <w:r>
        <w:rPr>
          <w:spacing w:val="-1"/>
        </w:rPr>
        <w:t>的所得税优惠税率。</w:t>
      </w:r>
    </w:p>
    <w:p>
      <w:pPr>
        <w:pStyle w:val="BodyText"/>
        <w:spacing w:line="408" w:lineRule="auto"/>
        <w:ind w:left="1134" w:right="0" w:firstLine="420"/>
        <w:jc w:val="left"/>
      </w:pPr>
      <w:r>
        <w:rPr>
          <w:spacing w:val="-6"/>
        </w:rPr>
        <w:t>合肥嘉园、福安嘉园、重庆嘉园、光山嘉园根据《中华人民共和国企业所得税法》第二十七条以及《中</w:t>
      </w:r>
      <w:r>
        <w:rPr/>
        <w:t> 华人民共和国企业所得税法实施条例》第八十八条的规定，享受企业所得税三免三减半税收优惠。</w:t>
      </w:r>
    </w:p>
    <w:p>
      <w:pPr>
        <w:pStyle w:val="BodyText"/>
        <w:spacing w:line="408" w:lineRule="auto"/>
        <w:ind w:left="1554" w:right="0"/>
        <w:jc w:val="left"/>
      </w:pPr>
      <w:r>
        <w:rPr>
          <w:rFonts w:ascii="宋体" w:hAnsi="宋体" w:cs="宋体" w:eastAsia="宋体" w:hint="default"/>
        </w:rPr>
        <w:t>2</w:t>
      </w:r>
      <w:r>
        <w:rPr/>
        <w:t>、增值税税收优惠 本公司及炜盛科技、汉威智慧安全、上海中威、福州丰泽、鞍山易兴、智能仪表根据“财税（</w:t>
      </w:r>
      <w:r>
        <w:rPr>
          <w:rFonts w:ascii="宋体" w:hAnsi="宋体" w:cs="宋体" w:eastAsia="宋体" w:hint="default"/>
        </w:rPr>
        <w:t>2011</w:t>
      </w:r>
      <w:r>
        <w:rPr/>
        <w:t>）</w:t>
      </w:r>
    </w:p>
    <w:p>
      <w:pPr>
        <w:pStyle w:val="BodyText"/>
        <w:spacing w:line="408" w:lineRule="auto"/>
        <w:ind w:right="1131"/>
        <w:jc w:val="both"/>
      </w:pPr>
      <w:r>
        <w:rPr>
          <w:rFonts w:ascii="宋体" w:hAnsi="宋体" w:cs="宋体" w:eastAsia="宋体" w:hint="default"/>
        </w:rPr>
        <w:t>100</w:t>
      </w:r>
      <w:r>
        <w:rPr>
          <w:rFonts w:ascii="宋体" w:hAnsi="宋体" w:cs="宋体" w:eastAsia="宋体" w:hint="default"/>
          <w:spacing w:val="-50"/>
        </w:rPr>
        <w:t> </w:t>
      </w:r>
      <w:r>
        <w:rPr>
          <w:spacing w:val="-3"/>
        </w:rPr>
        <w:t>号《财政部、国家税务总局关于软件产品增值税政策的通知》“的规定，自</w:t>
      </w:r>
      <w:r>
        <w:rPr>
          <w:spacing w:val="-50"/>
        </w:rPr>
        <w:t> </w:t>
      </w:r>
      <w:r>
        <w:rPr>
          <w:rFonts w:ascii="宋体" w:hAnsi="宋体" w:cs="宋体" w:eastAsia="宋体" w:hint="default"/>
        </w:rPr>
        <w:t>2011</w:t>
      </w:r>
      <w:r>
        <w:rPr>
          <w:rFonts w:ascii="宋体" w:hAnsi="宋体" w:cs="宋体" w:eastAsia="宋体" w:hint="default"/>
          <w:spacing w:val="-51"/>
        </w:rPr>
        <w:t> </w:t>
      </w:r>
      <w:r>
        <w:rPr/>
        <w:t>年</w:t>
      </w:r>
      <w:r>
        <w:rPr>
          <w:spacing w:val="-52"/>
        </w:rPr>
        <w:t> </w:t>
      </w:r>
      <w:r>
        <w:rPr>
          <w:rFonts w:ascii="宋体" w:hAnsi="宋体" w:cs="宋体" w:eastAsia="宋体" w:hint="default"/>
        </w:rPr>
        <w:t>1</w:t>
      </w:r>
      <w:r>
        <w:rPr>
          <w:rFonts w:ascii="宋体" w:hAnsi="宋体" w:cs="宋体" w:eastAsia="宋体" w:hint="default"/>
          <w:spacing w:val="-50"/>
        </w:rPr>
        <w:t> </w:t>
      </w:r>
      <w:r>
        <w:rPr/>
        <w:t>月</w:t>
      </w:r>
      <w:r>
        <w:rPr>
          <w:spacing w:val="-52"/>
        </w:rPr>
        <w:t> </w:t>
      </w:r>
      <w:r>
        <w:rPr>
          <w:rFonts w:ascii="宋体" w:hAnsi="宋体" w:cs="宋体" w:eastAsia="宋体" w:hint="default"/>
        </w:rPr>
        <w:t>1</w:t>
      </w:r>
      <w:r>
        <w:rPr>
          <w:rFonts w:ascii="宋体" w:hAnsi="宋体" w:cs="宋体" w:eastAsia="宋体" w:hint="default"/>
          <w:spacing w:val="-50"/>
        </w:rPr>
        <w:t> </w:t>
      </w:r>
      <w:r>
        <w:rPr/>
        <w:t>日起对增值 税一般纳税人销售其自行开发生产的软件产品，按</w:t>
      </w:r>
      <w:r>
        <w:rPr>
          <w:spacing w:val="-24"/>
        </w:rPr>
        <w:t> </w:t>
      </w:r>
      <w:r>
        <w:rPr>
          <w:rFonts w:ascii="宋体" w:hAnsi="宋体" w:cs="宋体" w:eastAsia="宋体" w:hint="default"/>
        </w:rPr>
        <w:t>17%</w:t>
      </w:r>
      <w:r>
        <w:rPr/>
        <w:t>的法定税率征收增值税后，对其增值税实际税负超 过</w:t>
      </w:r>
      <w:r>
        <w:rPr>
          <w:spacing w:val="-55"/>
        </w:rPr>
        <w:t> </w:t>
      </w:r>
      <w:r>
        <w:rPr>
          <w:rFonts w:ascii="宋体" w:hAnsi="宋体" w:cs="宋体" w:eastAsia="宋体" w:hint="default"/>
        </w:rPr>
        <w:t>3%</w:t>
      </w:r>
      <w:r>
        <w:rPr/>
        <w:t>的部分实行即征即退政策。</w:t>
      </w:r>
    </w:p>
    <w:p>
      <w:pPr>
        <w:pStyle w:val="BodyText"/>
        <w:spacing w:line="408" w:lineRule="auto"/>
        <w:ind w:right="1119" w:firstLine="420"/>
        <w:jc w:val="left"/>
      </w:pPr>
      <w:r>
        <w:rPr/>
        <w:t>东山嘉园根据“财税</w:t>
      </w:r>
      <w:r>
        <w:rPr>
          <w:rFonts w:ascii="宋体" w:hAnsi="宋体" w:cs="宋体" w:eastAsia="宋体" w:hint="default"/>
        </w:rPr>
        <w:t>[2015]78</w:t>
      </w:r>
      <w:r>
        <w:rPr>
          <w:rFonts w:ascii="宋体" w:hAnsi="宋体" w:cs="宋体" w:eastAsia="宋体" w:hint="default"/>
          <w:spacing w:val="-26"/>
        </w:rPr>
        <w:t> </w:t>
      </w:r>
      <w:r>
        <w:rPr/>
        <w:t>号</w:t>
      </w:r>
      <w:r>
        <w:rPr>
          <w:rFonts w:ascii="宋体" w:hAnsi="宋体" w:cs="宋体" w:eastAsia="宋体" w:hint="default"/>
        </w:rPr>
        <w:t>-</w:t>
      </w:r>
      <w:r>
        <w:rPr/>
        <w:t>关于印发《资源综合利用产品和劳务增值税优惠目录》的通知”的 规定，对污水处理劳务按照</w:t>
      </w:r>
      <w:r>
        <w:rPr>
          <w:spacing w:val="-54"/>
        </w:rPr>
        <w:t> </w:t>
      </w:r>
      <w:r>
        <w:rPr>
          <w:rFonts w:ascii="宋体" w:hAnsi="宋体" w:cs="宋体" w:eastAsia="宋体" w:hint="default"/>
        </w:rPr>
        <w:t>70%</w:t>
      </w:r>
      <w:r>
        <w:rPr/>
        <w:t>享受增值税即征即退政策。</w:t>
      </w:r>
    </w:p>
    <w:p>
      <w:pPr>
        <w:pStyle w:val="BodyText"/>
        <w:spacing w:line="408" w:lineRule="auto"/>
        <w:ind w:right="1119" w:firstLine="420"/>
        <w:jc w:val="left"/>
      </w:pPr>
      <w:r>
        <w:rPr/>
        <w:t>合肥嘉园、福安嘉园根据“财税</w:t>
      </w:r>
      <w:r>
        <w:rPr>
          <w:rFonts w:ascii="宋体" w:hAnsi="宋体" w:cs="宋体" w:eastAsia="宋体" w:hint="default"/>
        </w:rPr>
        <w:t>[2015]78</w:t>
      </w:r>
      <w:r>
        <w:rPr>
          <w:rFonts w:ascii="宋体" w:hAnsi="宋体" w:cs="宋体" w:eastAsia="宋体" w:hint="default"/>
          <w:spacing w:val="-26"/>
        </w:rPr>
        <w:t> </w:t>
      </w:r>
      <w:r>
        <w:rPr/>
        <w:t>号</w:t>
      </w:r>
      <w:r>
        <w:rPr>
          <w:rFonts w:ascii="宋体" w:hAnsi="宋体" w:cs="宋体" w:eastAsia="宋体" w:hint="default"/>
        </w:rPr>
        <w:t>-</w:t>
      </w:r>
      <w:r>
        <w:rPr/>
        <w:t>关于印发《资源综合利用产品和劳务增值税优惠目录》 的通知”的规定，对垃圾处理厂渗透（滤）液按照</w:t>
      </w:r>
      <w:r>
        <w:rPr>
          <w:spacing w:val="-55"/>
        </w:rPr>
        <w:t> </w:t>
      </w:r>
      <w:r>
        <w:rPr>
          <w:rFonts w:ascii="宋体" w:hAnsi="宋体" w:cs="宋体" w:eastAsia="宋体" w:hint="default"/>
        </w:rPr>
        <w:t>50%</w:t>
      </w:r>
      <w:r>
        <w:rPr/>
        <w:t>享受增值税即征即退政策。</w:t>
      </w:r>
    </w:p>
    <w:p>
      <w:pPr>
        <w:spacing w:line="240" w:lineRule="auto" w:before="11"/>
        <w:rPr>
          <w:rFonts w:ascii="宋体" w:hAnsi="宋体" w:cs="宋体" w:eastAsia="宋体" w:hint="default"/>
          <w:sz w:val="18"/>
          <w:szCs w:val="18"/>
        </w:rPr>
      </w:pPr>
    </w:p>
    <w:p>
      <w:pPr>
        <w:pStyle w:val="Heading2"/>
        <w:spacing w:line="240" w:lineRule="auto"/>
        <w:ind w:right="0"/>
        <w:jc w:val="both"/>
        <w:rPr>
          <w:b w:val="0"/>
          <w:bCs w:val="0"/>
        </w:rPr>
      </w:pPr>
      <w:bookmarkStart w:name="七、合并财务报表项目注释" w:id="217"/>
      <w:bookmarkEnd w:id="217"/>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货币资金" w:id="218"/>
      <w:bookmarkEnd w:id="218"/>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304,726.71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534,718.70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770,693,576.53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625,856,046.23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9,428,118.85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9,787,400.97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780,426,422.09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636,178,165.90</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12"/>
          <w:szCs w:val="12"/>
        </w:rPr>
      </w:pPr>
    </w:p>
    <w:p>
      <w:pPr>
        <w:pStyle w:val="BodyText"/>
        <w:spacing w:line="240" w:lineRule="auto" w:before="0"/>
        <w:ind w:left="0" w:right="1132"/>
        <w:jc w:val="right"/>
      </w:pPr>
      <w:r>
        <w:rPr/>
        <w:t>期末其他货币资金中汇票、保函、信用证保证金</w:t>
      </w:r>
      <w:r>
        <w:rPr>
          <w:spacing w:val="-33"/>
        </w:rPr>
        <w:t> </w:t>
      </w:r>
      <w:r>
        <w:rPr>
          <w:rFonts w:ascii="宋体" w:hAnsi="宋体" w:cs="宋体" w:eastAsia="宋体" w:hint="default"/>
        </w:rPr>
        <w:t>9,428,118.85</w:t>
      </w:r>
      <w:r>
        <w:rPr>
          <w:rFonts w:ascii="宋体" w:hAnsi="宋体" w:cs="宋体" w:eastAsia="宋体" w:hint="default"/>
          <w:spacing w:val="-33"/>
        </w:rPr>
        <w:t> </w:t>
      </w:r>
      <w:r>
        <w:rPr/>
        <w:t>元，其中将于</w:t>
      </w:r>
      <w:r>
        <w:rPr>
          <w:spacing w:val="-34"/>
        </w:rPr>
        <w:t> </w:t>
      </w:r>
      <w:r>
        <w:rPr>
          <w:rFonts w:ascii="宋体" w:hAnsi="宋体" w:cs="宋体" w:eastAsia="宋体" w:hint="default"/>
        </w:rPr>
        <w:t>3</w:t>
      </w:r>
      <w:r>
        <w:rPr>
          <w:rFonts w:ascii="宋体" w:hAnsi="宋体" w:cs="宋体" w:eastAsia="宋体" w:hint="default"/>
          <w:spacing w:val="-34"/>
        </w:rPr>
        <w:t> </w:t>
      </w:r>
      <w:r>
        <w:rPr/>
        <w:t>个月后到期的汇票、</w:t>
      </w:r>
    </w:p>
    <w:p>
      <w:pPr>
        <w:spacing w:line="240" w:lineRule="auto" w:before="10"/>
        <w:rPr>
          <w:rFonts w:ascii="宋体" w:hAnsi="宋体" w:cs="宋体" w:eastAsia="宋体" w:hint="default"/>
          <w:sz w:val="14"/>
          <w:szCs w:val="14"/>
        </w:rPr>
      </w:pPr>
    </w:p>
    <w:p>
      <w:pPr>
        <w:pStyle w:val="BodyText"/>
        <w:spacing w:line="240" w:lineRule="auto" w:before="0"/>
        <w:ind w:right="0"/>
        <w:jc w:val="left"/>
      </w:pPr>
      <w:r>
        <w:rPr/>
        <w:t>保函、信用证保证金</w:t>
      </w:r>
      <w:r>
        <w:rPr>
          <w:spacing w:val="-54"/>
        </w:rPr>
        <w:t> </w:t>
      </w:r>
      <w:r>
        <w:rPr>
          <w:rFonts w:ascii="宋体" w:hAnsi="宋体" w:cs="宋体" w:eastAsia="宋体" w:hint="default"/>
        </w:rPr>
        <w:t>9,418,906.35</w:t>
      </w:r>
      <w:r>
        <w:rPr>
          <w:rFonts w:ascii="宋体" w:hAnsi="宋体" w:cs="宋体" w:eastAsia="宋体" w:hint="default"/>
          <w:spacing w:val="-55"/>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4"/>
        <w:spacing w:line="240" w:lineRule="auto"/>
        <w:ind w:right="0"/>
        <w:jc w:val="left"/>
        <w:rPr>
          <w:b w:val="0"/>
          <w:bCs w:val="0"/>
        </w:rPr>
      </w:pPr>
      <w:bookmarkStart w:name="2、应收票据" w:id="219"/>
      <w:bookmarkEnd w:id="219"/>
      <w:r>
        <w:rPr>
          <w:b w:val="0"/>
          <w:bCs w:val="0"/>
        </w:rPr>
      </w:r>
      <w:r>
        <w:rPr>
          <w:rFonts w:ascii="Times New Roman" w:hAnsi="Times New Roman" w:cs="Times New Roman" w:eastAsia="Times New Roman" w:hint="default"/>
        </w:rPr>
        <w:t>2</w:t>
      </w:r>
      <w:r>
        <w:rPr/>
        <w:t>、应收票据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应收票据分类列示" w:id="220"/>
      <w:bookmarkEnd w:id="220"/>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15,969,530.50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14,705,572.81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23,735,140.18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3,196,500.00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8"/>
              <w:ind w:right="19"/>
              <w:jc w:val="right"/>
              <w:rPr>
                <w:rFonts w:ascii="Times New Roman" w:hAnsi="Times New Roman" w:cs="Times New Roman" w:eastAsia="Times New Roman" w:hint="default"/>
                <w:sz w:val="12"/>
                <w:szCs w:val="12"/>
              </w:rPr>
            </w:pPr>
            <w:r>
              <w:rPr>
                <w:rFonts w:ascii="Times New Roman"/>
                <w:spacing w:val="-1"/>
                <w:sz w:val="18"/>
              </w:rPr>
              <w:t>39,704,670.68</w:t>
            </w:r>
            <w:r>
              <w:rPr>
                <w:rFonts w:ascii="Times New Roman"/>
                <w:color w:val="FF0000"/>
                <w:spacing w:val="-1"/>
                <w:position w:val="8"/>
                <w:sz w:val="12"/>
              </w:rPr>
              <w:t>1</w:t>
            </w:r>
            <w:r>
              <w:rPr>
                <w:rFonts w:ascii="Times New Roman"/>
                <w:spacing w:val="-1"/>
                <w:sz w:val="12"/>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17,902,072.81</w:t>
            </w:r>
          </w:p>
        </w:tc>
      </w:tr>
    </w:tbl>
    <w:p>
      <w:pPr>
        <w:pStyle w:val="BodyText"/>
        <w:spacing w:line="240" w:lineRule="auto" w:before="63"/>
        <w:ind w:left="1554" w:right="0"/>
        <w:jc w:val="left"/>
      </w:pPr>
      <w:r>
        <w:rPr/>
        <w:t>注：</w:t>
      </w:r>
      <w:r>
        <w:rPr>
          <w:rFonts w:ascii="宋体" w:hAnsi="宋体" w:cs="宋体" w:eastAsia="宋体" w:hint="default"/>
        </w:rPr>
        <w:t>1 </w:t>
      </w:r>
      <w:r>
        <w:rPr/>
        <w:t>应收票据较期初增加</w:t>
      </w:r>
      <w:r>
        <w:rPr>
          <w:spacing w:val="-55"/>
        </w:rPr>
        <w:t> </w:t>
      </w:r>
      <w:r>
        <w:rPr>
          <w:rFonts w:ascii="宋体" w:hAnsi="宋体" w:cs="宋体" w:eastAsia="宋体" w:hint="default"/>
        </w:rPr>
        <w:t>121.79%</w:t>
      </w:r>
      <w:r>
        <w:rPr/>
        <w:t>，主要系公司业务增长所致。</w:t>
      </w:r>
    </w:p>
    <w:p>
      <w:pPr>
        <w:spacing w:line="240" w:lineRule="auto" w:before="0"/>
        <w:rPr>
          <w:rFonts w:ascii="宋体" w:hAnsi="宋体" w:cs="宋体" w:eastAsia="宋体" w:hint="default"/>
          <w:sz w:val="20"/>
          <w:szCs w:val="20"/>
        </w:rPr>
      </w:pPr>
    </w:p>
    <w:p>
      <w:pPr>
        <w:pStyle w:val="Heading4"/>
        <w:spacing w:line="240" w:lineRule="auto" w:before="154"/>
        <w:ind w:left="1134" w:right="0"/>
        <w:jc w:val="left"/>
        <w:rPr>
          <w:b w:val="0"/>
          <w:bCs w:val="0"/>
        </w:rPr>
      </w:pPr>
      <w:bookmarkStart w:name="（2）期末公司已背书或贴现且在资产负债表日尚未到期的应收票据" w:id="221"/>
      <w:bookmarkEnd w:id="221"/>
      <w:r>
        <w:rPr>
          <w:b w:val="0"/>
          <w:bCs w:val="0"/>
        </w:rPr>
      </w:r>
      <w:r>
        <w:rPr/>
        <w:t>（</w:t>
      </w:r>
      <w:r>
        <w:rPr>
          <w:rFonts w:ascii="Times New Roman" w:hAnsi="Times New Roman" w:cs="Times New Roman" w:eastAsia="Times New Roman" w:hint="default"/>
        </w:rPr>
        <w:t>2</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30,167,103.58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30,167,103.58</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3、应收账款" w:id="222"/>
      <w:bookmarkEnd w:id="222"/>
      <w:r>
        <w:rPr>
          <w:b w:val="0"/>
          <w:bCs w:val="0"/>
        </w:rPr>
      </w:r>
      <w:r>
        <w:rPr>
          <w:rFonts w:ascii="Times New Roman" w:hAnsi="Times New Roman" w:cs="Times New Roman" w:eastAsia="Times New Roman" w:hint="default"/>
        </w:rPr>
        <w:t>3</w:t>
      </w:r>
      <w:r>
        <w:rPr/>
        <w:t>、应收账款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1）应收账款分类披露" w:id="223"/>
      <w:bookmarkEnd w:id="223"/>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561,951,</w:t>
            </w:r>
          </w:p>
          <w:p>
            <w:pPr>
              <w:pStyle w:val="TableParagraph"/>
              <w:spacing w:line="240" w:lineRule="auto" w:before="106"/>
              <w:ind w:left="200" w:right="0"/>
              <w:jc w:val="center"/>
              <w:rPr>
                <w:rFonts w:ascii="Times New Roman" w:hAnsi="Times New Roman" w:cs="Times New Roman" w:eastAsia="Times New Roman" w:hint="default"/>
                <w:sz w:val="18"/>
                <w:szCs w:val="18"/>
              </w:rPr>
            </w:pPr>
            <w:r>
              <w:rPr>
                <w:rFonts w:ascii="Times New Roman"/>
                <w:sz w:val="18"/>
              </w:rPr>
              <w:t>239.43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99.65%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64,697,2</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47.37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11.51%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497,253,9</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92.06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446,670</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,775.03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99.56%</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51,705,11</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5.32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11.58%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394,965,65</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9.71</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1,974,20</w:t>
            </w:r>
          </w:p>
          <w:p>
            <w:pPr>
              <w:pStyle w:val="TableParagraph"/>
              <w:spacing w:line="240" w:lineRule="auto" w:before="106"/>
              <w:ind w:left="403"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1,801,40</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91.25%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172,800.0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1,974,2</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0.44%</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1,542,200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78.12%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432,000.00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563,925,</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439.43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66,498,6</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47.37</w:t>
            </w: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497,426,7</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92.06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448,644</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,975.03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53,247,31</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5.32</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395,397,65</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9.71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before="51"/>
        <w:ind w:left="113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38" w:lineRule="auto" w:before="117"/>
        <w:ind w:left="113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43"/>
        <w:ind w:left="113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 元</w:t>
      </w:r>
    </w:p>
    <w:p>
      <w:pPr>
        <w:spacing w:after="0"/>
        <w:jc w:val="center"/>
        <w:rPr>
          <w:rFonts w:ascii="宋体" w:hAnsi="宋体" w:cs="宋体" w:eastAsia="宋体" w:hint="default"/>
          <w:sz w:val="18"/>
          <w:szCs w:val="18"/>
        </w:rPr>
        <w:sectPr>
          <w:type w:val="continuous"/>
          <w:pgSz w:w="11910" w:h="16840"/>
          <w:pgMar w:top="1060" w:bottom="1160" w:left="0" w:right="0"/>
          <w:cols w:num="2" w:equalWidth="0">
            <w:col w:w="5275" w:space="3555"/>
            <w:col w:w="3080"/>
          </w:cols>
        </w:sectPr>
      </w:pP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381"/>
        <w:gridCol w:w="2393"/>
        <w:gridCol w:w="2392"/>
        <w:gridCol w:w="2392"/>
      </w:tblGrid>
      <w:tr>
        <w:trPr>
          <w:trHeight w:val="206" w:hRule="exact"/>
        </w:trPr>
        <w:tc>
          <w:tcPr>
            <w:tcW w:w="2381"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3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381"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419,400,397.52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20,970,019.86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60,522,420.53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6,052,242.06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32,066,216.67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6,413,243.34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49,962,204.71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31,261,742.11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13,659,685.71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4,097,905.71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18,277,365.20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9,138,682.60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18,025,153.80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18,025,153.80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561,951,239.43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64,697,247.37</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51"/>
        <w:ind w:left="1134" w:right="643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38" w:lineRule="auto" w:before="29"/>
        <w:ind w:left="113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bookmarkStart w:name="（2）本期计提、收回或转回的坏账准备情况" w:id="224"/>
      <w:bookmarkEnd w:id="224"/>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before="0"/>
        <w:ind w:left="1554" w:right="0"/>
        <w:jc w:val="left"/>
      </w:pPr>
      <w:r>
        <w:rPr/>
        <w:t>本期计提坏账准备金额</w:t>
      </w:r>
      <w:r>
        <w:rPr>
          <w:spacing w:val="-53"/>
        </w:rPr>
        <w:t> </w:t>
      </w:r>
      <w:r>
        <w:rPr>
          <w:rFonts w:ascii="宋体" w:hAnsi="宋体" w:cs="宋体" w:eastAsia="宋体" w:hint="default"/>
        </w:rPr>
        <w:t>14,363,795.86</w:t>
      </w:r>
      <w:r>
        <w:rPr>
          <w:rFonts w:ascii="宋体" w:hAnsi="宋体" w:cs="宋体" w:eastAsia="宋体" w:hint="default"/>
          <w:spacing w:val="-53"/>
        </w:rPr>
        <w:t> </w:t>
      </w:r>
      <w:r>
        <w:rPr/>
        <w:t>元；本期收回或转回坏账准备金额</w:t>
      </w:r>
      <w:r>
        <w:rPr>
          <w:spacing w:val="-53"/>
        </w:rPr>
        <w:t> </w:t>
      </w:r>
      <w:r>
        <w:rPr>
          <w:rFonts w:ascii="宋体" w:hAnsi="宋体" w:cs="宋体" w:eastAsia="宋体" w:hint="default"/>
        </w:rPr>
        <w:t>0.00</w:t>
      </w:r>
      <w:r>
        <w:rPr>
          <w:rFonts w:ascii="宋体" w:hAnsi="宋体" w:cs="宋体" w:eastAsia="宋体" w:hint="default"/>
          <w:spacing w:val="-54"/>
        </w:rPr>
        <w:t> </w:t>
      </w:r>
      <w:r>
        <w:rPr/>
        <w:t>元。</w:t>
      </w:r>
    </w:p>
    <w:p>
      <w:pPr>
        <w:spacing w:line="240" w:lineRule="auto" w:before="0"/>
        <w:rPr>
          <w:rFonts w:ascii="宋体" w:hAnsi="宋体" w:cs="宋体" w:eastAsia="宋体" w:hint="default"/>
          <w:sz w:val="20"/>
          <w:szCs w:val="20"/>
        </w:rPr>
      </w:pPr>
    </w:p>
    <w:p>
      <w:pPr>
        <w:pStyle w:val="Heading4"/>
        <w:spacing w:line="240" w:lineRule="auto" w:before="154"/>
        <w:ind w:right="0"/>
        <w:jc w:val="left"/>
        <w:rPr>
          <w:b w:val="0"/>
          <w:bCs w:val="0"/>
        </w:rPr>
      </w:pPr>
      <w:bookmarkStart w:name="（3）本期实际核销的应收账款情况" w:id="225"/>
      <w:bookmarkEnd w:id="225"/>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1"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应收账款合计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户</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1,112,463.81</w:t>
            </w:r>
          </w:p>
        </w:tc>
      </w:tr>
    </w:tbl>
    <w:p>
      <w:pPr>
        <w:spacing w:line="240" w:lineRule="auto" w:before="5"/>
        <w:rPr>
          <w:rFonts w:ascii="宋体" w:hAnsi="宋体" w:cs="宋体" w:eastAsia="宋体" w:hint="default"/>
          <w:sz w:val="27"/>
          <w:szCs w:val="27"/>
        </w:rPr>
      </w:pPr>
    </w:p>
    <w:p>
      <w:pPr>
        <w:spacing w:before="44"/>
        <w:ind w:left="1133" w:right="0"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240" w:lineRule="auto" w:before="12"/>
        <w:rPr>
          <w:rFonts w:ascii="宋体" w:hAnsi="宋体" w:cs="宋体" w:eastAsia="宋体" w:hint="default"/>
          <w:sz w:val="12"/>
          <w:szCs w:val="12"/>
        </w:rPr>
      </w:pPr>
    </w:p>
    <w:p>
      <w:pPr>
        <w:pStyle w:val="BodyText"/>
        <w:spacing w:line="240" w:lineRule="auto" w:before="0"/>
        <w:ind w:left="1553" w:right="0"/>
        <w:jc w:val="left"/>
      </w:pPr>
      <w:r>
        <w:rPr/>
        <w:t>由于货款的结算尾款无法收回，由管理层审批核销。</w:t>
      </w:r>
    </w:p>
    <w:p>
      <w:pPr>
        <w:spacing w:after="0" w:line="240" w:lineRule="auto"/>
        <w:jc w:val="left"/>
        <w:sectPr>
          <w:type w:val="continuous"/>
          <w:pgSz w:w="11910" w:h="16840"/>
          <w:pgMar w:top="1060" w:bottom="1160" w:left="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4）按欠款方归集的期末余额前五名的应收账款情况" w:id="226"/>
      <w:bookmarkEnd w:id="226"/>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8"/>
        <w:rPr>
          <w:rFonts w:ascii="宋体" w:hAnsi="宋体" w:cs="宋体" w:eastAsia="宋体" w:hint="default"/>
          <w:b/>
          <w:bCs/>
          <w:sz w:val="26"/>
          <w:szCs w:val="26"/>
        </w:rPr>
      </w:pPr>
    </w:p>
    <w:p>
      <w:pPr>
        <w:spacing w:line="357" w:lineRule="auto" w:before="0"/>
        <w:ind w:left="1133" w:right="7693"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tbl>
      <w:tblPr>
        <w:tblW w:w="0" w:type="auto"/>
        <w:jc w:val="left"/>
        <w:tblInd w:w="1113" w:type="dxa"/>
        <w:tblLayout w:type="fixed"/>
        <w:tblCellMar>
          <w:top w:w="0" w:type="dxa"/>
          <w:left w:w="0" w:type="dxa"/>
          <w:bottom w:w="0" w:type="dxa"/>
          <w:right w:w="0" w:type="dxa"/>
        </w:tblCellMar>
        <w:tblLook w:val="01E0"/>
      </w:tblPr>
      <w:tblGrid>
        <w:gridCol w:w="2835"/>
        <w:gridCol w:w="2830"/>
        <w:gridCol w:w="2474"/>
        <w:gridCol w:w="1531"/>
      </w:tblGrid>
      <w:tr>
        <w:trPr>
          <w:trHeight w:val="351" w:hRule="exact"/>
        </w:trPr>
        <w:tc>
          <w:tcPr>
            <w:tcW w:w="2835"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83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7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c>
          <w:tcPr>
            <w:tcW w:w="1531"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20"/>
              <w:ind w:left="8" w:right="0"/>
              <w:jc w:val="center"/>
              <w:rPr>
                <w:rFonts w:ascii="宋体" w:hAnsi="宋体" w:cs="宋体" w:eastAsia="宋体" w:hint="default"/>
                <w:sz w:val="18"/>
                <w:szCs w:val="18"/>
              </w:rPr>
            </w:pPr>
            <w:r>
              <w:rPr>
                <w:rFonts w:ascii="宋体" w:hAnsi="宋体" w:cs="宋体" w:eastAsia="宋体" w:hint="default"/>
                <w:sz w:val="18"/>
                <w:szCs w:val="18"/>
              </w:rPr>
              <w:t>坏账准备余额</w:t>
            </w:r>
          </w:p>
        </w:tc>
      </w:tr>
      <w:tr>
        <w:trPr>
          <w:trHeight w:val="342" w:hRule="exact"/>
        </w:trPr>
        <w:tc>
          <w:tcPr>
            <w:tcW w:w="283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郑州市公安局交通警察支队</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19,485,524.31</w:t>
            </w:r>
          </w:p>
        </w:tc>
        <w:tc>
          <w:tcPr>
            <w:tcW w:w="2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3.46</w:t>
            </w:r>
          </w:p>
        </w:tc>
        <w:tc>
          <w:tcPr>
            <w:tcW w:w="15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1"/>
              <w:ind w:left="10" w:right="0"/>
              <w:jc w:val="center"/>
              <w:rPr>
                <w:rFonts w:ascii="Times New Roman" w:hAnsi="Times New Roman" w:cs="Times New Roman" w:eastAsia="Times New Roman" w:hint="default"/>
                <w:sz w:val="18"/>
                <w:szCs w:val="18"/>
              </w:rPr>
            </w:pPr>
            <w:r>
              <w:rPr>
                <w:rFonts w:ascii="Times New Roman"/>
                <w:sz w:val="18"/>
              </w:rPr>
              <w:t>996,223.63</w:t>
            </w:r>
          </w:p>
        </w:tc>
      </w:tr>
      <w:tr>
        <w:trPr>
          <w:trHeight w:val="342" w:hRule="exact"/>
        </w:trPr>
        <w:tc>
          <w:tcPr>
            <w:tcW w:w="283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郑州朗格置业有限公司</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18,524,030.01</w:t>
            </w:r>
          </w:p>
        </w:tc>
        <w:tc>
          <w:tcPr>
            <w:tcW w:w="2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3.28</w:t>
            </w:r>
          </w:p>
        </w:tc>
        <w:tc>
          <w:tcPr>
            <w:tcW w:w="15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1"/>
              <w:ind w:left="10" w:right="0"/>
              <w:jc w:val="center"/>
              <w:rPr>
                <w:rFonts w:ascii="Times New Roman" w:hAnsi="Times New Roman" w:cs="Times New Roman" w:eastAsia="Times New Roman" w:hint="default"/>
                <w:sz w:val="18"/>
                <w:szCs w:val="18"/>
              </w:rPr>
            </w:pPr>
            <w:r>
              <w:rPr>
                <w:rFonts w:ascii="Times New Roman"/>
                <w:sz w:val="18"/>
              </w:rPr>
              <w:t>926,201.50</w:t>
            </w:r>
          </w:p>
        </w:tc>
      </w:tr>
      <w:tr>
        <w:trPr>
          <w:trHeight w:val="342" w:hRule="exact"/>
        </w:trPr>
        <w:tc>
          <w:tcPr>
            <w:tcW w:w="283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北京久安建设投资集团有限公司</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11,465,012.25</w:t>
            </w:r>
          </w:p>
        </w:tc>
        <w:tc>
          <w:tcPr>
            <w:tcW w:w="2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2.03</w:t>
            </w:r>
          </w:p>
        </w:tc>
        <w:tc>
          <w:tcPr>
            <w:tcW w:w="15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1"/>
              <w:ind w:left="10" w:right="0"/>
              <w:jc w:val="center"/>
              <w:rPr>
                <w:rFonts w:ascii="Times New Roman" w:hAnsi="Times New Roman" w:cs="Times New Roman" w:eastAsia="Times New Roman" w:hint="default"/>
                <w:sz w:val="18"/>
                <w:szCs w:val="18"/>
              </w:rPr>
            </w:pPr>
            <w:r>
              <w:rPr>
                <w:rFonts w:ascii="Times New Roman"/>
                <w:sz w:val="18"/>
              </w:rPr>
              <w:t>573,250.61</w:t>
            </w:r>
          </w:p>
        </w:tc>
      </w:tr>
      <w:tr>
        <w:trPr>
          <w:trHeight w:val="342" w:hRule="exact"/>
        </w:trPr>
        <w:tc>
          <w:tcPr>
            <w:tcW w:w="283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山东真旺包装材料有限公司</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10,750,000.00</w:t>
            </w:r>
          </w:p>
        </w:tc>
        <w:tc>
          <w:tcPr>
            <w:tcW w:w="2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1.91</w:t>
            </w:r>
          </w:p>
        </w:tc>
        <w:tc>
          <w:tcPr>
            <w:tcW w:w="15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1"/>
              <w:ind w:left="10" w:right="0"/>
              <w:jc w:val="center"/>
              <w:rPr>
                <w:rFonts w:ascii="Times New Roman" w:hAnsi="Times New Roman" w:cs="Times New Roman" w:eastAsia="Times New Roman" w:hint="default"/>
                <w:sz w:val="18"/>
                <w:szCs w:val="18"/>
              </w:rPr>
            </w:pPr>
            <w:r>
              <w:rPr>
                <w:rFonts w:ascii="Times New Roman"/>
                <w:sz w:val="18"/>
              </w:rPr>
              <w:t>537,500.00</w:t>
            </w:r>
          </w:p>
        </w:tc>
      </w:tr>
      <w:tr>
        <w:trPr>
          <w:trHeight w:val="342" w:hRule="exact"/>
        </w:trPr>
        <w:tc>
          <w:tcPr>
            <w:tcW w:w="283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沈阳市城乡建设委员会</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10,150,000.00</w:t>
            </w:r>
          </w:p>
        </w:tc>
        <w:tc>
          <w:tcPr>
            <w:tcW w:w="2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1.80</w:t>
            </w:r>
          </w:p>
        </w:tc>
        <w:tc>
          <w:tcPr>
            <w:tcW w:w="15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1"/>
              <w:ind w:left="10" w:right="0"/>
              <w:jc w:val="center"/>
              <w:rPr>
                <w:rFonts w:ascii="Times New Roman" w:hAnsi="Times New Roman" w:cs="Times New Roman" w:eastAsia="Times New Roman" w:hint="default"/>
                <w:sz w:val="18"/>
                <w:szCs w:val="18"/>
              </w:rPr>
            </w:pPr>
            <w:r>
              <w:rPr>
                <w:rFonts w:ascii="Times New Roman"/>
                <w:sz w:val="18"/>
              </w:rPr>
              <w:t>507,500.00</w:t>
            </w:r>
          </w:p>
        </w:tc>
      </w:tr>
      <w:tr>
        <w:trPr>
          <w:trHeight w:val="352" w:hRule="exact"/>
        </w:trPr>
        <w:tc>
          <w:tcPr>
            <w:tcW w:w="2835"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8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70,374,566.57</w:t>
            </w:r>
          </w:p>
        </w:tc>
        <w:tc>
          <w:tcPr>
            <w:tcW w:w="24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12.48</w:t>
            </w:r>
          </w:p>
        </w:tc>
        <w:tc>
          <w:tcPr>
            <w:tcW w:w="153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61"/>
              <w:ind w:left="10" w:right="0"/>
              <w:jc w:val="center"/>
              <w:rPr>
                <w:rFonts w:ascii="Times New Roman" w:hAnsi="Times New Roman" w:cs="Times New Roman" w:eastAsia="Times New Roman" w:hint="default"/>
                <w:sz w:val="18"/>
                <w:szCs w:val="18"/>
              </w:rPr>
            </w:pPr>
            <w:r>
              <w:rPr>
                <w:rFonts w:ascii="Times New Roman"/>
                <w:sz w:val="18"/>
              </w:rPr>
              <w:t>3,540,675.74</w:t>
            </w:r>
          </w:p>
        </w:tc>
      </w:tr>
    </w:tbl>
    <w:p>
      <w:pPr>
        <w:spacing w:line="240" w:lineRule="auto" w:before="7"/>
        <w:rPr>
          <w:rFonts w:ascii="宋体" w:hAnsi="宋体" w:cs="宋体" w:eastAsia="宋体" w:hint="default"/>
          <w:sz w:val="20"/>
          <w:szCs w:val="20"/>
        </w:rPr>
      </w:pPr>
    </w:p>
    <w:p>
      <w:pPr>
        <w:pStyle w:val="Heading4"/>
        <w:spacing w:line="240" w:lineRule="auto" w:before="35"/>
        <w:ind w:left="1134" w:right="0"/>
        <w:jc w:val="left"/>
        <w:rPr>
          <w:b w:val="0"/>
          <w:bCs w:val="0"/>
        </w:rPr>
      </w:pPr>
      <w:bookmarkStart w:name="4、预付款项" w:id="227"/>
      <w:bookmarkEnd w:id="227"/>
      <w:r>
        <w:rPr>
          <w:b w:val="0"/>
          <w:bCs w:val="0"/>
        </w:rPr>
      </w:r>
      <w:r>
        <w:rPr>
          <w:rFonts w:ascii="Times New Roman" w:hAnsi="Times New Roman" w:cs="Times New Roman" w:eastAsia="Times New Roman" w:hint="default"/>
        </w:rPr>
        <w:t>4</w:t>
      </w:r>
      <w:r>
        <w:rPr/>
        <w:t>、预付款项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1）预付款项按账龄列示" w:id="228"/>
      <w:bookmarkEnd w:id="228"/>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46,755,623.74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30,632,524.44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85.90%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1,638,510.39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1,890,232.64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555,140.84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547,262.19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2,635,132.79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5.11%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2,591,164.24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51,584,407.76</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35,661,183.51</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w:t>
      </w:r>
    </w:p>
    <w:p>
      <w:pPr>
        <w:spacing w:line="240" w:lineRule="auto" w:before="10"/>
        <w:rPr>
          <w:rFonts w:ascii="宋体" w:hAnsi="宋体" w:cs="宋体" w:eastAsia="宋体" w:hint="default"/>
          <w:sz w:val="25"/>
          <w:szCs w:val="25"/>
        </w:rPr>
      </w:pPr>
    </w:p>
    <w:p>
      <w:pPr>
        <w:pStyle w:val="Heading4"/>
        <w:spacing w:line="240" w:lineRule="auto"/>
        <w:ind w:left="1134" w:right="0"/>
        <w:jc w:val="left"/>
        <w:rPr>
          <w:b w:val="0"/>
          <w:bCs w:val="0"/>
        </w:rPr>
      </w:pPr>
      <w:bookmarkStart w:name="（2）按预付对象归集的期末余额前五名的预付款情况" w:id="229"/>
      <w:bookmarkEnd w:id="229"/>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13" w:type="dxa"/>
        <w:tblLayout w:type="fixed"/>
        <w:tblCellMar>
          <w:top w:w="0" w:type="dxa"/>
          <w:left w:w="0" w:type="dxa"/>
          <w:bottom w:w="0" w:type="dxa"/>
          <w:right w:w="0" w:type="dxa"/>
        </w:tblCellMar>
        <w:tblLook w:val="01E0"/>
      </w:tblPr>
      <w:tblGrid>
        <w:gridCol w:w="4209"/>
        <w:gridCol w:w="2671"/>
        <w:gridCol w:w="2790"/>
      </w:tblGrid>
      <w:tr>
        <w:trPr>
          <w:trHeight w:val="351" w:hRule="exact"/>
        </w:trPr>
        <w:tc>
          <w:tcPr>
            <w:tcW w:w="4209"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67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90"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20"/>
              <w:ind w:left="8"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占预付款项总额的比例</w:t>
            </w:r>
            <w:r>
              <w:rPr>
                <w:rFonts w:ascii="Times New Roman" w:hAnsi="Times New Roman" w:cs="Times New Roman" w:eastAsia="Times New Roman" w:hint="default"/>
                <w:sz w:val="18"/>
                <w:szCs w:val="18"/>
              </w:rPr>
              <w:t>(%)</w:t>
            </w:r>
          </w:p>
        </w:tc>
      </w:tr>
      <w:tr>
        <w:trPr>
          <w:trHeight w:val="342" w:hRule="exact"/>
        </w:trPr>
        <w:tc>
          <w:tcPr>
            <w:tcW w:w="420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郑州泰祥热电股份有限公司</w:t>
            </w:r>
          </w:p>
        </w:tc>
        <w:tc>
          <w:tcPr>
            <w:tcW w:w="2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812"/>
              <w:jc w:val="right"/>
              <w:rPr>
                <w:rFonts w:ascii="Times New Roman" w:hAnsi="Times New Roman" w:cs="Times New Roman" w:eastAsia="Times New Roman" w:hint="default"/>
                <w:sz w:val="18"/>
                <w:szCs w:val="18"/>
              </w:rPr>
            </w:pPr>
            <w:r>
              <w:rPr>
                <w:rFonts w:ascii="Times New Roman"/>
                <w:spacing w:val="-1"/>
                <w:sz w:val="18"/>
              </w:rPr>
              <w:t>17,187,976.00</w:t>
            </w:r>
          </w:p>
        </w:tc>
        <w:tc>
          <w:tcPr>
            <w:tcW w:w="279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1"/>
              <w:ind w:left="9" w:right="0"/>
              <w:jc w:val="center"/>
              <w:rPr>
                <w:rFonts w:ascii="Times New Roman" w:hAnsi="Times New Roman" w:cs="Times New Roman" w:eastAsia="Times New Roman" w:hint="default"/>
                <w:sz w:val="18"/>
                <w:szCs w:val="18"/>
              </w:rPr>
            </w:pPr>
            <w:r>
              <w:rPr>
                <w:rFonts w:ascii="Times New Roman"/>
                <w:sz w:val="18"/>
              </w:rPr>
              <w:t>33.32</w:t>
            </w:r>
          </w:p>
        </w:tc>
      </w:tr>
      <w:tr>
        <w:trPr>
          <w:trHeight w:val="342" w:hRule="exact"/>
        </w:trPr>
        <w:tc>
          <w:tcPr>
            <w:tcW w:w="420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河南中兆建筑工程有限公司</w:t>
            </w:r>
          </w:p>
        </w:tc>
        <w:tc>
          <w:tcPr>
            <w:tcW w:w="2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856"/>
              <w:jc w:val="right"/>
              <w:rPr>
                <w:rFonts w:ascii="Times New Roman" w:hAnsi="Times New Roman" w:cs="Times New Roman" w:eastAsia="Times New Roman" w:hint="default"/>
                <w:sz w:val="18"/>
                <w:szCs w:val="18"/>
              </w:rPr>
            </w:pPr>
            <w:r>
              <w:rPr>
                <w:rFonts w:ascii="Times New Roman"/>
                <w:spacing w:val="-1"/>
                <w:sz w:val="18"/>
              </w:rPr>
              <w:t>1,940,000.00</w:t>
            </w:r>
          </w:p>
        </w:tc>
        <w:tc>
          <w:tcPr>
            <w:tcW w:w="279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1"/>
              <w:ind w:left="10" w:right="0"/>
              <w:jc w:val="center"/>
              <w:rPr>
                <w:rFonts w:ascii="Times New Roman" w:hAnsi="Times New Roman" w:cs="Times New Roman" w:eastAsia="Times New Roman" w:hint="default"/>
                <w:sz w:val="18"/>
                <w:szCs w:val="18"/>
              </w:rPr>
            </w:pPr>
            <w:r>
              <w:rPr>
                <w:rFonts w:ascii="Times New Roman"/>
                <w:sz w:val="18"/>
              </w:rPr>
              <w:t>3.76</w:t>
            </w:r>
          </w:p>
        </w:tc>
      </w:tr>
      <w:tr>
        <w:trPr>
          <w:trHeight w:val="342" w:hRule="exact"/>
        </w:trPr>
        <w:tc>
          <w:tcPr>
            <w:tcW w:w="420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河南省鑫属实业有限公司</w:t>
            </w:r>
          </w:p>
        </w:tc>
        <w:tc>
          <w:tcPr>
            <w:tcW w:w="2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856"/>
              <w:jc w:val="right"/>
              <w:rPr>
                <w:rFonts w:ascii="Times New Roman" w:hAnsi="Times New Roman" w:cs="Times New Roman" w:eastAsia="Times New Roman" w:hint="default"/>
                <w:sz w:val="18"/>
                <w:szCs w:val="18"/>
              </w:rPr>
            </w:pPr>
            <w:r>
              <w:rPr>
                <w:rFonts w:ascii="Times New Roman"/>
                <w:spacing w:val="-1"/>
                <w:sz w:val="18"/>
              </w:rPr>
              <w:t>1,040,000.00</w:t>
            </w:r>
          </w:p>
        </w:tc>
        <w:tc>
          <w:tcPr>
            <w:tcW w:w="279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1"/>
              <w:ind w:left="10" w:right="0"/>
              <w:jc w:val="center"/>
              <w:rPr>
                <w:rFonts w:ascii="Times New Roman" w:hAnsi="Times New Roman" w:cs="Times New Roman" w:eastAsia="Times New Roman" w:hint="default"/>
                <w:sz w:val="18"/>
                <w:szCs w:val="18"/>
              </w:rPr>
            </w:pPr>
            <w:r>
              <w:rPr>
                <w:rFonts w:ascii="Times New Roman"/>
                <w:sz w:val="18"/>
              </w:rPr>
              <w:t>2.02</w:t>
            </w:r>
          </w:p>
        </w:tc>
      </w:tr>
      <w:tr>
        <w:trPr>
          <w:trHeight w:val="342" w:hRule="exact"/>
        </w:trPr>
        <w:tc>
          <w:tcPr>
            <w:tcW w:w="420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深圳恒通源水处理科技有限公司</w:t>
            </w:r>
          </w:p>
        </w:tc>
        <w:tc>
          <w:tcPr>
            <w:tcW w:w="2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856"/>
              <w:jc w:val="right"/>
              <w:rPr>
                <w:rFonts w:ascii="Times New Roman" w:hAnsi="Times New Roman" w:cs="Times New Roman" w:eastAsia="Times New Roman" w:hint="default"/>
                <w:sz w:val="18"/>
                <w:szCs w:val="18"/>
              </w:rPr>
            </w:pPr>
            <w:r>
              <w:rPr>
                <w:rFonts w:ascii="Times New Roman"/>
                <w:spacing w:val="-1"/>
                <w:sz w:val="18"/>
              </w:rPr>
              <w:t>1,000,000.00</w:t>
            </w:r>
          </w:p>
        </w:tc>
        <w:tc>
          <w:tcPr>
            <w:tcW w:w="279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1"/>
              <w:ind w:left="10" w:right="0"/>
              <w:jc w:val="center"/>
              <w:rPr>
                <w:rFonts w:ascii="Times New Roman" w:hAnsi="Times New Roman" w:cs="Times New Roman" w:eastAsia="Times New Roman" w:hint="default"/>
                <w:sz w:val="18"/>
                <w:szCs w:val="18"/>
              </w:rPr>
            </w:pPr>
            <w:r>
              <w:rPr>
                <w:rFonts w:ascii="Times New Roman"/>
                <w:sz w:val="18"/>
              </w:rPr>
              <w:t>1.94</w:t>
            </w:r>
          </w:p>
        </w:tc>
      </w:tr>
      <w:tr>
        <w:trPr>
          <w:trHeight w:val="342" w:hRule="exact"/>
        </w:trPr>
        <w:tc>
          <w:tcPr>
            <w:tcW w:w="420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昆明铂生金属材料加工有限公司</w:t>
            </w:r>
          </w:p>
        </w:tc>
        <w:tc>
          <w:tcPr>
            <w:tcW w:w="2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964,800.00</w:t>
            </w:r>
          </w:p>
        </w:tc>
        <w:tc>
          <w:tcPr>
            <w:tcW w:w="279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1"/>
              <w:ind w:left="10" w:right="0"/>
              <w:jc w:val="center"/>
              <w:rPr>
                <w:rFonts w:ascii="Times New Roman" w:hAnsi="Times New Roman" w:cs="Times New Roman" w:eastAsia="Times New Roman" w:hint="default"/>
                <w:sz w:val="18"/>
                <w:szCs w:val="18"/>
              </w:rPr>
            </w:pPr>
            <w:r>
              <w:rPr>
                <w:rFonts w:ascii="Times New Roman"/>
                <w:sz w:val="18"/>
              </w:rPr>
              <w:t>1.87</w:t>
            </w:r>
          </w:p>
        </w:tc>
      </w:tr>
      <w:tr>
        <w:trPr>
          <w:trHeight w:val="352" w:hRule="exact"/>
        </w:trPr>
        <w:tc>
          <w:tcPr>
            <w:tcW w:w="4209"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67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1"/>
              <w:ind w:right="812"/>
              <w:jc w:val="right"/>
              <w:rPr>
                <w:rFonts w:ascii="Times New Roman" w:hAnsi="Times New Roman" w:cs="Times New Roman" w:eastAsia="Times New Roman" w:hint="default"/>
                <w:sz w:val="18"/>
                <w:szCs w:val="18"/>
              </w:rPr>
            </w:pPr>
            <w:r>
              <w:rPr>
                <w:rFonts w:ascii="Times New Roman"/>
                <w:spacing w:val="-1"/>
                <w:sz w:val="18"/>
              </w:rPr>
              <w:t>22,132,776.00</w:t>
            </w:r>
          </w:p>
        </w:tc>
        <w:tc>
          <w:tcPr>
            <w:tcW w:w="279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61"/>
              <w:ind w:left="9" w:right="0"/>
              <w:jc w:val="center"/>
              <w:rPr>
                <w:rFonts w:ascii="Times New Roman" w:hAnsi="Times New Roman" w:cs="Times New Roman" w:eastAsia="Times New Roman" w:hint="default"/>
                <w:sz w:val="18"/>
                <w:szCs w:val="18"/>
              </w:rPr>
            </w:pPr>
            <w:r>
              <w:rPr>
                <w:rFonts w:ascii="Times New Roman"/>
                <w:sz w:val="18"/>
              </w:rPr>
              <w:t>42.91</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12"/>
          <w:szCs w:val="12"/>
        </w:rPr>
      </w:pPr>
    </w:p>
    <w:p>
      <w:pPr>
        <w:pStyle w:val="BodyText"/>
        <w:spacing w:line="240" w:lineRule="auto" w:before="0"/>
        <w:ind w:left="1554" w:right="0"/>
        <w:jc w:val="left"/>
      </w:pPr>
      <w:r>
        <w:rPr/>
        <w:t>预付账款较期初增加</w:t>
      </w:r>
      <w:r>
        <w:rPr>
          <w:spacing w:val="-54"/>
        </w:rPr>
        <w:t> </w:t>
      </w:r>
      <w:r>
        <w:rPr>
          <w:rFonts w:ascii="宋体" w:hAnsi="宋体" w:cs="宋体" w:eastAsia="宋体" w:hint="default"/>
        </w:rPr>
        <w:t>44.65%</w:t>
      </w:r>
      <w:r>
        <w:rPr/>
        <w:t>，主要系预付的环保工程款和长期资产购置款增加所致。</w:t>
      </w:r>
    </w:p>
    <w:p>
      <w:pPr>
        <w:spacing w:after="0" w:line="240"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5、应收利息" w:id="230"/>
      <w:bookmarkEnd w:id="230"/>
      <w:r>
        <w:rPr>
          <w:b w:val="0"/>
          <w:bCs w:val="0"/>
        </w:rPr>
      </w:r>
      <w:r>
        <w:rPr>
          <w:rFonts w:ascii="Times New Roman" w:hAnsi="Times New Roman" w:cs="Times New Roman" w:eastAsia="Times New Roman" w:hint="default"/>
        </w:rPr>
        <w:t>5</w:t>
      </w:r>
      <w:r>
        <w:rPr/>
        <w:t>、应收利息</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应收利息分类" w:id="231"/>
      <w:bookmarkEnd w:id="231"/>
      <w:r>
        <w:rPr>
          <w:b w:val="0"/>
          <w:bCs w:val="0"/>
        </w:rPr>
      </w:r>
      <w:r>
        <w:rPr/>
        <w:t>（</w:t>
      </w:r>
      <w:r>
        <w:rPr>
          <w:rFonts w:ascii="Times New Roman" w:hAnsi="Times New Roman" w:cs="Times New Roman" w:eastAsia="Times New Roman" w:hint="default"/>
        </w:rPr>
        <w:t>1</w:t>
      </w:r>
      <w:r>
        <w:rPr/>
        <w:t>）应收利息分类</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3"/>
        <w:gridCol w:w="318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03"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38,750.00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38,750.00</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6、其他应收款" w:id="232"/>
      <w:bookmarkEnd w:id="232"/>
      <w:r>
        <w:rPr>
          <w:b w:val="0"/>
          <w:bCs w:val="0"/>
        </w:rPr>
      </w:r>
      <w:r>
        <w:rPr>
          <w:rFonts w:ascii="Times New Roman" w:hAnsi="Times New Roman" w:cs="Times New Roman" w:eastAsia="Times New Roman" w:hint="default"/>
        </w:rPr>
        <w:t>6</w:t>
      </w:r>
      <w:r>
        <w:rPr/>
        <w:t>、其他应收款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1）其他应收款分类披露" w:id="233"/>
      <w:bookmarkEnd w:id="233"/>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623"/>
        <w:gridCol w:w="775"/>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64,222,8</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87.05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99.07%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3,838,47</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1.09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60,384,41</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5.96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69,014,</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081.67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97.42%</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3,169,876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65,844,205.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46</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0.93%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600,000.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2" w:right="0"/>
              <w:jc w:val="lef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1,829,8</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18.00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2.58%</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32.79%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1,229,818.0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162"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2"/>
              <w:ind w:left="105" w:right="0"/>
              <w:jc w:val="left"/>
              <w:rPr>
                <w:rFonts w:ascii="Times New Roman" w:hAnsi="Times New Roman" w:cs="Times New Roman" w:eastAsia="Times New Roman" w:hint="default"/>
                <w:sz w:val="18"/>
                <w:szCs w:val="18"/>
              </w:rPr>
            </w:pPr>
            <w:r>
              <w:rPr>
                <w:rFonts w:ascii="Times New Roman"/>
                <w:sz w:val="18"/>
              </w:rPr>
              <w:t>64,822,8</w:t>
            </w:r>
          </w:p>
          <w:p>
            <w:pPr>
              <w:pStyle w:val="TableParagraph"/>
              <w:spacing w:line="240" w:lineRule="auto" w:before="105"/>
              <w:ind w:left="330" w:right="0"/>
              <w:jc w:val="left"/>
              <w:rPr>
                <w:rFonts w:ascii="Times New Roman" w:hAnsi="Times New Roman" w:cs="Times New Roman" w:eastAsia="Times New Roman" w:hint="default"/>
                <w:sz w:val="18"/>
                <w:szCs w:val="18"/>
              </w:rPr>
            </w:pPr>
            <w:r>
              <w:rPr>
                <w:rFonts w:ascii="Times New Roman"/>
                <w:sz w:val="18"/>
              </w:rPr>
              <w:t>87.05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4,438,47</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1.09</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60,384,41</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5.96</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80" w:right="0"/>
              <w:jc w:val="left"/>
              <w:rPr>
                <w:rFonts w:ascii="Times New Roman" w:hAnsi="Times New Roman" w:cs="Times New Roman" w:eastAsia="Times New Roman" w:hint="default"/>
                <w:sz w:val="18"/>
                <w:szCs w:val="18"/>
              </w:rPr>
            </w:pPr>
            <w:r>
              <w:rPr>
                <w:rFonts w:ascii="Times New Roman"/>
                <w:sz w:val="18"/>
              </w:rPr>
              <w:t>70,843,</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899.67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3,769,876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.21</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67,074,023.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46</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before="51"/>
        <w:ind w:left="113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40" w:lineRule="auto" w:before="116"/>
        <w:ind w:left="113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before="40"/>
        <w:ind w:left="113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 元</w:t>
      </w:r>
    </w:p>
    <w:p>
      <w:pPr>
        <w:spacing w:after="0"/>
        <w:jc w:val="center"/>
        <w:rPr>
          <w:rFonts w:ascii="宋体" w:hAnsi="宋体" w:cs="宋体" w:eastAsia="宋体" w:hint="default"/>
          <w:sz w:val="18"/>
          <w:szCs w:val="18"/>
        </w:rPr>
        <w:sectPr>
          <w:type w:val="continuous"/>
          <w:pgSz w:w="11910" w:h="16840"/>
          <w:pgMar w:top="1060" w:bottom="1160" w:left="0" w:right="0"/>
          <w:cols w:num="2" w:equalWidth="0">
            <w:col w:w="5455" w:space="3375"/>
            <w:col w:w="3080"/>
          </w:cols>
        </w:sectPr>
      </w:pP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380"/>
        <w:gridCol w:w="2393"/>
        <w:gridCol w:w="2392"/>
        <w:gridCol w:w="2392"/>
      </w:tblGrid>
      <w:tr>
        <w:trPr>
          <w:trHeight w:val="205" w:hRule="exact"/>
        </w:trPr>
        <w:tc>
          <w:tcPr>
            <w:tcW w:w="2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80"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24,954,019.39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1,247,639.36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5,609,571.66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560,957.18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1,170,588.34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234,117.67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2,792,835.44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1,795,756.88</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391"/>
        <w:gridCol w:w="2394"/>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896,077.00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268,823.10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739,649.33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369,824.67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1,157,109.11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1,157,109.11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34,527,014.83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3,838,471.09</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51"/>
        <w:ind w:left="1134" w:right="625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40" w:lineRule="auto" w:before="26"/>
        <w:ind w:left="113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75"/>
        <w:ind w:left="1553" w:right="0"/>
        <w:jc w:val="left"/>
      </w:pPr>
      <w:r>
        <w:rPr/>
        <w:t>采用个别认定法计提坏账准备的其他应收款</w:t>
      </w:r>
    </w:p>
    <w:p>
      <w:pPr>
        <w:spacing w:line="240" w:lineRule="auto" w:before="2"/>
        <w:rPr>
          <w:rFonts w:ascii="宋体" w:hAnsi="宋体" w:cs="宋体" w:eastAsia="宋体" w:hint="default"/>
          <w:sz w:val="13"/>
          <w:szCs w:val="13"/>
        </w:rPr>
      </w:pPr>
    </w:p>
    <w:tbl>
      <w:tblPr>
        <w:tblW w:w="0" w:type="auto"/>
        <w:jc w:val="left"/>
        <w:tblInd w:w="1113" w:type="dxa"/>
        <w:tblLayout w:type="fixed"/>
        <w:tblCellMar>
          <w:top w:w="0" w:type="dxa"/>
          <w:left w:w="0" w:type="dxa"/>
          <w:bottom w:w="0" w:type="dxa"/>
          <w:right w:w="0" w:type="dxa"/>
        </w:tblCellMar>
        <w:tblLook w:val="01E0"/>
      </w:tblPr>
      <w:tblGrid>
        <w:gridCol w:w="1667"/>
        <w:gridCol w:w="1441"/>
        <w:gridCol w:w="1258"/>
        <w:gridCol w:w="1256"/>
        <w:gridCol w:w="1733"/>
        <w:gridCol w:w="1193"/>
        <w:gridCol w:w="1121"/>
      </w:tblGrid>
      <w:tr>
        <w:trPr>
          <w:trHeight w:val="352" w:hRule="exact"/>
        </w:trPr>
        <w:tc>
          <w:tcPr>
            <w:tcW w:w="1667" w:type="dxa"/>
            <w:vMerge w:val="restart"/>
            <w:tcBorders>
              <w:top w:val="single" w:sz="12" w:space="0" w:color="000000"/>
              <w:left w:val="single" w:sz="12" w:space="0" w:color="000000"/>
              <w:right w:val="single" w:sz="4" w:space="0" w:color="000000"/>
            </w:tcBorders>
          </w:tcPr>
          <w:p>
            <w:pPr>
              <w:pStyle w:val="TableParagraph"/>
              <w:spacing w:line="240" w:lineRule="auto" w:before="5"/>
              <w:ind w:left="422" w:right="0"/>
              <w:jc w:val="left"/>
              <w:rPr>
                <w:rFonts w:ascii="宋体" w:hAnsi="宋体" w:cs="宋体" w:eastAsia="宋体" w:hint="default"/>
                <w:sz w:val="20"/>
                <w:szCs w:val="20"/>
              </w:rPr>
            </w:pPr>
            <w:r>
              <w:rPr>
                <w:rFonts w:ascii="宋体" w:hAnsi="宋体" w:cs="宋体" w:eastAsia="宋体" w:hint="default"/>
                <w:sz w:val="20"/>
                <w:szCs w:val="20"/>
              </w:rPr>
              <w:t>组合名称</w:t>
            </w:r>
          </w:p>
        </w:tc>
        <w:tc>
          <w:tcPr>
            <w:tcW w:w="3956"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期末数</w:t>
            </w:r>
          </w:p>
        </w:tc>
        <w:tc>
          <w:tcPr>
            <w:tcW w:w="4047" w:type="dxa"/>
            <w:gridSpan w:val="3"/>
            <w:tcBorders>
              <w:top w:val="single" w:sz="12" w:space="0" w:color="000000"/>
              <w:left w:val="single" w:sz="4" w:space="0" w:color="000000"/>
              <w:bottom w:val="single" w:sz="4" w:space="0" w:color="000000"/>
              <w:right w:val="single" w:sz="12" w:space="0" w:color="000000"/>
            </w:tcBorders>
          </w:tcPr>
          <w:p>
            <w:pPr>
              <w:pStyle w:val="TableParagraph"/>
              <w:spacing w:line="240" w:lineRule="auto" w:before="5"/>
              <w:ind w:left="11" w:right="0"/>
              <w:jc w:val="center"/>
              <w:rPr>
                <w:rFonts w:ascii="宋体" w:hAnsi="宋体" w:cs="宋体" w:eastAsia="宋体" w:hint="default"/>
                <w:sz w:val="20"/>
                <w:szCs w:val="20"/>
              </w:rPr>
            </w:pPr>
            <w:r>
              <w:rPr>
                <w:rFonts w:ascii="宋体" w:hAnsi="宋体" w:cs="宋体" w:eastAsia="宋体" w:hint="default"/>
                <w:sz w:val="20"/>
                <w:szCs w:val="20"/>
              </w:rPr>
              <w:t>期初数</w:t>
            </w:r>
          </w:p>
        </w:tc>
      </w:tr>
      <w:tr>
        <w:trPr>
          <w:trHeight w:val="342" w:hRule="exact"/>
        </w:trPr>
        <w:tc>
          <w:tcPr>
            <w:tcW w:w="1667" w:type="dxa"/>
            <w:vMerge/>
            <w:tcBorders>
              <w:left w:val="single" w:sz="12"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20"/>
                <w:szCs w:val="20"/>
              </w:rPr>
            </w:pPr>
            <w:r>
              <w:rPr>
                <w:rFonts w:ascii="宋体" w:hAnsi="宋体" w:cs="宋体" w:eastAsia="宋体" w:hint="default"/>
                <w:sz w:val="20"/>
                <w:szCs w:val="20"/>
              </w:rPr>
              <w:t>账面余额</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Times New Roman" w:hAnsi="Times New Roman" w:cs="Times New Roman" w:eastAsia="Times New Roman" w:hint="default"/>
                <w:sz w:val="18"/>
                <w:szCs w:val="18"/>
              </w:rPr>
            </w:pPr>
            <w:r>
              <w:rPr>
                <w:rFonts w:ascii="宋体" w:hAnsi="宋体" w:cs="宋体" w:eastAsia="宋体" w:hint="default"/>
                <w:sz w:val="20"/>
                <w:szCs w:val="20"/>
              </w:rPr>
              <w:t>计提比例</w:t>
            </w:r>
            <w:r>
              <w:rPr>
                <w:rFonts w:ascii="Times New Roman" w:hAnsi="Times New Roman" w:cs="Times New Roman" w:eastAsia="Times New Roman" w:hint="default"/>
                <w:sz w:val="18"/>
                <w:szCs w:val="18"/>
              </w:rPr>
              <w:t>(%)</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20"/>
                <w:szCs w:val="20"/>
              </w:rPr>
            </w:pPr>
            <w:r>
              <w:rPr>
                <w:rFonts w:ascii="宋体" w:hAnsi="宋体" w:cs="宋体" w:eastAsia="宋体" w:hint="default"/>
                <w:sz w:val="20"/>
                <w:szCs w:val="20"/>
              </w:rPr>
              <w:t>坏账准备</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账面余额</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Times New Roman" w:hAnsi="Times New Roman" w:cs="Times New Roman" w:eastAsia="Times New Roman" w:hint="default"/>
                <w:sz w:val="18"/>
                <w:szCs w:val="18"/>
              </w:rPr>
            </w:pPr>
            <w:r>
              <w:rPr>
                <w:rFonts w:ascii="宋体" w:hAnsi="宋体" w:cs="宋体" w:eastAsia="宋体" w:hint="default"/>
                <w:sz w:val="20"/>
                <w:szCs w:val="20"/>
              </w:rPr>
              <w:t>计提比例</w:t>
            </w:r>
            <w:r>
              <w:rPr>
                <w:rFonts w:ascii="Times New Roman" w:hAnsi="Times New Roman" w:cs="Times New Roman" w:eastAsia="Times New Roman" w:hint="default"/>
                <w:sz w:val="18"/>
                <w:szCs w:val="18"/>
              </w:rPr>
              <w:t>(%)</w:t>
            </w:r>
          </w:p>
        </w:tc>
        <w:tc>
          <w:tcPr>
            <w:tcW w:w="112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
              <w:ind w:left="155" w:right="0"/>
              <w:jc w:val="left"/>
              <w:rPr>
                <w:rFonts w:ascii="宋体" w:hAnsi="宋体" w:cs="宋体" w:eastAsia="宋体" w:hint="default"/>
                <w:sz w:val="20"/>
                <w:szCs w:val="20"/>
              </w:rPr>
            </w:pPr>
            <w:r>
              <w:rPr>
                <w:rFonts w:ascii="宋体" w:hAnsi="宋体" w:cs="宋体" w:eastAsia="宋体" w:hint="default"/>
                <w:sz w:val="20"/>
                <w:szCs w:val="20"/>
              </w:rPr>
              <w:t>坏账准备</w:t>
            </w:r>
          </w:p>
        </w:tc>
      </w:tr>
      <w:tr>
        <w:trPr>
          <w:trHeight w:val="342" w:hRule="exact"/>
        </w:trPr>
        <w:tc>
          <w:tcPr>
            <w:tcW w:w="166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1"/>
              <w:ind w:right="24"/>
              <w:jc w:val="center"/>
              <w:rPr>
                <w:rFonts w:ascii="宋体" w:hAnsi="宋体" w:cs="宋体" w:eastAsia="宋体" w:hint="default"/>
                <w:sz w:val="18"/>
                <w:szCs w:val="18"/>
              </w:rPr>
            </w:pPr>
            <w:r>
              <w:rPr>
                <w:rFonts w:ascii="宋体" w:hAnsi="宋体" w:cs="宋体" w:eastAsia="宋体" w:hint="default"/>
                <w:sz w:val="18"/>
                <w:szCs w:val="18"/>
              </w:rPr>
              <w:t>划分为低分险的款项</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29,695,872.22</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w w:val="100"/>
                <w:sz w:val="20"/>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w w:val="100"/>
                <w:sz w:val="20"/>
              </w:rPr>
              <w:t>0</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41,123,169.36</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w w:val="100"/>
                <w:sz w:val="20"/>
              </w:rPr>
              <w:t>0</w:t>
            </w:r>
          </w:p>
        </w:tc>
        <w:tc>
          <w:tcPr>
            <w:tcW w:w="112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1"/>
              <w:ind w:left="728" w:right="0"/>
              <w:jc w:val="left"/>
              <w:rPr>
                <w:rFonts w:ascii="Times New Roman" w:hAnsi="Times New Roman" w:cs="Times New Roman" w:eastAsia="Times New Roman" w:hint="default"/>
                <w:sz w:val="18"/>
                <w:szCs w:val="18"/>
              </w:rPr>
            </w:pPr>
            <w:r>
              <w:rPr>
                <w:rFonts w:ascii="Times New Roman"/>
                <w:sz w:val="18"/>
              </w:rPr>
              <w:t>0</w:t>
            </w:r>
          </w:p>
        </w:tc>
      </w:tr>
      <w:tr>
        <w:trPr>
          <w:trHeight w:val="352" w:hRule="exact"/>
        </w:trPr>
        <w:tc>
          <w:tcPr>
            <w:tcW w:w="1667"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144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29,695,872.22</w:t>
            </w:r>
          </w:p>
        </w:tc>
        <w:tc>
          <w:tcPr>
            <w:tcW w:w="12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2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73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41,123,169.36</w:t>
            </w:r>
          </w:p>
        </w:tc>
        <w:tc>
          <w:tcPr>
            <w:tcW w:w="11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12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61"/>
              <w:ind w:left="44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pStyle w:val="BodyText"/>
        <w:spacing w:line="240" w:lineRule="auto" w:before="63"/>
        <w:ind w:left="1554" w:right="0"/>
        <w:jc w:val="left"/>
        <w:rPr>
          <w:rFonts w:ascii="宋体" w:hAnsi="宋体" w:cs="宋体" w:eastAsia="宋体" w:hint="default"/>
        </w:rPr>
      </w:pPr>
      <w:r>
        <w:rPr/>
        <w:t>注：期末划分为低风险的款项主要系重组事项或有对价补偿款，坏账准备计提比例为</w:t>
      </w:r>
      <w:r>
        <w:rPr>
          <w:spacing w:val="-51"/>
        </w:rPr>
        <w:t> </w:t>
      </w:r>
      <w:r>
        <w:rPr>
          <w:rFonts w:ascii="宋体" w:hAnsi="宋体" w:cs="宋体" w:eastAsia="宋体" w:hint="default"/>
        </w:rPr>
        <w:t>0.00%</w:t>
      </w:r>
    </w:p>
    <w:p>
      <w:pPr>
        <w:spacing w:line="240" w:lineRule="auto" w:before="0"/>
        <w:rPr>
          <w:rFonts w:ascii="宋体" w:hAnsi="宋体" w:cs="宋体" w:eastAsia="宋体" w:hint="default"/>
          <w:sz w:val="20"/>
          <w:szCs w:val="20"/>
        </w:rPr>
      </w:pPr>
    </w:p>
    <w:p>
      <w:pPr>
        <w:pStyle w:val="Heading4"/>
        <w:spacing w:line="240" w:lineRule="auto" w:before="154"/>
        <w:ind w:right="0"/>
        <w:jc w:val="left"/>
        <w:rPr>
          <w:b w:val="0"/>
          <w:bCs w:val="0"/>
        </w:rPr>
      </w:pPr>
      <w:bookmarkStart w:name="（2）本期计提、收回或转回的坏账准备情况" w:id="234"/>
      <w:bookmarkEnd w:id="234"/>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7"/>
        <w:rPr>
          <w:rFonts w:ascii="宋体" w:hAnsi="宋体" w:cs="宋体" w:eastAsia="宋体" w:hint="default"/>
          <w:b/>
          <w:bCs/>
          <w:sz w:val="30"/>
          <w:szCs w:val="30"/>
        </w:rPr>
      </w:pPr>
    </w:p>
    <w:p>
      <w:pPr>
        <w:pStyle w:val="BodyText"/>
        <w:spacing w:line="240" w:lineRule="auto" w:before="0"/>
        <w:ind w:left="1554" w:right="0"/>
        <w:jc w:val="left"/>
      </w:pPr>
      <w:r>
        <w:rPr/>
        <w:t>本期计提坏账准备金额</w:t>
      </w:r>
      <w:r>
        <w:rPr>
          <w:spacing w:val="-53"/>
        </w:rPr>
        <w:t> </w:t>
      </w:r>
      <w:r>
        <w:rPr>
          <w:rFonts w:ascii="宋体" w:hAnsi="宋体" w:cs="宋体" w:eastAsia="宋体" w:hint="default"/>
        </w:rPr>
        <w:t>698,594.88</w:t>
      </w:r>
      <w:r>
        <w:rPr>
          <w:rFonts w:ascii="宋体" w:hAnsi="宋体" w:cs="宋体" w:eastAsia="宋体" w:hint="default"/>
          <w:spacing w:val="-54"/>
        </w:rPr>
        <w:t> </w:t>
      </w:r>
      <w:r>
        <w:rPr/>
        <w:t>元；本期收回或转回坏账准备金额</w:t>
      </w:r>
      <w:r>
        <w:rPr>
          <w:spacing w:val="-53"/>
        </w:rPr>
        <w:t> </w:t>
      </w:r>
      <w:r>
        <w:rPr>
          <w:rFonts w:ascii="宋体" w:hAnsi="宋体" w:cs="宋体" w:eastAsia="宋体" w:hint="default"/>
        </w:rPr>
        <w:t>0.00</w:t>
      </w:r>
      <w:r>
        <w:rPr>
          <w:rFonts w:ascii="宋体" w:hAnsi="宋体" w:cs="宋体" w:eastAsia="宋体" w:hint="default"/>
          <w:spacing w:val="-53"/>
        </w:rPr>
        <w:t> </w:t>
      </w:r>
      <w:r>
        <w:rPr/>
        <w:t>元。</w:t>
      </w:r>
    </w:p>
    <w:p>
      <w:pPr>
        <w:spacing w:line="240" w:lineRule="auto" w:before="0"/>
        <w:rPr>
          <w:rFonts w:ascii="宋体" w:hAnsi="宋体" w:cs="宋体" w:eastAsia="宋体" w:hint="default"/>
          <w:sz w:val="20"/>
          <w:szCs w:val="20"/>
        </w:rPr>
      </w:pPr>
    </w:p>
    <w:p>
      <w:pPr>
        <w:pStyle w:val="Heading4"/>
        <w:spacing w:line="240" w:lineRule="auto" w:before="155"/>
        <w:ind w:left="1134" w:right="0"/>
        <w:jc w:val="left"/>
        <w:rPr>
          <w:b w:val="0"/>
          <w:bCs w:val="0"/>
        </w:rPr>
      </w:pPr>
      <w:bookmarkStart w:name="（3）其他应收款按款项性质分类情况" w:id="235"/>
      <w:bookmarkEnd w:id="235"/>
      <w:r>
        <w:rPr>
          <w:b w:val="0"/>
          <w:bCs w:val="0"/>
        </w:rPr>
      </w: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21,254,906.58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19,475,092.68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5,053,733.88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3,577,547.76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补偿款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28,605,872.22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41,123,169.36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代垫款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1,907,174.90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272,230.39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7,001,199.47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4,395,859.48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64,822,887.05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70,843,899.67</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4）按欠款方归集的期末余额前五名的其他应收款情况" w:id="236"/>
      <w:bookmarkEnd w:id="236"/>
      <w:r>
        <w:rPr>
          <w:b w:val="0"/>
          <w:bCs w:val="0"/>
        </w:rPr>
      </w: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268"/>
        <w:gridCol w:w="994"/>
        <w:gridCol w:w="1134"/>
        <w:gridCol w:w="850"/>
        <w:gridCol w:w="2693"/>
        <w:gridCol w:w="1628"/>
      </w:tblGrid>
      <w:tr>
        <w:trPr>
          <w:trHeight w:val="714"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61" w:right="81" w:hanging="1080"/>
              <w:jc w:val="left"/>
              <w:rPr>
                <w:rFonts w:ascii="宋体" w:hAnsi="宋体" w:cs="宋体" w:eastAsia="宋体" w:hint="default"/>
                <w:sz w:val="18"/>
                <w:szCs w:val="18"/>
              </w:rPr>
            </w:pPr>
            <w:r>
              <w:rPr>
                <w:rFonts w:ascii="宋体" w:hAnsi="宋体" w:cs="宋体" w:eastAsia="宋体" w:hint="default"/>
                <w:sz w:val="18"/>
                <w:szCs w:val="18"/>
              </w:rPr>
              <w:t>占其他应收款期末余额合计数的 比例</w:t>
            </w: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8"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268"/>
        <w:gridCol w:w="994"/>
        <w:gridCol w:w="1134"/>
        <w:gridCol w:w="850"/>
        <w:gridCol w:w="2693"/>
        <w:gridCol w:w="1628"/>
      </w:tblGrid>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陈泽枝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9"/>
              <w:jc w:val="right"/>
              <w:rPr>
                <w:rFonts w:ascii="宋体" w:hAnsi="宋体" w:cs="宋体" w:eastAsia="宋体" w:hint="default"/>
                <w:sz w:val="18"/>
                <w:szCs w:val="18"/>
              </w:rPr>
            </w:pPr>
            <w:r>
              <w:rPr>
                <w:rFonts w:ascii="宋体" w:hAnsi="宋体" w:cs="宋体" w:eastAsia="宋体" w:hint="default"/>
                <w:sz w:val="18"/>
                <w:szCs w:val="18"/>
              </w:rPr>
              <w:t>补偿款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14,374,982.09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22.18%</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李泽清</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9"/>
              <w:jc w:val="right"/>
              <w:rPr>
                <w:rFonts w:ascii="宋体" w:hAnsi="宋体" w:cs="宋体" w:eastAsia="宋体" w:hint="default"/>
                <w:sz w:val="18"/>
                <w:szCs w:val="18"/>
              </w:rPr>
            </w:pPr>
            <w:r>
              <w:rPr>
                <w:rFonts w:ascii="宋体" w:hAnsi="宋体" w:cs="宋体" w:eastAsia="宋体" w:hint="default"/>
                <w:sz w:val="18"/>
                <w:szCs w:val="18"/>
              </w:rPr>
              <w:t>补偿款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6,646,967.91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10.25%</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高孔兴</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9"/>
              <w:jc w:val="right"/>
              <w:rPr>
                <w:rFonts w:ascii="宋体" w:hAnsi="宋体" w:cs="宋体" w:eastAsia="宋体" w:hint="default"/>
                <w:sz w:val="18"/>
                <w:szCs w:val="18"/>
              </w:rPr>
            </w:pPr>
            <w:r>
              <w:rPr>
                <w:rFonts w:ascii="宋体" w:hAnsi="宋体" w:cs="宋体" w:eastAsia="宋体" w:hint="default"/>
                <w:sz w:val="18"/>
                <w:szCs w:val="18"/>
              </w:rPr>
              <w:t>补偿款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4,151,994.56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6.41%</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郑州齐裕建筑工程有限公司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9"/>
              <w:jc w:val="right"/>
              <w:rPr>
                <w:rFonts w:ascii="宋体" w:hAnsi="宋体" w:cs="宋体" w:eastAsia="宋体" w:hint="default"/>
                <w:sz w:val="18"/>
                <w:szCs w:val="18"/>
              </w:rPr>
            </w:pPr>
            <w:r>
              <w:rPr>
                <w:rFonts w:ascii="宋体" w:hAnsi="宋体" w:cs="宋体" w:eastAsia="宋体" w:hint="default"/>
                <w:sz w:val="18"/>
                <w:szCs w:val="18"/>
              </w:rPr>
              <w:t>垫付款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6.17%</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200,000.00</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河南省委办公厅</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9"/>
              <w:jc w:val="right"/>
              <w:rPr>
                <w:rFonts w:ascii="宋体" w:hAnsi="宋体" w:cs="宋体" w:eastAsia="宋体" w:hint="default"/>
                <w:sz w:val="18"/>
                <w:szCs w:val="18"/>
              </w:rPr>
            </w:pPr>
            <w:r>
              <w:rPr>
                <w:rFonts w:ascii="宋体" w:hAnsi="宋体" w:cs="宋体" w:eastAsia="宋体" w:hint="default"/>
                <w:sz w:val="18"/>
                <w:szCs w:val="18"/>
              </w:rPr>
              <w:t>保证金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1,665,500.00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2.57%</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83,275.00</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31"/>
              <w:jc w:val="right"/>
              <w:rPr>
                <w:rFonts w:ascii="Times New Roman" w:hAnsi="Times New Roman" w:cs="Times New Roman" w:eastAsia="Times New Roman" w:hint="default"/>
                <w:sz w:val="18"/>
                <w:szCs w:val="18"/>
              </w:rPr>
            </w:pPr>
            <w:r>
              <w:rPr>
                <w:rFonts w:ascii="Times New Roman"/>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30,839,444.56</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47.58%</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283,275.00</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7、存货" w:id="237"/>
      <w:bookmarkEnd w:id="237"/>
      <w:r>
        <w:rPr>
          <w:b w:val="0"/>
          <w:bCs w:val="0"/>
        </w:rPr>
      </w:r>
      <w:r>
        <w:rPr>
          <w:rFonts w:ascii="Times New Roman" w:hAnsi="Times New Roman" w:cs="Times New Roman" w:eastAsia="Times New Roman" w:hint="default"/>
        </w:rPr>
        <w:t>7</w:t>
      </w:r>
      <w:r>
        <w:rPr/>
        <w:t>、存货</w:t>
      </w:r>
      <w:r>
        <w:rPr>
          <w:b w:val="0"/>
          <w:bCs w:val="0"/>
        </w:rPr>
      </w:r>
    </w:p>
    <w:p>
      <w:pPr>
        <w:spacing w:line="240" w:lineRule="auto" w:before="8"/>
        <w:rPr>
          <w:rFonts w:ascii="宋体" w:hAnsi="宋体" w:cs="宋体" w:eastAsia="宋体" w:hint="default"/>
          <w:b/>
          <w:bCs/>
          <w:sz w:val="26"/>
          <w:szCs w:val="26"/>
        </w:rPr>
      </w:pPr>
    </w:p>
    <w:p>
      <w:pPr>
        <w:spacing w:line="360" w:lineRule="auto" w:before="0"/>
        <w:ind w:left="1134" w:right="7512" w:firstLine="0"/>
        <w:jc w:val="left"/>
        <w:rPr>
          <w:rFonts w:ascii="宋体" w:hAnsi="宋体" w:cs="宋体" w:eastAsia="宋体" w:hint="default"/>
          <w:sz w:val="18"/>
          <w:szCs w:val="18"/>
        </w:rPr>
      </w:pPr>
      <w:r>
        <w:rPr>
          <w:rFonts w:ascii="宋体" w:hAnsi="宋体" w:cs="宋体" w:eastAsia="宋体" w:hint="default"/>
          <w:sz w:val="18"/>
          <w:szCs w:val="18"/>
        </w:rPr>
        <w:t>公司是否需要遵守房地产行业的披露要求 否</w:t>
      </w:r>
    </w:p>
    <w:p>
      <w:pPr>
        <w:spacing w:line="240" w:lineRule="auto" w:before="11"/>
        <w:rPr>
          <w:rFonts w:ascii="宋体" w:hAnsi="宋体" w:cs="宋体" w:eastAsia="宋体" w:hint="default"/>
          <w:sz w:val="19"/>
          <w:szCs w:val="19"/>
        </w:rPr>
      </w:pPr>
    </w:p>
    <w:p>
      <w:pPr>
        <w:pStyle w:val="Heading4"/>
        <w:spacing w:line="240" w:lineRule="auto"/>
        <w:ind w:left="1134" w:right="0"/>
        <w:jc w:val="left"/>
        <w:rPr>
          <w:b w:val="0"/>
          <w:bCs w:val="0"/>
        </w:rPr>
      </w:pPr>
      <w:bookmarkStart w:name="（1）存货分类" w:id="238"/>
      <w:bookmarkEnd w:id="238"/>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43,350,895.09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43,350,895.09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31,549,439.41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31,549,439.41</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75,811,766.71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75,811,766.71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38,208,282.27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38,208,282.27</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34,265,439.63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34,265,439.63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32,318,061.42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32,318,061.42</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1,081,291.20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1,081,291.20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1,116,273.84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1,116,273.84</w:t>
            </w:r>
          </w:p>
        </w:tc>
      </w:tr>
      <w:tr>
        <w:trPr>
          <w:trHeight w:val="1026"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2"/>
              <w:jc w:val="both"/>
              <w:rPr>
                <w:rFonts w:ascii="宋体" w:hAnsi="宋体" w:cs="宋体" w:eastAsia="宋体" w:hint="default"/>
                <w:sz w:val="18"/>
                <w:szCs w:val="18"/>
              </w:rPr>
            </w:pPr>
            <w:r>
              <w:rPr>
                <w:rFonts w:ascii="宋体" w:hAnsi="宋体" w:cs="宋体" w:eastAsia="宋体" w:hint="default"/>
                <w:sz w:val="18"/>
                <w:szCs w:val="18"/>
              </w:rPr>
              <w:t>建造合同形成的 已完工未结算资 产</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188,595,601.65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188,595,601.65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153,142,325.93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153,142,325.93</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1,150.90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1,150.90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588,088.85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588,088.85</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343,106,145.18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9"/>
              <w:jc w:val="right"/>
              <w:rPr>
                <w:rFonts w:ascii="Times New Roman" w:hAnsi="Times New Roman" w:cs="Times New Roman" w:eastAsia="Times New Roman" w:hint="default"/>
                <w:sz w:val="12"/>
                <w:szCs w:val="12"/>
              </w:rPr>
            </w:pPr>
            <w:r>
              <w:rPr>
                <w:rFonts w:ascii="Times New Roman"/>
                <w:spacing w:val="-1"/>
                <w:sz w:val="18"/>
              </w:rPr>
              <w:t>343,106,145.18</w:t>
            </w:r>
            <w:r>
              <w:rPr>
                <w:rFonts w:ascii="Times New Roman"/>
                <w:color w:val="FF0000"/>
                <w:spacing w:val="-1"/>
                <w:position w:val="8"/>
                <w:sz w:val="12"/>
              </w:rPr>
              <w:t>1</w:t>
            </w:r>
            <w:r>
              <w:rPr>
                <w:rFonts w:ascii="Times New Roman"/>
                <w:spacing w:val="-1"/>
                <w:sz w:val="12"/>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256,922,471.72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256,922,471.72</w:t>
            </w:r>
          </w:p>
        </w:tc>
      </w:tr>
    </w:tbl>
    <w:p>
      <w:pPr>
        <w:pStyle w:val="BodyText"/>
        <w:spacing w:line="240" w:lineRule="auto" w:before="63"/>
        <w:ind w:left="1554" w:right="0"/>
        <w:jc w:val="left"/>
      </w:pPr>
      <w:r>
        <w:rPr/>
        <w:t>注：</w:t>
      </w:r>
      <w:r>
        <w:rPr>
          <w:rFonts w:ascii="宋体" w:hAnsi="宋体" w:cs="宋体" w:eastAsia="宋体" w:hint="default"/>
        </w:rPr>
        <w:t>1 </w:t>
      </w:r>
      <w:r>
        <w:rPr/>
        <w:t>存货较期初增加</w:t>
      </w:r>
      <w:r>
        <w:rPr>
          <w:spacing w:val="-56"/>
        </w:rPr>
        <w:t> </w:t>
      </w:r>
      <w:r>
        <w:rPr>
          <w:rFonts w:ascii="宋体" w:hAnsi="宋体" w:cs="宋体" w:eastAsia="宋体" w:hint="default"/>
        </w:rPr>
        <w:t>33.54%</w:t>
      </w:r>
      <w:r>
        <w:rPr/>
        <w:t>，主要系未结算的环保项目、市政项目款等增加所致。</w:t>
      </w:r>
    </w:p>
    <w:p>
      <w:pPr>
        <w:spacing w:line="240" w:lineRule="auto" w:before="11"/>
        <w:rPr>
          <w:rFonts w:ascii="宋体" w:hAnsi="宋体" w:cs="宋体" w:eastAsia="宋体" w:hint="default"/>
          <w:sz w:val="13"/>
          <w:szCs w:val="13"/>
        </w:rPr>
      </w:pPr>
    </w:p>
    <w:p>
      <w:pPr>
        <w:spacing w:line="340" w:lineRule="auto" w:before="0"/>
        <w:ind w:left="1134" w:right="2473"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上市公司从事种业、种植业务》的披露要求 否</w:t>
      </w:r>
    </w:p>
    <w:p>
      <w:pPr>
        <w:spacing w:line="340" w:lineRule="auto" w:before="40"/>
        <w:ind w:left="1133" w:right="1574"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上市公司从事广播电影电视业务》的披露要求 否</w:t>
      </w:r>
    </w:p>
    <w:p>
      <w:pPr>
        <w:spacing w:line="338" w:lineRule="auto" w:before="40"/>
        <w:ind w:left="1133" w:right="1754"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上市公司从事互联网游戏业务》的披露要求 否</w:t>
      </w:r>
    </w:p>
    <w:p>
      <w:pPr>
        <w:spacing w:after="0" w:line="338"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2）存货跌价准备" w:id="239"/>
      <w:bookmarkEnd w:id="239"/>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3）存货期末余额含有借款费用资本化金额的说明" w:id="240"/>
      <w:bookmarkEnd w:id="240"/>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4）期末建造合同形成的已完工未结算资产情况" w:id="241"/>
      <w:bookmarkEnd w:id="241"/>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4761"/>
        <w:gridCol w:w="4797"/>
      </w:tblGrid>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累计已发生成本</w:t>
            </w:r>
          </w:p>
        </w:tc>
        <w:tc>
          <w:tcPr>
            <w:tcW w:w="47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341,010,253.62</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累计已确认毛利</w:t>
            </w:r>
          </w:p>
        </w:tc>
        <w:tc>
          <w:tcPr>
            <w:tcW w:w="47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159,530,071.92</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已办理结算的金额</w:t>
            </w:r>
          </w:p>
        </w:tc>
        <w:tc>
          <w:tcPr>
            <w:tcW w:w="47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311,944,723.89</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建造合同形成的已完工未结算资产</w:t>
            </w:r>
          </w:p>
        </w:tc>
        <w:tc>
          <w:tcPr>
            <w:tcW w:w="47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188,595,601.65</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8、持有待售的资产" w:id="242"/>
      <w:bookmarkEnd w:id="242"/>
      <w:r>
        <w:rPr>
          <w:b w:val="0"/>
          <w:bCs w:val="0"/>
        </w:rPr>
      </w:r>
      <w:r>
        <w:rPr>
          <w:rFonts w:ascii="Times New Roman" w:hAnsi="Times New Roman" w:cs="Times New Roman" w:eastAsia="Times New Roman" w:hint="default"/>
        </w:rPr>
        <w:t>8</w:t>
      </w:r>
      <w:r>
        <w:rPr/>
        <w:t>、持有待售的资产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4"/>
        <w:gridCol w:w="1914"/>
        <w:gridCol w:w="1914"/>
        <w:gridCol w:w="1916"/>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0"/>
              <w:jc w:val="right"/>
              <w:rPr>
                <w:rFonts w:ascii="宋体" w:hAnsi="宋体" w:cs="宋体" w:eastAsia="宋体" w:hint="default"/>
                <w:sz w:val="18"/>
                <w:szCs w:val="18"/>
              </w:rPr>
            </w:pPr>
            <w:r>
              <w:rPr>
                <w:rFonts w:ascii="宋体" w:hAnsi="宋体" w:cs="宋体" w:eastAsia="宋体" w:hint="default"/>
                <w:sz w:val="18"/>
                <w:szCs w:val="18"/>
              </w:rPr>
              <w:t>预计处置时间</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3,726.66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3,726.66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96"/>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65,796.38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65,796.38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96"/>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78,338.11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78,338.11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96"/>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2,849,315.29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2,872,247.38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96"/>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2,997,176.44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3,020,108.53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12"/>
          <w:szCs w:val="12"/>
        </w:rPr>
      </w:pPr>
    </w:p>
    <w:p>
      <w:pPr>
        <w:pStyle w:val="BodyText"/>
        <w:spacing w:line="408" w:lineRule="auto" w:before="0"/>
        <w:ind w:left="1134" w:right="1024" w:firstLine="420"/>
        <w:jc w:val="left"/>
      </w:pPr>
      <w:r>
        <w:rPr/>
        <w:t>根据</w:t>
      </w:r>
      <w:r>
        <w:rPr>
          <w:spacing w:val="-39"/>
        </w:rPr>
        <w:t> </w:t>
      </w:r>
      <w:r>
        <w:rPr>
          <w:rFonts w:ascii="宋体" w:hAnsi="宋体" w:cs="宋体" w:eastAsia="宋体" w:hint="default"/>
        </w:rPr>
        <w:t>2017</w:t>
      </w:r>
      <w:r>
        <w:rPr>
          <w:rFonts w:ascii="宋体" w:hAnsi="宋体" w:cs="宋体" w:eastAsia="宋体" w:hint="default"/>
          <w:spacing w:val="-40"/>
        </w:rPr>
        <w:t> </w:t>
      </w:r>
      <w:r>
        <w:rPr/>
        <w:t>年</w:t>
      </w:r>
      <w:r>
        <w:rPr>
          <w:spacing w:val="-39"/>
        </w:rPr>
        <w:t> </w:t>
      </w:r>
      <w:r>
        <w:rPr>
          <w:rFonts w:ascii="宋体" w:hAnsi="宋体" w:cs="宋体" w:eastAsia="宋体" w:hint="default"/>
        </w:rPr>
        <w:t>12</w:t>
      </w:r>
      <w:r>
        <w:rPr>
          <w:rFonts w:ascii="宋体" w:hAnsi="宋体" w:cs="宋体" w:eastAsia="宋体" w:hint="default"/>
          <w:spacing w:val="-39"/>
        </w:rPr>
        <w:t> </w:t>
      </w:r>
      <w:r>
        <w:rPr/>
        <w:t>月</w:t>
      </w:r>
      <w:r>
        <w:rPr>
          <w:spacing w:val="-39"/>
        </w:rPr>
        <w:t> </w:t>
      </w:r>
      <w:r>
        <w:rPr>
          <w:rFonts w:ascii="宋体" w:hAnsi="宋体" w:cs="宋体" w:eastAsia="宋体" w:hint="default"/>
        </w:rPr>
        <w:t>29</w:t>
      </w:r>
      <w:r>
        <w:rPr>
          <w:rFonts w:ascii="宋体" w:hAnsi="宋体" w:cs="宋体" w:eastAsia="宋体" w:hint="default"/>
          <w:spacing w:val="-40"/>
        </w:rPr>
        <w:t> </w:t>
      </w:r>
      <w:r>
        <w:rPr/>
        <w:t>日公司子公司上海英吉森与自然人杨帆、王钊签订的股权收购协议，上海英吉 森将其持有的子公司英吉森消防全部股权转让予杨帆、王钊，待协议约定条件成就后完成转让，协议签订 至完成转让期间英吉森消防停止一切经营活动，报告期将英吉森消防资产、负债划分为持有待售的资产、</w:t>
      </w:r>
      <w:r>
        <w:rPr>
          <w:spacing w:val="-35"/>
        </w:rPr>
        <w:t> </w:t>
      </w:r>
      <w:r>
        <w:rPr>
          <w:spacing w:val="-35"/>
        </w:rPr>
      </w:r>
      <w:r>
        <w:rPr/>
        <w:t>负债。</w:t>
      </w:r>
    </w:p>
    <w:p>
      <w:pPr>
        <w:spacing w:line="240" w:lineRule="auto" w:before="8"/>
        <w:rPr>
          <w:rFonts w:ascii="宋体" w:hAnsi="宋体" w:cs="宋体" w:eastAsia="宋体" w:hint="default"/>
          <w:sz w:val="20"/>
          <w:szCs w:val="20"/>
        </w:rPr>
      </w:pPr>
    </w:p>
    <w:p>
      <w:pPr>
        <w:pStyle w:val="Heading4"/>
        <w:spacing w:line="240" w:lineRule="auto"/>
        <w:ind w:left="1134" w:right="0"/>
        <w:jc w:val="left"/>
        <w:rPr>
          <w:b w:val="0"/>
          <w:bCs w:val="0"/>
        </w:rPr>
      </w:pPr>
      <w:bookmarkStart w:name="9、其他流动资产" w:id="243"/>
      <w:bookmarkEnd w:id="243"/>
      <w:r>
        <w:rPr>
          <w:b w:val="0"/>
          <w:bCs w:val="0"/>
        </w:rPr>
      </w:r>
      <w:r>
        <w:rPr>
          <w:rFonts w:ascii="Times New Roman" w:hAnsi="Times New Roman" w:cs="Times New Roman" w:eastAsia="Times New Roman" w:hint="default"/>
        </w:rPr>
        <w:t>9</w:t>
      </w:r>
      <w:r>
        <w:rPr/>
        <w:t>、其他流动资产</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未抵扣增值税进项税额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21,011,699.02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8,492,512.67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预缴企业所得税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1,740,357.32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465,849.35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结构性存款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155,500,000.00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251,896.14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180,900.00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4" w:right="0"/>
              <w:jc w:val="left"/>
              <w:rPr>
                <w:rFonts w:ascii="Times New Roman" w:hAnsi="Times New Roman" w:cs="Times New Roman" w:eastAsia="Times New Roman" w:hint="default"/>
                <w:sz w:val="18"/>
                <w:szCs w:val="18"/>
              </w:rPr>
            </w:pPr>
            <w:r>
              <w:rPr>
                <w:rFonts w:ascii="Times New Roman"/>
                <w:sz w:val="18"/>
              </w:rPr>
              <w:t>178,503,952.48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4" w:right="0"/>
              <w:jc w:val="left"/>
              <w:rPr>
                <w:rFonts w:ascii="Times New Roman" w:hAnsi="Times New Roman" w:cs="Times New Roman" w:eastAsia="Times New Roman" w:hint="default"/>
                <w:sz w:val="18"/>
                <w:szCs w:val="18"/>
              </w:rPr>
            </w:pPr>
            <w:r>
              <w:rPr>
                <w:rFonts w:ascii="Times New Roman"/>
                <w:sz w:val="18"/>
              </w:rPr>
              <w:t>236,139,262.02</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10、可供出售金融资产" w:id="244"/>
      <w:bookmarkEnd w:id="244"/>
      <w:r>
        <w:rPr>
          <w:b w:val="0"/>
          <w:bCs w:val="0"/>
        </w:rPr>
      </w:r>
      <w:r>
        <w:rPr>
          <w:rFonts w:ascii="Times New Roman" w:hAnsi="Times New Roman" w:cs="Times New Roman" w:eastAsia="Times New Roman" w:hint="default"/>
        </w:rPr>
        <w:t>10</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可供出售金融资产情况" w:id="245"/>
      <w:bookmarkEnd w:id="245"/>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977"/>
        <w:gridCol w:w="1207"/>
        <w:gridCol w:w="1196"/>
        <w:gridCol w:w="1196"/>
        <w:gridCol w:w="1248"/>
        <w:gridCol w:w="1367"/>
        <w:gridCol w:w="1367"/>
      </w:tblGrid>
      <w:tr>
        <w:trPr>
          <w:trHeight w:val="206" w:hRule="exact"/>
        </w:trPr>
        <w:tc>
          <w:tcPr>
            <w:tcW w:w="19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59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99"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77" w:type="dxa"/>
            <w:vMerge/>
            <w:tcBorders>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9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207"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600,000.00</w:t>
            </w: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51,600,001.00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36,600,001.00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50,600,001.00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50,600,001.00</w:t>
            </w: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51,600,001.00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36,600,001.00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50,600,001.00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50,600,001.00</w:t>
            </w: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51,600,001.00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36,600,001.00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51,200,001.00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51,200,001.00</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期末按成本计量的可供出售金融资产" w:id="246"/>
      <w:bookmarkEnd w:id="246"/>
      <w:r>
        <w:rPr>
          <w:b w:val="0"/>
          <w:bCs w:val="0"/>
        </w:rPr>
      </w: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864"/>
        <w:gridCol w:w="871"/>
        <w:gridCol w:w="871"/>
        <w:gridCol w:w="871"/>
        <w:gridCol w:w="872"/>
        <w:gridCol w:w="871"/>
        <w:gridCol w:w="871"/>
        <w:gridCol w:w="871"/>
        <w:gridCol w:w="872"/>
        <w:gridCol w:w="871"/>
        <w:gridCol w:w="871"/>
      </w:tblGrid>
      <w:tr>
        <w:trPr>
          <w:trHeight w:val="406" w:hRule="exact"/>
        </w:trPr>
        <w:tc>
          <w:tcPr>
            <w:tcW w:w="8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5" w:right="66"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0"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9" w:right="7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1" w:hRule="exact"/>
        </w:trPr>
        <w:tc>
          <w:tcPr>
            <w:tcW w:w="864" w:type="dxa"/>
            <w:vMerge/>
            <w:tcBorders>
              <w:left w:val="single" w:sz="4" w:space="0" w:color="000000"/>
              <w:bottom w:val="single" w:sz="4" w:space="0" w:color="000000"/>
              <w:right w:val="single" w:sz="4" w:space="0" w:color="000000"/>
            </w:tcBorders>
            <w:shd w:val="clear" w:color="auto" w:fill="D2D2D2"/>
          </w:tcPr>
          <w:p>
            <w:pP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1" w:type="dxa"/>
            <w:vMerge/>
            <w:tcBorders>
              <w:left w:val="single" w:sz="4" w:space="0" w:color="000000"/>
              <w:bottom w:val="single" w:sz="4" w:space="0" w:color="000000"/>
              <w:right w:val="single" w:sz="4" w:space="0" w:color="000000"/>
            </w:tcBorders>
            <w:shd w:val="clear" w:color="auto" w:fill="D2D2D2"/>
          </w:tcPr>
          <w:p>
            <w:pPr/>
          </w:p>
        </w:tc>
        <w:tc>
          <w:tcPr>
            <w:tcW w:w="871" w:type="dxa"/>
            <w:vMerge/>
            <w:tcBorders>
              <w:left w:val="single" w:sz="4" w:space="0" w:color="000000"/>
              <w:bottom w:val="single" w:sz="4" w:space="0" w:color="000000"/>
              <w:right w:val="single" w:sz="4" w:space="0" w:color="000000"/>
            </w:tcBorders>
            <w:shd w:val="clear" w:color="auto" w:fill="D2D2D2"/>
          </w:tcPr>
          <w:p>
            <w:pPr/>
          </w:p>
        </w:tc>
      </w:tr>
      <w:tr>
        <w:trPr>
          <w:trHeight w:val="103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6"/>
              <w:ind w:left="22" w:right="111"/>
              <w:jc w:val="both"/>
              <w:rPr>
                <w:rFonts w:ascii="宋体" w:hAnsi="宋体" w:cs="宋体" w:eastAsia="宋体" w:hint="default"/>
                <w:sz w:val="18"/>
                <w:szCs w:val="18"/>
              </w:rPr>
            </w:pPr>
            <w:r>
              <w:rPr>
                <w:rFonts w:ascii="宋体" w:hAnsi="宋体" w:cs="宋体" w:eastAsia="宋体" w:hint="default"/>
                <w:sz w:val="18"/>
                <w:szCs w:val="18"/>
              </w:rPr>
              <w:t>河南开云 信息技术 有限公司</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03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5"/>
              <w:ind w:left="22" w:right="111"/>
              <w:jc w:val="both"/>
              <w:rPr>
                <w:rFonts w:ascii="宋体" w:hAnsi="宋体" w:cs="宋体" w:eastAsia="宋体" w:hint="default"/>
                <w:sz w:val="18"/>
                <w:szCs w:val="18"/>
              </w:rPr>
            </w:pPr>
            <w:r>
              <w:rPr>
                <w:rFonts w:ascii="宋体" w:hAnsi="宋体" w:cs="宋体" w:eastAsia="宋体" w:hint="default"/>
                <w:sz w:val="18"/>
                <w:szCs w:val="18"/>
              </w:rPr>
              <w:t>浙江风向 标科技有 限公司</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13.01%</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37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2" w:right="111"/>
              <w:jc w:val="both"/>
              <w:rPr>
                <w:rFonts w:ascii="宋体" w:hAnsi="宋体" w:cs="宋体" w:eastAsia="宋体" w:hint="default"/>
                <w:sz w:val="18"/>
                <w:szCs w:val="18"/>
              </w:rPr>
            </w:pPr>
            <w:r>
              <w:rPr>
                <w:rFonts w:ascii="宋体" w:hAnsi="宋体" w:cs="宋体" w:eastAsia="宋体" w:hint="default"/>
                <w:sz w:val="18"/>
                <w:szCs w:val="18"/>
              </w:rPr>
              <w:t>德熙智能 科技（上 海）有限 公司</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300,000.00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300,000.00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03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6"/>
              <w:ind w:left="22" w:right="111"/>
              <w:jc w:val="both"/>
              <w:rPr>
                <w:rFonts w:ascii="宋体" w:hAnsi="宋体" w:cs="宋体" w:eastAsia="宋体" w:hint="default"/>
                <w:sz w:val="18"/>
                <w:szCs w:val="18"/>
              </w:rPr>
            </w:pPr>
            <w:r>
              <w:rPr>
                <w:rFonts w:ascii="宋体" w:hAnsi="宋体" w:cs="宋体" w:eastAsia="宋体" w:hint="default"/>
                <w:sz w:val="18"/>
                <w:szCs w:val="18"/>
              </w:rPr>
              <w:t>郑州易度 传感技术 有限公司</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100,000.00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100,000.00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35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9"/>
              <w:ind w:left="22" w:right="111"/>
              <w:jc w:val="both"/>
              <w:rPr>
                <w:rFonts w:ascii="宋体" w:hAnsi="宋体" w:cs="宋体" w:eastAsia="宋体" w:hint="default"/>
                <w:sz w:val="18"/>
                <w:szCs w:val="18"/>
              </w:rPr>
            </w:pPr>
            <w:r>
              <w:rPr>
                <w:rFonts w:ascii="宋体" w:hAnsi="宋体" w:cs="宋体" w:eastAsia="宋体" w:hint="default"/>
                <w:sz w:val="18"/>
                <w:szCs w:val="18"/>
              </w:rPr>
              <w:t>河南华夏 海纳创业 投资集团 有限公司</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5.19%</w:t>
            </w:r>
          </w:p>
        </w:tc>
        <w:tc>
          <w:tcPr>
            <w:tcW w:w="87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864"/>
        <w:gridCol w:w="871"/>
        <w:gridCol w:w="871"/>
        <w:gridCol w:w="871"/>
        <w:gridCol w:w="872"/>
        <w:gridCol w:w="871"/>
        <w:gridCol w:w="871"/>
        <w:gridCol w:w="871"/>
        <w:gridCol w:w="872"/>
        <w:gridCol w:w="871"/>
        <w:gridCol w:w="871"/>
      </w:tblGrid>
      <w:tr>
        <w:trPr>
          <w:trHeight w:val="135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9"/>
              <w:ind w:left="22" w:right="111"/>
              <w:jc w:val="both"/>
              <w:rPr>
                <w:rFonts w:ascii="宋体" w:hAnsi="宋体" w:cs="宋体" w:eastAsia="宋体" w:hint="default"/>
                <w:sz w:val="18"/>
                <w:szCs w:val="18"/>
              </w:rPr>
            </w:pPr>
            <w:r>
              <w:rPr>
                <w:rFonts w:ascii="宋体" w:hAnsi="宋体" w:cs="宋体" w:eastAsia="宋体" w:hint="default"/>
                <w:sz w:val="18"/>
                <w:szCs w:val="18"/>
              </w:rPr>
              <w:t>上海戴维 蓝普传感 技术有限 公司</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200,000.00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200,000.00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12.50%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67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国仪投资</w:t>
            </w:r>
          </w:p>
          <w:p>
            <w:pPr>
              <w:pStyle w:val="TableParagraph"/>
              <w:spacing w:line="316" w:lineRule="auto" w:before="75"/>
              <w:ind w:left="22" w:right="111"/>
              <w:jc w:val="left"/>
              <w:rPr>
                <w:rFonts w:ascii="宋体" w:hAnsi="宋体" w:cs="宋体" w:eastAsia="宋体" w:hint="default"/>
                <w:sz w:val="18"/>
                <w:szCs w:val="18"/>
              </w:rPr>
            </w:pPr>
            <w:r>
              <w:rPr>
                <w:rFonts w:ascii="宋体" w:hAnsi="宋体" w:cs="宋体" w:eastAsia="宋体" w:hint="default"/>
                <w:sz w:val="18"/>
                <w:szCs w:val="18"/>
              </w:rPr>
              <w:t>（深圳） 合伙企业</w:t>
            </w:r>
          </w:p>
          <w:p>
            <w:pPr>
              <w:pStyle w:val="TableParagraph"/>
              <w:spacing w:line="319" w:lineRule="auto" w:before="19"/>
              <w:ind w:left="22" w:right="111"/>
              <w:jc w:val="left"/>
              <w:rPr>
                <w:rFonts w:ascii="宋体" w:hAnsi="宋体" w:cs="宋体" w:eastAsia="宋体" w:hint="default"/>
                <w:sz w:val="18"/>
                <w:szCs w:val="18"/>
              </w:rPr>
            </w:pPr>
            <w:r>
              <w:rPr>
                <w:rFonts w:ascii="宋体" w:hAnsi="宋体" w:cs="宋体" w:eastAsia="宋体" w:hint="default"/>
                <w:sz w:val="18"/>
                <w:szCs w:val="18"/>
              </w:rPr>
              <w:t>（有限合 伙）</w:t>
            </w:r>
          </w:p>
        </w:tc>
        <w:tc>
          <w:tcPr>
            <w:tcW w:w="871"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81"/>
              <w:ind w:right="20"/>
              <w:jc w:val="right"/>
              <w:rPr>
                <w:rFonts w:ascii="Times New Roman" w:hAnsi="Times New Roman" w:cs="Times New Roman" w:eastAsia="Times New Roman" w:hint="default"/>
                <w:sz w:val="12"/>
                <w:szCs w:val="12"/>
              </w:rPr>
            </w:pPr>
            <w:r>
              <w:rPr>
                <w:rFonts w:ascii="Times New Roman"/>
                <w:sz w:val="18"/>
              </w:rPr>
              <w:t>00</w:t>
            </w:r>
            <w:r>
              <w:rPr>
                <w:rFonts w:ascii="Times New Roman"/>
                <w:color w:val="FF0000"/>
                <w:position w:val="8"/>
                <w:sz w:val="12"/>
              </w:rPr>
              <w:t>1</w:t>
            </w:r>
            <w:r>
              <w:rPr>
                <w:rFonts w:ascii="Times New Roman"/>
                <w:sz w:val="12"/>
              </w:rPr>
            </w:r>
          </w:p>
        </w:tc>
        <w:tc>
          <w:tcPr>
            <w:tcW w:w="871"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2.78%</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743"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50,600,001</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51,600,001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15,000,000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15,000,000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63"/>
        <w:ind w:left="1554" w:right="0"/>
        <w:jc w:val="left"/>
      </w:pPr>
      <w:r>
        <w:rPr/>
        <w:t>注：</w:t>
      </w:r>
      <w:r>
        <w:rPr>
          <w:rFonts w:ascii="宋体" w:hAnsi="宋体" w:cs="宋体" w:eastAsia="宋体" w:hint="default"/>
        </w:rPr>
        <w:t>1</w:t>
      </w:r>
      <w:r>
        <w:rPr>
          <w:rFonts w:ascii="宋体" w:hAnsi="宋体" w:cs="宋体" w:eastAsia="宋体" w:hint="default"/>
          <w:spacing w:val="-55"/>
        </w:rPr>
        <w:t> </w:t>
      </w:r>
      <w:r>
        <w:rPr/>
        <w:t>公司未来将按照实缴出资比例分担费用、承担亏损并享受收益。</w:t>
      </w:r>
    </w:p>
    <w:p>
      <w:pPr>
        <w:spacing w:line="240" w:lineRule="auto" w:before="0"/>
        <w:rPr>
          <w:rFonts w:ascii="宋体" w:hAnsi="宋体" w:cs="宋体" w:eastAsia="宋体" w:hint="default"/>
          <w:sz w:val="20"/>
          <w:szCs w:val="20"/>
        </w:rPr>
      </w:pPr>
    </w:p>
    <w:p>
      <w:pPr>
        <w:pStyle w:val="Heading4"/>
        <w:spacing w:line="240" w:lineRule="auto" w:before="154"/>
        <w:ind w:right="0"/>
        <w:jc w:val="left"/>
        <w:rPr>
          <w:b w:val="0"/>
          <w:bCs w:val="0"/>
        </w:rPr>
      </w:pPr>
      <w:bookmarkStart w:name="11、长期应收款" w:id="247"/>
      <w:bookmarkEnd w:id="247"/>
      <w:r>
        <w:rPr>
          <w:b w:val="0"/>
          <w:bCs w:val="0"/>
        </w:rPr>
      </w:r>
      <w:r>
        <w:rPr>
          <w:rFonts w:ascii="Times New Roman" w:hAnsi="Times New Roman" w:cs="Times New Roman" w:eastAsia="Times New Roman" w:hint="default"/>
        </w:rPr>
        <w:t>11</w:t>
      </w:r>
      <w:r>
        <w:rPr/>
        <w:t>、长期应收款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0"/>
        <w:jc w:val="left"/>
        <w:rPr>
          <w:b w:val="0"/>
          <w:bCs w:val="0"/>
        </w:rPr>
      </w:pPr>
      <w:bookmarkStart w:name="（1）长期应收款情况" w:id="248"/>
      <w:bookmarkEnd w:id="248"/>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392"/>
        <w:gridCol w:w="1168"/>
        <w:gridCol w:w="1167"/>
        <w:gridCol w:w="1168"/>
        <w:gridCol w:w="1166"/>
        <w:gridCol w:w="1169"/>
        <w:gridCol w:w="1164"/>
        <w:gridCol w:w="1165"/>
      </w:tblGrid>
      <w:tr>
        <w:trPr>
          <w:trHeight w:val="206" w:hRule="exact"/>
        </w:trPr>
        <w:tc>
          <w:tcPr>
            <w:tcW w:w="1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35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3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vMerge/>
            <w:tcBorders>
              <w:left w:val="single" w:sz="4" w:space="0" w:color="000000"/>
              <w:bottom w:val="single" w:sz="4" w:space="0" w:color="000000"/>
              <w:right w:val="single" w:sz="4" w:space="0" w:color="000000"/>
            </w:tcBorders>
            <w:shd w:val="clear" w:color="auto" w:fill="D2D2D2"/>
          </w:tcPr>
          <w:p>
            <w:pPr/>
          </w:p>
        </w:tc>
        <w:tc>
          <w:tcPr>
            <w:tcW w:w="3500" w:type="dxa"/>
            <w:gridSpan w:val="3"/>
            <w:vMerge/>
            <w:tcBorders>
              <w:left w:val="single" w:sz="4" w:space="0" w:color="000000"/>
              <w:bottom w:val="single" w:sz="4" w:space="0" w:color="000000"/>
              <w:right w:val="single" w:sz="4" w:space="0" w:color="000000"/>
            </w:tcBorders>
            <w:shd w:val="clear" w:color="auto" w:fill="D2D2D2"/>
          </w:tcPr>
          <w:p>
            <w:pPr/>
          </w:p>
        </w:tc>
        <w:tc>
          <w:tcPr>
            <w:tcW w:w="11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200" w:hRule="exact"/>
        </w:trPr>
        <w:tc>
          <w:tcPr>
            <w:tcW w:w="1392" w:type="dxa"/>
            <w:vMerge/>
            <w:tcBorders>
              <w:left w:val="single" w:sz="4" w:space="0" w:color="000000"/>
              <w:bottom w:val="nil" w:sz="6" w:space="0" w:color="auto"/>
              <w:right w:val="single" w:sz="4" w:space="0" w:color="000000"/>
            </w:tcBorders>
            <w:shd w:val="clear" w:color="auto" w:fill="D2D2D2"/>
          </w:tcPr>
          <w:p>
            <w:pPr/>
          </w:p>
        </w:tc>
        <w:tc>
          <w:tcPr>
            <w:tcW w:w="11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8"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8"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9" w:type="dxa"/>
            <w:vMerge/>
            <w:tcBorders>
              <w:left w:val="single" w:sz="4" w:space="0" w:color="000000"/>
              <w:bottom w:val="single" w:sz="4" w:space="0" w:color="000000"/>
              <w:right w:val="single" w:sz="4" w:space="0" w:color="000000"/>
            </w:tcBorders>
            <w:shd w:val="clear" w:color="auto" w:fill="D2D2D2"/>
          </w:tcPr>
          <w:p>
            <w:pPr/>
          </w:p>
        </w:tc>
        <w:tc>
          <w:tcPr>
            <w:tcW w:w="1164" w:type="dxa"/>
            <w:vMerge/>
            <w:tcBorders>
              <w:left w:val="single" w:sz="4" w:space="0" w:color="000000"/>
              <w:bottom w:val="single" w:sz="4" w:space="0" w:color="000000"/>
              <w:right w:val="single" w:sz="4" w:space="0" w:color="000000"/>
            </w:tcBorders>
            <w:shd w:val="clear" w:color="auto" w:fill="D2D2D2"/>
          </w:tcPr>
          <w:p>
            <w:pPr/>
          </w:p>
        </w:tc>
        <w:tc>
          <w:tcPr>
            <w:tcW w:w="116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1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8"/>
              <w:jc w:val="left"/>
              <w:rPr>
                <w:rFonts w:ascii="宋体" w:hAnsi="宋体" w:cs="宋体" w:eastAsia="宋体" w:hint="default"/>
                <w:sz w:val="18"/>
                <w:szCs w:val="18"/>
              </w:rPr>
            </w:pPr>
            <w:r>
              <w:rPr>
                <w:rFonts w:ascii="宋体" w:hAnsi="宋体" w:cs="宋体" w:eastAsia="宋体" w:hint="default"/>
                <w:sz w:val="18"/>
                <w:szCs w:val="18"/>
              </w:rPr>
              <w:t>分期收款销售商 品</w:t>
            </w:r>
          </w:p>
        </w:tc>
        <w:tc>
          <w:tcPr>
            <w:tcW w:w="11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1,099,296.31</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1,099,296.31</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4,569,332.92</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4,569,332.92</w:t>
            </w: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1,099,296.31</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0"/>
              <w:jc w:val="right"/>
              <w:rPr>
                <w:rFonts w:ascii="Times New Roman" w:hAnsi="Times New Roman" w:cs="Times New Roman" w:eastAsia="Times New Roman" w:hint="default"/>
                <w:sz w:val="12"/>
                <w:szCs w:val="12"/>
              </w:rPr>
            </w:pPr>
            <w:r>
              <w:rPr>
                <w:rFonts w:ascii="Times New Roman"/>
                <w:spacing w:val="-1"/>
                <w:sz w:val="18"/>
              </w:rPr>
              <w:t>1,099,296.31</w:t>
            </w:r>
            <w:r>
              <w:rPr>
                <w:rFonts w:ascii="Times New Roman"/>
                <w:color w:val="FF0000"/>
                <w:spacing w:val="-1"/>
                <w:position w:val="8"/>
                <w:sz w:val="12"/>
              </w:rPr>
              <w:t>1</w:t>
            </w:r>
            <w:r>
              <w:rPr>
                <w:rFonts w:ascii="Times New Roman"/>
                <w:spacing w:val="-1"/>
                <w:sz w:val="12"/>
              </w:rPr>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4,569,332.92</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4,569,332.92</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63"/>
        <w:ind w:left="1554" w:right="0"/>
        <w:jc w:val="left"/>
      </w:pPr>
      <w:r>
        <w:rPr/>
        <w:t>注：</w:t>
      </w:r>
      <w:r>
        <w:rPr>
          <w:rFonts w:ascii="宋体" w:hAnsi="宋体" w:cs="宋体" w:eastAsia="宋体" w:hint="default"/>
        </w:rPr>
        <w:t>1 </w:t>
      </w:r>
      <w:r>
        <w:rPr/>
        <w:t>长期应收款较期初减少</w:t>
      </w:r>
      <w:r>
        <w:rPr>
          <w:spacing w:val="-56"/>
        </w:rPr>
        <w:t> </w:t>
      </w:r>
      <w:r>
        <w:rPr>
          <w:rFonts w:ascii="宋体" w:hAnsi="宋体" w:cs="宋体" w:eastAsia="宋体" w:hint="default"/>
        </w:rPr>
        <w:t>75.94%</w:t>
      </w:r>
      <w:r>
        <w:rPr/>
        <w:t>，主要系按合同约定收回项目款所致。</w:t>
      </w:r>
    </w:p>
    <w:p>
      <w:pPr>
        <w:spacing w:line="240" w:lineRule="auto" w:before="0"/>
        <w:rPr>
          <w:rFonts w:ascii="宋体" w:hAnsi="宋体" w:cs="宋体" w:eastAsia="宋体" w:hint="default"/>
          <w:sz w:val="20"/>
          <w:szCs w:val="20"/>
        </w:rPr>
      </w:pPr>
    </w:p>
    <w:p>
      <w:pPr>
        <w:pStyle w:val="Heading4"/>
        <w:spacing w:line="240" w:lineRule="auto" w:before="154"/>
        <w:ind w:left="1134" w:right="0"/>
        <w:jc w:val="left"/>
        <w:rPr>
          <w:b w:val="0"/>
          <w:bCs w:val="0"/>
        </w:rPr>
      </w:pPr>
      <w:bookmarkStart w:name="12、长期股权投资" w:id="249"/>
      <w:bookmarkEnd w:id="249"/>
      <w:r>
        <w:rPr>
          <w:b w:val="0"/>
          <w:bCs w:val="0"/>
        </w:rPr>
      </w:r>
      <w:r>
        <w:rPr>
          <w:rFonts w:ascii="Times New Roman" w:hAnsi="Times New Roman" w:cs="Times New Roman" w:eastAsia="Times New Roman" w:hint="default"/>
        </w:rPr>
        <w:t>12</w:t>
      </w:r>
      <w:r>
        <w:rPr/>
        <w:t>、长期股权投资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郑州高新 梧桐水务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50,196,63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8.13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321,410.4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50,518,04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8.60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796"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9" w:space="0" w:color="D2D2D2"/>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50,196,63</w:t>
            </w:r>
          </w:p>
          <w:p>
            <w:pPr>
              <w:pStyle w:val="TableParagraph"/>
              <w:spacing w:line="240" w:lineRule="auto" w:before="105"/>
              <w:ind w:left="444" w:right="0"/>
              <w:jc w:val="left"/>
              <w:rPr>
                <w:rFonts w:ascii="Times New Roman" w:hAnsi="Times New Roman" w:cs="Times New Roman" w:eastAsia="Times New Roman" w:hint="default"/>
                <w:sz w:val="18"/>
                <w:szCs w:val="18"/>
              </w:rPr>
            </w:pPr>
            <w:r>
              <w:rPr>
                <w:rFonts w:ascii="Times New Roman"/>
                <w:sz w:val="18"/>
              </w:rPr>
              <w:t>8.13</w:t>
            </w: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321,410.4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50,518,04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8.60</w:t>
            </w:r>
          </w:p>
        </w:tc>
        <w:tc>
          <w:tcPr>
            <w:tcW w:w="798" w:type="dxa"/>
            <w:vMerge w:val="restart"/>
            <w:tcBorders>
              <w:top w:val="single" w:sz="4" w:space="0" w:color="000000"/>
              <w:left w:val="single" w:sz="4" w:space="0" w:color="000000"/>
              <w:right w:val="single" w:sz="4" w:space="0" w:color="000000"/>
            </w:tcBorders>
          </w:tcPr>
          <w:p>
            <w:pPr/>
          </w:p>
        </w:tc>
      </w:tr>
      <w:tr>
        <w:trPr>
          <w:trHeight w:val="392" w:hRule="exact"/>
        </w:trPr>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vMerge/>
            <w:tcBorders>
              <w:left w:val="single" w:sz="9" w:space="0" w:color="D2D2D2"/>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161" w:hRule="exact"/>
        </w:trPr>
        <w:tc>
          <w:tcPr>
            <w:tcW w:w="796"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9" w:space="0" w:color="D2D2D2"/>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河南中盾 云安信息 科技有限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132,450.7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6,132,450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.76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泰瑞数创 科技（北 京）有限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23,583,87</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4.39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4,594,439</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.34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28,178,31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3.73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29,583,87</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4.39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4,726,890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.10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34,310,76</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4.49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79,780,51</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2.52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5,048,300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.57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84,828,81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3.09</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13、投资性房地产" w:id="250"/>
      <w:bookmarkEnd w:id="250"/>
      <w:r>
        <w:rPr>
          <w:b w:val="0"/>
          <w:bCs w:val="0"/>
        </w:rPr>
      </w:r>
      <w:r>
        <w:rPr>
          <w:rFonts w:ascii="Times New Roman" w:hAnsi="Times New Roman" w:cs="Times New Roman" w:eastAsia="Times New Roman" w:hint="default"/>
        </w:rPr>
        <w:t>13</w:t>
      </w:r>
      <w:r>
        <w:rPr/>
        <w:t>、投资性房地产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0"/>
        <w:jc w:val="left"/>
        <w:rPr>
          <w:b w:val="0"/>
          <w:bCs w:val="0"/>
        </w:rPr>
      </w:pPr>
      <w:bookmarkStart w:name="（1）采用成本计量模式的投资性房地产" w:id="251"/>
      <w:bookmarkEnd w:id="251"/>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3"/>
        <w:rPr>
          <w:rFonts w:ascii="宋体" w:hAnsi="宋体" w:cs="宋体" w:eastAsia="宋体" w:hint="default"/>
          <w:b/>
          <w:bCs/>
          <w:sz w:val="23"/>
          <w:szCs w:val="23"/>
        </w:rPr>
      </w:pPr>
    </w:p>
    <w:p>
      <w:pPr>
        <w:spacing w:before="44"/>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2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205,248,213.14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205,248,213.14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6,816,477.35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6,816,477.35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9"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6,816,477.35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6,816,477.35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9"/>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）企业合并增加</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212,064,690.49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212,064,690.49</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66"/>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21,049,698.15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21,049,698.15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9,571,341.97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9,571,341.97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7,553,886.53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7,553,886.53</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）固定资产转入</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2,017,455.44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2,017,455.44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30,621,040.12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30,621,040.12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181,443,650.37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181,443,650.37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184,198,514.99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184,198,514.99</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未办妥产权证书的投资性房地产情况" w:id="252"/>
      <w:bookmarkEnd w:id="252"/>
      <w:r>
        <w:rPr>
          <w:b w:val="0"/>
          <w:bCs w:val="0"/>
        </w:rPr>
      </w:r>
      <w:r>
        <w:rPr/>
        <w:t>（</w:t>
      </w:r>
      <w:r>
        <w:rPr>
          <w:rFonts w:ascii="Times New Roman" w:hAnsi="Times New Roman" w:cs="Times New Roman" w:eastAsia="Times New Roman" w:hint="default"/>
        </w:rPr>
        <w:t>2</w:t>
      </w:r>
      <w:r>
        <w:rPr/>
        <w:t>）未办妥产权证书的投资性房地产情况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河南物联网科技产业园</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40" w:right="0"/>
              <w:jc w:val="left"/>
              <w:rPr>
                <w:rFonts w:ascii="Times New Roman" w:hAnsi="Times New Roman" w:cs="Times New Roman" w:eastAsia="Times New Roman" w:hint="default"/>
                <w:sz w:val="18"/>
                <w:szCs w:val="18"/>
              </w:rPr>
            </w:pPr>
            <w:r>
              <w:rPr>
                <w:rFonts w:ascii="Times New Roman"/>
                <w:sz w:val="18"/>
              </w:rPr>
              <w:t>109,341,522.11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产权证书正在办理中</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14、固定资产" w:id="253"/>
      <w:bookmarkEnd w:id="253"/>
      <w:r>
        <w:rPr>
          <w:b w:val="0"/>
          <w:bCs w:val="0"/>
        </w:rPr>
      </w:r>
      <w:r>
        <w:rPr>
          <w:rFonts w:ascii="Times New Roman" w:hAnsi="Times New Roman" w:cs="Times New Roman" w:eastAsia="Times New Roman" w:hint="default"/>
        </w:rPr>
        <w:t>14</w:t>
      </w:r>
      <w:r>
        <w:rPr/>
        <w:t>、固定资产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1）固定资产情况" w:id="254"/>
      <w:bookmarkEnd w:id="254"/>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管道沟槽</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1"/>
              <w:jc w:val="right"/>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276,811,710.53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66,860,730.52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23,647,723.35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368,725,880.63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46,108,401.49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782,154,446.52</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163,056,404.62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15,659,294.50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1,941,845.54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33,389,008.84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5,282,965.30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219,329,518.80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151,778,087.57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13,584,660.91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1,941,845.54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9,573.41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5,282,965.30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172,597,132.73</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1" w:firstLine="16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）在建工程</w:t>
            </w:r>
            <w:r>
              <w:rPr>
                <w:rFonts w:ascii="宋体" w:hAnsi="宋体" w:cs="宋体" w:eastAsia="宋体" w:hint="default"/>
                <w:sz w:val="18"/>
                <w:szCs w:val="18"/>
              </w:rPr>
              <w:t> 转入</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11,278,317.05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2,074,633.59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33,379,435.43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46,732,386.07</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11"/>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）企业合并</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36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8,003,477.35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1,341,226.63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954,353.61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137,062.52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582,936.93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11,019,057.04</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1" w:firstLine="16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）处置或报</w:t>
            </w:r>
            <w:r>
              <w:rPr>
                <w:rFonts w:ascii="宋体" w:hAnsi="宋体" w:cs="宋体" w:eastAsia="宋体" w:hint="default"/>
                <w:sz w:val="18"/>
                <w:szCs w:val="18"/>
              </w:rPr>
              <w:t> 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1,341,226.63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954,353.61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158,861.73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2,454,441.97</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51"/>
              <w:ind w:left="22" w:right="12" w:firstLine="180"/>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）转入投资</w:t>
            </w:r>
            <w:r>
              <w:rPr>
                <w:rFonts w:ascii="宋体" w:hAnsi="宋体" w:cs="宋体" w:eastAsia="宋体" w:hint="default"/>
                <w:sz w:val="18"/>
                <w:szCs w:val="18"/>
              </w:rPr>
              <w:t> 性房地产</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6,816,477.35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6,816,477.35</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12"/>
              <w:jc w:val="righ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）其他减少</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1,187,000.00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137,062.52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1,324,062.52</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51"/>
              <w:ind w:left="22" w:right="12" w:firstLine="180"/>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4</w:t>
            </w:r>
            <w:r>
              <w:rPr>
                <w:rFonts w:ascii="宋体" w:hAnsi="宋体" w:cs="宋体" w:eastAsia="宋体" w:hint="default"/>
                <w:spacing w:val="-6"/>
                <w:sz w:val="18"/>
                <w:szCs w:val="18"/>
              </w:rPr>
              <w:t>）转入持有</w:t>
            </w:r>
            <w:r>
              <w:rPr>
                <w:rFonts w:ascii="宋体" w:hAnsi="宋体" w:cs="宋体" w:eastAsia="宋体" w:hint="default"/>
                <w:sz w:val="18"/>
                <w:szCs w:val="18"/>
              </w:rPr>
              <w:t> 待售资产</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424,075.20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424,075.20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431,864,637.80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81,178,798.39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24,635,215.28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401,977,826.95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50,808,429.86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990,464,908.28</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47,146,117.20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27,357,573.31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11,892,475.92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29,056,613.56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19,957,416.79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135,410,196.78</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11,399,603.41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6,452,669.81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2,254,700.92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31,112,643.87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8,116,411.90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59,336,029.91</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11,399,603.41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6,452,669.81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2,254,700.92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31,112,643.87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8,116,411.90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59,336,029.91</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2,026,856.48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889,667.25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801,305.11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486,196.32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4,204,025.16</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1" w:firstLine="16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）处置或报</w:t>
            </w:r>
            <w:r>
              <w:rPr>
                <w:rFonts w:ascii="宋体" w:hAnsi="宋体" w:cs="宋体" w:eastAsia="宋体" w:hint="default"/>
                <w:sz w:val="18"/>
                <w:szCs w:val="18"/>
              </w:rPr>
              <w:t> 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889,667.25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801,305.11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157,653.80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1,848,626.16</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51"/>
              <w:ind w:left="22" w:right="12" w:firstLine="180"/>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）转投资性</w:t>
            </w:r>
            <w:r>
              <w:rPr>
                <w:rFonts w:ascii="宋体" w:hAnsi="宋体" w:cs="宋体" w:eastAsia="宋体" w:hint="default"/>
                <w:sz w:val="18"/>
                <w:szCs w:val="18"/>
              </w:rPr>
              <w:t> 房地产</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2,017,455.44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2,017,455.44</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12"/>
              <w:jc w:val="righ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）其他减少</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9,401.04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9,401.04</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51"/>
              <w:ind w:left="22" w:right="12" w:firstLine="180"/>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4</w:t>
            </w:r>
            <w:r>
              <w:rPr>
                <w:rFonts w:ascii="宋体" w:hAnsi="宋体" w:cs="宋体" w:eastAsia="宋体" w:hint="default"/>
                <w:spacing w:val="-6"/>
                <w:sz w:val="18"/>
                <w:szCs w:val="18"/>
              </w:rPr>
              <w:t>）转入持有</w:t>
            </w:r>
            <w:r>
              <w:rPr>
                <w:rFonts w:ascii="宋体" w:hAnsi="宋体" w:cs="宋体" w:eastAsia="宋体" w:hint="default"/>
                <w:sz w:val="18"/>
                <w:szCs w:val="18"/>
              </w:rPr>
              <w:t> 待售资产</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328,542.52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328,542.52</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56,518,864.13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32,920,575.87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13,345,871.73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60,169,257.43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27,587,632.37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190,542,201.53</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1" w:firstLine="16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）处置或报</w:t>
            </w:r>
            <w:r>
              <w:rPr>
                <w:rFonts w:ascii="宋体" w:hAnsi="宋体" w:cs="宋体" w:eastAsia="宋体" w:hint="default"/>
                <w:sz w:val="18"/>
                <w:szCs w:val="18"/>
              </w:rPr>
              <w:t> 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375,345,773.67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48,258,222.52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11,289,343.55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341,808,569.52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23,220,797.49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799,922,706.75</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229,665,593.33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39,503,157.21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11,755,247.43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339,669,267.07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26,150,984.70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646,744,249.74</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1134" w:right="0"/>
        <w:jc w:val="left"/>
        <w:rPr>
          <w:b w:val="0"/>
          <w:bCs w:val="0"/>
        </w:rPr>
      </w:pPr>
      <w:bookmarkStart w:name="（2）未办妥产权证书的固定资产情况" w:id="255"/>
      <w:bookmarkEnd w:id="255"/>
      <w:r>
        <w:rPr>
          <w:b w:val="0"/>
          <w:bCs w:val="0"/>
        </w:rPr>
      </w:r>
      <w:r>
        <w:rPr/>
        <w:t>（</w:t>
      </w:r>
      <w:r>
        <w:rPr>
          <w:rFonts w:ascii="Times New Roman" w:hAnsi="Times New Roman" w:cs="Times New Roman" w:eastAsia="Times New Roman" w:hint="default"/>
        </w:rPr>
        <w:t>2</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嘉园环保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宋体" w:hAnsi="宋体" w:cs="宋体" w:eastAsia="宋体" w:hint="default"/>
                <w:sz w:val="18"/>
                <w:szCs w:val="18"/>
              </w:rPr>
              <w:t>厂房</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17,134,376.02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产权证书正在办理中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百隆建筑办公楼</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9,184,526.62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产权证书正在办理中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河南物联网科技产业园</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9,840,444.89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产权证书正在办理中</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15、在建工程" w:id="256"/>
      <w:bookmarkEnd w:id="256"/>
      <w:r>
        <w:rPr>
          <w:b w:val="0"/>
          <w:bCs w:val="0"/>
        </w:rPr>
      </w:r>
      <w:r>
        <w:rPr>
          <w:rFonts w:ascii="Times New Roman" w:hAnsi="Times New Roman" w:cs="Times New Roman" w:eastAsia="Times New Roman" w:hint="default"/>
        </w:rPr>
        <w:t>15</w:t>
      </w:r>
      <w:r>
        <w:rPr/>
        <w:t>、在建工程</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1）在建工程情况" w:id="257"/>
      <w:bookmarkEnd w:id="257"/>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管网及配套</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147,433,706.11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147,433,706.11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94,172,360.51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94,172,360.51</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物联网二期（工 程款）</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22,367,897.77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22,367,897.77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8,263,304.30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8,263,304.30</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老港渗滤液处理 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21,575,422.16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21,575,422.16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智慧供热二期建 设项目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7,812,734.43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7,812,734.43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厂房建设</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5,517,474.19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5,517,474.19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郑州高新梧桐水 务有限公司水厂 二期改造工程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3,269,514.97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3,269,514.97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58"/>
              <w:jc w:val="left"/>
              <w:rPr>
                <w:rFonts w:ascii="宋体" w:hAnsi="宋体" w:cs="宋体" w:eastAsia="宋体" w:hint="default"/>
                <w:sz w:val="18"/>
                <w:szCs w:val="18"/>
              </w:rPr>
            </w:pPr>
            <w:r>
              <w:rPr>
                <w:rFonts w:ascii="Times New Roman" w:hAnsi="Times New Roman" w:cs="Times New Roman" w:eastAsia="Times New Roman" w:hint="default"/>
                <w:sz w:val="18"/>
                <w:szCs w:val="18"/>
              </w:rPr>
              <w:t>SAP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优化升级项 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2,417,649.31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2,417,649.31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MES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系统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2,277,758.01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2,277,758.01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选择性波峰焊</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1,328,794.82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1,328,794.82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5,843,622.93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5,843,622.93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5,840,328.23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5,840,328.23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219,844,574.70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9"/>
              <w:jc w:val="right"/>
              <w:rPr>
                <w:rFonts w:ascii="Times New Roman" w:hAnsi="Times New Roman" w:cs="Times New Roman" w:eastAsia="Times New Roman" w:hint="default"/>
                <w:sz w:val="12"/>
                <w:szCs w:val="12"/>
              </w:rPr>
            </w:pPr>
            <w:r>
              <w:rPr>
                <w:rFonts w:ascii="Times New Roman"/>
                <w:spacing w:val="-1"/>
                <w:sz w:val="18"/>
              </w:rPr>
              <w:t>219,844,574.70</w:t>
            </w:r>
            <w:r>
              <w:rPr>
                <w:rFonts w:ascii="Times New Roman"/>
                <w:color w:val="FF0000"/>
                <w:spacing w:val="-1"/>
                <w:position w:val="8"/>
                <w:sz w:val="12"/>
              </w:rPr>
              <w:t>1</w:t>
            </w:r>
            <w:r>
              <w:rPr>
                <w:rFonts w:ascii="Times New Roman"/>
                <w:spacing w:val="-1"/>
                <w:sz w:val="12"/>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108,275,993.04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108,275,993.04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spacing w:before="44"/>
        <w:ind w:left="1133"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  </w:t>
      </w:r>
      <w:r>
        <w:rPr>
          <w:rFonts w:ascii="宋体" w:hAnsi="宋体" w:cs="宋体" w:eastAsia="宋体" w:hint="default"/>
          <w:sz w:val="18"/>
          <w:szCs w:val="18"/>
        </w:rPr>
        <w:t>在建工程较期初增加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103.04%</w:t>
      </w:r>
      <w:r>
        <w:rPr>
          <w:rFonts w:ascii="宋体" w:hAnsi="宋体" w:cs="宋体" w:eastAsia="宋体" w:hint="default"/>
          <w:sz w:val="18"/>
          <w:szCs w:val="18"/>
        </w:rPr>
        <w:t>，主要系公司投资建设管网等长期资产所致。</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重要在建工程项目本期变动情况" w:id="258"/>
      <w:bookmarkEnd w:id="258"/>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7"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9"/>
              <w:jc w:val="left"/>
              <w:rPr>
                <w:rFonts w:ascii="宋体" w:hAnsi="宋体" w:cs="宋体" w:eastAsia="宋体" w:hint="default"/>
                <w:sz w:val="18"/>
                <w:szCs w:val="18"/>
              </w:rPr>
            </w:pPr>
            <w:r>
              <w:rPr>
                <w:rFonts w:ascii="宋体" w:hAnsi="宋体" w:cs="宋体" w:eastAsia="宋体" w:hint="default"/>
                <w:sz w:val="18"/>
                <w:szCs w:val="18"/>
              </w:rPr>
              <w:t>管网及 配套</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256,630,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94,172,3</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60.51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88,042,1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27.39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33,379,4</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35.43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1,401,34</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6.36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147,433,</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706.11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70.45%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256,630,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94,172,3</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60.51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88,042,1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27.39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33,379,4</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35.43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1,401,34</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6.36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147,433,</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706.11</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16、无形资产" w:id="259"/>
      <w:bookmarkEnd w:id="259"/>
      <w:r>
        <w:rPr>
          <w:b w:val="0"/>
          <w:bCs w:val="0"/>
        </w:rPr>
      </w:r>
      <w:r>
        <w:rPr>
          <w:rFonts w:ascii="Times New Roman" w:hAnsi="Times New Roman" w:cs="Times New Roman" w:eastAsia="Times New Roman" w:hint="default"/>
        </w:rPr>
        <w:t>16</w:t>
      </w:r>
      <w:r>
        <w:rPr/>
        <w:t>、无形资产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1）无形资产情况" w:id="260"/>
      <w:bookmarkEnd w:id="260"/>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上市公司从事互联网游戏业务》的披露要求</w:t>
      </w:r>
    </w:p>
    <w:p>
      <w:pPr>
        <w:spacing w:before="102"/>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344"/>
        <w:gridCol w:w="1378"/>
        <w:gridCol w:w="1368"/>
        <w:gridCol w:w="1367"/>
        <w:gridCol w:w="1367"/>
        <w:gridCol w:w="1367"/>
        <w:gridCol w:w="1367"/>
      </w:tblGrid>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9"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9"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7"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7" w:type="dxa"/>
            <w:tcBorders>
              <w:top w:val="single" w:sz="4" w:space="0" w:color="000000"/>
              <w:left w:val="single" w:sz="10" w:space="0" w:color="D2D2D2"/>
              <w:bottom w:val="single" w:sz="4" w:space="0" w:color="000000"/>
              <w:right w:val="single" w:sz="4" w:space="0" w:color="000000"/>
            </w:tcBorders>
            <w:shd w:val="clear" w:color="auto" w:fill="E0FFFF"/>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软件</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8" w:right="0"/>
              <w:jc w:val="left"/>
              <w:rPr>
                <w:rFonts w:ascii="宋体" w:hAnsi="宋体" w:cs="宋体" w:eastAsia="宋体" w:hint="default"/>
                <w:sz w:val="18"/>
                <w:szCs w:val="18"/>
              </w:rPr>
            </w:pPr>
            <w:r>
              <w:rPr>
                <w:rFonts w:ascii="宋体" w:hAnsi="宋体" w:cs="宋体" w:eastAsia="宋体" w:hint="default"/>
                <w:sz w:val="18"/>
                <w:szCs w:val="18"/>
              </w:rPr>
              <w:t>特许经营权</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68,608,268.17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59,357,902.26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23,553,871.17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18,869,120.46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317,817,468.39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488,206,630.45</w:t>
            </w:r>
          </w:p>
        </w:tc>
      </w:tr>
      <w:tr>
        <w:trPr>
          <w:trHeight w:val="714"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74,586,418.80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35,170.92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1,503,165.14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17,742,423.00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93,867,177.86</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74,586,418.80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35,170.92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1,503,165.14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17,742,423.00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93,867,177.86</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）内部研发</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1" w:firstLine="16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）企业合并</w:t>
            </w:r>
            <w:r>
              <w:rPr>
                <w:rFonts w:ascii="宋体" w:hAnsi="宋体" w:cs="宋体" w:eastAsia="宋体" w:hint="default"/>
                <w:sz w:val="18"/>
                <w:szCs w:val="18"/>
              </w:rPr>
              <w:t> 增加</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143,194,686.97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59,357,902.26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23,589,042.09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20,272,285.60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335,559,891.39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581,973,808.31</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8,288,514.76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20,294,043.36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7,044,620.45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4,811,139.10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45,238,373.62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85,676,691.29</w:t>
            </w:r>
          </w:p>
        </w:tc>
      </w:tr>
      <w:tr>
        <w:trPr>
          <w:trHeight w:val="714"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2,389,311.04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8,690,004.59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2,923,872.12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2,792,416.33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15,203,112.78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31,998,716.86</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2,389,311.04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8,690,004.59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2,923,872.12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2,792,416.33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15,203,112.78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31,998,716.86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10,677,825.80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28,984,047.95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9,968,492.57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7,503,555.43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60,441,486.40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117,575,408.15</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132,516,861.17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30,373,854.31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13,620,549.52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12,768,730.17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275,118,404.99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464,398,400.16</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60,319,753.41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39,063,858.90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16,509,250.72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14,057,981.36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272,579,094.77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402,529,939.16</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r>
        <w:rPr>
          <w:rFonts w:ascii="宋体" w:hAnsi="宋体" w:cs="宋体" w:eastAsia="宋体" w:hint="default"/>
          <w:sz w:val="18"/>
          <w:szCs w:val="18"/>
        </w:rPr>
        <w:t>。</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未办妥产权证书的土地使用权情况" w:id="261"/>
      <w:bookmarkEnd w:id="261"/>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7、开发支出" w:id="262"/>
      <w:bookmarkEnd w:id="262"/>
      <w:r>
        <w:rPr>
          <w:b w:val="0"/>
          <w:bCs w:val="0"/>
        </w:rPr>
      </w:r>
      <w:r>
        <w:rPr>
          <w:rFonts w:ascii="Times New Roman" w:hAnsi="Times New Roman" w:cs="Times New Roman" w:eastAsia="Times New Roman" w:hint="default"/>
        </w:rPr>
        <w:t>17</w:t>
      </w:r>
      <w:r>
        <w:rPr/>
        <w:t>、开发支出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402"/>
        <w:gridCol w:w="851"/>
        <w:gridCol w:w="1277"/>
        <w:gridCol w:w="566"/>
        <w:gridCol w:w="1418"/>
        <w:gridCol w:w="1276"/>
        <w:gridCol w:w="779"/>
      </w:tblGrid>
      <w:tr>
        <w:trPr>
          <w:trHeight w:val="402" w:hRule="exact"/>
        </w:trPr>
        <w:tc>
          <w:tcPr>
            <w:tcW w:w="34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5"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6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0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3402" w:type="dxa"/>
            <w:vMerge/>
            <w:tcBorders>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2"/>
              <w:jc w:val="right"/>
              <w:rPr>
                <w:rFonts w:ascii="宋体" w:hAnsi="宋体" w:cs="宋体" w:eastAsia="宋体" w:hint="default"/>
                <w:sz w:val="18"/>
                <w:szCs w:val="18"/>
              </w:rPr>
            </w:pPr>
            <w:r>
              <w:rPr>
                <w:rFonts w:ascii="宋体" w:hAnsi="宋体" w:cs="宋体" w:eastAsia="宋体" w:hint="default"/>
                <w:sz w:val="18"/>
                <w:szCs w:val="18"/>
              </w:rPr>
              <w:t>内部开发支出</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2"/>
              <w:jc w:val="right"/>
              <w:rPr>
                <w:rFonts w:ascii="宋体" w:hAnsi="宋体" w:cs="宋体" w:eastAsia="宋体" w:hint="default"/>
                <w:sz w:val="18"/>
                <w:szCs w:val="18"/>
              </w:rPr>
            </w:pPr>
            <w:r>
              <w:rPr>
                <w:rFonts w:ascii="宋体" w:hAnsi="宋体" w:cs="宋体" w:eastAsia="宋体" w:hint="default"/>
                <w:sz w:val="18"/>
                <w:szCs w:val="18"/>
              </w:rPr>
              <w:t>确认为无形资产</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转入当期损益</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智慧城市管控一体化云平台</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7,971,845.52</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7,971,845.52</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智能传感器</w:t>
            </w:r>
            <w:r>
              <w:rPr>
                <w:rFonts w:ascii="Times New Roman" w:hAnsi="Times New Roman" w:cs="Times New Roman" w:eastAsia="Times New Roman" w:hint="default"/>
                <w:sz w:val="18"/>
                <w:szCs w:val="18"/>
              </w:rPr>
              <w:t>-</w:t>
            </w:r>
            <w:r>
              <w:rPr>
                <w:rFonts w:ascii="宋体" w:hAnsi="宋体" w:cs="宋体" w:eastAsia="宋体" w:hint="default"/>
                <w:sz w:val="18"/>
                <w:szCs w:val="18"/>
              </w:rPr>
              <w:t>数字</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MEMS</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气体传感器产业化</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4,871,601.25</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4,871,601.25</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智慧园区一体化平台</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4,769,681.71</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4,769,681.71</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专用型气相色谱分析仪研发</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3,824,769.98</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3,824,769.98</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智能传感器</w:t>
            </w:r>
            <w:r>
              <w:rPr>
                <w:rFonts w:ascii="Times New Roman" w:hAnsi="Times New Roman" w:cs="Times New Roman" w:eastAsia="Times New Roman" w:hint="default"/>
                <w:sz w:val="18"/>
                <w:szCs w:val="18"/>
              </w:rPr>
              <w:t>-</w:t>
            </w:r>
            <w:r>
              <w:rPr>
                <w:rFonts w:ascii="宋体" w:hAnsi="宋体" w:cs="宋体" w:eastAsia="宋体" w:hint="default"/>
                <w:sz w:val="18"/>
                <w:szCs w:val="18"/>
              </w:rPr>
              <w:t>数字热释电传感器研发</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3,732,519.33</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3,732,519.33</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HRLD100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手持激光气体遥测仪</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3,549,996.85</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3,549,996.85</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分子筛转轮浓缩技术开发</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3,373,352.90</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3,373,352.90</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MIMO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智慧物联网关平台</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2,595,485.51</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2,595,485.51</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基于一种活性炭装卸装置的研发</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2,548,035.07</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2,548,035.07</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高性能人体智能红外滤光片</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2,445,376.16</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2,445,376.16</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402"/>
        <w:gridCol w:w="851"/>
        <w:gridCol w:w="1277"/>
        <w:gridCol w:w="566"/>
        <w:gridCol w:w="1418"/>
        <w:gridCol w:w="1276"/>
        <w:gridCol w:w="779"/>
      </w:tblGrid>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AT9000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智能警用酒精检测仪</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2,255,600.51</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2,255,600.51</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PID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技术的化工园区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VOC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检测系统</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垃圾渗滤液深度脱氮与浓缩液技术研发</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2,075,613.87</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2,075,613.87</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工业激光气体检测仪</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2,066,833.25</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2,066,833.25</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智慧燃气一体化平台</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1,499,096.77</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1,499,096.77</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光学粉尘传感器</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1,452,329.51</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1,452,329.51</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新型三室互换蓄热式有机废气焚烧装置</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1,396,506.56</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1,396,506.56</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全固态电化学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VOCs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传感器研发及产业化</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1,357,602.17</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1,357,602.17</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KBI1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系列智能家用燃气报警系统</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1,271,687.20</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1,271,687.20</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基于一种混合溶剂提的纯回收装置的研发</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1,262,827.55</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1,262,827.55</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65"/>
              <w:jc w:val="left"/>
              <w:rPr>
                <w:rFonts w:ascii="宋体" w:hAnsi="宋体" w:cs="宋体" w:eastAsia="宋体" w:hint="default"/>
                <w:sz w:val="18"/>
                <w:szCs w:val="18"/>
              </w:rPr>
            </w:pPr>
            <w:r>
              <w:rPr>
                <w:rFonts w:ascii="Times New Roman" w:hAnsi="Times New Roman" w:cs="Times New Roman" w:eastAsia="Times New Roman" w:hint="default"/>
                <w:sz w:val="18"/>
                <w:szCs w:val="18"/>
              </w:rPr>
              <w:t>MBR+</w:t>
            </w:r>
            <w:r>
              <w:rPr>
                <w:rFonts w:ascii="宋体" w:hAnsi="宋体" w:cs="宋体" w:eastAsia="宋体" w:hint="default"/>
                <w:sz w:val="18"/>
                <w:szCs w:val="18"/>
              </w:rPr>
              <w:t>臭氧</w:t>
            </w:r>
            <w:r>
              <w:rPr>
                <w:rFonts w:ascii="Times New Roman" w:hAnsi="Times New Roman" w:cs="Times New Roman" w:eastAsia="Times New Roman" w:hint="default"/>
                <w:sz w:val="18"/>
                <w:szCs w:val="18"/>
              </w:rPr>
              <w:t>+</w:t>
            </w:r>
            <w:r>
              <w:rPr>
                <w:rFonts w:ascii="宋体" w:hAnsi="宋体" w:cs="宋体" w:eastAsia="宋体" w:hint="default"/>
                <w:sz w:val="18"/>
                <w:szCs w:val="18"/>
              </w:rPr>
              <w:t>生物活性炭滤池的垃圾渗滤液</w:t>
            </w:r>
            <w:r>
              <w:rPr>
                <w:rFonts w:ascii="宋体" w:hAnsi="宋体" w:cs="宋体" w:eastAsia="宋体" w:hint="default"/>
                <w:w w:val="99"/>
                <w:sz w:val="18"/>
                <w:szCs w:val="18"/>
              </w:rPr>
              <w:t> </w:t>
            </w:r>
            <w:r>
              <w:rPr>
                <w:rFonts w:ascii="宋体" w:hAnsi="宋体" w:cs="宋体" w:eastAsia="宋体" w:hint="default"/>
                <w:sz w:val="18"/>
                <w:szCs w:val="18"/>
              </w:rPr>
              <w:t>处理工艺设备开发</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1,238,211.90</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1,238,211.90</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环境自动监控综合平台</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1,221,708.54</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1,221,708.54</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安全监测系列产品</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1,220,175.68</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1,220,175.68</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KB9000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气体报警控制系统</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1,149,407.56</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1,149,407.56</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智慧水务一体化平台</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1,144,981.67</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1,144,981.67</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其他项目</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28,712,129.25</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28,712,129.25</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91,097,376.27</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91,097,376.27</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18、商誉" w:id="263"/>
      <w:bookmarkEnd w:id="263"/>
      <w:r>
        <w:rPr>
          <w:b w:val="0"/>
          <w:bCs w:val="0"/>
        </w:rPr>
      </w:r>
      <w:r>
        <w:rPr>
          <w:rFonts w:ascii="Times New Roman" w:hAnsi="Times New Roman" w:cs="Times New Roman" w:eastAsia="Times New Roman" w:hint="default"/>
        </w:rPr>
        <w:t>18</w:t>
      </w:r>
      <w:r>
        <w:rPr/>
        <w:t>、商誉</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0"/>
        <w:jc w:val="left"/>
        <w:rPr>
          <w:b w:val="0"/>
          <w:bCs w:val="0"/>
        </w:rPr>
      </w:pPr>
      <w:bookmarkStart w:name="（1）商誉账面原值" w:id="264"/>
      <w:bookmarkEnd w:id="264"/>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357"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1" w:hRule="exact"/>
        </w:trPr>
        <w:tc>
          <w:tcPr>
            <w:tcW w:w="1367" w:type="dxa"/>
            <w:vMerge/>
            <w:tcBorders>
              <w:left w:val="single" w:sz="4" w:space="0" w:color="000000"/>
              <w:right w:val="single" w:sz="4" w:space="0" w:color="000000"/>
            </w:tcBorders>
            <w:shd w:val="clear" w:color="auto" w:fill="D2D2D2"/>
          </w:tcPr>
          <w:p>
            <w:pPr/>
          </w:p>
        </w:tc>
        <w:tc>
          <w:tcPr>
            <w:tcW w:w="13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9" w:space="0" w:color="D2D2D2"/>
              <w:right w:val="single" w:sz="9" w:space="0" w:color="D2D2D2"/>
            </w:tcBorders>
            <w:shd w:val="clear" w:color="auto" w:fill="E0FFF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10" w:space="0" w:color="D2D2D2"/>
              <w:right w:val="single" w:sz="9" w:space="0" w:color="D2D2D2"/>
            </w:tcBorders>
            <w:shd w:val="clear" w:color="auto" w:fill="E0FFF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1367" w:type="dxa"/>
            <w:vMerge/>
            <w:tcBorders>
              <w:left w:val="single" w:sz="4" w:space="0" w:color="000000"/>
              <w:right w:val="single" w:sz="4" w:space="0" w:color="000000"/>
            </w:tcBorders>
            <w:shd w:val="clear" w:color="auto" w:fill="D2D2D2"/>
          </w:tcPr>
          <w:p>
            <w:pPr/>
          </w:p>
        </w:tc>
        <w:tc>
          <w:tcPr>
            <w:tcW w:w="1367"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9"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7" w:type="dxa"/>
            <w:vMerge/>
            <w:tcBorders>
              <w:left w:val="single" w:sz="9" w:space="0" w:color="D2D2D2"/>
              <w:right w:val="single" w:sz="9" w:space="0" w:color="D2D2D2"/>
            </w:tcBorders>
            <w:shd w:val="clear" w:color="auto" w:fill="E0FFFF"/>
          </w:tcPr>
          <w:p>
            <w:pPr/>
          </w:p>
        </w:tc>
        <w:tc>
          <w:tcPr>
            <w:tcW w:w="13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vMerge/>
            <w:tcBorders>
              <w:left w:val="single" w:sz="10" w:space="0" w:color="D2D2D2"/>
              <w:right w:val="single" w:sz="9" w:space="0" w:color="D2D2D2"/>
            </w:tcBorders>
            <w:shd w:val="clear" w:color="auto" w:fill="E0FFFF"/>
          </w:tcPr>
          <w:p>
            <w:pPr/>
          </w:p>
        </w:tc>
        <w:tc>
          <w:tcPr>
            <w:tcW w:w="1367"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9" w:space="0" w:color="D2D2D2"/>
              <w:bottom w:val="single" w:sz="4" w:space="0" w:color="000000"/>
              <w:right w:val="single" w:sz="9" w:space="0" w:color="D2D2D2"/>
            </w:tcBorders>
            <w:shd w:val="clear" w:color="auto" w:fill="E0FFFF"/>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10" w:space="0" w:color="D2D2D2"/>
              <w:bottom w:val="single" w:sz="4" w:space="0" w:color="000000"/>
              <w:right w:val="single" w:sz="9" w:space="0" w:color="D2D2D2"/>
            </w:tcBorders>
            <w:shd w:val="clear" w:color="auto" w:fill="E0FFFF"/>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沈阳金建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25,819,827.09</w:t>
            </w:r>
          </w:p>
        </w:tc>
        <w:tc>
          <w:tcPr>
            <w:tcW w:w="1368" w:type="dxa"/>
            <w:tcBorders>
              <w:top w:val="single" w:sz="48" w:space="0" w:color="D2D2D2"/>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8" w:space="0" w:color="D2D2D2"/>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25,819,827.09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上海英吉森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8,089,254.51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8,089,254.51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英吉森消防</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2,849,315.29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0" w:right="0"/>
              <w:jc w:val="left"/>
              <w:rPr>
                <w:rFonts w:ascii="Times New Roman" w:hAnsi="Times New Roman" w:cs="Times New Roman" w:eastAsia="Times New Roman" w:hint="default"/>
                <w:sz w:val="18"/>
                <w:szCs w:val="18"/>
              </w:rPr>
            </w:pPr>
            <w:r>
              <w:rPr>
                <w:rFonts w:ascii="Times New Roman"/>
                <w:sz w:val="18"/>
              </w:rPr>
              <w:t>2,849,315.29</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嘉园环保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222,690,686.33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222,690,686.33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鞍山易兴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14,419,607.42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14,419,607.42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高新供水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1,131,181.30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1,131,181.30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广东龙泉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16,546,736.87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16,546,736.87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雪城软件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16,485,863.87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16,485,863.87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和阳环境</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2,539,079.66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2,539,079.66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德析检测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1,582,761.39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1,582,761.39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百隆建筑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35,701,881.83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35,701,881.83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苏州能斯达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6,284,914.80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6,284,914.80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汉威智源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62,204,126.28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62,204,126.28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416,345,236.64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0" w:right="0"/>
              <w:jc w:val="left"/>
              <w:rPr>
                <w:rFonts w:ascii="Times New Roman" w:hAnsi="Times New Roman" w:cs="Times New Roman" w:eastAsia="Times New Roman" w:hint="default"/>
                <w:sz w:val="18"/>
                <w:szCs w:val="18"/>
              </w:rPr>
            </w:pPr>
            <w:r>
              <w:rPr>
                <w:rFonts w:ascii="Times New Roman"/>
                <w:sz w:val="18"/>
              </w:rPr>
              <w:t>2,849,315.29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413,495,921.35</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商誉减值准备" w:id="265"/>
      <w:bookmarkEnd w:id="265"/>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嘉园环保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34,759,350.26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34,759,350.26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苏州能斯达</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6,284,914.80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6,284,914.80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88" w:right="0"/>
              <w:jc w:val="left"/>
              <w:rPr>
                <w:rFonts w:ascii="Times New Roman" w:hAnsi="Times New Roman" w:cs="Times New Roman" w:eastAsia="Times New Roman" w:hint="default"/>
                <w:sz w:val="18"/>
                <w:szCs w:val="18"/>
              </w:rPr>
            </w:pPr>
            <w:r>
              <w:rPr>
                <w:rFonts w:ascii="Times New Roman"/>
                <w:sz w:val="18"/>
              </w:rPr>
              <w:t>34,759,350.26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6,284,914.80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41,044,265.06</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说明商誉减值测试过程、参数及商誉减值损失的确认方法：</w:t>
      </w:r>
    </w:p>
    <w:p>
      <w:pPr>
        <w:spacing w:line="240" w:lineRule="auto" w:before="12"/>
        <w:rPr>
          <w:rFonts w:ascii="宋体" w:hAnsi="宋体" w:cs="宋体" w:eastAsia="宋体" w:hint="default"/>
          <w:sz w:val="12"/>
          <w:szCs w:val="12"/>
        </w:rPr>
      </w:pPr>
    </w:p>
    <w:p>
      <w:pPr>
        <w:pStyle w:val="BodyText"/>
        <w:spacing w:line="408" w:lineRule="auto" w:before="0"/>
        <w:ind w:left="1134" w:right="1131" w:firstLine="420"/>
        <w:jc w:val="both"/>
      </w:pPr>
      <w:r>
        <w:rPr>
          <w:spacing w:val="-1"/>
        </w:rPr>
        <w:t>报告期末商誉为公司以非同一控制下企业合并方式购买子公司产生的商誉。公司将商誉在所收购子公</w:t>
      </w:r>
      <w:r>
        <w:rPr/>
        <w:t> </w:t>
      </w:r>
      <w:r>
        <w:rPr>
          <w:spacing w:val="-1"/>
        </w:rPr>
        <w:t>司的全部资产确定为一个资产组组合，根据预期产品销售收入、成本及其他相关费用，采用现金流量预测</w:t>
      </w:r>
      <w:r>
        <w:rPr>
          <w:spacing w:val="-83"/>
        </w:rPr>
        <w:t> </w:t>
      </w:r>
      <w:r>
        <w:rPr>
          <w:spacing w:val="-83"/>
        </w:rPr>
      </w:r>
      <w:r>
        <w:rPr>
          <w:spacing w:val="-1"/>
        </w:rPr>
        <w:t>方法和能够反映相关资产组组合的特定风险的折现率，以分析资产组组合的可收回金额。公司相信这些重</w:t>
      </w:r>
      <w:r>
        <w:rPr>
          <w:spacing w:val="-81"/>
        </w:rPr>
        <w:t> </w:t>
      </w:r>
      <w:r>
        <w:rPr>
          <w:spacing w:val="-81"/>
        </w:rPr>
      </w:r>
      <w:r>
        <w:rPr/>
        <w:t>要假设的任何重大变化都有可能会引起资产组组合的账面价值超过其可收回金额。</w:t>
      </w:r>
    </w:p>
    <w:p>
      <w:pPr>
        <w:pStyle w:val="BodyText"/>
        <w:spacing w:line="393" w:lineRule="auto" w:before="84"/>
        <w:ind w:right="1130" w:firstLine="420"/>
        <w:jc w:val="both"/>
      </w:pPr>
      <w:r>
        <w:rPr/>
        <w:t>公司于</w:t>
      </w:r>
      <w:r>
        <w:rPr>
          <w:spacing w:val="-50"/>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年收购苏州能斯达时形成商誉</w:t>
      </w:r>
      <w:r>
        <w:rPr>
          <w:spacing w:val="-50"/>
        </w:rPr>
        <w:t> </w:t>
      </w:r>
      <w:r>
        <w:rPr>
          <w:rFonts w:ascii="Times New Roman" w:hAnsi="Times New Roman" w:cs="Times New Roman" w:eastAsia="Times New Roman" w:hint="default"/>
        </w:rPr>
        <w:t>628.49</w:t>
      </w:r>
      <w:r>
        <w:rPr>
          <w:rFonts w:ascii="Times New Roman" w:hAnsi="Times New Roman" w:cs="Times New Roman" w:eastAsia="Times New Roman" w:hint="default"/>
          <w:spacing w:val="3"/>
        </w:rPr>
        <w:t> </w:t>
      </w:r>
      <w:r>
        <w:rPr/>
        <w:t>万元，苏州能斯达</w:t>
      </w:r>
      <w:r>
        <w:rPr>
          <w:spacing w:val="-50"/>
        </w:rPr>
        <w:t> </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w:t>
      </w:r>
      <w:r>
        <w:rPr>
          <w:rFonts w:ascii="Times New Roman" w:hAnsi="Times New Roman" w:cs="Times New Roman" w:eastAsia="Times New Roman" w:hint="default"/>
        </w:rPr>
        <w:t>2016</w:t>
      </w:r>
      <w:r>
        <w:rPr>
          <w:rFonts w:ascii="Times New Roman" w:hAnsi="Times New Roman" w:cs="Times New Roman" w:eastAsia="Times New Roman" w:hint="default"/>
          <w:spacing w:val="4"/>
        </w:rPr>
        <w:t> </w:t>
      </w:r>
      <w:r>
        <w:rPr/>
        <w:t>年、</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年净利 润分别为</w:t>
      </w:r>
      <w:r>
        <w:rPr>
          <w:rFonts w:ascii="Times New Roman" w:hAnsi="Times New Roman" w:cs="Times New Roman" w:eastAsia="Times New Roman" w:hint="default"/>
        </w:rPr>
        <w:t>-116.26 </w:t>
      </w:r>
      <w:r>
        <w:rPr/>
        <w:t>万元、</w:t>
      </w:r>
      <w:r>
        <w:rPr>
          <w:rFonts w:ascii="Times New Roman" w:hAnsi="Times New Roman" w:cs="Times New Roman" w:eastAsia="Times New Roman" w:hint="default"/>
        </w:rPr>
        <w:t>-93.25 </w:t>
      </w:r>
      <w:r>
        <w:rPr/>
        <w:t>万元、</w:t>
      </w:r>
      <w:r>
        <w:rPr>
          <w:rFonts w:ascii="Times New Roman" w:hAnsi="Times New Roman" w:cs="Times New Roman" w:eastAsia="Times New Roman" w:hint="default"/>
        </w:rPr>
        <w:t>-356.59</w:t>
      </w:r>
      <w:r>
        <w:rPr>
          <w:rFonts w:ascii="Times New Roman" w:hAnsi="Times New Roman" w:cs="Times New Roman" w:eastAsia="Times New Roman" w:hint="default"/>
          <w:spacing w:val="25"/>
        </w:rPr>
        <w:t> </w:t>
      </w:r>
      <w:r>
        <w:rPr/>
        <w:t>万元。本年度公司对苏州能斯达业务资产组进行减值测试， </w:t>
      </w:r>
      <w:r>
        <w:rPr>
          <w:spacing w:val="-1"/>
        </w:rPr>
        <w:t>根据苏州能斯达盈利预测，采用现金流量预测方法和能够反映相关资产组组合的特定风险的折现率，选择</w:t>
      </w:r>
      <w:r>
        <w:rPr>
          <w:spacing w:val="-81"/>
        </w:rPr>
        <w:t> </w:t>
      </w:r>
      <w:r>
        <w:rPr>
          <w:spacing w:val="-81"/>
        </w:rPr>
      </w:r>
      <w:r>
        <w:rPr/>
        <w:t>收益法确定的苏州能斯达可收回价值</w:t>
      </w:r>
      <w:r>
        <w:rPr>
          <w:spacing w:val="-51"/>
        </w:rPr>
        <w:t> </w:t>
      </w:r>
      <w:r>
        <w:rPr>
          <w:rFonts w:ascii="Times New Roman" w:hAnsi="Times New Roman" w:cs="Times New Roman" w:eastAsia="Times New Roman" w:hint="default"/>
        </w:rPr>
        <w:t>460.13</w:t>
      </w:r>
      <w:r>
        <w:rPr>
          <w:rFonts w:ascii="Times New Roman" w:hAnsi="Times New Roman" w:cs="Times New Roman" w:eastAsia="Times New Roman" w:hint="default"/>
          <w:spacing w:val="2"/>
        </w:rPr>
        <w:t> </w:t>
      </w:r>
      <w:r>
        <w:rPr>
          <w:spacing w:val="-3"/>
        </w:rPr>
        <w:t>万元。资产组的可收回金额低于其账面价值，确认商誉的减值</w:t>
      </w:r>
    </w:p>
    <w:p>
      <w:pPr>
        <w:pStyle w:val="BodyText"/>
        <w:spacing w:line="240" w:lineRule="auto" w:before="29"/>
        <w:ind w:right="0"/>
        <w:jc w:val="left"/>
      </w:pPr>
      <w:r>
        <w:rPr/>
        <w:t>损失</w:t>
      </w:r>
      <w:r>
        <w:rPr>
          <w:spacing w:val="-53"/>
        </w:rPr>
        <w:t> </w:t>
      </w:r>
      <w:r>
        <w:rPr>
          <w:rFonts w:ascii="Times New Roman" w:hAnsi="Times New Roman" w:cs="Times New Roman" w:eastAsia="Times New Roman" w:hint="default"/>
        </w:rPr>
        <w:t>628.49 </w:t>
      </w:r>
      <w:r>
        <w:rPr/>
        <w:t>万元。</w:t>
      </w:r>
    </w:p>
    <w:p>
      <w:pPr>
        <w:spacing w:before="164"/>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left="1134" w:right="0"/>
        <w:jc w:val="left"/>
        <w:rPr>
          <w:b w:val="0"/>
          <w:bCs w:val="0"/>
        </w:rPr>
      </w:pPr>
      <w:bookmarkStart w:name="19、长期待摊费用" w:id="266"/>
      <w:bookmarkEnd w:id="266"/>
      <w:r>
        <w:rPr>
          <w:b w:val="0"/>
          <w:bCs w:val="0"/>
        </w:rPr>
      </w:r>
      <w:r>
        <w:rPr>
          <w:rFonts w:ascii="Times New Roman" w:hAnsi="Times New Roman" w:cs="Times New Roman" w:eastAsia="Times New Roman" w:hint="default"/>
        </w:rPr>
        <w:t>19</w:t>
      </w:r>
      <w:r>
        <w:rPr/>
        <w:t>、长期待摊费用</w:t>
      </w:r>
      <w:r>
        <w:rPr>
          <w:b w:val="0"/>
          <w:bCs w:val="0"/>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融资顾问费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33,666,666.73</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3,999,999.96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29,666,666.77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4,919,035.85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6,257,970.82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1,818,030.49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9,358,976.18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220,400.00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1,788,517.45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334,900.78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82,500.00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1,591,516.67</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38,806,102.58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8,046,488.27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6,152,931.23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82,500.00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40,617,159.62</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0、递延所得税资产/递延所得税负债" w:id="267"/>
      <w:bookmarkEnd w:id="267"/>
      <w:r>
        <w:rPr>
          <w:b w:val="0"/>
          <w:bCs w:val="0"/>
        </w:rPr>
      </w:r>
      <w:r>
        <w:rPr>
          <w:rFonts w:ascii="Times New Roman" w:hAnsi="Times New Roman" w:cs="Times New Roman" w:eastAsia="Times New Roman" w:hint="default"/>
        </w:rPr>
        <w:t>20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未经抵销的递延所得税资产" w:id="268"/>
      <w:bookmarkEnd w:id="268"/>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5"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73,003,753.75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12,621,503.86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55,260,898.17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8,675,672.46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38,952,412.49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9,846,347.39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34,980,841.94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8,311,413.93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45,562,201.47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7,026,461.48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50,844,162.52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7,807,237.97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358,602,073.40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88,621,529.66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159,007,876.14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39,203,686.75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64,217.87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9,632.68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64,217.87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9,632.68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516,184,658.98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0"/>
              <w:jc w:val="right"/>
              <w:rPr>
                <w:rFonts w:ascii="Times New Roman" w:hAnsi="Times New Roman" w:cs="Times New Roman" w:eastAsia="Times New Roman" w:hint="default"/>
                <w:sz w:val="12"/>
                <w:szCs w:val="12"/>
              </w:rPr>
            </w:pPr>
            <w:r>
              <w:rPr>
                <w:rFonts w:ascii="Times New Roman"/>
                <w:spacing w:val="-1"/>
                <w:sz w:val="18"/>
              </w:rPr>
              <w:t>118,125,475.07</w:t>
            </w:r>
            <w:r>
              <w:rPr>
                <w:rFonts w:ascii="Times New Roman"/>
                <w:color w:val="FF0000"/>
                <w:spacing w:val="-1"/>
                <w:position w:val="8"/>
                <w:sz w:val="12"/>
              </w:rPr>
              <w:t>1</w:t>
            </w:r>
            <w:r>
              <w:rPr>
                <w:rFonts w:ascii="Times New Roman"/>
                <w:spacing w:val="-1"/>
                <w:sz w:val="12"/>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300,157,996.64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64,007,643.79</w:t>
            </w:r>
          </w:p>
        </w:tc>
      </w:tr>
    </w:tbl>
    <w:p>
      <w:pPr>
        <w:pStyle w:val="BodyText"/>
        <w:spacing w:line="240" w:lineRule="auto" w:before="63"/>
        <w:ind w:left="1554" w:right="0"/>
        <w:jc w:val="left"/>
      </w:pPr>
      <w:r>
        <w:rPr/>
        <w:t>注：</w:t>
      </w:r>
      <w:r>
        <w:rPr>
          <w:rFonts w:ascii="宋体" w:hAnsi="宋体" w:cs="宋体" w:eastAsia="宋体" w:hint="default"/>
        </w:rPr>
        <w:t>1 </w:t>
      </w:r>
      <w:r>
        <w:rPr/>
        <w:t>递延所得税资产较期初增加</w:t>
      </w:r>
      <w:r>
        <w:rPr>
          <w:spacing w:val="-56"/>
        </w:rPr>
        <w:t> </w:t>
      </w:r>
      <w:r>
        <w:rPr>
          <w:rFonts w:ascii="宋体" w:hAnsi="宋体" w:cs="宋体" w:eastAsia="宋体" w:hint="default"/>
        </w:rPr>
        <w:t>84.55%</w:t>
      </w:r>
      <w:r>
        <w:rPr/>
        <w:t>，主要系公司收到政府补助增加所致。</w:t>
      </w:r>
    </w:p>
    <w:p>
      <w:pPr>
        <w:spacing w:line="240" w:lineRule="auto" w:before="0"/>
        <w:rPr>
          <w:rFonts w:ascii="宋体" w:hAnsi="宋体" w:cs="宋体" w:eastAsia="宋体" w:hint="default"/>
          <w:sz w:val="20"/>
          <w:szCs w:val="20"/>
        </w:rPr>
      </w:pPr>
    </w:p>
    <w:p>
      <w:pPr>
        <w:pStyle w:val="Heading4"/>
        <w:spacing w:line="240" w:lineRule="auto" w:before="154"/>
        <w:ind w:left="1134" w:right="0"/>
        <w:jc w:val="left"/>
        <w:rPr>
          <w:b w:val="0"/>
          <w:bCs w:val="0"/>
        </w:rPr>
      </w:pPr>
      <w:bookmarkStart w:name="（2）未经抵销的递延所得税负债" w:id="269"/>
      <w:bookmarkEnd w:id="269"/>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118,445,206.38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22,039,595.64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136,736,458.65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25,359,497.83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118,445,206.38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22,039,595.64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136,736,458.65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25,359,497.83</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3）以抵销后净额列示的递延所得税资产或负债" w:id="270"/>
      <w:bookmarkEnd w:id="270"/>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161"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118,125,475.07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64,007,643.79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22,039,595.64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25,359,497.83</w:t>
            </w:r>
          </w:p>
        </w:tc>
      </w:tr>
    </w:tbl>
    <w:p>
      <w:pPr>
        <w:spacing w:line="240" w:lineRule="auto" w:before="3"/>
        <w:rPr>
          <w:rFonts w:ascii="宋体" w:hAnsi="宋体" w:cs="宋体" w:eastAsia="宋体" w:hint="default"/>
          <w:sz w:val="19"/>
          <w:szCs w:val="19"/>
        </w:rPr>
      </w:pPr>
    </w:p>
    <w:p>
      <w:pPr>
        <w:pStyle w:val="Heading4"/>
        <w:spacing w:line="240" w:lineRule="auto" w:before="35"/>
        <w:ind w:left="1134" w:right="0"/>
        <w:jc w:val="left"/>
        <w:rPr>
          <w:b w:val="0"/>
          <w:bCs w:val="0"/>
        </w:rPr>
      </w:pPr>
      <w:bookmarkStart w:name="21、其他非流动资产" w:id="271"/>
      <w:bookmarkEnd w:id="271"/>
      <w:r>
        <w:rPr>
          <w:b w:val="0"/>
          <w:bCs w:val="0"/>
        </w:rPr>
      </w:r>
      <w:r>
        <w:rPr>
          <w:rFonts w:ascii="Times New Roman" w:hAnsi="Times New Roman" w:cs="Times New Roman" w:eastAsia="Times New Roman" w:hint="default"/>
        </w:rPr>
        <w:t>21</w:t>
      </w:r>
      <w:r>
        <w:rPr/>
        <w:t>、其他非流动资产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BOT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运营维护保证金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5,507,078.40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5,507,078.40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预付房地产购置款项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152,293,780.00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399,282.05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5,507,078.40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158,200,140.45</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12"/>
          <w:szCs w:val="12"/>
        </w:rPr>
      </w:pPr>
    </w:p>
    <w:p>
      <w:pPr>
        <w:pStyle w:val="BodyText"/>
        <w:spacing w:line="240" w:lineRule="auto" w:before="0"/>
        <w:ind w:left="1554" w:right="0"/>
        <w:jc w:val="left"/>
      </w:pPr>
      <w:r>
        <w:rPr/>
        <w:t>其他非流动资产较期初较少</w:t>
      </w:r>
      <w:r>
        <w:rPr>
          <w:spacing w:val="-52"/>
        </w:rPr>
        <w:t> </w:t>
      </w:r>
      <w:r>
        <w:rPr>
          <w:rFonts w:ascii="宋体" w:hAnsi="宋体" w:cs="宋体" w:eastAsia="宋体" w:hint="default"/>
        </w:rPr>
        <w:t>96.52%</w:t>
      </w:r>
      <w:r>
        <w:rPr/>
        <w:t>，主要系公司预付的房地产购置款结清所致。</w:t>
      </w:r>
    </w:p>
    <w:p>
      <w:pPr>
        <w:spacing w:line="240" w:lineRule="auto" w:before="0"/>
        <w:rPr>
          <w:rFonts w:ascii="宋体" w:hAnsi="宋体" w:cs="宋体" w:eastAsia="宋体" w:hint="default"/>
          <w:sz w:val="20"/>
          <w:szCs w:val="20"/>
        </w:rPr>
      </w:pPr>
    </w:p>
    <w:p>
      <w:pPr>
        <w:pStyle w:val="Heading4"/>
        <w:spacing w:line="240" w:lineRule="auto" w:before="154"/>
        <w:ind w:right="0"/>
        <w:jc w:val="left"/>
        <w:rPr>
          <w:b w:val="0"/>
          <w:bCs w:val="0"/>
        </w:rPr>
      </w:pPr>
      <w:bookmarkStart w:name="22、短期借款" w:id="272"/>
      <w:bookmarkEnd w:id="272"/>
      <w:r>
        <w:rPr>
          <w:b w:val="0"/>
          <w:bCs w:val="0"/>
        </w:rPr>
      </w:r>
      <w:r>
        <w:rPr>
          <w:rFonts w:ascii="Times New Roman" w:hAnsi="Times New Roman" w:cs="Times New Roman" w:eastAsia="Times New Roman" w:hint="default"/>
        </w:rPr>
        <w:t>22</w:t>
      </w:r>
      <w:r>
        <w:rPr/>
        <w:t>、短期借款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1）短期借款分类" w:id="273"/>
      <w:bookmarkEnd w:id="273"/>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192,000,000.00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271,000,000.00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2"/>
                <w:szCs w:val="12"/>
              </w:rPr>
            </w:pPr>
            <w:r>
              <w:rPr>
                <w:rFonts w:ascii="Times New Roman"/>
                <w:spacing w:val="-1"/>
                <w:sz w:val="18"/>
              </w:rPr>
              <w:t>229,500,000.00</w:t>
            </w:r>
            <w:r>
              <w:rPr>
                <w:rFonts w:ascii="Times New Roman"/>
                <w:color w:val="FF0000"/>
                <w:spacing w:val="-1"/>
                <w:position w:val="8"/>
                <w:sz w:val="12"/>
              </w:rPr>
              <w:t>1</w:t>
            </w:r>
            <w:r>
              <w:rPr>
                <w:rFonts w:ascii="Times New Roman"/>
                <w:spacing w:val="-1"/>
                <w:sz w:val="12"/>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376,000,000.00</w:t>
            </w:r>
          </w:p>
        </w:tc>
      </w:tr>
    </w:tbl>
    <w:p>
      <w:pPr>
        <w:pStyle w:val="BodyText"/>
        <w:spacing w:line="240" w:lineRule="auto" w:before="63"/>
        <w:ind w:left="1554" w:right="0"/>
        <w:jc w:val="left"/>
      </w:pPr>
      <w:r>
        <w:rPr/>
        <w:t>注：</w:t>
      </w:r>
      <w:r>
        <w:rPr>
          <w:rFonts w:ascii="宋体" w:hAnsi="宋体" w:cs="宋体" w:eastAsia="宋体" w:hint="default"/>
        </w:rPr>
        <w:t>1 </w:t>
      </w:r>
      <w:r>
        <w:rPr/>
        <w:t>短期借款较期初减少</w:t>
      </w:r>
      <w:r>
        <w:rPr>
          <w:spacing w:val="-54"/>
        </w:rPr>
        <w:t> </w:t>
      </w:r>
      <w:r>
        <w:rPr>
          <w:rFonts w:ascii="宋体" w:hAnsi="宋体" w:cs="宋体" w:eastAsia="宋体" w:hint="default"/>
        </w:rPr>
        <w:t>38.96%</w:t>
      </w:r>
      <w:r>
        <w:rPr/>
        <w:t>，主要系公司统筹规划调整了贷款结构所致。</w:t>
      </w:r>
    </w:p>
    <w:p>
      <w:pPr>
        <w:spacing w:line="240" w:lineRule="auto" w:before="11"/>
        <w:rPr>
          <w:rFonts w:ascii="宋体" w:hAnsi="宋体" w:cs="宋体" w:eastAsia="宋体" w:hint="default"/>
          <w:sz w:val="13"/>
          <w:szCs w:val="13"/>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3、应付票据" w:id="274"/>
      <w:bookmarkEnd w:id="274"/>
      <w:r>
        <w:rPr>
          <w:b w:val="0"/>
          <w:bCs w:val="0"/>
        </w:rPr>
      </w:r>
      <w:r>
        <w:rPr>
          <w:rFonts w:ascii="Times New Roman" w:hAnsi="Times New Roman" w:cs="Times New Roman" w:eastAsia="Times New Roman" w:hint="default"/>
        </w:rPr>
        <w:t>23</w:t>
      </w:r>
      <w:r>
        <w:rPr/>
        <w:t>、应付票据</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11,532,073.00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9"/>
              <w:jc w:val="right"/>
              <w:rPr>
                <w:rFonts w:ascii="Times New Roman" w:hAnsi="Times New Roman" w:cs="Times New Roman" w:eastAsia="Times New Roman" w:hint="default"/>
                <w:sz w:val="12"/>
                <w:szCs w:val="12"/>
              </w:rPr>
            </w:pPr>
            <w:r>
              <w:rPr>
                <w:rFonts w:ascii="Times New Roman"/>
                <w:spacing w:val="-1"/>
                <w:sz w:val="18"/>
              </w:rPr>
              <w:t>11,532,073.00</w:t>
            </w:r>
            <w:r>
              <w:rPr>
                <w:rFonts w:ascii="Times New Roman"/>
                <w:color w:val="FF0000"/>
                <w:spacing w:val="-1"/>
                <w:position w:val="8"/>
                <w:sz w:val="12"/>
              </w:rPr>
              <w:t>1</w:t>
            </w:r>
            <w:r>
              <w:rPr>
                <w:rFonts w:ascii="Times New Roman"/>
                <w:spacing w:val="-1"/>
                <w:sz w:val="12"/>
              </w:rPr>
            </w:r>
          </w:p>
        </w:tc>
      </w:tr>
    </w:tbl>
    <w:p>
      <w:pPr>
        <w:pStyle w:val="BodyText"/>
        <w:spacing w:line="408" w:lineRule="auto" w:before="63"/>
        <w:ind w:left="1553" w:right="3773"/>
        <w:jc w:val="left"/>
      </w:pPr>
      <w:r>
        <w:rPr/>
        <w:t>注：</w:t>
      </w:r>
      <w:r>
        <w:rPr>
          <w:rFonts w:ascii="宋体" w:hAnsi="宋体" w:cs="宋体" w:eastAsia="宋体" w:hint="default"/>
        </w:rPr>
        <w:t>1 </w:t>
      </w:r>
      <w:r>
        <w:rPr/>
        <w:t>应付票据较期初减少</w:t>
      </w:r>
      <w:r>
        <w:rPr>
          <w:spacing w:val="-55"/>
        </w:rPr>
        <w:t> </w:t>
      </w:r>
      <w:r>
        <w:rPr>
          <w:rFonts w:ascii="宋体" w:hAnsi="宋体" w:cs="宋体" w:eastAsia="宋体" w:hint="default"/>
        </w:rPr>
        <w:t>100%</w:t>
      </w:r>
      <w:r>
        <w:rPr/>
        <w:t>，主要是因为公司票据到期结清所致。 本期末已到期未支付的应付票据总额为</w:t>
      </w:r>
      <w:r>
        <w:rPr>
          <w:spacing w:val="-54"/>
        </w:rPr>
        <w:t> </w:t>
      </w:r>
      <w:r>
        <w:rPr>
          <w:rFonts w:ascii="宋体" w:hAnsi="宋体" w:cs="宋体" w:eastAsia="宋体" w:hint="default"/>
        </w:rPr>
        <w:t>0.00</w:t>
      </w:r>
      <w:r>
        <w:rPr>
          <w:rFonts w:ascii="宋体" w:hAnsi="宋体" w:cs="宋体" w:eastAsia="宋体" w:hint="default"/>
          <w:spacing w:val="-55"/>
        </w:rPr>
        <w:t> </w:t>
      </w:r>
      <w:r>
        <w:rPr/>
        <w:t>元。</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bookmarkStart w:name="24、应付账款" w:id="275"/>
      <w:bookmarkEnd w:id="275"/>
      <w:r>
        <w:rPr>
          <w:b w:val="0"/>
          <w:bCs w:val="0"/>
        </w:rPr>
      </w:r>
      <w:r>
        <w:rPr>
          <w:rFonts w:ascii="Times New Roman" w:hAnsi="Times New Roman" w:cs="Times New Roman" w:eastAsia="Times New Roman" w:hint="default"/>
        </w:rPr>
        <w:t>24</w:t>
      </w:r>
      <w:r>
        <w:rPr/>
        <w:t>、应付账款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1）应付账款列示" w:id="276"/>
      <w:bookmarkEnd w:id="276"/>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5" w:right="0"/>
              <w:jc w:val="left"/>
              <w:rPr>
                <w:rFonts w:ascii="Times New Roman" w:hAnsi="Times New Roman" w:cs="Times New Roman" w:eastAsia="Times New Roman" w:hint="default"/>
                <w:sz w:val="18"/>
                <w:szCs w:val="18"/>
              </w:rPr>
            </w:pPr>
            <w:r>
              <w:rPr>
                <w:rFonts w:ascii="Times New Roman"/>
                <w:sz w:val="18"/>
              </w:rPr>
              <w:t>324,868,290.77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2" w:right="0"/>
              <w:jc w:val="left"/>
              <w:rPr>
                <w:rFonts w:ascii="Times New Roman" w:hAnsi="Times New Roman" w:cs="Times New Roman" w:eastAsia="Times New Roman" w:hint="default"/>
                <w:sz w:val="18"/>
                <w:szCs w:val="18"/>
              </w:rPr>
            </w:pPr>
            <w:r>
              <w:rPr>
                <w:rFonts w:ascii="Times New Roman"/>
                <w:sz w:val="18"/>
              </w:rPr>
              <w:t>236,680,161.71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81,529,660.00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63,802,070.79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0"/>
              <w:jc w:val="right"/>
              <w:rPr>
                <w:rFonts w:ascii="Times New Roman" w:hAnsi="Times New Roman" w:cs="Times New Roman" w:eastAsia="Times New Roman" w:hint="default"/>
                <w:sz w:val="12"/>
                <w:szCs w:val="12"/>
              </w:rPr>
            </w:pPr>
            <w:r>
              <w:rPr>
                <w:rFonts w:ascii="Times New Roman"/>
                <w:spacing w:val="-1"/>
                <w:sz w:val="18"/>
              </w:rPr>
              <w:t>406,397,950.77</w:t>
            </w:r>
            <w:r>
              <w:rPr>
                <w:rFonts w:ascii="Times New Roman"/>
                <w:color w:val="FF0000"/>
                <w:spacing w:val="-1"/>
                <w:position w:val="8"/>
                <w:sz w:val="12"/>
              </w:rPr>
              <w:t>1</w:t>
            </w:r>
            <w:r>
              <w:rPr>
                <w:rFonts w:ascii="Times New Roman"/>
                <w:spacing w:val="-1"/>
                <w:sz w:val="12"/>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300,482,232.50</w:t>
            </w:r>
          </w:p>
        </w:tc>
      </w:tr>
    </w:tbl>
    <w:p>
      <w:pPr>
        <w:pStyle w:val="BodyText"/>
        <w:spacing w:line="240" w:lineRule="auto" w:before="63"/>
        <w:ind w:left="1554" w:right="0"/>
        <w:jc w:val="left"/>
      </w:pPr>
      <w:r>
        <w:rPr/>
        <w:t>注：</w:t>
      </w:r>
      <w:r>
        <w:rPr>
          <w:rFonts w:ascii="宋体" w:hAnsi="宋体" w:cs="宋体" w:eastAsia="宋体" w:hint="default"/>
        </w:rPr>
        <w:t>1 </w:t>
      </w:r>
      <w:r>
        <w:rPr/>
        <w:t>应付账款较期初增加</w:t>
      </w:r>
      <w:r>
        <w:rPr>
          <w:spacing w:val="-54"/>
        </w:rPr>
        <w:t> </w:t>
      </w:r>
      <w:r>
        <w:rPr>
          <w:rFonts w:ascii="宋体" w:hAnsi="宋体" w:cs="宋体" w:eastAsia="宋体" w:hint="default"/>
        </w:rPr>
        <w:t>35.25%</w:t>
      </w:r>
      <w:r>
        <w:rPr/>
        <w:t>，主要系公司本期业务增长所致。</w:t>
      </w:r>
    </w:p>
    <w:p>
      <w:pPr>
        <w:spacing w:line="240" w:lineRule="auto" w:before="0"/>
        <w:rPr>
          <w:rFonts w:ascii="宋体" w:hAnsi="宋体" w:cs="宋体" w:eastAsia="宋体" w:hint="default"/>
          <w:sz w:val="20"/>
          <w:szCs w:val="20"/>
        </w:rPr>
      </w:pPr>
    </w:p>
    <w:p>
      <w:pPr>
        <w:pStyle w:val="Heading4"/>
        <w:spacing w:line="240" w:lineRule="auto" w:before="155"/>
        <w:ind w:right="0"/>
        <w:jc w:val="left"/>
        <w:rPr>
          <w:b w:val="0"/>
          <w:bCs w:val="0"/>
        </w:rPr>
      </w:pPr>
      <w:bookmarkStart w:name="（2）账龄超过1年的重要应付账款" w:id="277"/>
      <w:bookmarkEnd w:id="277"/>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970"/>
        <w:gridCol w:w="2411"/>
        <w:gridCol w:w="3189"/>
      </w:tblGrid>
      <w:tr>
        <w:trPr>
          <w:trHeight w:val="402" w:hRule="exact"/>
        </w:trPr>
        <w:tc>
          <w:tcPr>
            <w:tcW w:w="3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欧好光电控制技术（上海）股份有限公司</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10,199,520.30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尚未达到付款条件</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郑州水业工程有限公司</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尚未最终结算</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福州青隆建筑工程有限公司</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5,420,403.27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尚未最终结算</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26,619,923.57</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5、预收款项" w:id="278"/>
      <w:bookmarkEnd w:id="278"/>
      <w:r>
        <w:rPr>
          <w:b w:val="0"/>
          <w:bCs w:val="0"/>
        </w:rPr>
      </w:r>
      <w:r>
        <w:rPr>
          <w:rFonts w:ascii="Times New Roman" w:hAnsi="Times New Roman" w:cs="Times New Roman" w:eastAsia="Times New Roman" w:hint="default"/>
        </w:rPr>
        <w:t>25</w:t>
      </w:r>
      <w:r>
        <w:rPr/>
        <w:t>、预收款项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1）预收款项列示" w:id="279"/>
      <w:bookmarkEnd w:id="279"/>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205,680,838.42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199,041,999.00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38,272,207.35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2,751,869.10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243,953,045.77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201,793,868.10</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账龄超过1年的重要预收款项" w:id="280"/>
      <w:bookmarkEnd w:id="280"/>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河南美景之州地产开发有限公司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11,848,436.02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工程项目开工延迟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河南天之东置业有限公司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11,262,126.28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工程项目开工延迟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23,110,562.30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6、应付职工薪酬" w:id="281"/>
      <w:bookmarkEnd w:id="281"/>
      <w:r>
        <w:rPr>
          <w:b w:val="0"/>
          <w:bCs w:val="0"/>
        </w:rPr>
      </w:r>
      <w:r>
        <w:rPr>
          <w:rFonts w:ascii="Times New Roman" w:hAnsi="Times New Roman" w:cs="Times New Roman" w:eastAsia="Times New Roman" w:hint="default"/>
        </w:rPr>
        <w:t>26</w:t>
      </w:r>
      <w:r>
        <w:rPr/>
        <w:t>、应付职工薪酬</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1）应付职工薪酬列示" w:id="282"/>
      <w:bookmarkEnd w:id="282"/>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10"/>
        <w:gridCol w:w="1702"/>
        <w:gridCol w:w="1631"/>
        <w:gridCol w:w="1914"/>
        <w:gridCol w:w="1903"/>
      </w:tblGrid>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5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410"/>
        <w:gridCol w:w="1702"/>
        <w:gridCol w:w="1631"/>
        <w:gridCol w:w="1914"/>
        <w:gridCol w:w="1914"/>
      </w:tblGrid>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24,848,095.24</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241,844,064.30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223,389,635.38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43,302,524.16</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二、离职后福利</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设定提存计划</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29,877.21</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14,141,075.67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14,146,699.61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24,253.27</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230,321.52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230,321.52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24,877,972.45</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256,215,461.49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237,766,656.51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0"/>
              <w:jc w:val="right"/>
              <w:rPr>
                <w:rFonts w:ascii="Times New Roman" w:hAnsi="Times New Roman" w:cs="Times New Roman" w:eastAsia="Times New Roman" w:hint="default"/>
                <w:sz w:val="12"/>
                <w:szCs w:val="12"/>
              </w:rPr>
            </w:pPr>
            <w:r>
              <w:rPr>
                <w:rFonts w:ascii="Times New Roman"/>
                <w:spacing w:val="-1"/>
                <w:sz w:val="18"/>
              </w:rPr>
              <w:t>43,326,777.43</w:t>
            </w:r>
            <w:r>
              <w:rPr>
                <w:rFonts w:ascii="Times New Roman"/>
                <w:color w:val="FF0000"/>
                <w:spacing w:val="-1"/>
                <w:position w:val="8"/>
                <w:sz w:val="12"/>
              </w:rPr>
              <w:t>1</w:t>
            </w:r>
            <w:r>
              <w:rPr>
                <w:rFonts w:ascii="Times New Roman"/>
                <w:spacing w:val="-1"/>
                <w:sz w:val="12"/>
              </w:rPr>
            </w:r>
          </w:p>
        </w:tc>
      </w:tr>
    </w:tbl>
    <w:p>
      <w:pPr>
        <w:pStyle w:val="BodyText"/>
        <w:spacing w:line="240" w:lineRule="auto" w:before="63"/>
        <w:ind w:left="1554" w:right="0"/>
        <w:jc w:val="left"/>
      </w:pPr>
      <w:r>
        <w:rPr/>
        <w:t>注：</w:t>
      </w:r>
      <w:r>
        <w:rPr>
          <w:rFonts w:ascii="宋体" w:hAnsi="宋体" w:cs="宋体" w:eastAsia="宋体" w:hint="default"/>
        </w:rPr>
        <w:t>1 </w:t>
      </w:r>
      <w:r>
        <w:rPr/>
        <w:t>应付职工薪酬较期初增加</w:t>
      </w:r>
      <w:r>
        <w:rPr>
          <w:spacing w:val="-56"/>
        </w:rPr>
        <w:t> </w:t>
      </w:r>
      <w:r>
        <w:rPr>
          <w:rFonts w:ascii="宋体" w:hAnsi="宋体" w:cs="宋体" w:eastAsia="宋体" w:hint="default"/>
        </w:rPr>
        <w:t>74.16%</w:t>
      </w:r>
      <w:r>
        <w:rPr/>
        <w:t>，主要系公司员工增加所致。</w:t>
      </w:r>
    </w:p>
    <w:p>
      <w:pPr>
        <w:spacing w:line="240" w:lineRule="auto" w:before="0"/>
        <w:rPr>
          <w:rFonts w:ascii="宋体" w:hAnsi="宋体" w:cs="宋体" w:eastAsia="宋体" w:hint="default"/>
          <w:sz w:val="20"/>
          <w:szCs w:val="20"/>
        </w:rPr>
      </w:pPr>
    </w:p>
    <w:p>
      <w:pPr>
        <w:pStyle w:val="Heading4"/>
        <w:spacing w:line="240" w:lineRule="auto" w:before="154"/>
        <w:ind w:right="0"/>
        <w:jc w:val="left"/>
        <w:rPr>
          <w:b w:val="0"/>
          <w:bCs w:val="0"/>
        </w:rPr>
      </w:pPr>
      <w:bookmarkStart w:name="（2）短期薪酬列示" w:id="283"/>
      <w:bookmarkEnd w:id="283"/>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24,442,636.86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218,266,173.28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199,694,257.08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43,014,553.06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115,538.02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8,416,072.65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8,531,610.67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28,586.16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7,573,633.95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7,590,818.91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11,401.20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27,021.33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6,324,796.70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6,341,695.53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10,122.50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305.60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612,066.20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612,158.70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213.10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1,259.23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636,771.05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636,964.68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1,065.60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39,319.00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5,128,752.59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5,125,859.59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42,212.00</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222,015.20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2,459,431.83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2,447,089.13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234,357.90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24,848,095.24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241,844,064.30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223,389,635.38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43,302,524.16</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3）设定提存计划列示" w:id="284"/>
      <w:bookmarkEnd w:id="284"/>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25,893.05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13,583,398.14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13,587,980.79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21,310.40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3,984.16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557,677.53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558,718.82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2,942.87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29,877.21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14,141,075.67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14,146,699.61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24,253.27</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7、应交税费" w:id="285"/>
      <w:bookmarkEnd w:id="285"/>
      <w:r>
        <w:rPr>
          <w:b w:val="0"/>
          <w:bCs w:val="0"/>
        </w:rPr>
      </w:r>
      <w:r>
        <w:rPr>
          <w:rFonts w:ascii="Times New Roman" w:hAnsi="Times New Roman" w:cs="Times New Roman" w:eastAsia="Times New Roman" w:hint="default"/>
        </w:rPr>
        <w:t>27</w:t>
      </w:r>
      <w:r>
        <w:rPr/>
        <w:t>、应交税费</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14,252,246.92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16,106,128.42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59,046,090.61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38,153,954.37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414,031.85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3,117,111.15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822,070.40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1,011,423.79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1,812,623.88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1,124,363.06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575,441.60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460,693.86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636,869.34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743,710.30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其他税费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56,440.22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154,908.15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77,615,814.82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60,872,293.10</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8、应付利息" w:id="286"/>
      <w:bookmarkEnd w:id="286"/>
      <w:r>
        <w:rPr>
          <w:b w:val="0"/>
          <w:bCs w:val="0"/>
        </w:rPr>
      </w:r>
      <w:r>
        <w:rPr>
          <w:rFonts w:ascii="Times New Roman" w:hAnsi="Times New Roman" w:cs="Times New Roman" w:eastAsia="Times New Roman" w:hint="default"/>
        </w:rPr>
        <w:t>28</w:t>
      </w:r>
      <w:r>
        <w:rPr/>
        <w:t>、应付利息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201,425.31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44,867.91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131,457.53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201,425.31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176,325.44</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9、其他应付款" w:id="287"/>
      <w:bookmarkEnd w:id="287"/>
      <w:r>
        <w:rPr>
          <w:b w:val="0"/>
          <w:bCs w:val="0"/>
        </w:rPr>
      </w:r>
      <w:r>
        <w:rPr>
          <w:rFonts w:ascii="Times New Roman" w:hAnsi="Times New Roman" w:cs="Times New Roman" w:eastAsia="Times New Roman" w:hint="default"/>
        </w:rPr>
        <w:t>29</w:t>
      </w:r>
      <w:r>
        <w:rPr/>
        <w:t>、其他应付款</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134" w:right="0"/>
        <w:jc w:val="left"/>
        <w:rPr>
          <w:b w:val="0"/>
          <w:bCs w:val="0"/>
        </w:rPr>
      </w:pPr>
      <w:bookmarkStart w:name="（1）按款项性质列示其他应付款" w:id="288"/>
      <w:bookmarkEnd w:id="288"/>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135,576,679.34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135,689,582.37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押金和保证金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16,156,326.61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12,591,117.90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代收款项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77,924,071.43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39,627,420.54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应付股权转让款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36,819,900.00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36,651,840.00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1,410,644.89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1,911,865.24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267,887,622.27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226,471,826.05</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账龄超过1年的重要其他应付款" w:id="289"/>
      <w:bookmarkEnd w:id="289"/>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郑州高新区财政局</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74,295,398.35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政府往来</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郑州高新区管委会</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39,097,866.45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政府往来</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代收污水处理费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22,519,946.83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代收款项待上缴</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6" w:type="dxa"/>
        <w:tblLayout w:type="fixed"/>
        <w:tblCellMar>
          <w:top w:w="0" w:type="dxa"/>
          <w:left w:w="0" w:type="dxa"/>
          <w:bottom w:w="0" w:type="dxa"/>
          <w:right w:w="0" w:type="dxa"/>
        </w:tblCellMar>
        <w:tblLook w:val="01E0"/>
      </w:tblPr>
      <w:tblGrid>
        <w:gridCol w:w="3190"/>
        <w:gridCol w:w="3194"/>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41" w:right="0"/>
              <w:jc w:val="left"/>
              <w:rPr>
                <w:rFonts w:ascii="Times New Roman" w:hAnsi="Times New Roman" w:cs="Times New Roman" w:eastAsia="Times New Roman" w:hint="default"/>
                <w:sz w:val="18"/>
                <w:szCs w:val="18"/>
              </w:rPr>
            </w:pPr>
            <w:r>
              <w:rPr>
                <w:rFonts w:ascii="Times New Roman"/>
                <w:sz w:val="18"/>
              </w:rPr>
              <w:t>135,913,211.63</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0、持有待售的负债" w:id="290"/>
      <w:bookmarkEnd w:id="290"/>
      <w:r>
        <w:rPr>
          <w:b w:val="0"/>
          <w:bCs w:val="0"/>
        </w:rPr>
      </w:r>
      <w:r>
        <w:rPr>
          <w:rFonts w:ascii="Times New Roman" w:hAnsi="Times New Roman" w:cs="Times New Roman" w:eastAsia="Times New Roman" w:hint="default"/>
        </w:rPr>
        <w:t>30</w:t>
      </w:r>
      <w:r>
        <w:rPr/>
        <w:t>、持有待售的负债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20,108.53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20,108.53</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1、一年内到期的非流动负债" w:id="291"/>
      <w:bookmarkEnd w:id="291"/>
      <w:r>
        <w:rPr>
          <w:b w:val="0"/>
          <w:bCs w:val="0"/>
        </w:rPr>
      </w:r>
      <w:r>
        <w:rPr>
          <w:rFonts w:ascii="Times New Roman" w:hAnsi="Times New Roman" w:cs="Times New Roman" w:eastAsia="Times New Roman" w:hint="default"/>
        </w:rPr>
        <w:t>31</w:t>
      </w:r>
      <w:r>
        <w:rPr/>
        <w:t>、一年内到期的非流动负债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24,620,000.00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110,470,000.00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一年内到期的递延收益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30,972,432.26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12,605,786.32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55,592,432.26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123,075,786.32</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12"/>
          <w:szCs w:val="12"/>
        </w:rPr>
      </w:pPr>
    </w:p>
    <w:p>
      <w:pPr>
        <w:pStyle w:val="BodyText"/>
        <w:spacing w:line="240" w:lineRule="auto" w:before="0"/>
        <w:ind w:left="1554" w:right="0"/>
        <w:jc w:val="left"/>
      </w:pPr>
      <w:r>
        <w:rPr/>
        <w:t>一年内到期的非流动负债较期初减少</w:t>
      </w:r>
      <w:r>
        <w:rPr>
          <w:spacing w:val="-53"/>
        </w:rPr>
        <w:t> </w:t>
      </w:r>
      <w:r>
        <w:rPr>
          <w:rFonts w:ascii="宋体" w:hAnsi="宋体" w:cs="宋体" w:eastAsia="宋体" w:hint="default"/>
        </w:rPr>
        <w:t>54.83%</w:t>
      </w:r>
      <w:r>
        <w:rPr/>
        <w:t>，主要系公司归还了一年内到期的长期借款所致。</w:t>
      </w:r>
    </w:p>
    <w:p>
      <w:pPr>
        <w:spacing w:line="240" w:lineRule="auto" w:before="0"/>
        <w:rPr>
          <w:rFonts w:ascii="宋体" w:hAnsi="宋体" w:cs="宋体" w:eastAsia="宋体" w:hint="default"/>
          <w:sz w:val="20"/>
          <w:szCs w:val="20"/>
        </w:rPr>
      </w:pPr>
    </w:p>
    <w:p>
      <w:pPr>
        <w:pStyle w:val="Heading4"/>
        <w:spacing w:line="240" w:lineRule="auto" w:before="154"/>
        <w:ind w:right="0"/>
        <w:jc w:val="left"/>
        <w:rPr>
          <w:b w:val="0"/>
          <w:bCs w:val="0"/>
        </w:rPr>
      </w:pPr>
      <w:bookmarkStart w:name="32、长期借款" w:id="292"/>
      <w:bookmarkEnd w:id="292"/>
      <w:r>
        <w:rPr>
          <w:b w:val="0"/>
          <w:bCs w:val="0"/>
        </w:rPr>
      </w:r>
      <w:r>
        <w:rPr>
          <w:rFonts w:ascii="Times New Roman" w:hAnsi="Times New Roman" w:cs="Times New Roman" w:eastAsia="Times New Roman" w:hint="default"/>
        </w:rPr>
        <w:t>32</w:t>
      </w:r>
      <w:r>
        <w:rPr/>
        <w:t>、长期借款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1）长期借款分类" w:id="293"/>
      <w:bookmarkEnd w:id="293"/>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394,144,327.60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348,090,000.00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7"/>
              <w:ind w:right="20"/>
              <w:jc w:val="right"/>
              <w:rPr>
                <w:rFonts w:ascii="Times New Roman" w:hAnsi="Times New Roman" w:cs="Times New Roman" w:eastAsia="Times New Roman" w:hint="default"/>
                <w:sz w:val="12"/>
                <w:szCs w:val="12"/>
              </w:rPr>
            </w:pPr>
            <w:r>
              <w:rPr>
                <w:rFonts w:ascii="Times New Roman"/>
                <w:spacing w:val="-1"/>
                <w:sz w:val="18"/>
              </w:rPr>
              <w:t>584,144,327.60</w:t>
            </w:r>
            <w:r>
              <w:rPr>
                <w:rFonts w:ascii="Times New Roman"/>
                <w:color w:val="FF0000"/>
                <w:spacing w:val="-1"/>
                <w:position w:val="8"/>
                <w:sz w:val="12"/>
              </w:rPr>
              <w:t>1</w:t>
            </w:r>
            <w:r>
              <w:rPr>
                <w:rFonts w:ascii="Times New Roman"/>
                <w:spacing w:val="-1"/>
                <w:sz w:val="12"/>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352,090,000.00</w:t>
            </w:r>
          </w:p>
        </w:tc>
      </w:tr>
    </w:tbl>
    <w:p>
      <w:pPr>
        <w:pStyle w:val="BodyText"/>
        <w:spacing w:line="240" w:lineRule="auto" w:before="63"/>
        <w:ind w:left="1554" w:right="0"/>
        <w:jc w:val="left"/>
      </w:pPr>
      <w:r>
        <w:rPr/>
        <w:t>注：</w:t>
      </w:r>
      <w:r>
        <w:rPr>
          <w:rFonts w:ascii="宋体" w:hAnsi="宋体" w:cs="宋体" w:eastAsia="宋体" w:hint="default"/>
        </w:rPr>
        <w:t>1 </w:t>
      </w:r>
      <w:r>
        <w:rPr/>
        <w:t>长期借款较期初增加了</w:t>
      </w:r>
      <w:r>
        <w:rPr>
          <w:spacing w:val="-56"/>
        </w:rPr>
        <w:t> </w:t>
      </w:r>
      <w:r>
        <w:rPr>
          <w:rFonts w:ascii="宋体" w:hAnsi="宋体" w:cs="宋体" w:eastAsia="宋体" w:hint="default"/>
        </w:rPr>
        <w:t>65.91%</w:t>
      </w:r>
      <w:r>
        <w:rPr/>
        <w:t>，主要系公司统筹规划调整了贷款结构所致。</w:t>
      </w:r>
    </w:p>
    <w:p>
      <w:pPr>
        <w:spacing w:line="240" w:lineRule="auto" w:before="0"/>
        <w:rPr>
          <w:rFonts w:ascii="宋体" w:hAnsi="宋体" w:cs="宋体" w:eastAsia="宋体" w:hint="default"/>
          <w:sz w:val="20"/>
          <w:szCs w:val="20"/>
        </w:rPr>
      </w:pPr>
    </w:p>
    <w:p>
      <w:pPr>
        <w:pStyle w:val="Heading4"/>
        <w:spacing w:line="240" w:lineRule="auto" w:before="154"/>
        <w:ind w:left="1134" w:right="0"/>
        <w:jc w:val="left"/>
        <w:rPr>
          <w:b w:val="0"/>
          <w:bCs w:val="0"/>
        </w:rPr>
      </w:pPr>
      <w:bookmarkStart w:name="33、长期应付款" w:id="294"/>
      <w:bookmarkEnd w:id="294"/>
      <w:r>
        <w:rPr>
          <w:b w:val="0"/>
          <w:bCs w:val="0"/>
        </w:rPr>
      </w:r>
      <w:r>
        <w:rPr>
          <w:rFonts w:ascii="Times New Roman" w:hAnsi="Times New Roman" w:cs="Times New Roman" w:eastAsia="Times New Roman" w:hint="default"/>
        </w:rPr>
        <w:t>33</w:t>
      </w:r>
      <w:r>
        <w:rPr/>
        <w:t>、长期应付款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1）按款项性质列示长期应付款" w:id="295"/>
      <w:bookmarkEnd w:id="295"/>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国开发展基金夹层投资款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48,954,665.06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49,119,708.08</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4、长期应付职工薪酬" w:id="296"/>
      <w:bookmarkEnd w:id="296"/>
      <w:r>
        <w:rPr>
          <w:b w:val="0"/>
          <w:bCs w:val="0"/>
        </w:rPr>
      </w:r>
      <w:r>
        <w:rPr>
          <w:rFonts w:ascii="Times New Roman" w:hAnsi="Times New Roman" w:cs="Times New Roman" w:eastAsia="Times New Roman" w:hint="default"/>
        </w:rPr>
        <w:t>34</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长期应付职工薪酬表" w:id="297"/>
      <w:bookmarkEnd w:id="297"/>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FFFFFF"/>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设定受益计划净负债</w:t>
            </w:r>
          </w:p>
        </w:tc>
        <w:tc>
          <w:tcPr>
            <w:tcW w:w="3206"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12,517,460.08</w:t>
            </w:r>
          </w:p>
        </w:tc>
        <w:tc>
          <w:tcPr>
            <w:tcW w:w="3189"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14,276,085.45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12,517,460.08</w:t>
            </w:r>
          </w:p>
        </w:tc>
        <w:tc>
          <w:tcPr>
            <w:tcW w:w="3189"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14,276,085.45</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设定受益计划变动情况" w:id="298"/>
      <w:bookmarkEnd w:id="298"/>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4"/>
        <w:rPr>
          <w:rFonts w:ascii="宋体" w:hAnsi="宋体" w:cs="宋体" w:eastAsia="宋体" w:hint="default"/>
          <w:b/>
          <w:bCs/>
          <w:sz w:val="23"/>
          <w:szCs w:val="23"/>
        </w:rPr>
      </w:pPr>
    </w:p>
    <w:p>
      <w:pPr>
        <w:spacing w:before="44"/>
        <w:ind w:left="1134" w:right="0" w:firstLine="0"/>
        <w:jc w:val="left"/>
        <w:rPr>
          <w:rFonts w:ascii="宋体" w:hAnsi="宋体" w:cs="宋体" w:eastAsia="宋体" w:hint="default"/>
          <w:sz w:val="18"/>
          <w:szCs w:val="18"/>
        </w:rPr>
      </w:pPr>
      <w:r>
        <w:rPr>
          <w:rFonts w:ascii="宋体" w:hAnsi="宋体" w:cs="宋体" w:eastAsia="宋体" w:hint="default"/>
          <w:sz w:val="18"/>
          <w:szCs w:val="18"/>
        </w:rPr>
        <w:t>设定受益计划义务现值：</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一、期初余额</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14,276,085.45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15,388,732.74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二、计入当期损益的设定受益成本</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219,606.94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969,706.71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当期服务成本</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-210,103.23</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515,739.09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利息净额</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429,710.17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453,967.62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三、其他变动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1,978,232.31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2,082,354.00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已支付的福利</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1,978,232.31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2,082,354.00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四、期末余额</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12,517,460.08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14,276,085.45</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设定受益计划净负债（净资产）</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一、期初余额</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14,276,085.45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15,388,732.74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二、计入当期损益的设定受益成本</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219,606.94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969,706.71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四、其他变动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1,978,232.31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2,082,354.00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五、期末余额</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12,517,460.08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14,276,085.45</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设定受益计划的内容及与之相关风险、对公司未来现金流量、时间和不确定性的影响说明：</w:t>
      </w:r>
    </w:p>
    <w:p>
      <w:pPr>
        <w:spacing w:line="240" w:lineRule="auto" w:before="12"/>
        <w:rPr>
          <w:rFonts w:ascii="宋体" w:hAnsi="宋体" w:cs="宋体" w:eastAsia="宋体" w:hint="default"/>
          <w:sz w:val="12"/>
          <w:szCs w:val="12"/>
        </w:rPr>
      </w:pPr>
    </w:p>
    <w:p>
      <w:pPr>
        <w:pStyle w:val="BodyText"/>
        <w:spacing w:line="408" w:lineRule="auto" w:before="0"/>
        <w:ind w:right="1013" w:firstLine="420"/>
        <w:jc w:val="left"/>
      </w:pPr>
      <w:r>
        <w:rPr>
          <w:spacing w:val="3"/>
        </w:rPr>
        <w:t>设定收益计划为由于历史原因形成的，公司按照郑州高新技术产业开发区热力公司文件郑开热司字</w:t>
      </w:r>
      <w:r>
        <w:rPr/>
        <w:t> </w:t>
      </w:r>
      <w:r>
        <w:rPr>
          <w:rFonts w:ascii="宋体" w:hAnsi="宋体" w:cs="宋体" w:eastAsia="宋体" w:hint="default"/>
        </w:rPr>
        <w:t>[2006]08</w:t>
      </w:r>
      <w:r>
        <w:rPr>
          <w:rFonts w:ascii="宋体" w:hAnsi="宋体" w:cs="宋体" w:eastAsia="宋体" w:hint="default"/>
          <w:spacing w:val="-20"/>
        </w:rPr>
        <w:t> </w:t>
      </w:r>
      <w:r>
        <w:rPr>
          <w:spacing w:val="-5"/>
        </w:rPr>
        <w:t>号《郑州高新技术产业开发区热力公司内部退养制度》的规定给予内退职工一定金额的薪酬补贴。</w:t>
      </w:r>
    </w:p>
    <w:p>
      <w:pPr>
        <w:pStyle w:val="BodyText"/>
        <w:spacing w:line="408" w:lineRule="auto"/>
        <w:ind w:right="0" w:firstLine="420"/>
        <w:jc w:val="left"/>
      </w:pPr>
      <w:r>
        <w:rPr>
          <w:spacing w:val="-1"/>
        </w:rPr>
        <w:t>该计划主要涉及利率风险及福利水平增长风险，利率风险指计算计划福利义务现值时所采用的折现率</w:t>
      </w:r>
      <w:r>
        <w:rPr/>
        <w:t> </w:t>
      </w:r>
      <w:r>
        <w:rPr>
          <w:spacing w:val="-1"/>
        </w:rPr>
        <w:t>的选取依据是银行间债券市场的国债到期收益率，银行间债券市场的国债到期收益率的下降会产生精算损</w:t>
      </w:r>
    </w:p>
    <w:p>
      <w:pPr>
        <w:spacing w:after="0" w:line="408"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right="1131"/>
        <w:jc w:val="both"/>
      </w:pPr>
      <w:r>
        <w:rPr/>
        <w:t>失</w:t>
      </w:r>
      <w:r>
        <w:rPr>
          <w:rFonts w:ascii="宋体" w:hAnsi="宋体" w:cs="宋体" w:eastAsia="宋体" w:hint="default"/>
        </w:rPr>
        <w:t>;</w:t>
      </w:r>
      <w:r>
        <w:rPr/>
        <w:t>福利水平增长风险指计算计划福利义务现值时所采用的各项福利增长率假设的选取依据是各项福利的</w:t>
      </w:r>
      <w:r>
        <w:rPr>
          <w:spacing w:val="-35"/>
        </w:rPr>
        <w:t> </w:t>
      </w:r>
      <w:r>
        <w:rPr>
          <w:spacing w:val="-35"/>
        </w:rPr>
      </w:r>
      <w:r>
        <w:rPr>
          <w:spacing w:val="-1"/>
        </w:rPr>
        <w:t>历史增长率水平和公司管理层对各项福利增长率的长期预期，若实际福利增长率水平高于精算假设，会产</w:t>
      </w:r>
      <w:r>
        <w:rPr>
          <w:spacing w:val="-81"/>
        </w:rPr>
        <w:t> </w:t>
      </w:r>
      <w:r>
        <w:rPr>
          <w:spacing w:val="-81"/>
        </w:rPr>
      </w:r>
      <w:r>
        <w:rPr/>
        <w:t>生精算损失。</w:t>
      </w:r>
    </w:p>
    <w:p>
      <w:pPr>
        <w:pStyle w:val="BodyText"/>
        <w:spacing w:line="240" w:lineRule="auto"/>
        <w:ind w:left="1553" w:right="0"/>
        <w:jc w:val="left"/>
      </w:pPr>
      <w:r>
        <w:rPr/>
        <w:t>该计划对公司未来现金流量、时间和不确定性不存在重大影响。</w:t>
      </w:r>
    </w:p>
    <w:p>
      <w:pPr>
        <w:spacing w:line="240" w:lineRule="auto" w:before="11"/>
        <w:rPr>
          <w:rFonts w:ascii="宋体" w:hAnsi="宋体" w:cs="宋体" w:eastAsia="宋体" w:hint="default"/>
          <w:sz w:val="13"/>
          <w:szCs w:val="13"/>
        </w:rPr>
      </w:pPr>
    </w:p>
    <w:p>
      <w:pPr>
        <w:spacing w:before="0"/>
        <w:ind w:left="1133" w:right="0" w:firstLine="0"/>
        <w:jc w:val="both"/>
        <w:rPr>
          <w:rFonts w:ascii="宋体" w:hAnsi="宋体" w:cs="宋体" w:eastAsia="宋体" w:hint="default"/>
          <w:sz w:val="18"/>
          <w:szCs w:val="18"/>
        </w:rPr>
      </w:pPr>
      <w:r>
        <w:rPr>
          <w:rFonts w:ascii="宋体" w:hAnsi="宋体" w:cs="宋体" w:eastAsia="宋体" w:hint="default"/>
          <w:sz w:val="18"/>
          <w:szCs w:val="18"/>
        </w:rPr>
        <w:t>设定受益计划重大精算假设及敏感性分析结果说明：</w:t>
      </w:r>
    </w:p>
    <w:p>
      <w:pPr>
        <w:spacing w:line="240" w:lineRule="auto" w:before="12"/>
        <w:rPr>
          <w:rFonts w:ascii="宋体" w:hAnsi="宋体" w:cs="宋体" w:eastAsia="宋体" w:hint="default"/>
          <w:sz w:val="12"/>
          <w:szCs w:val="12"/>
        </w:rPr>
      </w:pPr>
    </w:p>
    <w:p>
      <w:pPr>
        <w:pStyle w:val="BodyText"/>
        <w:spacing w:line="240" w:lineRule="auto" w:before="0"/>
        <w:ind w:left="1553" w:right="0"/>
        <w:jc w:val="left"/>
      </w:pPr>
      <w:r>
        <w:rPr/>
        <w:t>设定受益计划重大精算假设：</w:t>
      </w:r>
    </w:p>
    <w:p>
      <w:pPr>
        <w:spacing w:line="240" w:lineRule="auto" w:before="12"/>
        <w:rPr>
          <w:rFonts w:ascii="宋体" w:hAnsi="宋体" w:cs="宋体" w:eastAsia="宋体" w:hint="default"/>
          <w:sz w:val="9"/>
          <w:szCs w:val="9"/>
        </w:rPr>
      </w:pPr>
    </w:p>
    <w:tbl>
      <w:tblPr>
        <w:tblW w:w="0" w:type="auto"/>
        <w:jc w:val="left"/>
        <w:tblInd w:w="1113" w:type="dxa"/>
        <w:tblLayout w:type="fixed"/>
        <w:tblCellMar>
          <w:top w:w="0" w:type="dxa"/>
          <w:left w:w="0" w:type="dxa"/>
          <w:bottom w:w="0" w:type="dxa"/>
          <w:right w:w="0" w:type="dxa"/>
        </w:tblCellMar>
        <w:tblLook w:val="01E0"/>
      </w:tblPr>
      <w:tblGrid>
        <w:gridCol w:w="4050"/>
        <w:gridCol w:w="5619"/>
      </w:tblGrid>
      <w:tr>
        <w:trPr>
          <w:trHeight w:val="351" w:hRule="exact"/>
        </w:trPr>
        <w:tc>
          <w:tcPr>
            <w:tcW w:w="4050"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精算假设</w:t>
            </w:r>
          </w:p>
        </w:tc>
        <w:tc>
          <w:tcPr>
            <w:tcW w:w="5619"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确定标准</w:t>
            </w:r>
          </w:p>
        </w:tc>
      </w:tr>
      <w:tr>
        <w:trPr>
          <w:trHeight w:val="342" w:hRule="exact"/>
        </w:trPr>
        <w:tc>
          <w:tcPr>
            <w:tcW w:w="405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折现率</w:t>
            </w:r>
          </w:p>
        </w:tc>
        <w:tc>
          <w:tcPr>
            <w:tcW w:w="561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同期银行间债券市场的国债到期收益率</w:t>
            </w:r>
          </w:p>
        </w:tc>
      </w:tr>
      <w:tr>
        <w:trPr>
          <w:trHeight w:val="342" w:hRule="exact"/>
        </w:trPr>
        <w:tc>
          <w:tcPr>
            <w:tcW w:w="405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离职率</w:t>
            </w:r>
          </w:p>
        </w:tc>
        <w:tc>
          <w:tcPr>
            <w:tcW w:w="561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0%</w:t>
            </w:r>
          </w:p>
        </w:tc>
      </w:tr>
      <w:tr>
        <w:trPr>
          <w:trHeight w:val="342" w:hRule="exact"/>
        </w:trPr>
        <w:tc>
          <w:tcPr>
            <w:tcW w:w="405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福利增长率</w:t>
            </w:r>
          </w:p>
        </w:tc>
        <w:tc>
          <w:tcPr>
            <w:tcW w:w="561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0%</w:t>
            </w:r>
          </w:p>
        </w:tc>
      </w:tr>
      <w:tr>
        <w:trPr>
          <w:trHeight w:val="352" w:hRule="exact"/>
        </w:trPr>
        <w:tc>
          <w:tcPr>
            <w:tcW w:w="4050"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正式退休年龄</w:t>
            </w:r>
          </w:p>
        </w:tc>
        <w:tc>
          <w:tcPr>
            <w:tcW w:w="561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男：干部</w:t>
            </w:r>
            <w:r>
              <w:rPr>
                <w:rFonts w:ascii="Times New Roman" w:hAnsi="Times New Roman" w:cs="Times New Roman" w:eastAsia="Times New Roman" w:hint="default"/>
                <w:sz w:val="18"/>
                <w:szCs w:val="18"/>
              </w:rPr>
              <w:t>60</w:t>
            </w:r>
            <w:r>
              <w:rPr>
                <w:rFonts w:ascii="宋体" w:hAnsi="宋体" w:cs="宋体" w:eastAsia="宋体" w:hint="default"/>
                <w:sz w:val="18"/>
                <w:szCs w:val="18"/>
              </w:rPr>
              <w:t>岁、工人</w:t>
            </w:r>
            <w:r>
              <w:rPr>
                <w:rFonts w:ascii="Times New Roman" w:hAnsi="Times New Roman" w:cs="Times New Roman" w:eastAsia="Times New Roman" w:hint="default"/>
                <w:sz w:val="18"/>
                <w:szCs w:val="18"/>
              </w:rPr>
              <w:t>60</w:t>
            </w:r>
            <w:r>
              <w:rPr>
                <w:rFonts w:ascii="宋体" w:hAnsi="宋体" w:cs="宋体" w:eastAsia="宋体" w:hint="default"/>
                <w:sz w:val="18"/>
                <w:szCs w:val="18"/>
              </w:rPr>
              <w:t>岁，女：干部</w:t>
            </w:r>
            <w:r>
              <w:rPr>
                <w:rFonts w:ascii="Times New Roman" w:hAnsi="Times New Roman" w:cs="Times New Roman" w:eastAsia="Times New Roman" w:hint="default"/>
                <w:sz w:val="18"/>
                <w:szCs w:val="18"/>
              </w:rPr>
              <w:t>55</w:t>
            </w:r>
            <w:r>
              <w:rPr>
                <w:rFonts w:ascii="宋体" w:hAnsi="宋体" w:cs="宋体" w:eastAsia="宋体" w:hint="default"/>
                <w:sz w:val="18"/>
                <w:szCs w:val="18"/>
              </w:rPr>
              <w:t>岁、工人</w:t>
            </w:r>
            <w:r>
              <w:rPr>
                <w:rFonts w:ascii="Times New Roman" w:hAnsi="Times New Roman" w:cs="Times New Roman" w:eastAsia="Times New Roman" w:hint="default"/>
                <w:sz w:val="18"/>
                <w:szCs w:val="18"/>
              </w:rPr>
              <w:t>50</w:t>
            </w:r>
            <w:r>
              <w:rPr>
                <w:rFonts w:ascii="宋体" w:hAnsi="宋体" w:cs="宋体" w:eastAsia="宋体" w:hint="default"/>
                <w:sz w:val="18"/>
                <w:szCs w:val="18"/>
              </w:rPr>
              <w:t>岁</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5、专项应付款" w:id="299"/>
      <w:bookmarkEnd w:id="299"/>
      <w:r>
        <w:rPr>
          <w:b w:val="0"/>
          <w:bCs w:val="0"/>
        </w:rPr>
      </w:r>
      <w:r>
        <w:rPr>
          <w:rFonts w:ascii="Times New Roman" w:hAnsi="Times New Roman" w:cs="Times New Roman" w:eastAsia="Times New Roman" w:hint="default"/>
        </w:rPr>
        <w:t>35</w:t>
      </w:r>
      <w:r>
        <w:rPr/>
        <w:t>、专项应付款</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410"/>
        <w:gridCol w:w="1134"/>
        <w:gridCol w:w="1560"/>
        <w:gridCol w:w="1274"/>
        <w:gridCol w:w="1594"/>
        <w:gridCol w:w="1595"/>
      </w:tblGrid>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市政自来水管网工程拨付款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7" w:right="0"/>
              <w:jc w:val="left"/>
              <w:rPr>
                <w:rFonts w:ascii="Times New Roman" w:hAnsi="Times New Roman" w:cs="Times New Roman" w:eastAsia="Times New Roman" w:hint="default"/>
                <w:sz w:val="18"/>
                <w:szCs w:val="18"/>
              </w:rPr>
            </w:pPr>
            <w:r>
              <w:rPr>
                <w:rFonts w:ascii="Times New Roman"/>
                <w:sz w:val="18"/>
              </w:rPr>
              <w:t>9,989,805.98</w:t>
            </w:r>
          </w:p>
        </w:tc>
        <w:tc>
          <w:tcPr>
            <w:tcW w:w="156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7" w:right="0"/>
              <w:jc w:val="left"/>
              <w:rPr>
                <w:rFonts w:ascii="Times New Roman" w:hAnsi="Times New Roman" w:cs="Times New Roman" w:eastAsia="Times New Roman" w:hint="default"/>
                <w:sz w:val="18"/>
                <w:szCs w:val="18"/>
              </w:rPr>
            </w:pPr>
            <w:r>
              <w:rPr>
                <w:rFonts w:ascii="Times New Roman"/>
                <w:sz w:val="18"/>
              </w:rPr>
              <w:t>9,989,805.98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市政拨款</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7" w:right="0"/>
              <w:jc w:val="left"/>
              <w:rPr>
                <w:rFonts w:ascii="Times New Roman" w:hAnsi="Times New Roman" w:cs="Times New Roman" w:eastAsia="Times New Roman" w:hint="default"/>
                <w:sz w:val="18"/>
                <w:szCs w:val="18"/>
              </w:rPr>
            </w:pPr>
            <w:r>
              <w:rPr>
                <w:rFonts w:ascii="Times New Roman"/>
                <w:sz w:val="18"/>
              </w:rPr>
              <w:t>9,989,805.98</w:t>
            </w:r>
          </w:p>
        </w:tc>
        <w:tc>
          <w:tcPr>
            <w:tcW w:w="156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7" w:right="0"/>
              <w:jc w:val="left"/>
              <w:rPr>
                <w:rFonts w:ascii="Times New Roman" w:hAnsi="Times New Roman" w:cs="Times New Roman" w:eastAsia="Times New Roman" w:hint="default"/>
                <w:sz w:val="18"/>
                <w:szCs w:val="18"/>
              </w:rPr>
            </w:pPr>
            <w:r>
              <w:rPr>
                <w:rFonts w:ascii="Times New Roman"/>
                <w:sz w:val="18"/>
              </w:rPr>
              <w:t>9,989,805.98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12"/>
          <w:szCs w:val="12"/>
        </w:rPr>
      </w:pPr>
    </w:p>
    <w:p>
      <w:pPr>
        <w:pStyle w:val="BodyText"/>
        <w:spacing w:line="240" w:lineRule="auto" w:before="0"/>
        <w:ind w:left="1554" w:right="0"/>
        <w:jc w:val="left"/>
      </w:pPr>
      <w:r>
        <w:rPr/>
        <w:t>专项应付款较期初减少</w:t>
      </w:r>
      <w:r>
        <w:rPr>
          <w:spacing w:val="-54"/>
        </w:rPr>
        <w:t> </w:t>
      </w:r>
      <w:r>
        <w:rPr>
          <w:rFonts w:ascii="宋体" w:hAnsi="宋体" w:cs="宋体" w:eastAsia="宋体" w:hint="default"/>
        </w:rPr>
        <w:t>100%</w:t>
      </w:r>
      <w:r>
        <w:rPr/>
        <w:t>，主要系到期结清所致。</w:t>
      </w:r>
    </w:p>
    <w:p>
      <w:pPr>
        <w:spacing w:line="240" w:lineRule="auto" w:before="0"/>
        <w:rPr>
          <w:rFonts w:ascii="宋体" w:hAnsi="宋体" w:cs="宋体" w:eastAsia="宋体" w:hint="default"/>
          <w:sz w:val="20"/>
          <w:szCs w:val="20"/>
        </w:rPr>
      </w:pPr>
    </w:p>
    <w:p>
      <w:pPr>
        <w:pStyle w:val="Heading4"/>
        <w:spacing w:line="240" w:lineRule="auto" w:before="154"/>
        <w:ind w:right="0"/>
        <w:jc w:val="left"/>
        <w:rPr>
          <w:b w:val="0"/>
          <w:bCs w:val="0"/>
        </w:rPr>
      </w:pPr>
      <w:bookmarkStart w:name="36、预计负债" w:id="300"/>
      <w:bookmarkEnd w:id="300"/>
      <w:r>
        <w:rPr>
          <w:b w:val="0"/>
          <w:bCs w:val="0"/>
        </w:rPr>
      </w:r>
      <w:r>
        <w:rPr>
          <w:rFonts w:ascii="Times New Roman" w:hAnsi="Times New Roman" w:cs="Times New Roman" w:eastAsia="Times New Roman" w:hint="default"/>
        </w:rPr>
        <w:t>36</w:t>
      </w:r>
      <w:r>
        <w:rPr/>
        <w:t>、预计负债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538"/>
        <w:gridCol w:w="2138"/>
        <w:gridCol w:w="1701"/>
        <w:gridCol w:w="4181"/>
      </w:tblGrid>
      <w:tr>
        <w:trPr>
          <w:trHeight w:val="402"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48,254,014.45</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52,372,227.51</w:t>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工程质量维修基金及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BOT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项目恢复性大修费用</w:t>
            </w:r>
          </w:p>
        </w:tc>
      </w:tr>
      <w:tr>
        <w:trPr>
          <w:trHeight w:val="403"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48,254,014.45</w:t>
            </w:r>
          </w:p>
        </w:tc>
        <w:tc>
          <w:tcPr>
            <w:tcW w:w="170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pacing w:val="-1"/>
                <w:sz w:val="18"/>
              </w:rPr>
              <w:t>52,372,227.51</w:t>
            </w:r>
          </w:p>
        </w:tc>
        <w:tc>
          <w:tcPr>
            <w:tcW w:w="4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其他说明，包括重要预计负债的相关重要假设、估计说明：</w:t>
      </w:r>
    </w:p>
    <w:p>
      <w:pPr>
        <w:spacing w:line="240" w:lineRule="auto" w:before="10"/>
        <w:rPr>
          <w:rFonts w:ascii="宋体" w:hAnsi="宋体" w:cs="宋体" w:eastAsia="宋体" w:hint="default"/>
          <w:sz w:val="26"/>
          <w:szCs w:val="26"/>
        </w:rPr>
      </w:pPr>
    </w:p>
    <w:p>
      <w:pPr>
        <w:pStyle w:val="Heading4"/>
        <w:spacing w:line="240" w:lineRule="auto"/>
        <w:ind w:left="1134" w:right="0"/>
        <w:jc w:val="left"/>
        <w:rPr>
          <w:b w:val="0"/>
          <w:bCs w:val="0"/>
        </w:rPr>
      </w:pPr>
      <w:bookmarkStart w:name="37、递延收益" w:id="301"/>
      <w:bookmarkEnd w:id="301"/>
      <w:r>
        <w:rPr>
          <w:b w:val="0"/>
          <w:bCs w:val="0"/>
        </w:rPr>
      </w:r>
      <w:r>
        <w:rPr>
          <w:rFonts w:ascii="Times New Roman" w:hAnsi="Times New Roman" w:cs="Times New Roman" w:eastAsia="Times New Roman" w:hint="default"/>
        </w:rPr>
        <w:t>37</w:t>
      </w:r>
      <w:r>
        <w:rPr/>
        <w:t>、递延收益</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31"/>
              <w:jc w:val="righ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432" w:right="0"/>
              <w:jc w:val="left"/>
              <w:rPr>
                <w:rFonts w:ascii="Times New Roman" w:hAnsi="Times New Roman" w:cs="Times New Roman" w:eastAsia="Times New Roman" w:hint="default"/>
                <w:sz w:val="18"/>
                <w:szCs w:val="18"/>
              </w:rPr>
            </w:pPr>
            <w:r>
              <w:rPr>
                <w:rFonts w:ascii="Times New Roman"/>
                <w:sz w:val="18"/>
              </w:rPr>
              <w:t>163,087,876.14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8" w:right="0"/>
              <w:jc w:val="left"/>
              <w:rPr>
                <w:rFonts w:ascii="Times New Roman" w:hAnsi="Times New Roman" w:cs="Times New Roman" w:eastAsia="Times New Roman" w:hint="default"/>
                <w:sz w:val="18"/>
                <w:szCs w:val="18"/>
              </w:rPr>
            </w:pPr>
            <w:r>
              <w:rPr>
                <w:rFonts w:ascii="Times New Roman"/>
                <w:sz w:val="18"/>
              </w:rPr>
              <w:t>217,543,697.25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18,221,424.96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6" w:right="0"/>
              <w:jc w:val="left"/>
              <w:rPr>
                <w:rFonts w:ascii="Times New Roman" w:hAnsi="Times New Roman" w:cs="Times New Roman" w:eastAsia="Times New Roman" w:hint="default"/>
                <w:sz w:val="18"/>
                <w:szCs w:val="18"/>
              </w:rPr>
            </w:pPr>
            <w:r>
              <w:rPr>
                <w:rFonts w:ascii="Times New Roman"/>
                <w:sz w:val="18"/>
              </w:rPr>
              <w:t>362,410,148.43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79"/>
              <w:jc w:val="right"/>
              <w:rPr>
                <w:rFonts w:ascii="宋体" w:hAnsi="宋体" w:cs="宋体" w:eastAsia="宋体" w:hint="default"/>
                <w:sz w:val="18"/>
                <w:szCs w:val="18"/>
              </w:rPr>
            </w:pPr>
            <w:r>
              <w:rPr>
                <w:rFonts w:ascii="宋体" w:hAnsi="宋体" w:cs="宋体" w:eastAsia="宋体" w:hint="default"/>
                <w:sz w:val="18"/>
                <w:szCs w:val="18"/>
              </w:rPr>
              <w:t>收到政府补助</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pacing w:val="-10"/>
                <w:sz w:val="18"/>
                <w:szCs w:val="18"/>
              </w:rPr>
              <w:t>减：将于一年内结转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损益的递延收益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69" w:right="0"/>
              <w:jc w:val="left"/>
              <w:rPr>
                <w:rFonts w:ascii="Times New Roman" w:hAnsi="Times New Roman" w:cs="Times New Roman" w:eastAsia="Times New Roman" w:hint="default"/>
                <w:sz w:val="18"/>
                <w:szCs w:val="18"/>
              </w:rPr>
            </w:pPr>
            <w:r>
              <w:rPr>
                <w:rFonts w:ascii="Times New Roman"/>
                <w:sz w:val="18"/>
              </w:rPr>
              <w:t>-12,605,786.32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68" w:right="0"/>
              <w:jc w:val="left"/>
              <w:rPr>
                <w:rFonts w:ascii="Times New Roman" w:hAnsi="Times New Roman" w:cs="Times New Roman" w:eastAsia="Times New Roman" w:hint="default"/>
                <w:sz w:val="18"/>
                <w:szCs w:val="18"/>
              </w:rPr>
            </w:pPr>
            <w:r>
              <w:rPr>
                <w:rFonts w:ascii="Times New Roman"/>
                <w:sz w:val="18"/>
              </w:rPr>
              <w:t>-30,972,432.26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-12,605,786.32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66" w:right="0"/>
              <w:jc w:val="left"/>
              <w:rPr>
                <w:rFonts w:ascii="Times New Roman" w:hAnsi="Times New Roman" w:cs="Times New Roman" w:eastAsia="Times New Roman" w:hint="default"/>
                <w:sz w:val="18"/>
                <w:szCs w:val="18"/>
              </w:rPr>
            </w:pPr>
            <w:r>
              <w:rPr>
                <w:rFonts w:ascii="Times New Roman"/>
                <w:sz w:val="18"/>
              </w:rPr>
              <w:t>-30,972,432.26</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83"/>
        <w:gridCol w:w="1607"/>
        <w:gridCol w:w="1595"/>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444" w:right="0"/>
              <w:jc w:val="left"/>
              <w:rPr>
                <w:rFonts w:ascii="Times New Roman" w:hAnsi="Times New Roman" w:cs="Times New Roman" w:eastAsia="Times New Roman" w:hint="default"/>
                <w:sz w:val="18"/>
                <w:szCs w:val="18"/>
              </w:rPr>
            </w:pPr>
            <w:r>
              <w:rPr>
                <w:rFonts w:ascii="Times New Roman"/>
                <w:sz w:val="18"/>
              </w:rPr>
              <w:t>150,482,089.82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8" w:right="0"/>
              <w:jc w:val="left"/>
              <w:rPr>
                <w:rFonts w:ascii="Times New Roman" w:hAnsi="Times New Roman" w:cs="Times New Roman" w:eastAsia="Times New Roman" w:hint="default"/>
                <w:sz w:val="18"/>
                <w:szCs w:val="18"/>
              </w:rPr>
            </w:pPr>
            <w:r>
              <w:rPr>
                <w:rFonts w:ascii="Times New Roman"/>
                <w:sz w:val="18"/>
              </w:rPr>
              <w:t>186,571,264.99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5,615,638.64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331,437,716.17</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844"/>
        <w:gridCol w:w="992"/>
        <w:gridCol w:w="851"/>
        <w:gridCol w:w="1276"/>
        <w:gridCol w:w="1134"/>
        <w:gridCol w:w="1134"/>
        <w:gridCol w:w="425"/>
        <w:gridCol w:w="851"/>
        <w:gridCol w:w="1063"/>
      </w:tblGrid>
      <w:tr>
        <w:trPr>
          <w:trHeight w:val="714"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5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0" w:right="59"/>
              <w:jc w:val="left"/>
              <w:rPr>
                <w:rFonts w:ascii="宋体" w:hAnsi="宋体" w:cs="宋体" w:eastAsia="宋体" w:hint="default"/>
                <w:sz w:val="18"/>
                <w:szCs w:val="18"/>
              </w:rPr>
            </w:pPr>
            <w:r>
              <w:rPr>
                <w:rFonts w:ascii="宋体" w:hAnsi="宋体" w:cs="宋体" w:eastAsia="宋体" w:hint="default"/>
                <w:sz w:val="18"/>
                <w:szCs w:val="18"/>
              </w:rPr>
              <w:t>本期新增 补助金额</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本期计入营业 外收入金额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1" w:right="110"/>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1" w:right="111"/>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6" w:right="26"/>
              <w:jc w:val="left"/>
              <w:rPr>
                <w:rFonts w:ascii="宋体" w:hAnsi="宋体" w:cs="宋体" w:eastAsia="宋体" w:hint="default"/>
                <w:sz w:val="18"/>
                <w:szCs w:val="18"/>
              </w:rPr>
            </w:pPr>
            <w:r>
              <w:rPr>
                <w:rFonts w:ascii="宋体" w:hAnsi="宋体" w:cs="宋体" w:eastAsia="宋体" w:hint="default"/>
                <w:sz w:val="18"/>
                <w:szCs w:val="18"/>
              </w:rPr>
              <w:t>其他 变动</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城市基础设施配套费</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154,045,086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207,093,6</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97.25</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15,126,228.31</w:t>
            </w:r>
          </w:p>
        </w:tc>
        <w:tc>
          <w:tcPr>
            <w:tcW w:w="113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346,012,5</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55.00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09"/>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年新一代信息基 础设施建设工程和</w:t>
            </w:r>
            <w:r>
              <w:rPr>
                <w:rFonts w:ascii="Times New Roman" w:hAnsi="Times New Roman" w:cs="Times New Roman" w:eastAsia="Times New Roman" w:hint="default"/>
                <w:sz w:val="18"/>
                <w:szCs w:val="18"/>
              </w:rPr>
              <w:t>“</w:t>
            </w:r>
            <w:r>
              <w:rPr>
                <w:rFonts w:ascii="宋体" w:hAnsi="宋体" w:cs="宋体" w:eastAsia="宋体" w:hint="default"/>
                <w:sz w:val="18"/>
                <w:szCs w:val="18"/>
              </w:rPr>
              <w:t>互 联网</w:t>
            </w:r>
            <w:r>
              <w:rPr>
                <w:rFonts w:ascii="Times New Roman" w:hAnsi="Times New Roman" w:cs="Times New Roman" w:eastAsia="Times New Roman" w:hint="default"/>
                <w:sz w:val="18"/>
                <w:szCs w:val="18"/>
              </w:rPr>
              <w:t>+”</w:t>
            </w:r>
            <w:r>
              <w:rPr>
                <w:rFonts w:ascii="宋体" w:hAnsi="宋体" w:cs="宋体" w:eastAsia="宋体" w:hint="default"/>
                <w:sz w:val="18"/>
                <w:szCs w:val="18"/>
              </w:rPr>
              <w:t>重大工程项目</w:t>
            </w: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769,230.77</w:t>
            </w:r>
          </w:p>
        </w:tc>
        <w:tc>
          <w:tcPr>
            <w:tcW w:w="113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9,230,769.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97"/>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JY-RTO</w:t>
            </w:r>
            <w:r>
              <w:rPr>
                <w:rFonts w:ascii="Times New Roman" w:hAnsi="Times New Roman" w:cs="Times New Roman" w:eastAsia="Times New Roman" w:hint="default"/>
                <w:sz w:val="18"/>
                <w:szCs w:val="18"/>
              </w:rPr>
              <w:t> </w:t>
            </w:r>
            <w:r>
              <w:rPr>
                <w:rFonts w:ascii="宋体" w:hAnsi="宋体" w:cs="宋体" w:eastAsia="宋体" w:hint="default"/>
                <w:sz w:val="18"/>
                <w:szCs w:val="18"/>
              </w:rPr>
              <w:t>型大风量复杂 挥发性有机气体控制 项</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4,080,000.0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3,840,000.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9"/>
              <w:jc w:val="both"/>
              <w:rPr>
                <w:rFonts w:ascii="宋体" w:hAnsi="宋体" w:cs="宋体" w:eastAsia="宋体" w:hint="default"/>
                <w:sz w:val="18"/>
                <w:szCs w:val="18"/>
              </w:rPr>
            </w:pPr>
            <w:r>
              <w:rPr>
                <w:rFonts w:ascii="宋体" w:hAnsi="宋体" w:cs="宋体" w:eastAsia="宋体" w:hint="default"/>
                <w:sz w:val="18"/>
                <w:szCs w:val="18"/>
              </w:rPr>
              <w:t>危险化学品事故应急 快速响应软硬件装备 产业化关键技术开发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2,220,131.2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687,999.84</w:t>
            </w:r>
          </w:p>
        </w:tc>
        <w:tc>
          <w:tcPr>
            <w:tcW w:w="113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1,532,131.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9"/>
              <w:jc w:val="both"/>
              <w:rPr>
                <w:rFonts w:ascii="宋体" w:hAnsi="宋体" w:cs="宋体" w:eastAsia="宋体" w:hint="default"/>
                <w:sz w:val="18"/>
                <w:szCs w:val="18"/>
              </w:rPr>
            </w:pPr>
            <w:r>
              <w:rPr>
                <w:rFonts w:ascii="宋体" w:hAnsi="宋体" w:cs="宋体" w:eastAsia="宋体" w:hint="default"/>
                <w:sz w:val="18"/>
                <w:szCs w:val="18"/>
              </w:rPr>
              <w:t>智慧市政管理系统关 键技术研究及应用示 范</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774,041.34</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103,696.58</w:t>
            </w:r>
          </w:p>
        </w:tc>
        <w:tc>
          <w:tcPr>
            <w:tcW w:w="113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670,344.7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89"/>
              <w:jc w:val="both"/>
              <w:rPr>
                <w:rFonts w:ascii="宋体" w:hAnsi="宋体" w:cs="宋体" w:eastAsia="宋体" w:hint="default"/>
                <w:sz w:val="18"/>
                <w:szCs w:val="18"/>
              </w:rPr>
            </w:pPr>
            <w:r>
              <w:rPr>
                <w:rFonts w:ascii="宋体" w:hAnsi="宋体" w:cs="宋体" w:eastAsia="宋体" w:hint="default"/>
                <w:sz w:val="18"/>
                <w:szCs w:val="18"/>
              </w:rPr>
              <w:t>安全生产网络一体化 监控系统关键技术开 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660,000.10</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219,999.96</w:t>
            </w:r>
          </w:p>
        </w:tc>
        <w:tc>
          <w:tcPr>
            <w:tcW w:w="113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440,000.1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其他政府补助</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481,950.75</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125,102.83</w:t>
            </w:r>
          </w:p>
        </w:tc>
        <w:tc>
          <w:tcPr>
            <w:tcW w:w="113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356,847.9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其他政府补助</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826,666.67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949,166.67</w:t>
            </w:r>
          </w:p>
        </w:tc>
        <w:tc>
          <w:tcPr>
            <w:tcW w:w="113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327,500.0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163,087,876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217,543,6</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97.25</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18,221,424.96</w:t>
            </w:r>
          </w:p>
        </w:tc>
        <w:tc>
          <w:tcPr>
            <w:tcW w:w="113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362,410,1</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48.43</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12"/>
          <w:szCs w:val="12"/>
        </w:rPr>
      </w:pPr>
    </w:p>
    <w:p>
      <w:pPr>
        <w:pStyle w:val="BodyText"/>
        <w:spacing w:line="240" w:lineRule="auto" w:before="0"/>
        <w:ind w:left="1554" w:right="0"/>
        <w:jc w:val="left"/>
      </w:pPr>
      <w:r>
        <w:rPr/>
        <w:t>递延收益较期初增加</w:t>
      </w:r>
      <w:r>
        <w:rPr>
          <w:spacing w:val="-54"/>
        </w:rPr>
        <w:t> </w:t>
      </w:r>
      <w:r>
        <w:rPr>
          <w:rFonts w:ascii="宋体" w:hAnsi="宋体" w:cs="宋体" w:eastAsia="宋体" w:hint="default"/>
        </w:rPr>
        <w:t>120.25%</w:t>
      </w:r>
      <w:r>
        <w:rPr/>
        <w:t>，主要系公司本期收到了较大金额的政府补助所致。</w:t>
      </w:r>
    </w:p>
    <w:p>
      <w:pPr>
        <w:spacing w:line="240" w:lineRule="auto" w:before="6"/>
        <w:rPr>
          <w:rFonts w:ascii="宋体" w:hAnsi="宋体" w:cs="宋体" w:eastAsia="宋体" w:hint="default"/>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0"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293,022,806.00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293,022,806.00</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9、资本公积" w:id="302"/>
      <w:bookmarkEnd w:id="302"/>
      <w:r>
        <w:rPr>
          <w:b w:val="0"/>
          <w:bCs w:val="0"/>
        </w:rPr>
      </w:r>
      <w:r>
        <w:rPr>
          <w:rFonts w:ascii="Times New Roman" w:hAnsi="Times New Roman" w:cs="Times New Roman" w:eastAsia="Times New Roman" w:hint="default"/>
        </w:rPr>
        <w:t>39</w:t>
      </w:r>
      <w:r>
        <w:rPr/>
        <w:t>、资本公积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585,896,181.46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5,032,687.74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580,863,493.72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808,300.00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5,999,836.00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6,808,136.00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586,704,481.46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5,999,836.00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5,032,687.74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587,671,629.72</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12"/>
        <w:rPr>
          <w:rFonts w:ascii="宋体" w:hAnsi="宋体" w:cs="宋体" w:eastAsia="宋体" w:hint="default"/>
          <w:sz w:val="12"/>
          <w:szCs w:val="12"/>
        </w:rPr>
      </w:pPr>
    </w:p>
    <w:p>
      <w:pPr>
        <w:pStyle w:val="BodyText"/>
        <w:spacing w:line="240" w:lineRule="auto" w:before="0"/>
        <w:ind w:left="1554" w:right="0"/>
        <w:jc w:val="left"/>
      </w:pPr>
      <w:r>
        <w:rPr>
          <w:rFonts w:ascii="宋体" w:hAnsi="宋体" w:cs="宋体" w:eastAsia="宋体" w:hint="default"/>
        </w:rPr>
        <w:t>1</w:t>
      </w:r>
      <w:r>
        <w:rPr/>
        <w:t>、本期增加额系子公司所有者权益其他变动调整资本公积所致。</w:t>
      </w:r>
    </w:p>
    <w:p>
      <w:pPr>
        <w:spacing w:line="240" w:lineRule="auto" w:before="10"/>
        <w:rPr>
          <w:rFonts w:ascii="宋体" w:hAnsi="宋体" w:cs="宋体" w:eastAsia="宋体" w:hint="default"/>
          <w:sz w:val="14"/>
          <w:szCs w:val="14"/>
        </w:rPr>
      </w:pPr>
    </w:p>
    <w:p>
      <w:pPr>
        <w:pStyle w:val="BodyText"/>
        <w:spacing w:line="240" w:lineRule="auto" w:before="0"/>
        <w:ind w:left="1553" w:right="0"/>
        <w:jc w:val="left"/>
      </w:pPr>
      <w:r>
        <w:rPr>
          <w:rFonts w:ascii="宋体" w:hAnsi="宋体" w:cs="宋体" w:eastAsia="宋体" w:hint="default"/>
        </w:rPr>
        <w:t>2</w:t>
      </w:r>
      <w:r>
        <w:rPr/>
        <w:t>、本期减少额系公司购买子公司少数股东股权调减资本公积所致。</w:t>
      </w:r>
    </w:p>
    <w:p>
      <w:pPr>
        <w:spacing w:line="240" w:lineRule="auto" w:before="0"/>
        <w:rPr>
          <w:rFonts w:ascii="宋体" w:hAnsi="宋体" w:cs="宋体" w:eastAsia="宋体" w:hint="default"/>
          <w:sz w:val="20"/>
          <w:szCs w:val="20"/>
        </w:rPr>
      </w:pPr>
    </w:p>
    <w:p>
      <w:pPr>
        <w:pStyle w:val="Heading4"/>
        <w:spacing w:line="240" w:lineRule="auto" w:before="154"/>
        <w:ind w:right="0"/>
        <w:jc w:val="left"/>
        <w:rPr>
          <w:b w:val="0"/>
          <w:bCs w:val="0"/>
        </w:rPr>
      </w:pPr>
      <w:bookmarkStart w:name="40、盈余公积" w:id="303"/>
      <w:bookmarkEnd w:id="303"/>
      <w:r>
        <w:rPr>
          <w:b w:val="0"/>
          <w:bCs w:val="0"/>
        </w:rPr>
      </w:r>
      <w:r>
        <w:rPr>
          <w:rFonts w:ascii="Times New Roman" w:hAnsi="Times New Roman" w:cs="Times New Roman" w:eastAsia="Times New Roman" w:hint="default"/>
        </w:rPr>
        <w:t>40</w:t>
      </w:r>
      <w:r>
        <w:rPr/>
        <w:t>、盈余公积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32,262,834.53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3,090,085.47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35,352,920.00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32,262,834.53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3,090,085.47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35,352,920.00</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spacing w:line="240" w:lineRule="auto" w:before="10"/>
        <w:rPr>
          <w:rFonts w:ascii="宋体" w:hAnsi="宋体" w:cs="宋体" w:eastAsia="宋体" w:hint="default"/>
          <w:sz w:val="12"/>
          <w:szCs w:val="12"/>
        </w:rPr>
      </w:pPr>
    </w:p>
    <w:p>
      <w:pPr>
        <w:pStyle w:val="BodyText"/>
        <w:spacing w:line="240" w:lineRule="auto" w:before="0"/>
        <w:ind w:left="1554" w:right="0"/>
        <w:jc w:val="left"/>
      </w:pPr>
      <w:r>
        <w:rPr/>
        <w:t>报告期内盈余公积增加数为本公司依据公司章程规定的计提数。</w:t>
      </w:r>
    </w:p>
    <w:p>
      <w:pPr>
        <w:spacing w:line="240" w:lineRule="auto" w:before="0"/>
        <w:rPr>
          <w:rFonts w:ascii="宋体" w:hAnsi="宋体" w:cs="宋体" w:eastAsia="宋体" w:hint="default"/>
          <w:sz w:val="20"/>
          <w:szCs w:val="20"/>
        </w:rPr>
      </w:pPr>
    </w:p>
    <w:p>
      <w:pPr>
        <w:pStyle w:val="Heading4"/>
        <w:spacing w:line="240" w:lineRule="auto" w:before="154"/>
        <w:ind w:right="0"/>
        <w:jc w:val="left"/>
        <w:rPr>
          <w:b w:val="0"/>
          <w:bCs w:val="0"/>
        </w:rPr>
      </w:pPr>
      <w:bookmarkStart w:name="41、未分配利润" w:id="304"/>
      <w:bookmarkEnd w:id="304"/>
      <w:r>
        <w:rPr>
          <w:b w:val="0"/>
          <w:bCs w:val="0"/>
        </w:rPr>
      </w:r>
      <w:r>
        <w:rPr>
          <w:rFonts w:ascii="Times New Roman" w:hAnsi="Times New Roman" w:cs="Times New Roman" w:eastAsia="Times New Roman" w:hint="default"/>
        </w:rPr>
        <w:t>41</w:t>
      </w:r>
      <w:r>
        <w:rPr/>
        <w:t>、未分配利润</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382,955,569.32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304,257,726.70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382,955,569.32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304,257,726.70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110,320,925.94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90,629,460.02</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3,090,085.47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6,071,161.28</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10,255,797.56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5,860,456.12</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479,930,612.23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382,955,569.32</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line="240" w:lineRule="auto" w:before="12"/>
        <w:rPr>
          <w:rFonts w:ascii="宋体" w:hAnsi="宋体" w:cs="宋体" w:eastAsia="宋体" w:hint="default"/>
          <w:sz w:val="12"/>
          <w:szCs w:val="12"/>
        </w:rPr>
      </w:pPr>
    </w:p>
    <w:p>
      <w:pPr>
        <w:pStyle w:val="BodyText"/>
        <w:spacing w:line="240" w:lineRule="auto" w:before="0"/>
        <w:ind w:left="1554" w:right="0"/>
        <w:jc w:val="left"/>
      </w:pPr>
      <w:r>
        <w:rPr>
          <w:rFonts w:ascii="宋体" w:hAnsi="宋体" w:cs="宋体" w:eastAsia="宋体" w:hint="default"/>
        </w:rPr>
        <w:t>1)</w:t>
      </w:r>
      <w:r>
        <w:rPr/>
        <w:t>、由于《企业会计准则》及其相关新规定进行追溯调整，影响期初未分配利润</w:t>
      </w:r>
      <w:r>
        <w:rPr>
          <w:spacing w:val="-53"/>
        </w:rPr>
        <w:t> </w:t>
      </w:r>
      <w:r>
        <w:rPr>
          <w:rFonts w:ascii="宋体" w:hAnsi="宋体" w:cs="宋体" w:eastAsia="宋体" w:hint="default"/>
        </w:rPr>
        <w:t>0.00</w:t>
      </w:r>
      <w:r>
        <w:rPr>
          <w:rFonts w:ascii="宋体" w:hAnsi="宋体" w:cs="宋体" w:eastAsia="宋体" w:hint="default"/>
          <w:spacing w:val="-54"/>
        </w:rPr>
        <w:t> </w:t>
      </w:r>
      <w:r>
        <w:rPr/>
        <w:t>元。</w:t>
      </w:r>
    </w:p>
    <w:p>
      <w:pPr>
        <w:spacing w:line="240" w:lineRule="auto" w:before="10"/>
        <w:rPr>
          <w:rFonts w:ascii="宋体" w:hAnsi="宋体" w:cs="宋体" w:eastAsia="宋体" w:hint="default"/>
          <w:sz w:val="14"/>
          <w:szCs w:val="14"/>
        </w:rPr>
      </w:pPr>
    </w:p>
    <w:p>
      <w:pPr>
        <w:pStyle w:val="BodyText"/>
        <w:spacing w:line="240" w:lineRule="auto" w:before="0"/>
        <w:ind w:left="1553" w:right="0"/>
        <w:jc w:val="left"/>
      </w:pPr>
      <w:r>
        <w:rPr>
          <w:rFonts w:ascii="宋体" w:hAnsi="宋体" w:cs="宋体" w:eastAsia="宋体" w:hint="default"/>
        </w:rPr>
        <w:t>2)</w:t>
      </w:r>
      <w:r>
        <w:rPr/>
        <w:t>、由于会计政策变更，影响期初未分配利润</w:t>
      </w:r>
      <w:r>
        <w:rPr>
          <w:spacing w:val="-53"/>
        </w:rPr>
        <w:t> </w:t>
      </w:r>
      <w:r>
        <w:rPr>
          <w:rFonts w:ascii="宋体" w:hAnsi="宋体" w:cs="宋体" w:eastAsia="宋体" w:hint="default"/>
        </w:rPr>
        <w:t>0.00</w:t>
      </w:r>
      <w:r>
        <w:rPr>
          <w:rFonts w:ascii="宋体" w:hAnsi="宋体" w:cs="宋体" w:eastAsia="宋体" w:hint="default"/>
          <w:spacing w:val="-54"/>
        </w:rPr>
        <w:t> </w:t>
      </w:r>
      <w:r>
        <w:rPr/>
        <w:t>元。</w:t>
      </w:r>
    </w:p>
    <w:p>
      <w:pPr>
        <w:spacing w:line="240" w:lineRule="auto" w:before="10"/>
        <w:rPr>
          <w:rFonts w:ascii="宋体" w:hAnsi="宋体" w:cs="宋体" w:eastAsia="宋体" w:hint="default"/>
          <w:sz w:val="14"/>
          <w:szCs w:val="14"/>
        </w:rPr>
      </w:pPr>
    </w:p>
    <w:p>
      <w:pPr>
        <w:pStyle w:val="BodyText"/>
        <w:spacing w:line="240" w:lineRule="auto" w:before="0"/>
        <w:ind w:left="1553" w:right="0"/>
        <w:jc w:val="left"/>
      </w:pPr>
      <w:r>
        <w:rPr>
          <w:rFonts w:ascii="宋体" w:hAnsi="宋体" w:cs="宋体" w:eastAsia="宋体" w:hint="default"/>
        </w:rPr>
        <w:t>3)</w:t>
      </w:r>
      <w:r>
        <w:rPr/>
        <w:t>、由于重大会计差错更正，影响期初未分配利润</w:t>
      </w:r>
      <w:r>
        <w:rPr>
          <w:spacing w:val="-55"/>
        </w:rPr>
        <w:t> </w:t>
      </w:r>
      <w:r>
        <w:rPr>
          <w:rFonts w:ascii="宋体" w:hAnsi="宋体" w:cs="宋体" w:eastAsia="宋体" w:hint="default"/>
        </w:rPr>
        <w:t>0.00</w:t>
      </w:r>
      <w:r>
        <w:rPr>
          <w:rFonts w:ascii="宋体" w:hAnsi="宋体" w:cs="宋体" w:eastAsia="宋体" w:hint="default"/>
          <w:spacing w:val="-56"/>
        </w:rPr>
        <w:t> </w:t>
      </w:r>
      <w:r>
        <w:rPr/>
        <w:t>元。</w:t>
      </w:r>
    </w:p>
    <w:p>
      <w:pPr>
        <w:spacing w:line="240" w:lineRule="auto" w:before="10"/>
        <w:rPr>
          <w:rFonts w:ascii="宋体" w:hAnsi="宋体" w:cs="宋体" w:eastAsia="宋体" w:hint="default"/>
          <w:sz w:val="14"/>
          <w:szCs w:val="14"/>
        </w:rPr>
      </w:pPr>
    </w:p>
    <w:p>
      <w:pPr>
        <w:pStyle w:val="BodyText"/>
        <w:spacing w:line="240" w:lineRule="auto" w:before="0"/>
        <w:ind w:left="1553" w:right="0"/>
        <w:jc w:val="left"/>
      </w:pPr>
      <w:r>
        <w:rPr>
          <w:rFonts w:ascii="宋体" w:hAnsi="宋体" w:cs="宋体" w:eastAsia="宋体" w:hint="default"/>
        </w:rPr>
        <w:t>4)</w:t>
      </w:r>
      <w:r>
        <w:rPr/>
        <w:t>、由于同一控制导致的合并范围变更，影响期初未分配利润</w:t>
      </w:r>
      <w:r>
        <w:rPr>
          <w:spacing w:val="-55"/>
        </w:rPr>
        <w:t> </w:t>
      </w:r>
      <w:r>
        <w:rPr>
          <w:rFonts w:ascii="宋体" w:hAnsi="宋体" w:cs="宋体" w:eastAsia="宋体" w:hint="default"/>
        </w:rPr>
        <w:t>0.00</w:t>
      </w:r>
      <w:r>
        <w:rPr>
          <w:rFonts w:ascii="宋体" w:hAnsi="宋体" w:cs="宋体" w:eastAsia="宋体" w:hint="default"/>
          <w:spacing w:val="-56"/>
        </w:rPr>
        <w:t> </w:t>
      </w:r>
      <w:r>
        <w:rPr/>
        <w:t>元。</w:t>
      </w:r>
    </w:p>
    <w:p>
      <w:pPr>
        <w:spacing w:line="240" w:lineRule="auto" w:before="10"/>
        <w:rPr>
          <w:rFonts w:ascii="宋体" w:hAnsi="宋体" w:cs="宋体" w:eastAsia="宋体" w:hint="default"/>
          <w:sz w:val="14"/>
          <w:szCs w:val="14"/>
        </w:rPr>
      </w:pPr>
    </w:p>
    <w:p>
      <w:pPr>
        <w:pStyle w:val="BodyText"/>
        <w:spacing w:line="240" w:lineRule="auto" w:before="0"/>
        <w:ind w:left="1553" w:right="0"/>
        <w:jc w:val="left"/>
      </w:pPr>
      <w:r>
        <w:rPr>
          <w:rFonts w:ascii="宋体" w:hAnsi="宋体" w:cs="宋体" w:eastAsia="宋体" w:hint="default"/>
        </w:rPr>
        <w:t>5)</w:t>
      </w:r>
      <w:r>
        <w:rPr/>
        <w:t>、其他调整合计影响期初未分配利润</w:t>
      </w:r>
      <w:r>
        <w:rPr>
          <w:spacing w:val="-55"/>
        </w:rPr>
        <w:t> </w:t>
      </w:r>
      <w:r>
        <w:rPr>
          <w:rFonts w:ascii="宋体" w:hAnsi="宋体" w:cs="宋体" w:eastAsia="宋体" w:hint="default"/>
        </w:rPr>
        <w:t>0.00</w:t>
      </w:r>
      <w:r>
        <w:rPr>
          <w:rFonts w:ascii="宋体" w:hAnsi="宋体" w:cs="宋体" w:eastAsia="宋体" w:hint="default"/>
          <w:spacing w:val="-56"/>
        </w:rPr>
        <w:t> </w:t>
      </w:r>
      <w:r>
        <w:rPr/>
        <w:t>元。</w:t>
      </w:r>
    </w:p>
    <w:p>
      <w:pPr>
        <w:spacing w:after="0" w:line="240"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42、营业收入和营业成本" w:id="305"/>
      <w:bookmarkEnd w:id="305"/>
      <w:r>
        <w:rPr>
          <w:b w:val="0"/>
          <w:bCs w:val="0"/>
        </w:rPr>
      </w:r>
      <w:r>
        <w:rPr>
          <w:rFonts w:ascii="Times New Roman" w:hAnsi="Times New Roman" w:cs="Times New Roman" w:eastAsia="Times New Roman" w:hint="default"/>
        </w:rPr>
        <w:t>42</w:t>
      </w:r>
      <w:r>
        <w:rPr/>
        <w:t>、营业收入和营业成本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7"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1,401,973,691.52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880,364,707.45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1,075,504,817.00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665,531,100.87</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42,205,398.39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24,837,668.49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32,214,430.95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14,317,172.84</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2"/>
                <w:szCs w:val="12"/>
              </w:rPr>
            </w:pPr>
            <w:r>
              <w:rPr>
                <w:rFonts w:ascii="Times New Roman"/>
                <w:spacing w:val="-1"/>
                <w:sz w:val="18"/>
              </w:rPr>
              <w:t>1,444,179,089.91</w:t>
            </w:r>
            <w:r>
              <w:rPr>
                <w:rFonts w:ascii="Times New Roman"/>
                <w:color w:val="FF0000"/>
                <w:spacing w:val="-1"/>
                <w:position w:val="8"/>
                <w:sz w:val="12"/>
              </w:rPr>
              <w:t>1</w:t>
            </w:r>
            <w:r>
              <w:rPr>
                <w:rFonts w:ascii="Times New Roman"/>
                <w:spacing w:val="-1"/>
                <w:sz w:val="12"/>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2"/>
                <w:szCs w:val="12"/>
              </w:rPr>
            </w:pPr>
            <w:r>
              <w:rPr>
                <w:rFonts w:ascii="Times New Roman"/>
                <w:spacing w:val="-1"/>
                <w:sz w:val="18"/>
              </w:rPr>
              <w:t>905,202,375.94</w:t>
            </w:r>
            <w:r>
              <w:rPr>
                <w:rFonts w:ascii="Times New Roman"/>
                <w:color w:val="FF0000"/>
                <w:spacing w:val="-1"/>
                <w:position w:val="8"/>
                <w:sz w:val="12"/>
              </w:rPr>
              <w:t>2</w:t>
            </w:r>
            <w:r>
              <w:rPr>
                <w:rFonts w:ascii="Times New Roman"/>
                <w:spacing w:val="-1"/>
                <w:sz w:val="12"/>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1,107,719,247.95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679,848,273.71</w:t>
            </w:r>
          </w:p>
        </w:tc>
      </w:tr>
    </w:tbl>
    <w:p>
      <w:pPr>
        <w:pStyle w:val="BodyText"/>
        <w:spacing w:line="408" w:lineRule="auto" w:before="63"/>
        <w:ind w:left="1553" w:right="1464"/>
        <w:jc w:val="left"/>
      </w:pPr>
      <w:r>
        <w:rPr/>
        <w:t>注：</w:t>
      </w:r>
      <w:r>
        <w:rPr>
          <w:rFonts w:ascii="宋体" w:hAnsi="宋体" w:cs="宋体" w:eastAsia="宋体" w:hint="default"/>
        </w:rPr>
        <w:t>1 </w:t>
      </w:r>
      <w:r>
        <w:rPr/>
        <w:t>营业收入较上年同期增长</w:t>
      </w:r>
      <w:r>
        <w:rPr>
          <w:spacing w:val="-56"/>
        </w:rPr>
        <w:t> </w:t>
      </w:r>
      <w:r>
        <w:rPr>
          <w:rFonts w:ascii="宋体" w:hAnsi="宋体" w:cs="宋体" w:eastAsia="宋体" w:hint="default"/>
        </w:rPr>
        <w:t>30.37%</w:t>
      </w:r>
      <w:r>
        <w:rPr/>
        <w:t>，主要系公司传感器板块、智慧市政板块业务增长所致， </w:t>
      </w:r>
      <w:r>
        <w:rPr>
          <w:rFonts w:ascii="宋体" w:hAnsi="宋体" w:cs="宋体" w:eastAsia="宋体" w:hint="default"/>
        </w:rPr>
        <w:t>2 </w:t>
      </w:r>
      <w:r>
        <w:rPr/>
        <w:t>主营业务成本较上年同期增长</w:t>
      </w:r>
      <w:r>
        <w:rPr>
          <w:spacing w:val="-56"/>
        </w:rPr>
        <w:t> </w:t>
      </w:r>
      <w:r>
        <w:rPr>
          <w:rFonts w:ascii="宋体" w:hAnsi="宋体" w:cs="宋体" w:eastAsia="宋体" w:hint="default"/>
        </w:rPr>
        <w:t>33.15%</w:t>
      </w:r>
      <w:r>
        <w:rPr/>
        <w:t>，主要系业务增长所致。</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bookmarkStart w:name="43、税金及附加" w:id="306"/>
      <w:bookmarkEnd w:id="306"/>
      <w:r>
        <w:rPr>
          <w:b w:val="0"/>
          <w:bCs w:val="0"/>
        </w:rPr>
      </w:r>
      <w:r>
        <w:rPr>
          <w:rFonts w:ascii="Times New Roman" w:hAnsi="Times New Roman" w:cs="Times New Roman" w:eastAsia="Times New Roman" w:hint="default"/>
        </w:rPr>
        <w:t>43</w:t>
      </w:r>
      <w:r>
        <w:rPr/>
        <w:t>、税金及附加</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5,071,755.24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5,128,909.35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3,750,866.10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3,750,886.50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5,367,341.58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4,451,556.24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1,584,258.90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1,299,552.85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743,647.52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674,960.22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6,417,362.44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467,883.48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508,695.38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16,985,752.82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22,231,922.98</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4、销售费用" w:id="307"/>
      <w:bookmarkEnd w:id="307"/>
      <w:r>
        <w:rPr>
          <w:b w:val="0"/>
          <w:bCs w:val="0"/>
        </w:rPr>
      </w:r>
      <w:r>
        <w:rPr>
          <w:rFonts w:ascii="Times New Roman" w:hAnsi="Times New Roman" w:cs="Times New Roman" w:eastAsia="Times New Roman" w:hint="default"/>
        </w:rPr>
        <w:t>44</w:t>
      </w:r>
      <w:r>
        <w:rPr/>
        <w:t>、销售费用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工资、福利及社会统筹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44,906,067.43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38,252,326.68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10,541,210.55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9,462,986.49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5,886,551.42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4,490,619.30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3,893,510.06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2,917,281.81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安装费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7,223,225.97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3,401,073.61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广告、宣传费、展会费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4,305,604.89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3,849,935.19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办公费、水电、电话及低耗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6,114,120.61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3,609,592.01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车辆费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1,544,998.16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1,100,066.30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招标服务费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1,202,829.38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507,983.99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材料费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1,755,629.61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2,191,552.74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工程维护费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6,247,671.75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1,994,231.77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1,349,141.46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6,358,437.47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3,835,119.72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101,328,998.76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75,612,769.61</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12"/>
          <w:szCs w:val="12"/>
        </w:rPr>
      </w:pPr>
    </w:p>
    <w:p>
      <w:pPr>
        <w:pStyle w:val="BodyText"/>
        <w:spacing w:line="240" w:lineRule="auto" w:before="0"/>
        <w:ind w:left="1554" w:right="0"/>
        <w:jc w:val="left"/>
      </w:pPr>
      <w:r>
        <w:rPr/>
        <w:t>销售费用上年同期增加</w:t>
      </w:r>
      <w:r>
        <w:rPr>
          <w:spacing w:val="-54"/>
        </w:rPr>
        <w:t> </w:t>
      </w:r>
      <w:r>
        <w:rPr>
          <w:rFonts w:ascii="宋体" w:hAnsi="宋体" w:cs="宋体" w:eastAsia="宋体" w:hint="default"/>
        </w:rPr>
        <w:t>34.01%</w:t>
      </w:r>
      <w:r>
        <w:rPr/>
        <w:t>，主要系人员工资、差旅费等随业务规模扩大增加所致。</w:t>
      </w:r>
    </w:p>
    <w:p>
      <w:pPr>
        <w:spacing w:line="240" w:lineRule="auto" w:before="0"/>
        <w:rPr>
          <w:rFonts w:ascii="宋体" w:hAnsi="宋体" w:cs="宋体" w:eastAsia="宋体" w:hint="default"/>
          <w:sz w:val="20"/>
          <w:szCs w:val="20"/>
        </w:rPr>
      </w:pPr>
    </w:p>
    <w:p>
      <w:pPr>
        <w:pStyle w:val="Heading4"/>
        <w:spacing w:line="240" w:lineRule="auto" w:before="154"/>
        <w:ind w:left="1134" w:right="0"/>
        <w:jc w:val="left"/>
        <w:rPr>
          <w:b w:val="0"/>
          <w:bCs w:val="0"/>
        </w:rPr>
      </w:pPr>
      <w:bookmarkStart w:name="45、管理费用" w:id="308"/>
      <w:bookmarkEnd w:id="308"/>
      <w:r>
        <w:rPr>
          <w:b w:val="0"/>
          <w:bCs w:val="0"/>
        </w:rPr>
      </w:r>
      <w:r>
        <w:rPr>
          <w:rFonts w:ascii="Times New Roman" w:hAnsi="Times New Roman" w:cs="Times New Roman" w:eastAsia="Times New Roman" w:hint="default"/>
        </w:rPr>
        <w:t>45</w:t>
      </w:r>
      <w:r>
        <w:rPr/>
        <w:t>、管理费用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工资、福利及社会统筹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84,864,771.01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68,156,847.25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折旧及无形资产摊销费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19,025,295.80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66,943,569.66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91,097,376.27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21,894,879.60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9,567,087.23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9,643,371.65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12,247,160.73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11,007,555.90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车辆费用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2,973,541.36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3,033,178.02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5,845,456.57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4,150,563.50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4,364,797.30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3,638,391.10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2,663,699.57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1,327,665.85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1,779,638.68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6,817,506.88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7,840,896.04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239,466,692.72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199,416,557.25</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46、财务费用" w:id="309"/>
      <w:bookmarkEnd w:id="309"/>
      <w:r>
        <w:rPr>
          <w:b w:val="0"/>
          <w:bCs w:val="0"/>
        </w:rPr>
      </w:r>
      <w:r>
        <w:rPr>
          <w:rFonts w:ascii="Times New Roman" w:hAnsi="Times New Roman" w:cs="Times New Roman" w:eastAsia="Times New Roman" w:hint="default"/>
        </w:rPr>
        <w:t>46</w:t>
      </w:r>
      <w:r>
        <w:rPr/>
        <w:t>、财务费用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44,150,434.69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36,634,563.94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1,138,590.42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3,340,963.60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1,030,876.21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308,257.68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减：汇兑收益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290,697.83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959,952.42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1,009,461.22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1,428,012.67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44,761,483.87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34,069,918.27</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12"/>
          <w:szCs w:val="12"/>
        </w:rPr>
      </w:pPr>
    </w:p>
    <w:p>
      <w:pPr>
        <w:pStyle w:val="BodyText"/>
        <w:spacing w:line="240" w:lineRule="auto" w:before="0"/>
        <w:ind w:left="1554" w:right="0"/>
        <w:jc w:val="left"/>
      </w:pPr>
      <w:r>
        <w:rPr/>
        <w:t>财务费用较上年同期增加</w:t>
      </w:r>
      <w:r>
        <w:rPr>
          <w:spacing w:val="-53"/>
        </w:rPr>
        <w:t> </w:t>
      </w:r>
      <w:r>
        <w:rPr>
          <w:rFonts w:ascii="宋体" w:hAnsi="宋体" w:cs="宋体" w:eastAsia="宋体" w:hint="default"/>
        </w:rPr>
        <w:t>31.38%</w:t>
      </w:r>
      <w:r>
        <w:rPr/>
        <w:t>，主要系公司借款规模扩大所致。</w:t>
      </w:r>
    </w:p>
    <w:p>
      <w:pPr>
        <w:spacing w:line="240" w:lineRule="auto" w:before="0"/>
        <w:rPr>
          <w:rFonts w:ascii="宋体" w:hAnsi="宋体" w:cs="宋体" w:eastAsia="宋体" w:hint="default"/>
          <w:sz w:val="20"/>
          <w:szCs w:val="20"/>
        </w:rPr>
      </w:pPr>
    </w:p>
    <w:p>
      <w:pPr>
        <w:pStyle w:val="Heading4"/>
        <w:spacing w:line="240" w:lineRule="auto" w:before="154"/>
        <w:ind w:right="0"/>
        <w:jc w:val="left"/>
        <w:rPr>
          <w:b w:val="0"/>
          <w:bCs w:val="0"/>
        </w:rPr>
      </w:pPr>
      <w:bookmarkStart w:name="47、资产减值损失" w:id="310"/>
      <w:bookmarkEnd w:id="310"/>
      <w:r>
        <w:rPr>
          <w:b w:val="0"/>
          <w:bCs w:val="0"/>
        </w:rPr>
      </w:r>
      <w:r>
        <w:rPr>
          <w:rFonts w:ascii="Times New Roman" w:hAnsi="Times New Roman" w:cs="Times New Roman" w:eastAsia="Times New Roman" w:hint="default"/>
        </w:rPr>
        <w:t>47</w:t>
      </w:r>
      <w:r>
        <w:rPr/>
        <w:t>、资产减值损失</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15,062,390.74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16,268,077.77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二、可供出售金融资产减值损失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三、商誉减值损失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6,284,914.80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34,759,350.26</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36,347,305.54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51,027,428.03</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12"/>
          <w:szCs w:val="12"/>
        </w:rPr>
      </w:pPr>
    </w:p>
    <w:p>
      <w:pPr>
        <w:pStyle w:val="BodyText"/>
        <w:spacing w:line="240" w:lineRule="auto" w:before="0"/>
        <w:ind w:left="1554" w:right="0"/>
        <w:jc w:val="left"/>
      </w:pPr>
      <w:r>
        <w:rPr/>
        <w:t>资产减值损失较上年同期减少</w:t>
      </w:r>
      <w:r>
        <w:rPr>
          <w:spacing w:val="-54"/>
        </w:rPr>
        <w:t> </w:t>
      </w:r>
      <w:r>
        <w:rPr>
          <w:rFonts w:ascii="宋体" w:hAnsi="宋体" w:cs="宋体" w:eastAsia="宋体" w:hint="default"/>
        </w:rPr>
        <w:t>28.77%</w:t>
      </w:r>
      <w:r>
        <w:rPr/>
        <w:t>，主要系公司本期计提的商誉减值损失减少所致。</w:t>
      </w:r>
    </w:p>
    <w:p>
      <w:pPr>
        <w:spacing w:line="240" w:lineRule="auto" w:before="0"/>
        <w:rPr>
          <w:rFonts w:ascii="宋体" w:hAnsi="宋体" w:cs="宋体" w:eastAsia="宋体" w:hint="default"/>
          <w:sz w:val="20"/>
          <w:szCs w:val="20"/>
        </w:rPr>
      </w:pPr>
    </w:p>
    <w:p>
      <w:pPr>
        <w:pStyle w:val="Heading4"/>
        <w:spacing w:line="240" w:lineRule="auto" w:before="154"/>
        <w:ind w:left="1134" w:right="0"/>
        <w:jc w:val="left"/>
        <w:rPr>
          <w:b w:val="0"/>
          <w:bCs w:val="0"/>
        </w:rPr>
      </w:pPr>
      <w:bookmarkStart w:name="48、投资收益" w:id="311"/>
      <w:bookmarkEnd w:id="311"/>
      <w:r>
        <w:rPr>
          <w:b w:val="0"/>
          <w:bCs w:val="0"/>
        </w:rPr>
      </w:r>
      <w:r>
        <w:rPr>
          <w:rFonts w:ascii="Times New Roman" w:hAnsi="Times New Roman" w:cs="Times New Roman" w:eastAsia="Times New Roman" w:hint="default"/>
        </w:rPr>
        <w:t>48</w:t>
      </w:r>
      <w:r>
        <w:rPr/>
        <w:t>、投资收益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5,048,300.57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3,732,320.40</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3" w:type="dxa"/>
            <w:tcBorders>
              <w:top w:val="single" w:sz="4" w:space="0" w:color="000000"/>
              <w:left w:val="single" w:sz="13" w:space="0" w:color="D2D2D2"/>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6,039,598.80</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持有至到期投资在持有期间的投资收益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4,661,164.79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3,403,693.90</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10,131,032.01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1,925,237.19</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或有对价形成的投资收益</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4,708,500.00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41,123,169.36</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24,548,997.37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56,224,019.65</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12"/>
          <w:szCs w:val="12"/>
        </w:rPr>
      </w:pPr>
    </w:p>
    <w:p>
      <w:pPr>
        <w:pStyle w:val="BodyText"/>
        <w:spacing w:line="240" w:lineRule="auto" w:before="0"/>
        <w:ind w:left="1554" w:right="0"/>
        <w:jc w:val="left"/>
      </w:pPr>
      <w:r>
        <w:rPr/>
        <w:t>投资收益较上年同期减少</w:t>
      </w:r>
      <w:r>
        <w:rPr>
          <w:spacing w:val="-16"/>
        </w:rPr>
        <w:t> </w:t>
      </w:r>
      <w:r>
        <w:rPr>
          <w:rFonts w:ascii="宋体" w:hAnsi="宋体" w:cs="宋体" w:eastAsia="宋体" w:hint="default"/>
          <w:spacing w:val="-3"/>
        </w:rPr>
        <w:t>56.34%</w:t>
      </w:r>
      <w:r>
        <w:rPr>
          <w:spacing w:val="-3"/>
        </w:rPr>
        <w:t>，主要系公司上年同期计提了应收嘉园环保原股东的业绩补偿款所致。</w:t>
      </w:r>
    </w:p>
    <w:p>
      <w:pPr>
        <w:spacing w:line="240" w:lineRule="auto" w:before="0"/>
        <w:rPr>
          <w:rFonts w:ascii="宋体" w:hAnsi="宋体" w:cs="宋体" w:eastAsia="宋体" w:hint="default"/>
          <w:sz w:val="20"/>
          <w:szCs w:val="20"/>
        </w:rPr>
      </w:pPr>
    </w:p>
    <w:p>
      <w:pPr>
        <w:pStyle w:val="Heading4"/>
        <w:spacing w:line="240" w:lineRule="auto" w:before="154"/>
        <w:ind w:left="1134" w:right="0"/>
        <w:jc w:val="left"/>
        <w:rPr>
          <w:b w:val="0"/>
          <w:bCs w:val="0"/>
        </w:rPr>
      </w:pPr>
      <w:bookmarkStart w:name="49、资产处置收益" w:id="312"/>
      <w:bookmarkEnd w:id="312"/>
      <w:r>
        <w:rPr>
          <w:b w:val="0"/>
          <w:bCs w:val="0"/>
        </w:rPr>
      </w:r>
      <w:r>
        <w:rPr>
          <w:rFonts w:ascii="Times New Roman" w:hAnsi="Times New Roman" w:cs="Times New Roman" w:eastAsia="Times New Roman" w:hint="default"/>
        </w:rPr>
        <w:t>49</w:t>
      </w:r>
      <w:r>
        <w:rPr/>
        <w:t>、资产处置收益</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处置固定资产收益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-455,564.93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9"/>
              <w:jc w:val="right"/>
              <w:rPr>
                <w:rFonts w:ascii="Times New Roman" w:hAnsi="Times New Roman" w:cs="Times New Roman" w:eastAsia="Times New Roman" w:hint="default"/>
                <w:sz w:val="12"/>
                <w:szCs w:val="12"/>
              </w:rPr>
            </w:pPr>
            <w:r>
              <w:rPr>
                <w:rFonts w:ascii="Times New Roman"/>
                <w:w w:val="95"/>
                <w:sz w:val="18"/>
              </w:rPr>
              <w:t>-169,552.08</w:t>
            </w:r>
            <w:r>
              <w:rPr>
                <w:rFonts w:ascii="Times New Roman"/>
                <w:color w:val="FF0000"/>
                <w:w w:val="95"/>
                <w:position w:val="8"/>
                <w:sz w:val="12"/>
              </w:rPr>
              <w:t>1</w:t>
            </w:r>
            <w:r>
              <w:rPr>
                <w:rFonts w:ascii="Times New Roman"/>
                <w:sz w:val="12"/>
              </w:rPr>
            </w:r>
          </w:p>
        </w:tc>
      </w:tr>
    </w:tbl>
    <w:p>
      <w:pPr>
        <w:pStyle w:val="BodyText"/>
        <w:spacing w:line="240" w:lineRule="auto" w:before="63"/>
        <w:ind w:left="1554" w:right="0"/>
        <w:jc w:val="left"/>
      </w:pPr>
      <w:r>
        <w:rPr/>
        <w:t>注</w:t>
      </w:r>
      <w:r>
        <w:rPr>
          <w:spacing w:val="-54"/>
        </w:rPr>
        <w:t> </w:t>
      </w:r>
      <w:r>
        <w:rPr>
          <w:rFonts w:ascii="宋体" w:hAnsi="宋体" w:cs="宋体" w:eastAsia="宋体" w:hint="default"/>
        </w:rPr>
        <w:t>1</w:t>
      </w:r>
      <w:r>
        <w:rPr/>
        <w:t>：主要系按会计政策规定，调整本期利润表列报项目，同时追溯调整上期发生额。</w:t>
      </w:r>
    </w:p>
    <w:p>
      <w:pPr>
        <w:spacing w:after="0" w:line="240"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50、其他收益" w:id="313"/>
      <w:bookmarkEnd w:id="313"/>
      <w:r>
        <w:rPr>
          <w:b w:val="0"/>
          <w:bCs w:val="0"/>
        </w:rPr>
      </w:r>
      <w:r>
        <w:rPr>
          <w:rFonts w:ascii="Times New Roman" w:hAnsi="Times New Roman" w:cs="Times New Roman" w:eastAsia="Times New Roman" w:hint="default"/>
        </w:rPr>
        <w:t>50</w:t>
      </w:r>
      <w:r>
        <w:rPr/>
        <w:t>、其他收益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城市基础设施配套费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24,291,031.06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企业技术中心的补助资金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传感器国家专业化众创空间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信息化发展专项资金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郑州市气体检测仪表科技公共服务平台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先进制造业发展专项资金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1,670,000.00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国家智能制造传感器智能制造项目配套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退税款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7,799,732.82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其他与日常经营活动相关的政府补助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13,089,398.00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9"/>
              <w:jc w:val="right"/>
              <w:rPr>
                <w:rFonts w:ascii="Times New Roman" w:hAnsi="Times New Roman" w:cs="Times New Roman" w:eastAsia="Times New Roman" w:hint="default"/>
                <w:sz w:val="12"/>
                <w:szCs w:val="12"/>
              </w:rPr>
            </w:pPr>
            <w:r>
              <w:rPr>
                <w:rFonts w:ascii="Times New Roman"/>
                <w:spacing w:val="-1"/>
                <w:sz w:val="18"/>
              </w:rPr>
              <w:t>62,450,161.88</w:t>
            </w:r>
            <w:r>
              <w:rPr>
                <w:rFonts w:ascii="Times New Roman"/>
                <w:color w:val="FF0000"/>
                <w:spacing w:val="-1"/>
                <w:position w:val="8"/>
                <w:sz w:val="12"/>
              </w:rPr>
              <w:t>1</w:t>
            </w:r>
            <w:r>
              <w:rPr>
                <w:rFonts w:ascii="Times New Roman"/>
                <w:spacing w:val="-1"/>
                <w:sz w:val="12"/>
              </w:rPr>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63"/>
        <w:ind w:left="1554" w:right="0"/>
        <w:jc w:val="left"/>
      </w:pPr>
      <w:r>
        <w:rPr/>
        <w:t>注</w:t>
      </w:r>
      <w:r>
        <w:rPr>
          <w:spacing w:val="-54"/>
        </w:rPr>
        <w:t> </w:t>
      </w:r>
      <w:r>
        <w:rPr>
          <w:rFonts w:ascii="宋体" w:hAnsi="宋体" w:cs="宋体" w:eastAsia="宋体" w:hint="default"/>
        </w:rPr>
        <w:t>1</w:t>
      </w:r>
      <w:r>
        <w:rPr/>
        <w:t>：其他收益主要系按会计准则规定归集的与公司日常活动相关的政府补助。</w:t>
      </w:r>
    </w:p>
    <w:p>
      <w:pPr>
        <w:spacing w:line="240" w:lineRule="auto" w:before="0"/>
        <w:rPr>
          <w:rFonts w:ascii="宋体" w:hAnsi="宋体" w:cs="宋体" w:eastAsia="宋体" w:hint="default"/>
          <w:sz w:val="20"/>
          <w:szCs w:val="20"/>
        </w:rPr>
      </w:pPr>
    </w:p>
    <w:p>
      <w:pPr>
        <w:pStyle w:val="Heading4"/>
        <w:spacing w:line="240" w:lineRule="auto" w:before="154"/>
        <w:ind w:right="0"/>
        <w:jc w:val="left"/>
        <w:rPr>
          <w:b w:val="0"/>
          <w:bCs w:val="0"/>
        </w:rPr>
      </w:pPr>
      <w:bookmarkStart w:name="51、营业外收入" w:id="314"/>
      <w:bookmarkEnd w:id="314"/>
      <w:r>
        <w:rPr>
          <w:b w:val="0"/>
          <w:bCs w:val="0"/>
        </w:rPr>
      </w:r>
      <w:r>
        <w:rPr>
          <w:rFonts w:ascii="Times New Roman" w:hAnsi="Times New Roman" w:cs="Times New Roman" w:eastAsia="Times New Roman" w:hint="default"/>
        </w:rPr>
        <w:t>51</w:t>
      </w:r>
      <w:r>
        <w:rPr/>
        <w:t>、营业外收入</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51,199,187.97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其他利得</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737,027.23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559,350.59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737,027.23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737,027.23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51,758,538.56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737,027.23</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12"/>
          <w:szCs w:val="12"/>
        </w:rPr>
      </w:pPr>
    </w:p>
    <w:p>
      <w:pPr>
        <w:pStyle w:val="BodyText"/>
        <w:spacing w:line="408" w:lineRule="auto" w:before="0"/>
        <w:ind w:left="1134" w:right="1119" w:firstLine="420"/>
        <w:jc w:val="left"/>
      </w:pPr>
      <w:r>
        <w:rPr/>
        <w:t>营业外收入较上年同期减少</w:t>
      </w:r>
      <w:r>
        <w:rPr>
          <w:spacing w:val="-27"/>
        </w:rPr>
        <w:t> </w:t>
      </w:r>
      <w:r>
        <w:rPr>
          <w:rFonts w:ascii="宋体" w:hAnsi="宋体" w:cs="宋体" w:eastAsia="宋体" w:hint="default"/>
          <w:spacing w:val="-3"/>
        </w:rPr>
        <w:t>98.58%</w:t>
      </w:r>
      <w:r>
        <w:rPr>
          <w:spacing w:val="-3"/>
        </w:rPr>
        <w:t>，主要系本期按会计准则规定，将原计入本科目中与企业日常活动</w:t>
      </w:r>
      <w:r>
        <w:rPr/>
        <w:t> 相关的政府补助，重分类到其他收益科目。</w:t>
      </w:r>
    </w:p>
    <w:p>
      <w:pPr>
        <w:spacing w:line="240" w:lineRule="auto" w:before="8"/>
        <w:rPr>
          <w:rFonts w:ascii="宋体" w:hAnsi="宋体" w:cs="宋体" w:eastAsia="宋体" w:hint="default"/>
          <w:sz w:val="20"/>
          <w:szCs w:val="20"/>
        </w:rPr>
      </w:pPr>
    </w:p>
    <w:p>
      <w:pPr>
        <w:pStyle w:val="Heading4"/>
        <w:spacing w:line="240" w:lineRule="auto"/>
        <w:ind w:left="1134" w:right="0"/>
        <w:jc w:val="left"/>
        <w:rPr>
          <w:b w:val="0"/>
          <w:bCs w:val="0"/>
        </w:rPr>
      </w:pPr>
      <w:bookmarkStart w:name="52、营业外支出" w:id="315"/>
      <w:bookmarkEnd w:id="315"/>
      <w:r>
        <w:rPr>
          <w:b w:val="0"/>
          <w:bCs w:val="0"/>
        </w:rPr>
      </w:r>
      <w:r>
        <w:rPr>
          <w:rFonts w:ascii="Times New Roman" w:hAnsi="Times New Roman" w:cs="Times New Roman" w:eastAsia="Times New Roman" w:hint="default"/>
        </w:rPr>
        <w:t>52</w:t>
      </w:r>
      <w:r>
        <w:rPr/>
        <w:t>、营业外支出</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债务重组损失</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94,936.80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208,600.00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94,936.80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709,805.13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86,030.47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709,805.13</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804,741.93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294,630.47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804,741.93</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240" w:lineRule="auto" w:before="174"/>
        <w:ind w:left="1553" w:right="0"/>
        <w:jc w:val="left"/>
      </w:pPr>
      <w:r>
        <w:rPr/>
        <w:t>营业外支出较上年同期增加了</w:t>
      </w:r>
      <w:r>
        <w:rPr>
          <w:spacing w:val="-53"/>
        </w:rPr>
        <w:t> </w:t>
      </w:r>
      <w:r>
        <w:rPr>
          <w:rFonts w:ascii="宋体" w:hAnsi="宋体" w:cs="宋体" w:eastAsia="宋体" w:hint="default"/>
        </w:rPr>
        <w:t>173.14%</w:t>
      </w:r>
      <w:r>
        <w:rPr/>
        <w:t>，主要系本期公司捐赠支出增加所致。</w:t>
      </w:r>
    </w:p>
    <w:p>
      <w:pPr>
        <w:spacing w:line="240" w:lineRule="auto" w:before="0"/>
        <w:rPr>
          <w:rFonts w:ascii="宋体" w:hAnsi="宋体" w:cs="宋体" w:eastAsia="宋体" w:hint="default"/>
          <w:sz w:val="20"/>
          <w:szCs w:val="20"/>
        </w:rPr>
      </w:pPr>
    </w:p>
    <w:p>
      <w:pPr>
        <w:pStyle w:val="Heading4"/>
        <w:spacing w:line="240" w:lineRule="auto" w:before="154"/>
        <w:ind w:right="0"/>
        <w:jc w:val="left"/>
        <w:rPr>
          <w:b w:val="0"/>
          <w:bCs w:val="0"/>
        </w:rPr>
      </w:pPr>
      <w:bookmarkStart w:name="53、所得税费用" w:id="316"/>
      <w:bookmarkEnd w:id="316"/>
      <w:r>
        <w:rPr>
          <w:b w:val="0"/>
          <w:bCs w:val="0"/>
        </w:rPr>
      </w:r>
      <w:r>
        <w:rPr>
          <w:rFonts w:ascii="Times New Roman" w:hAnsi="Times New Roman" w:cs="Times New Roman" w:eastAsia="Times New Roman" w:hint="default"/>
        </w:rPr>
        <w:t>53</w:t>
      </w:r>
      <w:r>
        <w:rPr/>
        <w:t>、所得税费用</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134" w:right="0"/>
        <w:jc w:val="left"/>
        <w:rPr>
          <w:b w:val="0"/>
          <w:bCs w:val="0"/>
        </w:rPr>
      </w:pPr>
      <w:bookmarkStart w:name="（1）所得税费用表" w:id="317"/>
      <w:bookmarkEnd w:id="317"/>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94,764,884.19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64,133,368.79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-57,437,733.47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-39,177,736.43</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37,327,150.72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24,955,632.36</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会计利润与所得税费用调整过程" w:id="318"/>
      <w:bookmarkEnd w:id="318"/>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4757"/>
        <w:gridCol w:w="4800"/>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186,562,359.88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46,640,589.97</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-12,414,686.77</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1,674,060.56</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-58,073.48</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2,371,250.96</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-421,177.91</w:t>
            </w:r>
            <w:r>
              <w:rPr>
                <w:rFonts w:ascii="Times New Roman"/>
                <w:sz w:val="18"/>
              </w:rPr>
            </w:r>
          </w:p>
        </w:tc>
      </w:tr>
      <w:tr>
        <w:trPr>
          <w:trHeight w:val="71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11,402,360.48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研发加计扣除</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-8,582,604.58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本期税率变动影响</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-768,469.12</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-2,516,099.39</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37,327,150.72</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12"/>
          <w:szCs w:val="12"/>
        </w:rPr>
      </w:pPr>
    </w:p>
    <w:p>
      <w:pPr>
        <w:pStyle w:val="BodyText"/>
        <w:spacing w:line="240" w:lineRule="auto" w:before="0"/>
        <w:ind w:left="1554" w:right="0"/>
        <w:jc w:val="left"/>
      </w:pPr>
      <w:r>
        <w:rPr/>
        <w:t>所得税费用较上年同期增长了</w:t>
      </w:r>
      <w:r>
        <w:rPr>
          <w:spacing w:val="-54"/>
        </w:rPr>
        <w:t> </w:t>
      </w:r>
      <w:r>
        <w:rPr>
          <w:rFonts w:ascii="宋体" w:hAnsi="宋体" w:cs="宋体" w:eastAsia="宋体" w:hint="default"/>
        </w:rPr>
        <w:t>49.57%</w:t>
      </w:r>
      <w:r>
        <w:rPr/>
        <w:t>，主要系公司利润增长所致。</w:t>
      </w:r>
    </w:p>
    <w:p>
      <w:pPr>
        <w:spacing w:line="240" w:lineRule="auto" w:before="0"/>
        <w:rPr>
          <w:rFonts w:ascii="宋体" w:hAnsi="宋体" w:cs="宋体" w:eastAsia="宋体" w:hint="default"/>
          <w:sz w:val="20"/>
          <w:szCs w:val="20"/>
        </w:rPr>
      </w:pPr>
    </w:p>
    <w:p>
      <w:pPr>
        <w:pStyle w:val="Heading4"/>
        <w:spacing w:line="240" w:lineRule="auto" w:before="154"/>
        <w:ind w:left="1134" w:right="0"/>
        <w:jc w:val="left"/>
        <w:rPr>
          <w:b w:val="0"/>
          <w:bCs w:val="0"/>
        </w:rPr>
      </w:pPr>
      <w:bookmarkStart w:name="54、现金流量表项目" w:id="319"/>
      <w:bookmarkEnd w:id="319"/>
      <w:r>
        <w:rPr>
          <w:b w:val="0"/>
          <w:bCs w:val="0"/>
        </w:rPr>
      </w:r>
      <w:r>
        <w:rPr>
          <w:rFonts w:ascii="Times New Roman" w:hAnsi="Times New Roman" w:cs="Times New Roman" w:eastAsia="Times New Roman" w:hint="default"/>
        </w:rPr>
        <w:t>54</w:t>
      </w:r>
      <w:r>
        <w:rPr/>
        <w:t>、现金流量表项目</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收到的其他与经营活动有关的现金" w:id="320"/>
      <w:bookmarkEnd w:id="320"/>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46,968,093.21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32,728,327.83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1,138,590.42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3,340,353.46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20,603,138.03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28,117,796.63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代收款项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38,812,628.50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24,014,107.35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241,283.23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432,909.63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107,763,733.39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88,633,494.90</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line="240" w:lineRule="auto" w:before="11"/>
        <w:rPr>
          <w:rFonts w:ascii="宋体" w:hAnsi="宋体" w:cs="宋体" w:eastAsia="宋体" w:hint="default"/>
          <w:sz w:val="26"/>
          <w:szCs w:val="26"/>
        </w:rPr>
      </w:pPr>
    </w:p>
    <w:p>
      <w:pPr>
        <w:pStyle w:val="Heading4"/>
        <w:spacing w:line="240" w:lineRule="auto"/>
        <w:ind w:left="1134" w:right="0"/>
        <w:jc w:val="left"/>
        <w:rPr>
          <w:b w:val="0"/>
          <w:bCs w:val="0"/>
        </w:rPr>
      </w:pPr>
      <w:bookmarkStart w:name="（2）支付的其他与经营活动有关的现金" w:id="321"/>
      <w:bookmarkEnd w:id="321"/>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53,617,287.45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50,645,253.44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45,812,212.67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28,773,740.82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59,465,549.56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30,705,703.98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1,146,521.04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375,081.40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1,502,316.87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1,703,338.58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161,543,887.59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112,203,118.22</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line="240" w:lineRule="auto" w:before="11"/>
        <w:rPr>
          <w:rFonts w:ascii="宋体" w:hAnsi="宋体" w:cs="宋体" w:eastAsia="宋体" w:hint="default"/>
          <w:sz w:val="26"/>
          <w:szCs w:val="26"/>
        </w:rPr>
      </w:pPr>
    </w:p>
    <w:p>
      <w:pPr>
        <w:pStyle w:val="Heading4"/>
        <w:spacing w:line="240" w:lineRule="auto"/>
        <w:ind w:left="1134" w:right="0"/>
        <w:jc w:val="left"/>
        <w:rPr>
          <w:b w:val="0"/>
          <w:bCs w:val="0"/>
        </w:rPr>
      </w:pPr>
      <w:bookmarkStart w:name="（3）收到的其他与投资活动有关的现金" w:id="322"/>
      <w:bookmarkEnd w:id="322"/>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207,093,697.25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114,914,133.04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合并子公司收到的现金净额</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104,383,614.61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收到的征地费退回</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208,093,697.25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219,297,747.65</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w:t>
      </w:r>
    </w:p>
    <w:p>
      <w:pPr>
        <w:spacing w:line="240" w:lineRule="auto" w:before="11"/>
        <w:rPr>
          <w:rFonts w:ascii="宋体" w:hAnsi="宋体" w:cs="宋体" w:eastAsia="宋体" w:hint="default"/>
          <w:sz w:val="26"/>
          <w:szCs w:val="26"/>
        </w:rPr>
      </w:pPr>
    </w:p>
    <w:p>
      <w:pPr>
        <w:pStyle w:val="Heading4"/>
        <w:spacing w:line="240" w:lineRule="auto"/>
        <w:ind w:left="1134" w:right="0"/>
        <w:jc w:val="left"/>
        <w:rPr>
          <w:b w:val="0"/>
          <w:bCs w:val="0"/>
        </w:rPr>
      </w:pPr>
      <w:bookmarkStart w:name="（4）收到的其他与筹资活动有关的现金" w:id="323"/>
      <w:bookmarkEnd w:id="323"/>
      <w:r>
        <w:rPr>
          <w:b w:val="0"/>
          <w:bCs w:val="0"/>
        </w:rPr>
      </w:r>
      <w:r>
        <w:rPr/>
        <w:t>（</w:t>
      </w:r>
      <w:r>
        <w:rPr>
          <w:rFonts w:ascii="Times New Roman" w:hAnsi="Times New Roman" w:cs="Times New Roman" w:eastAsia="Times New Roman" w:hint="default"/>
        </w:rPr>
        <w:t>4</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收到其他还款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97,285,045.12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其他借款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4,360,000.00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101,645,045.12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r>
        <w:rPr/>
        <w:pict>
          <v:group style="position:absolute;margin-left:223.339996pt;margin-top:615.669983pt;width:151.25pt;height:40.9pt;mso-position-horizontal-relative:page;mso-position-vertical-relative:page;z-index:-971224" coordorigin="4467,12313" coordsize="3025,818">
            <v:group style="position:absolute;left:4478;top:12325;width:2;height:393" coordorigin="4478,12325" coordsize="2,393">
              <v:shape style="position:absolute;left:4478;top:12325;width:2;height:393" coordorigin="4478,12325" coordsize="0,393" path="m4478,12325l4478,12717e" filled="false" stroked="true" strokeweight="1.140pt" strokecolor="#ffffff">
                <v:path arrowok="t"/>
              </v:shape>
            </v:group>
            <v:group style="position:absolute;left:4490;top:12325;width:3002;height:393" coordorigin="4490,12325" coordsize="3002,393">
              <v:shape style="position:absolute;left:4490;top:12325;width:3002;height:393" coordorigin="4490,12325" coordsize="3002,393" path="m4490,12717l7491,12717,7491,12325,4490,12325,4490,12717xe" filled="true" fillcolor="#ffffff" stroked="false">
                <v:path arrowok="t"/>
                <v:fill type="solid"/>
              </v:shape>
            </v:group>
            <v:group style="position:absolute;left:4478;top:12727;width:2;height:393" coordorigin="4478,12727" coordsize="2,393">
              <v:shape style="position:absolute;left:4478;top:12727;width:2;height:393" coordorigin="4478,12727" coordsize="0,393" path="m4478,12727l4478,13119e" filled="false" stroked="true" strokeweight="1.140pt" strokecolor="#ffffff">
                <v:path arrowok="t"/>
              </v:shape>
            </v:group>
            <v:group style="position:absolute;left:4490;top:12727;width:3002;height:393" coordorigin="4490,12727" coordsize="3002,393">
              <v:shape style="position:absolute;left:4490;top:12727;width:3002;height:393" coordorigin="4490,12727" coordsize="3002,393" path="m4490,13119l7491,13119,7491,12727,4490,12727,4490,13119xe" filled="true" fillcolor="#ffffff" stroked="false">
                <v:path arrowok="t"/>
                <v:fill type="solid"/>
              </v:shape>
            </v:group>
            <w10:wrap type="none"/>
          </v:group>
        </w:pict>
      </w:r>
    </w:p>
    <w:p>
      <w:pPr>
        <w:spacing w:before="44"/>
        <w:ind w:left="1133" w:right="0" w:firstLine="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5）支付的其他与筹资活动有关的现金" w:id="324"/>
      <w:bookmarkEnd w:id="324"/>
      <w:r>
        <w:rPr>
          <w:b w:val="0"/>
          <w:bCs w:val="0"/>
        </w:rPr>
      </w:r>
      <w:r>
        <w:rPr/>
        <w:t>（</w:t>
      </w:r>
      <w:r>
        <w:rPr>
          <w:rFonts w:ascii="Times New Roman" w:hAnsi="Times New Roman" w:cs="Times New Roman" w:eastAsia="Times New Roman" w:hint="default"/>
        </w:rPr>
        <w:t>5</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归还其他借款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1,862,928.00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购买子公司少数股东权益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4,008,800.00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4,375,000.00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股利支付手续费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20,756.70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7,629,556.70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6,237,928.00</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w:t>
      </w:r>
    </w:p>
    <w:p>
      <w:pPr>
        <w:spacing w:line="240" w:lineRule="auto" w:before="10"/>
        <w:rPr>
          <w:rFonts w:ascii="宋体" w:hAnsi="宋体" w:cs="宋体" w:eastAsia="宋体" w:hint="default"/>
          <w:sz w:val="26"/>
          <w:szCs w:val="26"/>
        </w:rPr>
      </w:pPr>
    </w:p>
    <w:p>
      <w:pPr>
        <w:pStyle w:val="Heading4"/>
        <w:spacing w:line="240" w:lineRule="auto"/>
        <w:ind w:left="1134" w:right="0"/>
        <w:jc w:val="left"/>
        <w:rPr>
          <w:b w:val="0"/>
          <w:bCs w:val="0"/>
        </w:rPr>
      </w:pPr>
      <w:bookmarkStart w:name="55、现金流量表补充资料" w:id="325"/>
      <w:bookmarkEnd w:id="325"/>
      <w:r>
        <w:rPr>
          <w:b w:val="0"/>
          <w:bCs w:val="0"/>
        </w:rPr>
      </w:r>
      <w:r>
        <w:rPr>
          <w:rFonts w:ascii="Times New Roman" w:hAnsi="Times New Roman" w:cs="Times New Roman" w:eastAsia="Times New Roman" w:hint="default"/>
        </w:rPr>
        <w:t>55</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现金流量表补充资料" w:id="326"/>
      <w:bookmarkEnd w:id="326"/>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305"/>
        <w:gridCol w:w="1013"/>
        <w:gridCol w:w="2056"/>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149,235,209.16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128,075,121.40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36,347,305.54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51,027,428.03</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66,889,916.45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56,356,478.71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31,998,716.86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29,265,824.49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6,152,931.23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4,825,169.39</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412,762.84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169,552.08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42,802.09</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44,655,635.13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37,429,240.76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-24,548,997.37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-56,224,019.65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13"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-54,117,831.28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-39,856,232.38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13"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-3,319,902.19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678,495.94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-35,742,538.41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-12,100,029.54</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39" w:right="0"/>
              <w:jc w:val="left"/>
              <w:rPr>
                <w:rFonts w:ascii="Times New Roman" w:hAnsi="Times New Roman" w:cs="Times New Roman" w:eastAsia="Times New Roman" w:hint="default"/>
                <w:sz w:val="18"/>
                <w:szCs w:val="18"/>
              </w:rPr>
            </w:pPr>
            <w:r>
              <w:rPr>
                <w:rFonts w:ascii="Times New Roman"/>
                <w:sz w:val="18"/>
              </w:rPr>
              <w:t>-162,893,412.91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-18,256,690.87</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76,134,101.89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20,905,768.84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-857,107.44</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131,246,699.03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201,438,999.76</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771,007,515.74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626,390,764.93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626,390,764.93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503,060,981.83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144,616,750.81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123,329,783.10</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本期支付的取得子公司的现金净额" w:id="327"/>
      <w:bookmarkEnd w:id="327"/>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77"/>
        <w:gridCol w:w="4592"/>
      </w:tblGrid>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加：以前期间发生的企业合并于本期支付的现金或现金等价物</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15,351,840.00</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百隆工程</w:t>
            </w:r>
          </w:p>
        </w:tc>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12,000,000.00</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鞍山易兴</w:t>
            </w:r>
          </w:p>
        </w:tc>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3,351,840.00</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15,351,840.00</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本期收到的处置子公司的现金净额" w:id="328"/>
      <w:bookmarkEnd w:id="328"/>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英吉森消防</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3,726.66</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英吉森消防</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3,726.66</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加：以前期间处置子公司于本期收到的现金或现金等价物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哈尔滨盈江科技有限公司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1,796,273.34</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4）现金和现金等价物的构成" w:id="329"/>
      <w:bookmarkEnd w:id="329"/>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771,007,515.74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626,390,764.93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304,726.71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534,718.70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770,693,576.53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625,856,046.23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9,212.50</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771,007,515.74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626,390,764.93</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56、所有权或使用权受到限制的资产" w:id="330"/>
      <w:bookmarkEnd w:id="330"/>
      <w:r>
        <w:rPr>
          <w:b w:val="0"/>
          <w:bCs w:val="0"/>
        </w:rPr>
      </w:r>
      <w:r>
        <w:rPr>
          <w:rFonts w:ascii="Times New Roman" w:hAnsi="Times New Roman" w:cs="Times New Roman" w:eastAsia="Times New Roman" w:hint="default"/>
        </w:rPr>
        <w:t>56</w:t>
      </w:r>
      <w:r>
        <w:rPr/>
        <w:t>、所有权或使用权受到限制的资产</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9,418,906.35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保证金存款</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5,261,441.07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银行借款抵押</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103,908,668.04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银行借款质押</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4,270,823.73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银行借款质押</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1,663,953.21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银行借款抵押</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124,523,792.40</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57、外币货币性项目" w:id="331"/>
      <w:bookmarkEnd w:id="331"/>
      <w:r>
        <w:rPr>
          <w:b w:val="0"/>
          <w:bCs w:val="0"/>
        </w:rPr>
      </w:r>
      <w:r>
        <w:rPr>
          <w:rFonts w:ascii="Times New Roman" w:hAnsi="Times New Roman" w:cs="Times New Roman" w:eastAsia="Times New Roman" w:hint="default"/>
        </w:rPr>
        <w:t>57</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外币货币性项目" w:id="332"/>
      <w:bookmarkEnd w:id="332"/>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12,500,069.20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1,870,384.94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12,221,469.28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35,493.62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7.8023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276,931.87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77"/>
              <w:jc w:val="center"/>
              <w:rPr>
                <w:rFonts w:ascii="宋体" w:hAnsi="宋体" w:cs="宋体" w:eastAsia="宋体" w:hint="default"/>
                <w:sz w:val="18"/>
                <w:szCs w:val="18"/>
              </w:rPr>
            </w:pPr>
            <w:r>
              <w:rPr>
                <w:rFonts w:ascii="宋体" w:hAnsi="宋体" w:cs="宋体" w:eastAsia="宋体" w:hint="default"/>
                <w:sz w:val="18"/>
                <w:szCs w:val="18"/>
              </w:rPr>
              <w:t>英镑</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8.7792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1,668.05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937,264.37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119,972.41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784,425.97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19,588.89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7.8023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152,838.40</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八、在其他主体中的权益" w:id="333"/>
      <w:bookmarkEnd w:id="333"/>
      <w:r>
        <w:rPr>
          <w:b w:val="0"/>
          <w:bCs w:val="0"/>
        </w:rPr>
      </w:r>
      <w:r>
        <w:rPr/>
        <w:t>八、在其他主体中的权益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在子公司中的权益" w:id="334"/>
      <w:bookmarkEnd w:id="334"/>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企业集团的构成" w:id="335"/>
      <w:bookmarkEnd w:id="335"/>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134"/>
        <w:gridCol w:w="1276"/>
        <w:gridCol w:w="709"/>
        <w:gridCol w:w="3545"/>
        <w:gridCol w:w="708"/>
        <w:gridCol w:w="566"/>
        <w:gridCol w:w="1633"/>
      </w:tblGrid>
      <w:tr>
        <w:trPr>
          <w:trHeight w:val="402" w:hRule="exact"/>
        </w:trPr>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354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2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2"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6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51"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3545" w:type="dxa"/>
            <w:vMerge/>
            <w:tcBorders>
              <w:left w:val="single" w:sz="4" w:space="0" w:color="000000"/>
              <w:bottom w:val="single" w:sz="4" w:space="0" w:color="000000"/>
              <w:right w:val="single" w:sz="4" w:space="0" w:color="000000"/>
            </w:tcBorders>
            <w:shd w:val="clear" w:color="auto" w:fill="D2D2D2"/>
          </w:tcPr>
          <w:p>
            <w:pP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8"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63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炜盛科技</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51"/>
              <w:jc w:val="right"/>
              <w:rPr>
                <w:rFonts w:ascii="宋体" w:hAnsi="宋体" w:cs="宋体" w:eastAsia="宋体" w:hint="default"/>
                <w:sz w:val="18"/>
                <w:szCs w:val="18"/>
              </w:rPr>
            </w:pPr>
            <w:r>
              <w:rPr>
                <w:rFonts w:ascii="宋体" w:hAnsi="宋体" w:cs="宋体" w:eastAsia="宋体" w:hint="default"/>
                <w:sz w:val="18"/>
                <w:szCs w:val="18"/>
              </w:rPr>
              <w:t>郑州</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郑州</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气敏元件、传感器的开发、生产、销售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471" w:right="111" w:hanging="360"/>
              <w:jc w:val="left"/>
              <w:rPr>
                <w:rFonts w:ascii="宋体" w:hAnsi="宋体" w:cs="宋体" w:eastAsia="宋体" w:hint="default"/>
                <w:sz w:val="18"/>
                <w:szCs w:val="18"/>
              </w:rPr>
            </w:pPr>
            <w:r>
              <w:rPr>
                <w:rFonts w:ascii="宋体" w:hAnsi="宋体" w:cs="宋体" w:eastAsia="宋体" w:hint="default"/>
                <w:sz w:val="18"/>
                <w:szCs w:val="18"/>
              </w:rPr>
              <w:t>汉威智慧安 全</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451"/>
              <w:jc w:val="right"/>
              <w:rPr>
                <w:rFonts w:ascii="宋体" w:hAnsi="宋体" w:cs="宋体" w:eastAsia="宋体" w:hint="default"/>
                <w:sz w:val="18"/>
                <w:szCs w:val="18"/>
              </w:rPr>
            </w:pPr>
            <w:r>
              <w:rPr>
                <w:rFonts w:ascii="宋体" w:hAnsi="宋体" w:cs="宋体" w:eastAsia="宋体" w:hint="default"/>
                <w:sz w:val="18"/>
                <w:szCs w:val="18"/>
              </w:rPr>
              <w:t>郑州</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郑州</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监控、检测仪表的研发、生产、销售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沈阳汉威</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51"/>
              <w:jc w:val="right"/>
              <w:rPr>
                <w:rFonts w:ascii="宋体" w:hAnsi="宋体" w:cs="宋体" w:eastAsia="宋体" w:hint="default"/>
                <w:sz w:val="18"/>
                <w:szCs w:val="18"/>
              </w:rPr>
            </w:pPr>
            <w:r>
              <w:rPr>
                <w:rFonts w:ascii="宋体" w:hAnsi="宋体" w:cs="宋体" w:eastAsia="宋体" w:hint="default"/>
                <w:sz w:val="18"/>
                <w:szCs w:val="18"/>
              </w:rPr>
              <w:t>沈阳</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沈阳</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仪器仪表销售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51.00%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智威宇讯</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51"/>
              <w:jc w:val="right"/>
              <w:rPr>
                <w:rFonts w:ascii="宋体" w:hAnsi="宋体" w:cs="宋体" w:eastAsia="宋体" w:hint="default"/>
                <w:sz w:val="18"/>
                <w:szCs w:val="18"/>
              </w:rPr>
            </w:pPr>
            <w:r>
              <w:rPr>
                <w:rFonts w:ascii="宋体" w:hAnsi="宋体" w:cs="宋体" w:eastAsia="宋体" w:hint="default"/>
                <w:sz w:val="18"/>
                <w:szCs w:val="18"/>
              </w:rPr>
              <w:t>北京</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技术推广、自主经营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上海中威</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51"/>
              <w:jc w:val="right"/>
              <w:rPr>
                <w:rFonts w:ascii="宋体" w:hAnsi="宋体" w:cs="宋体" w:eastAsia="宋体" w:hint="default"/>
                <w:sz w:val="18"/>
                <w:szCs w:val="18"/>
              </w:rPr>
            </w:pPr>
            <w:r>
              <w:rPr>
                <w:rFonts w:ascii="宋体" w:hAnsi="宋体" w:cs="宋体" w:eastAsia="宋体" w:hint="default"/>
                <w:sz w:val="18"/>
                <w:szCs w:val="18"/>
              </w:rPr>
              <w:t>上海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公共安全设备及器材的研发、销售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58.00%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沈阳金建</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51"/>
              <w:jc w:val="right"/>
              <w:rPr>
                <w:rFonts w:ascii="宋体" w:hAnsi="宋体" w:cs="宋体" w:eastAsia="宋体" w:hint="default"/>
                <w:sz w:val="18"/>
                <w:szCs w:val="18"/>
              </w:rPr>
            </w:pPr>
            <w:r>
              <w:rPr>
                <w:rFonts w:ascii="宋体" w:hAnsi="宋体" w:cs="宋体" w:eastAsia="宋体" w:hint="default"/>
                <w:sz w:val="18"/>
                <w:szCs w:val="18"/>
              </w:rPr>
              <w:t>沈阳</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沈阳</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电子地图、地理信息工程项目开发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上海英吉森</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51"/>
              <w:jc w:val="right"/>
              <w:rPr>
                <w:rFonts w:ascii="宋体" w:hAnsi="宋体" w:cs="宋体" w:eastAsia="宋体" w:hint="default"/>
                <w:sz w:val="18"/>
                <w:szCs w:val="18"/>
              </w:rPr>
            </w:pPr>
            <w:r>
              <w:rPr>
                <w:rFonts w:ascii="宋体" w:hAnsi="宋体" w:cs="宋体" w:eastAsia="宋体" w:hint="default"/>
                <w:sz w:val="18"/>
                <w:szCs w:val="18"/>
              </w:rPr>
              <w:t>上海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仪器仪表研发、生产、销售、技术服务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55.00%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鞍山易兴</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51"/>
              <w:jc w:val="right"/>
              <w:rPr>
                <w:rFonts w:ascii="宋体" w:hAnsi="宋体" w:cs="宋体" w:eastAsia="宋体" w:hint="default"/>
                <w:sz w:val="18"/>
                <w:szCs w:val="18"/>
              </w:rPr>
            </w:pPr>
            <w:r>
              <w:rPr>
                <w:rFonts w:ascii="宋体" w:hAnsi="宋体" w:cs="宋体" w:eastAsia="宋体" w:hint="default"/>
                <w:sz w:val="18"/>
                <w:szCs w:val="18"/>
              </w:rPr>
              <w:t>鞍山</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鞍山</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公共、环保领域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SCADA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系统开发、设计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51.00%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嘉园环保</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51"/>
              <w:jc w:val="right"/>
              <w:rPr>
                <w:rFonts w:ascii="宋体" w:hAnsi="宋体" w:cs="宋体" w:eastAsia="宋体" w:hint="default"/>
                <w:sz w:val="18"/>
                <w:szCs w:val="18"/>
              </w:rPr>
            </w:pPr>
            <w:r>
              <w:rPr>
                <w:rFonts w:ascii="宋体" w:hAnsi="宋体" w:cs="宋体" w:eastAsia="宋体" w:hint="default"/>
                <w:sz w:val="18"/>
                <w:szCs w:val="18"/>
              </w:rPr>
              <w:t>福州</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福州</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废水、废气环保工程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80.00%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汉威公用</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51"/>
              <w:jc w:val="right"/>
              <w:rPr>
                <w:rFonts w:ascii="宋体" w:hAnsi="宋体" w:cs="宋体" w:eastAsia="宋体" w:hint="default"/>
                <w:sz w:val="18"/>
                <w:szCs w:val="18"/>
              </w:rPr>
            </w:pPr>
            <w:r>
              <w:rPr>
                <w:rFonts w:ascii="宋体" w:hAnsi="宋体" w:cs="宋体" w:eastAsia="宋体" w:hint="default"/>
                <w:sz w:val="18"/>
                <w:szCs w:val="18"/>
              </w:rPr>
              <w:t>郑州</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郑州</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城市基础设施建设、工程设计及施工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65.00%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北京威果</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51"/>
              <w:jc w:val="right"/>
              <w:rPr>
                <w:rFonts w:ascii="宋体" w:hAnsi="宋体" w:cs="宋体" w:eastAsia="宋体" w:hint="default"/>
                <w:sz w:val="18"/>
                <w:szCs w:val="18"/>
              </w:rPr>
            </w:pPr>
            <w:r>
              <w:rPr>
                <w:rFonts w:ascii="宋体" w:hAnsi="宋体" w:cs="宋体" w:eastAsia="宋体" w:hint="default"/>
                <w:sz w:val="18"/>
                <w:szCs w:val="18"/>
              </w:rPr>
              <w:t>北京</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技术推广服务及电子产品销售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58.85%</w:t>
            </w:r>
          </w:p>
        </w:tc>
        <w:tc>
          <w:tcPr>
            <w:tcW w:w="566"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471" w:right="111" w:hanging="360"/>
              <w:jc w:val="left"/>
              <w:rPr>
                <w:rFonts w:ascii="宋体" w:hAnsi="宋体" w:cs="宋体" w:eastAsia="宋体" w:hint="default"/>
                <w:sz w:val="18"/>
                <w:szCs w:val="18"/>
              </w:rPr>
            </w:pPr>
            <w:r>
              <w:rPr>
                <w:rFonts w:ascii="宋体" w:hAnsi="宋体" w:cs="宋体" w:eastAsia="宋体" w:hint="default"/>
                <w:sz w:val="18"/>
                <w:szCs w:val="18"/>
              </w:rPr>
              <w:t>汉威智能仪 表</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451"/>
              <w:jc w:val="right"/>
              <w:rPr>
                <w:rFonts w:ascii="宋体" w:hAnsi="宋体" w:cs="宋体" w:eastAsia="宋体" w:hint="default"/>
                <w:sz w:val="18"/>
                <w:szCs w:val="18"/>
              </w:rPr>
            </w:pPr>
            <w:r>
              <w:rPr>
                <w:rFonts w:ascii="宋体" w:hAnsi="宋体" w:cs="宋体" w:eastAsia="宋体" w:hint="default"/>
                <w:sz w:val="18"/>
                <w:szCs w:val="18"/>
              </w:rPr>
              <w:t>郑州</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郑州</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智能水表及智能软件系统的研发、销售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51.00%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广东龙泉</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51"/>
              <w:jc w:val="right"/>
              <w:rPr>
                <w:rFonts w:ascii="宋体" w:hAnsi="宋体" w:cs="宋体" w:eastAsia="宋体" w:hint="default"/>
                <w:sz w:val="18"/>
                <w:szCs w:val="18"/>
              </w:rPr>
            </w:pPr>
            <w:r>
              <w:rPr>
                <w:rFonts w:ascii="宋体" w:hAnsi="宋体" w:cs="宋体" w:eastAsia="宋体" w:hint="default"/>
                <w:sz w:val="18"/>
                <w:szCs w:val="18"/>
              </w:rPr>
              <w:t>广州</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广州</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软件、系统开发及管线测漏</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51.00%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雪城软件</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51"/>
              <w:jc w:val="right"/>
              <w:rPr>
                <w:rFonts w:ascii="宋体" w:hAnsi="宋体" w:cs="宋体" w:eastAsia="宋体" w:hint="default"/>
                <w:sz w:val="18"/>
                <w:szCs w:val="18"/>
              </w:rPr>
            </w:pPr>
            <w:r>
              <w:rPr>
                <w:rFonts w:ascii="宋体" w:hAnsi="宋体" w:cs="宋体" w:eastAsia="宋体" w:hint="default"/>
                <w:sz w:val="18"/>
                <w:szCs w:val="18"/>
              </w:rPr>
              <w:t>郑州</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郑州</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软件、系统开发及运营维护</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98.50%</w:t>
            </w:r>
          </w:p>
        </w:tc>
        <w:tc>
          <w:tcPr>
            <w:tcW w:w="566"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百隆工程</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51"/>
              <w:jc w:val="right"/>
              <w:rPr>
                <w:rFonts w:ascii="宋体" w:hAnsi="宋体" w:cs="宋体" w:eastAsia="宋体" w:hint="default"/>
                <w:sz w:val="18"/>
                <w:szCs w:val="18"/>
              </w:rPr>
            </w:pPr>
            <w:r>
              <w:rPr>
                <w:rFonts w:ascii="宋体" w:hAnsi="宋体" w:cs="宋体" w:eastAsia="宋体" w:hint="default"/>
                <w:sz w:val="18"/>
                <w:szCs w:val="18"/>
              </w:rPr>
              <w:t>郑州</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郑州</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市政公用工程施工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苏州能斯达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51"/>
              <w:jc w:val="right"/>
              <w:rPr>
                <w:rFonts w:ascii="宋体" w:hAnsi="宋体" w:cs="宋体" w:eastAsia="宋体" w:hint="default"/>
                <w:sz w:val="18"/>
                <w:szCs w:val="18"/>
              </w:rPr>
            </w:pPr>
            <w:r>
              <w:rPr>
                <w:rFonts w:ascii="宋体" w:hAnsi="宋体" w:cs="宋体" w:eastAsia="宋体" w:hint="default"/>
                <w:sz w:val="18"/>
                <w:szCs w:val="18"/>
              </w:rPr>
              <w:t>苏州</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苏州</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电子产品的研发及销售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51.00%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德析检测</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51"/>
              <w:jc w:val="right"/>
              <w:rPr>
                <w:rFonts w:ascii="宋体" w:hAnsi="宋体" w:cs="宋体" w:eastAsia="宋体" w:hint="default"/>
                <w:sz w:val="18"/>
                <w:szCs w:val="18"/>
              </w:rPr>
            </w:pPr>
            <w:r>
              <w:rPr>
                <w:rFonts w:ascii="宋体" w:hAnsi="宋体" w:cs="宋体" w:eastAsia="宋体" w:hint="default"/>
                <w:sz w:val="18"/>
                <w:szCs w:val="18"/>
              </w:rPr>
              <w:t>郑州</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郑州</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环境监测、公共卫生检测与评价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51.00%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汉威智源</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51"/>
              <w:jc w:val="right"/>
              <w:rPr>
                <w:rFonts w:ascii="宋体" w:hAnsi="宋体" w:cs="宋体" w:eastAsia="宋体" w:hint="default"/>
                <w:sz w:val="18"/>
                <w:szCs w:val="18"/>
              </w:rPr>
            </w:pPr>
            <w:r>
              <w:rPr>
                <w:rFonts w:ascii="宋体" w:hAnsi="宋体" w:cs="宋体" w:eastAsia="宋体" w:hint="default"/>
                <w:sz w:val="18"/>
                <w:szCs w:val="18"/>
              </w:rPr>
              <w:t>郑州</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郑州</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城市供热工程的承包、建设及运营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65.00%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汉威祥云</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51"/>
              <w:jc w:val="right"/>
              <w:rPr>
                <w:rFonts w:ascii="宋体" w:hAnsi="宋体" w:cs="宋体" w:eastAsia="宋体" w:hint="default"/>
                <w:sz w:val="18"/>
                <w:szCs w:val="18"/>
              </w:rPr>
            </w:pPr>
            <w:r>
              <w:rPr>
                <w:rFonts w:ascii="宋体" w:hAnsi="宋体" w:cs="宋体" w:eastAsia="宋体" w:hint="default"/>
                <w:sz w:val="18"/>
                <w:szCs w:val="18"/>
              </w:rPr>
              <w:t>上海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数据服务，技术开发、咨询、服务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威研融创</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51"/>
              <w:jc w:val="right"/>
              <w:rPr>
                <w:rFonts w:ascii="宋体" w:hAnsi="宋体" w:cs="宋体" w:eastAsia="宋体" w:hint="default"/>
                <w:sz w:val="18"/>
                <w:szCs w:val="18"/>
              </w:rPr>
            </w:pPr>
            <w:r>
              <w:rPr>
                <w:rFonts w:ascii="宋体" w:hAnsi="宋体" w:cs="宋体" w:eastAsia="宋体" w:hint="default"/>
                <w:sz w:val="18"/>
                <w:szCs w:val="18"/>
              </w:rPr>
              <w:t>上海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数据科技等领域内的技术开发、咨询</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畅威物联</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51"/>
              <w:jc w:val="right"/>
              <w:rPr>
                <w:rFonts w:ascii="宋体" w:hAnsi="宋体" w:cs="宋体" w:eastAsia="宋体" w:hint="default"/>
                <w:sz w:val="18"/>
                <w:szCs w:val="18"/>
              </w:rPr>
            </w:pPr>
            <w:r>
              <w:rPr>
                <w:rFonts w:ascii="宋体" w:hAnsi="宋体" w:cs="宋体" w:eastAsia="宋体" w:hint="default"/>
                <w:sz w:val="18"/>
                <w:szCs w:val="18"/>
              </w:rPr>
              <w:t>郑州</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郑州</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检测仪器仪表的研发、生产、销售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吉地艾斯</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51"/>
              <w:jc w:val="right"/>
              <w:rPr>
                <w:rFonts w:ascii="宋体" w:hAnsi="宋体" w:cs="宋体" w:eastAsia="宋体" w:hint="default"/>
                <w:sz w:val="18"/>
                <w:szCs w:val="18"/>
              </w:rPr>
            </w:pPr>
            <w:r>
              <w:rPr>
                <w:rFonts w:ascii="宋体" w:hAnsi="宋体" w:cs="宋体" w:eastAsia="宋体" w:hint="default"/>
                <w:sz w:val="18"/>
                <w:szCs w:val="18"/>
              </w:rPr>
              <w:t>郑州</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郑州</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传感器、检测仪器的研发、生产、销售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51.00%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设立</w:t>
            </w:r>
          </w:p>
        </w:tc>
      </w:tr>
    </w:tbl>
    <w:p>
      <w:pPr>
        <w:spacing w:line="360" w:lineRule="auto" w:before="51"/>
        <w:ind w:left="1133" w:right="2833" w:firstLine="0"/>
        <w:jc w:val="left"/>
        <w:rPr>
          <w:rFonts w:ascii="宋体" w:hAnsi="宋体" w:cs="宋体" w:eastAsia="宋体" w:hint="default"/>
          <w:sz w:val="18"/>
          <w:szCs w:val="18"/>
        </w:rPr>
      </w:pPr>
      <w:r>
        <w:rPr>
          <w:rFonts w:ascii="宋体" w:hAnsi="宋体" w:cs="宋体" w:eastAsia="宋体" w:hint="default"/>
          <w:sz w:val="18"/>
          <w:szCs w:val="18"/>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spacing w:line="357" w:lineRule="auto" w:before="26"/>
        <w:ind w:left="1134" w:right="7692" w:firstLine="0"/>
        <w:jc w:val="left"/>
        <w:rPr>
          <w:rFonts w:ascii="宋体" w:hAnsi="宋体" w:cs="宋体" w:eastAsia="宋体" w:hint="default"/>
          <w:sz w:val="18"/>
          <w:szCs w:val="18"/>
        </w:rPr>
      </w:pPr>
      <w:r>
        <w:rPr>
          <w:rFonts w:ascii="宋体" w:hAnsi="宋体" w:cs="宋体" w:eastAsia="宋体" w:hint="default"/>
          <w:sz w:val="18"/>
          <w:szCs w:val="18"/>
        </w:rPr>
        <w:t>确定公司是代理人还是委托人的依据： 其他说明：</w:t>
      </w:r>
    </w:p>
    <w:p>
      <w:pPr>
        <w:spacing w:after="0" w:line="357"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2）重要的非全资子公司" w:id="336"/>
      <w:bookmarkEnd w:id="336"/>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994"/>
        <w:gridCol w:w="1559"/>
        <w:gridCol w:w="2410"/>
        <w:gridCol w:w="2696"/>
        <w:gridCol w:w="1913"/>
      </w:tblGrid>
      <w:tr>
        <w:trPr>
          <w:trHeight w:val="764"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53"/>
              <w:jc w:val="righ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本期归属于少数股东的损益</w:t>
            </w:r>
          </w:p>
        </w:tc>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本期向少数股东宣告分派的股利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嘉园环保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8,247,372.46</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7" w:right="0"/>
              <w:jc w:val="left"/>
              <w:rPr>
                <w:rFonts w:ascii="Times New Roman" w:hAnsi="Times New Roman" w:cs="Times New Roman" w:eastAsia="Times New Roman" w:hint="default"/>
                <w:sz w:val="18"/>
                <w:szCs w:val="18"/>
              </w:rPr>
            </w:pPr>
            <w:r>
              <w:rPr>
                <w:rFonts w:ascii="Times New Roman"/>
                <w:sz w:val="18"/>
              </w:rPr>
              <w:t>2,000,000.00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80,752,798.53</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汉威公用</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15,970,302.48</w:t>
            </w:r>
          </w:p>
        </w:tc>
        <w:tc>
          <w:tcPr>
            <w:tcW w:w="269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205,801,531.94</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汉威智源</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10,505,903.44</w:t>
            </w:r>
          </w:p>
        </w:tc>
        <w:tc>
          <w:tcPr>
            <w:tcW w:w="269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165,592,475.31</w:t>
            </w:r>
          </w:p>
        </w:tc>
      </w:tr>
    </w:tbl>
    <w:p>
      <w:pPr>
        <w:spacing w:line="360" w:lineRule="auto" w:before="51"/>
        <w:ind w:left="1134" w:right="6432" w:firstLine="0"/>
        <w:jc w:val="left"/>
        <w:rPr>
          <w:rFonts w:ascii="宋体" w:hAnsi="宋体" w:cs="宋体" w:eastAsia="宋体" w:hint="default"/>
          <w:sz w:val="18"/>
          <w:szCs w:val="18"/>
        </w:rPr>
      </w:pPr>
      <w:r>
        <w:rPr>
          <w:rFonts w:ascii="宋体" w:hAnsi="宋体" w:cs="宋体" w:eastAsia="宋体" w:hint="default"/>
          <w:sz w:val="18"/>
          <w:szCs w:val="18"/>
        </w:rPr>
        <w:t>子公司少数股东的持股比例不同于表决权比例的说明： 其他说明：</w:t>
      </w:r>
    </w:p>
    <w:p>
      <w:pPr>
        <w:spacing w:line="240" w:lineRule="auto" w:before="11"/>
        <w:rPr>
          <w:rFonts w:ascii="宋体" w:hAnsi="宋体" w:cs="宋体" w:eastAsia="宋体" w:hint="default"/>
          <w:sz w:val="19"/>
          <w:szCs w:val="19"/>
        </w:rPr>
      </w:pPr>
    </w:p>
    <w:p>
      <w:pPr>
        <w:pStyle w:val="Heading4"/>
        <w:spacing w:line="240" w:lineRule="auto"/>
        <w:ind w:left="1134" w:right="0"/>
        <w:jc w:val="left"/>
        <w:rPr>
          <w:b w:val="0"/>
          <w:bCs w:val="0"/>
        </w:rPr>
      </w:pPr>
      <w:bookmarkStart w:name="（3）重要非全资子公司的主要财务信息" w:id="337"/>
      <w:bookmarkEnd w:id="337"/>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1"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left"/>
              <w:rPr>
                <w:rFonts w:ascii="宋体" w:hAnsi="宋体" w:cs="宋体" w:eastAsia="宋体" w:hint="default"/>
                <w:sz w:val="18"/>
                <w:szCs w:val="18"/>
              </w:rPr>
            </w:pPr>
            <w:r>
              <w:rPr>
                <w:rFonts w:ascii="宋体" w:hAnsi="宋体" w:cs="宋体" w:eastAsia="宋体" w:hint="default"/>
                <w:sz w:val="18"/>
                <w:szCs w:val="18"/>
              </w:rPr>
              <w:t>嘉园环 保</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 w:right="0"/>
              <w:jc w:val="center"/>
              <w:rPr>
                <w:rFonts w:ascii="Times New Roman" w:hAnsi="Times New Roman" w:cs="Times New Roman" w:eastAsia="Times New Roman" w:hint="default"/>
                <w:sz w:val="18"/>
                <w:szCs w:val="18"/>
              </w:rPr>
            </w:pPr>
            <w:r>
              <w:rPr>
                <w:rFonts w:ascii="Times New Roman"/>
                <w:sz w:val="18"/>
              </w:rPr>
              <w:t>343,069,</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905.20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367,156,</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525.02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710,226,</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430.22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 w:right="0"/>
              <w:jc w:val="center"/>
              <w:rPr>
                <w:rFonts w:ascii="Times New Roman" w:hAnsi="Times New Roman" w:cs="Times New Roman" w:eastAsia="Times New Roman" w:hint="default"/>
                <w:sz w:val="18"/>
                <w:szCs w:val="18"/>
              </w:rPr>
            </w:pPr>
            <w:r>
              <w:rPr>
                <w:rFonts w:ascii="Times New Roman"/>
                <w:sz w:val="18"/>
              </w:rPr>
              <w:t>214,571,</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910.56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9" w:right="0"/>
              <w:jc w:val="center"/>
              <w:rPr>
                <w:rFonts w:ascii="Times New Roman" w:hAnsi="Times New Roman" w:cs="Times New Roman" w:eastAsia="Times New Roman" w:hint="default"/>
                <w:sz w:val="18"/>
                <w:szCs w:val="18"/>
              </w:rPr>
            </w:pPr>
            <w:r>
              <w:rPr>
                <w:rFonts w:ascii="Times New Roman"/>
                <w:sz w:val="18"/>
              </w:rPr>
              <w:t>146,436,</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529.11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 w:right="0"/>
              <w:jc w:val="center"/>
              <w:rPr>
                <w:rFonts w:ascii="Times New Roman" w:hAnsi="Times New Roman" w:cs="Times New Roman" w:eastAsia="Times New Roman" w:hint="default"/>
                <w:sz w:val="18"/>
                <w:szCs w:val="18"/>
              </w:rPr>
            </w:pPr>
            <w:r>
              <w:rPr>
                <w:rFonts w:ascii="Times New Roman"/>
                <w:sz w:val="18"/>
              </w:rPr>
              <w:t>361,008,</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439.67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9" w:right="0"/>
              <w:jc w:val="center"/>
              <w:rPr>
                <w:rFonts w:ascii="Times New Roman" w:hAnsi="Times New Roman" w:cs="Times New Roman" w:eastAsia="Times New Roman" w:hint="default"/>
                <w:sz w:val="18"/>
                <w:szCs w:val="18"/>
              </w:rPr>
            </w:pPr>
            <w:r>
              <w:rPr>
                <w:rFonts w:ascii="Times New Roman"/>
                <w:sz w:val="18"/>
              </w:rPr>
              <w:t>274,893,</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744.60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 w:right="0"/>
              <w:jc w:val="center"/>
              <w:rPr>
                <w:rFonts w:ascii="Times New Roman" w:hAnsi="Times New Roman" w:cs="Times New Roman" w:eastAsia="Times New Roman" w:hint="default"/>
                <w:sz w:val="18"/>
                <w:szCs w:val="18"/>
              </w:rPr>
            </w:pPr>
            <w:r>
              <w:rPr>
                <w:rFonts w:ascii="Times New Roman"/>
                <w:sz w:val="18"/>
              </w:rPr>
              <w:t>337,692,</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149.71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9" w:right="0"/>
              <w:jc w:val="center"/>
              <w:rPr>
                <w:rFonts w:ascii="Times New Roman" w:hAnsi="Times New Roman" w:cs="Times New Roman" w:eastAsia="Times New Roman" w:hint="default"/>
                <w:sz w:val="18"/>
                <w:szCs w:val="18"/>
              </w:rPr>
            </w:pPr>
            <w:r>
              <w:rPr>
                <w:rFonts w:ascii="Times New Roman"/>
                <w:sz w:val="18"/>
              </w:rPr>
              <w:t>612,585,</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894.31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 w:right="0"/>
              <w:jc w:val="center"/>
              <w:rPr>
                <w:rFonts w:ascii="Times New Roman" w:hAnsi="Times New Roman" w:cs="Times New Roman" w:eastAsia="Times New Roman" w:hint="default"/>
                <w:sz w:val="18"/>
                <w:szCs w:val="18"/>
              </w:rPr>
            </w:pPr>
            <w:r>
              <w:rPr>
                <w:rFonts w:ascii="Times New Roman"/>
                <w:sz w:val="18"/>
              </w:rPr>
              <w:t>190,398,</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572.14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 w:right="0"/>
              <w:jc w:val="center"/>
              <w:rPr>
                <w:rFonts w:ascii="Times New Roman" w:hAnsi="Times New Roman" w:cs="Times New Roman" w:eastAsia="Times New Roman" w:hint="default"/>
                <w:sz w:val="18"/>
                <w:szCs w:val="18"/>
              </w:rPr>
            </w:pPr>
            <w:r>
              <w:rPr>
                <w:rFonts w:ascii="Times New Roman"/>
                <w:sz w:val="18"/>
              </w:rPr>
              <w:t>103,681,</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093.45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294,079,</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665.59</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61"/>
              <w:jc w:val="left"/>
              <w:rPr>
                <w:rFonts w:ascii="宋体" w:hAnsi="宋体" w:cs="宋体" w:eastAsia="宋体" w:hint="default"/>
                <w:sz w:val="18"/>
                <w:szCs w:val="18"/>
              </w:rPr>
            </w:pPr>
            <w:r>
              <w:rPr>
                <w:rFonts w:ascii="宋体" w:hAnsi="宋体" w:cs="宋体" w:eastAsia="宋体" w:hint="default"/>
                <w:sz w:val="18"/>
                <w:szCs w:val="18"/>
              </w:rPr>
              <w:t>汉威公 用</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 w:right="0"/>
              <w:jc w:val="center"/>
              <w:rPr>
                <w:rFonts w:ascii="Times New Roman" w:hAnsi="Times New Roman" w:cs="Times New Roman" w:eastAsia="Times New Roman" w:hint="default"/>
                <w:sz w:val="18"/>
                <w:szCs w:val="18"/>
              </w:rPr>
            </w:pPr>
            <w:r>
              <w:rPr>
                <w:rFonts w:ascii="Times New Roman"/>
                <w:sz w:val="18"/>
              </w:rPr>
              <w:t>779,406,</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220.88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405,916,</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369.53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1,185,32</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2,590.41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 w:right="0"/>
              <w:jc w:val="center"/>
              <w:rPr>
                <w:rFonts w:ascii="Times New Roman" w:hAnsi="Times New Roman" w:cs="Times New Roman" w:eastAsia="Times New Roman" w:hint="default"/>
                <w:sz w:val="18"/>
                <w:szCs w:val="18"/>
              </w:rPr>
            </w:pPr>
            <w:r>
              <w:rPr>
                <w:rFonts w:ascii="Times New Roman"/>
                <w:sz w:val="18"/>
              </w:rPr>
              <w:t>219,003,</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984.28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9" w:right="0"/>
              <w:jc w:val="center"/>
              <w:rPr>
                <w:rFonts w:ascii="Times New Roman" w:hAnsi="Times New Roman" w:cs="Times New Roman" w:eastAsia="Times New Roman" w:hint="default"/>
                <w:sz w:val="18"/>
                <w:szCs w:val="18"/>
              </w:rPr>
            </w:pPr>
            <w:r>
              <w:rPr>
                <w:rFonts w:ascii="Times New Roman"/>
                <w:sz w:val="18"/>
              </w:rPr>
              <w:t>378,314,</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229.16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 w:right="0"/>
              <w:jc w:val="center"/>
              <w:rPr>
                <w:rFonts w:ascii="Times New Roman" w:hAnsi="Times New Roman" w:cs="Times New Roman" w:eastAsia="Times New Roman" w:hint="default"/>
                <w:sz w:val="18"/>
                <w:szCs w:val="18"/>
              </w:rPr>
            </w:pPr>
            <w:r>
              <w:rPr>
                <w:rFonts w:ascii="Times New Roman"/>
                <w:sz w:val="18"/>
              </w:rPr>
              <w:t>597,318,</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213.44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9" w:right="0"/>
              <w:jc w:val="center"/>
              <w:rPr>
                <w:rFonts w:ascii="Times New Roman" w:hAnsi="Times New Roman" w:cs="Times New Roman" w:eastAsia="Times New Roman" w:hint="default"/>
                <w:sz w:val="18"/>
                <w:szCs w:val="18"/>
              </w:rPr>
            </w:pPr>
            <w:r>
              <w:rPr>
                <w:rFonts w:ascii="Times New Roman"/>
                <w:sz w:val="18"/>
              </w:rPr>
              <w:t>835,584,</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407.35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 w:right="0"/>
              <w:jc w:val="center"/>
              <w:rPr>
                <w:rFonts w:ascii="Times New Roman" w:hAnsi="Times New Roman" w:cs="Times New Roman" w:eastAsia="Times New Roman" w:hint="default"/>
                <w:sz w:val="18"/>
                <w:szCs w:val="18"/>
              </w:rPr>
            </w:pPr>
            <w:r>
              <w:rPr>
                <w:rFonts w:ascii="Times New Roman"/>
                <w:sz w:val="18"/>
              </w:rPr>
              <w:t>318,285,</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903.82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2" w:right="0"/>
              <w:jc w:val="left"/>
              <w:rPr>
                <w:rFonts w:ascii="Times New Roman" w:hAnsi="Times New Roman" w:cs="Times New Roman" w:eastAsia="Times New Roman" w:hint="default"/>
                <w:sz w:val="18"/>
                <w:szCs w:val="18"/>
              </w:rPr>
            </w:pPr>
            <w:r>
              <w:rPr>
                <w:rFonts w:ascii="Times New Roman"/>
                <w:sz w:val="18"/>
              </w:rPr>
              <w:t>1,153,87</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0,311.17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 w:right="0"/>
              <w:jc w:val="center"/>
              <w:rPr>
                <w:rFonts w:ascii="Times New Roman" w:hAnsi="Times New Roman" w:cs="Times New Roman" w:eastAsia="Times New Roman" w:hint="default"/>
                <w:sz w:val="18"/>
                <w:szCs w:val="18"/>
              </w:rPr>
            </w:pPr>
            <w:r>
              <w:rPr>
                <w:rFonts w:ascii="Times New Roman"/>
                <w:sz w:val="18"/>
              </w:rPr>
              <w:t>251,792,</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497.48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 w:right="0"/>
              <w:jc w:val="center"/>
              <w:rPr>
                <w:rFonts w:ascii="Times New Roman" w:hAnsi="Times New Roman" w:cs="Times New Roman" w:eastAsia="Times New Roman" w:hint="default"/>
                <w:sz w:val="18"/>
                <w:szCs w:val="18"/>
              </w:rPr>
            </w:pPr>
            <w:r>
              <w:rPr>
                <w:rFonts w:ascii="Times New Roman"/>
                <w:sz w:val="18"/>
              </w:rPr>
              <w:t>368,933,</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389.28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620,725,</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886.76</w:t>
            </w:r>
          </w:p>
        </w:tc>
      </w:tr>
      <w:tr>
        <w:trPr>
          <w:trHeight w:val="715"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left"/>
              <w:rPr>
                <w:rFonts w:ascii="宋体" w:hAnsi="宋体" w:cs="宋体" w:eastAsia="宋体" w:hint="default"/>
                <w:sz w:val="18"/>
                <w:szCs w:val="18"/>
              </w:rPr>
            </w:pPr>
            <w:r>
              <w:rPr>
                <w:rFonts w:ascii="宋体" w:hAnsi="宋体" w:cs="宋体" w:eastAsia="宋体" w:hint="default"/>
                <w:sz w:val="18"/>
                <w:szCs w:val="18"/>
              </w:rPr>
              <w:t>汉威智 源</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 w:right="0"/>
              <w:jc w:val="center"/>
              <w:rPr>
                <w:rFonts w:ascii="Times New Roman" w:hAnsi="Times New Roman" w:cs="Times New Roman" w:eastAsia="Times New Roman" w:hint="default"/>
                <w:sz w:val="18"/>
                <w:szCs w:val="18"/>
              </w:rPr>
            </w:pPr>
            <w:r>
              <w:rPr>
                <w:rFonts w:ascii="Times New Roman"/>
                <w:sz w:val="18"/>
              </w:rPr>
              <w:t>815,351,</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658.40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439,217,</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093.44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1,254,56</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8,751.84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 w:right="0"/>
              <w:jc w:val="center"/>
              <w:rPr>
                <w:rFonts w:ascii="Times New Roman" w:hAnsi="Times New Roman" w:cs="Times New Roman" w:eastAsia="Times New Roman" w:hint="default"/>
                <w:sz w:val="18"/>
                <w:szCs w:val="18"/>
              </w:rPr>
            </w:pPr>
            <w:r>
              <w:rPr>
                <w:rFonts w:ascii="Times New Roman"/>
                <w:sz w:val="18"/>
              </w:rPr>
              <w:t>464,684,</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476.13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9" w:right="0"/>
              <w:jc w:val="center"/>
              <w:rPr>
                <w:rFonts w:ascii="Times New Roman" w:hAnsi="Times New Roman" w:cs="Times New Roman" w:eastAsia="Times New Roman" w:hint="default"/>
                <w:sz w:val="18"/>
                <w:szCs w:val="18"/>
              </w:rPr>
            </w:pPr>
            <w:r>
              <w:rPr>
                <w:rFonts w:ascii="Times New Roman"/>
                <w:sz w:val="18"/>
              </w:rPr>
              <w:t>316,762,</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917.69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 w:right="0"/>
              <w:jc w:val="center"/>
              <w:rPr>
                <w:rFonts w:ascii="Times New Roman" w:hAnsi="Times New Roman" w:cs="Times New Roman" w:eastAsia="Times New Roman" w:hint="default"/>
                <w:sz w:val="18"/>
                <w:szCs w:val="18"/>
              </w:rPr>
            </w:pPr>
            <w:r>
              <w:rPr>
                <w:rFonts w:ascii="Times New Roman"/>
                <w:sz w:val="18"/>
              </w:rPr>
              <w:t>781,447,</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393.82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9" w:right="0"/>
              <w:jc w:val="center"/>
              <w:rPr>
                <w:rFonts w:ascii="Times New Roman" w:hAnsi="Times New Roman" w:cs="Times New Roman" w:eastAsia="Times New Roman" w:hint="default"/>
                <w:sz w:val="18"/>
                <w:szCs w:val="18"/>
              </w:rPr>
            </w:pPr>
            <w:r>
              <w:rPr>
                <w:rFonts w:ascii="Times New Roman"/>
                <w:sz w:val="18"/>
              </w:rPr>
              <w:t>633,665,</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833.55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 w:right="0"/>
              <w:jc w:val="center"/>
              <w:rPr>
                <w:rFonts w:ascii="Times New Roman" w:hAnsi="Times New Roman" w:cs="Times New Roman" w:eastAsia="Times New Roman" w:hint="default"/>
                <w:sz w:val="18"/>
                <w:szCs w:val="18"/>
              </w:rPr>
            </w:pPr>
            <w:r>
              <w:rPr>
                <w:rFonts w:ascii="Times New Roman"/>
                <w:sz w:val="18"/>
              </w:rPr>
              <w:t>332,873,</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190.48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9" w:right="0"/>
              <w:jc w:val="center"/>
              <w:rPr>
                <w:rFonts w:ascii="Times New Roman" w:hAnsi="Times New Roman" w:cs="Times New Roman" w:eastAsia="Times New Roman" w:hint="default"/>
                <w:sz w:val="18"/>
                <w:szCs w:val="18"/>
              </w:rPr>
            </w:pPr>
            <w:r>
              <w:rPr>
                <w:rFonts w:ascii="Times New Roman"/>
                <w:sz w:val="18"/>
              </w:rPr>
              <w:t>966,539,</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024.03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 w:right="0"/>
              <w:jc w:val="center"/>
              <w:rPr>
                <w:rFonts w:ascii="Times New Roman" w:hAnsi="Times New Roman" w:cs="Times New Roman" w:eastAsia="Times New Roman" w:hint="default"/>
                <w:sz w:val="18"/>
                <w:szCs w:val="18"/>
              </w:rPr>
            </w:pPr>
            <w:r>
              <w:rPr>
                <w:rFonts w:ascii="Times New Roman"/>
                <w:sz w:val="18"/>
              </w:rPr>
              <w:t>360,991,</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275.74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 w:right="0"/>
              <w:jc w:val="center"/>
              <w:rPr>
                <w:rFonts w:ascii="Times New Roman" w:hAnsi="Times New Roman" w:cs="Times New Roman" w:eastAsia="Times New Roman" w:hint="default"/>
                <w:sz w:val="18"/>
                <w:szCs w:val="18"/>
              </w:rPr>
            </w:pPr>
            <w:r>
              <w:rPr>
                <w:rFonts w:ascii="Times New Roman"/>
                <w:sz w:val="18"/>
              </w:rPr>
              <w:t>162,443,</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257.22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523,434,</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532.96</w:t>
            </w:r>
          </w:p>
        </w:tc>
      </w:tr>
    </w:tbl>
    <w:p>
      <w:pPr>
        <w:spacing w:before="5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嘉园环保</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308,359,669.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40,711,761.8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40,711,761.8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-21,207,679.7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228,890,887.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46,678,656.6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46,678,656.6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5,105,452.21</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汉威公用</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243,876,937.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45,629,435.6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45,629,435.6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-26,860,485.9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246,960,802.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39,886,179.0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39,886,179.0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56,357,833.0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r>
      <w:tr>
        <w:trPr>
          <w:trHeight w:val="71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汉威智源</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193,810,010.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30,016,866.9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30,016,866.9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-299,020,597.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133,292,674.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16,209,265.1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16,209,265.1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125,437,722.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48</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2、在子公司的所有者权益份额发生变化且仍控制子公司的交易" w:id="338"/>
      <w:bookmarkEnd w:id="338"/>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在子公司所有者权益份额发生变化的情况说明" w:id="339"/>
      <w:bookmarkEnd w:id="339"/>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7"/>
        <w:rPr>
          <w:rFonts w:ascii="宋体" w:hAnsi="宋体" w:cs="宋体" w:eastAsia="宋体" w:hint="default"/>
          <w:b/>
          <w:bCs/>
          <w:sz w:val="30"/>
          <w:szCs w:val="30"/>
        </w:rPr>
      </w:pPr>
    </w:p>
    <w:p>
      <w:pPr>
        <w:pStyle w:val="BodyText"/>
        <w:spacing w:line="240" w:lineRule="auto" w:before="0"/>
        <w:ind w:left="0" w:right="1131"/>
        <w:jc w:val="right"/>
      </w:pPr>
      <w:r>
        <w:rPr/>
        <w:t>根据</w:t>
      </w:r>
      <w:r>
        <w:rPr>
          <w:spacing w:val="-32"/>
        </w:rPr>
        <w:t> </w:t>
      </w:r>
      <w:r>
        <w:rPr>
          <w:rFonts w:ascii="宋体" w:hAnsi="宋体" w:cs="宋体" w:eastAsia="宋体" w:hint="default"/>
        </w:rPr>
        <w:t>2017</w:t>
      </w:r>
      <w:r>
        <w:rPr>
          <w:rFonts w:ascii="宋体" w:hAnsi="宋体" w:cs="宋体" w:eastAsia="宋体" w:hint="default"/>
          <w:spacing w:val="-33"/>
        </w:rPr>
        <w:t> </w:t>
      </w:r>
      <w:r>
        <w:rPr/>
        <w:t>年</w:t>
      </w:r>
      <w:r>
        <w:rPr>
          <w:spacing w:val="-32"/>
        </w:rPr>
        <w:t> </w:t>
      </w:r>
      <w:r>
        <w:rPr>
          <w:rFonts w:ascii="宋体" w:hAnsi="宋体" w:cs="宋体" w:eastAsia="宋体" w:hint="default"/>
        </w:rPr>
        <w:t>4</w:t>
      </w:r>
      <w:r>
        <w:rPr>
          <w:rFonts w:ascii="宋体" w:hAnsi="宋体" w:cs="宋体" w:eastAsia="宋体" w:hint="default"/>
          <w:spacing w:val="-32"/>
        </w:rPr>
        <w:t> </w:t>
      </w:r>
      <w:r>
        <w:rPr/>
        <w:t>月公司与子公司北京威果少数股东签订的增资协议书，各方同意将公司注册资本由原</w:t>
      </w:r>
    </w:p>
    <w:p>
      <w:pPr>
        <w:spacing w:line="240" w:lineRule="auto" w:before="10"/>
        <w:rPr>
          <w:rFonts w:ascii="宋体" w:hAnsi="宋体" w:cs="宋体" w:eastAsia="宋体" w:hint="default"/>
          <w:sz w:val="14"/>
          <w:szCs w:val="14"/>
        </w:rPr>
      </w:pPr>
    </w:p>
    <w:p>
      <w:pPr>
        <w:pStyle w:val="BodyText"/>
        <w:spacing w:line="408" w:lineRule="auto" w:before="0"/>
        <w:ind w:right="1121"/>
        <w:jc w:val="left"/>
      </w:pPr>
      <w:r>
        <w:rPr/>
        <w:t>人民币</w:t>
      </w:r>
      <w:r>
        <w:rPr>
          <w:spacing w:val="-57"/>
        </w:rPr>
        <w:t> </w:t>
      </w:r>
      <w:r>
        <w:rPr>
          <w:rFonts w:ascii="宋体" w:hAnsi="宋体" w:cs="宋体" w:eastAsia="宋体" w:hint="default"/>
        </w:rPr>
        <w:t>1,000</w:t>
      </w:r>
      <w:r>
        <w:rPr>
          <w:rFonts w:ascii="宋体" w:hAnsi="宋体" w:cs="宋体" w:eastAsia="宋体" w:hint="default"/>
          <w:spacing w:val="-57"/>
        </w:rPr>
        <w:t> </w:t>
      </w:r>
      <w:r>
        <w:rPr/>
        <w:t>万元增加至</w:t>
      </w:r>
      <w:r>
        <w:rPr>
          <w:spacing w:val="-58"/>
        </w:rPr>
        <w:t> </w:t>
      </w:r>
      <w:r>
        <w:rPr>
          <w:rFonts w:ascii="宋体" w:hAnsi="宋体" w:cs="宋体" w:eastAsia="宋体" w:hint="default"/>
        </w:rPr>
        <w:t>2,000</w:t>
      </w:r>
      <w:r>
        <w:rPr>
          <w:rFonts w:ascii="宋体" w:hAnsi="宋体" w:cs="宋体" w:eastAsia="宋体" w:hint="default"/>
          <w:spacing w:val="-57"/>
        </w:rPr>
        <w:t> </w:t>
      </w:r>
      <w:r>
        <w:rPr/>
        <w:t>万元，本次增注册资本为</w:t>
      </w:r>
      <w:r>
        <w:rPr>
          <w:spacing w:val="-57"/>
        </w:rPr>
        <w:t> </w:t>
      </w:r>
      <w:r>
        <w:rPr>
          <w:rFonts w:ascii="宋体" w:hAnsi="宋体" w:cs="宋体" w:eastAsia="宋体" w:hint="default"/>
        </w:rPr>
        <w:t>1,000</w:t>
      </w:r>
      <w:r>
        <w:rPr>
          <w:rFonts w:ascii="宋体" w:hAnsi="宋体" w:cs="宋体" w:eastAsia="宋体" w:hint="default"/>
          <w:spacing w:val="-57"/>
        </w:rPr>
        <w:t> </w:t>
      </w:r>
      <w:r>
        <w:rPr/>
        <w:t>万元。增资后本公司持有北京威果的股权 比例变更为</w:t>
      </w:r>
      <w:r>
        <w:rPr>
          <w:spacing w:val="-52"/>
        </w:rPr>
        <w:t> </w:t>
      </w:r>
      <w:r>
        <w:rPr>
          <w:rFonts w:ascii="宋体" w:hAnsi="宋体" w:cs="宋体" w:eastAsia="宋体" w:hint="default"/>
        </w:rPr>
        <w:t>58.85%</w:t>
      </w:r>
      <w:r>
        <w:rPr/>
        <w:t>。</w:t>
      </w:r>
    </w:p>
    <w:p>
      <w:pPr>
        <w:pStyle w:val="BodyText"/>
        <w:spacing w:line="240" w:lineRule="auto"/>
        <w:ind w:left="0" w:right="1131"/>
        <w:jc w:val="right"/>
      </w:pPr>
      <w:r>
        <w:rPr/>
        <w:t>根据</w:t>
      </w:r>
      <w:r>
        <w:rPr>
          <w:spacing w:val="-57"/>
        </w:rPr>
        <w:t> </w:t>
      </w:r>
      <w:r>
        <w:rPr>
          <w:rFonts w:ascii="宋体" w:hAnsi="宋体" w:cs="宋体" w:eastAsia="宋体" w:hint="default"/>
        </w:rPr>
        <w:t>2017</w:t>
      </w:r>
      <w:r>
        <w:rPr>
          <w:rFonts w:ascii="宋体" w:hAnsi="宋体" w:cs="宋体" w:eastAsia="宋体" w:hint="default"/>
          <w:spacing w:val="-57"/>
        </w:rPr>
        <w:t> </w:t>
      </w:r>
      <w:r>
        <w:rPr/>
        <w:t>年</w:t>
      </w:r>
      <w:r>
        <w:rPr>
          <w:spacing w:val="-58"/>
        </w:rPr>
        <w:t> </w:t>
      </w:r>
      <w:r>
        <w:rPr>
          <w:rFonts w:ascii="宋体" w:hAnsi="宋体" w:cs="宋体" w:eastAsia="宋体" w:hint="default"/>
        </w:rPr>
        <w:t>12</w:t>
      </w:r>
      <w:r>
        <w:rPr>
          <w:rFonts w:ascii="宋体" w:hAnsi="宋体" w:cs="宋体" w:eastAsia="宋体" w:hint="default"/>
          <w:spacing w:val="-57"/>
        </w:rPr>
        <w:t> </w:t>
      </w:r>
      <w:r>
        <w:rPr/>
        <w:t>月</w:t>
      </w:r>
      <w:r>
        <w:rPr>
          <w:spacing w:val="-57"/>
        </w:rPr>
        <w:t> </w:t>
      </w:r>
      <w:r>
        <w:rPr>
          <w:rFonts w:ascii="宋体" w:hAnsi="宋体" w:cs="宋体" w:eastAsia="宋体" w:hint="default"/>
        </w:rPr>
        <w:t>4</w:t>
      </w:r>
      <w:r>
        <w:rPr>
          <w:rFonts w:ascii="宋体" w:hAnsi="宋体" w:cs="宋体" w:eastAsia="宋体" w:hint="default"/>
          <w:spacing w:val="-57"/>
        </w:rPr>
        <w:t> </w:t>
      </w:r>
      <w:r>
        <w:rPr/>
        <w:t>日本公司与子公司雪城软件少数股东签订的股权转让协议书，公司受让少数股东</w:t>
      </w:r>
    </w:p>
    <w:p>
      <w:pPr>
        <w:spacing w:line="240" w:lineRule="auto" w:before="10"/>
        <w:rPr>
          <w:rFonts w:ascii="宋体" w:hAnsi="宋体" w:cs="宋体" w:eastAsia="宋体" w:hint="default"/>
          <w:sz w:val="14"/>
          <w:szCs w:val="14"/>
        </w:rPr>
      </w:pPr>
    </w:p>
    <w:p>
      <w:pPr>
        <w:pStyle w:val="BodyText"/>
        <w:spacing w:line="408" w:lineRule="auto" w:before="0"/>
        <w:ind w:right="1119"/>
        <w:jc w:val="left"/>
      </w:pPr>
      <w:r>
        <w:rPr/>
        <w:t>持有的雪城软件</w:t>
      </w:r>
      <w:r>
        <w:rPr>
          <w:spacing w:val="-56"/>
        </w:rPr>
        <w:t> </w:t>
      </w:r>
      <w:r>
        <w:rPr>
          <w:rFonts w:ascii="宋体" w:hAnsi="宋体" w:cs="宋体" w:eastAsia="宋体" w:hint="default"/>
          <w:spacing w:val="-3"/>
        </w:rPr>
        <w:t>41.50%</w:t>
      </w:r>
      <w:r>
        <w:rPr>
          <w:spacing w:val="-3"/>
        </w:rPr>
        <w:t>股权。工商变更登记于</w:t>
      </w:r>
      <w:r>
        <w:rPr>
          <w:spacing w:val="-56"/>
        </w:rPr>
        <w:t> </w:t>
      </w:r>
      <w:r>
        <w:rPr>
          <w:rFonts w:ascii="宋体" w:hAnsi="宋体" w:cs="宋体" w:eastAsia="宋体" w:hint="default"/>
        </w:rPr>
        <w:t>2017</w:t>
      </w:r>
      <w:r>
        <w:rPr>
          <w:rFonts w:ascii="宋体" w:hAnsi="宋体" w:cs="宋体" w:eastAsia="宋体" w:hint="default"/>
          <w:spacing w:val="-57"/>
        </w:rPr>
        <w:t> </w:t>
      </w:r>
      <w:r>
        <w:rPr/>
        <w:t>年</w:t>
      </w:r>
      <w:r>
        <w:rPr>
          <w:spacing w:val="-58"/>
        </w:rPr>
        <w:t> </w:t>
      </w:r>
      <w:r>
        <w:rPr>
          <w:rFonts w:ascii="宋体" w:hAnsi="宋体" w:cs="宋体" w:eastAsia="宋体" w:hint="default"/>
        </w:rPr>
        <w:t>12</w:t>
      </w:r>
      <w:r>
        <w:rPr>
          <w:rFonts w:ascii="宋体" w:hAnsi="宋体" w:cs="宋体" w:eastAsia="宋体" w:hint="default"/>
          <w:spacing w:val="-57"/>
        </w:rPr>
        <w:t> </w:t>
      </w:r>
      <w:r>
        <w:rPr/>
        <w:t>月</w:t>
      </w:r>
      <w:r>
        <w:rPr>
          <w:spacing w:val="-57"/>
        </w:rPr>
        <w:t> </w:t>
      </w:r>
      <w:r>
        <w:rPr>
          <w:rFonts w:ascii="宋体" w:hAnsi="宋体" w:cs="宋体" w:eastAsia="宋体" w:hint="default"/>
        </w:rPr>
        <w:t>8</w:t>
      </w:r>
      <w:r>
        <w:rPr>
          <w:rFonts w:ascii="宋体" w:hAnsi="宋体" w:cs="宋体" w:eastAsia="宋体" w:hint="default"/>
          <w:spacing w:val="-57"/>
        </w:rPr>
        <w:t> </w:t>
      </w:r>
      <w:r>
        <w:rPr/>
        <w:t>日完成后，本公司持有雪城软件的股权比例 由</w:t>
      </w:r>
      <w:r>
        <w:rPr>
          <w:spacing w:val="-53"/>
        </w:rPr>
        <w:t> </w:t>
      </w:r>
      <w:r>
        <w:rPr>
          <w:rFonts w:ascii="宋体" w:hAnsi="宋体" w:cs="宋体" w:eastAsia="宋体" w:hint="default"/>
        </w:rPr>
        <w:t>57.00%</w:t>
      </w:r>
      <w:r>
        <w:rPr/>
        <w:t>变为</w:t>
      </w:r>
      <w:r>
        <w:rPr>
          <w:spacing w:val="-53"/>
        </w:rPr>
        <w:t> </w:t>
      </w:r>
      <w:r>
        <w:rPr>
          <w:rFonts w:ascii="宋体" w:hAnsi="宋体" w:cs="宋体" w:eastAsia="宋体" w:hint="default"/>
        </w:rPr>
        <w:t>98.50%</w:t>
      </w:r>
      <w:r>
        <w:rPr/>
        <w:t>。</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bookmarkStart w:name="（2）交易对于少数股东权益及归属于母公司所有者权益的影响" w:id="340"/>
      <w:bookmarkEnd w:id="340"/>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78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雪城软件</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19,528,700.00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19,528,700.00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19,528,700.00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减：按取得</w:t>
            </w:r>
            <w:r>
              <w:rPr>
                <w:rFonts w:ascii="Times New Roman" w:hAnsi="Times New Roman" w:cs="Times New Roman" w:eastAsia="Times New Roman" w:hint="default"/>
                <w:sz w:val="18"/>
                <w:szCs w:val="18"/>
              </w:rPr>
              <w:t>/</w:t>
            </w:r>
            <w:r>
              <w:rPr>
                <w:rFonts w:ascii="宋体" w:hAnsi="宋体" w:cs="宋体" w:eastAsia="宋体" w:hint="default"/>
                <w:sz w:val="18"/>
                <w:szCs w:val="18"/>
              </w:rPr>
              <w:t>处置的股权比例计算的子公司净资产份额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14,496,012.26</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5,032,687.74</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5,032,687.74</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在合营安排或联营企业中的权益" w:id="341"/>
      <w:bookmarkEnd w:id="341"/>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不重要的合营企业和联营企业的汇总财务信息" w:id="342"/>
      <w:bookmarkEnd w:id="342"/>
      <w:r>
        <w:rPr>
          <w:b w:val="0"/>
          <w:bCs w:val="0"/>
        </w:rPr>
      </w:r>
      <w:r>
        <w:rPr/>
        <w:t>（</w:t>
      </w:r>
      <w:r>
        <w:rPr>
          <w:rFonts w:ascii="Times New Roman" w:hAnsi="Times New Roman" w:cs="Times New Roman" w:eastAsia="Times New Roman" w:hint="default"/>
        </w:rPr>
        <w:t>1</w:t>
      </w:r>
      <w:r>
        <w:rPr/>
        <w:t>）不重要的合营企业和联营企业的汇总财务信息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0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50,518,048.60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50,196,638.13</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321,410.47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34,115.59</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321,410.47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34,115.59</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34,310,764.49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29,583,874.39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4,726,890.10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3,583,874.39</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4,726,890.10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3,583,874.39</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5"/>
          <w:szCs w:val="25"/>
        </w:rPr>
      </w:pPr>
    </w:p>
    <w:p>
      <w:pPr>
        <w:spacing w:line="506" w:lineRule="auto" w:before="0"/>
        <w:ind w:left="1133" w:right="8344" w:firstLine="0"/>
        <w:jc w:val="left"/>
        <w:rPr>
          <w:rFonts w:ascii="宋体" w:hAnsi="宋体" w:cs="宋体" w:eastAsia="宋体" w:hint="default"/>
          <w:sz w:val="18"/>
          <w:szCs w:val="18"/>
        </w:rPr>
      </w:pPr>
      <w:bookmarkStart w:name="九、关联方及关联交易" w:id="343"/>
      <w:bookmarkEnd w:id="343"/>
      <w:r>
        <w:rPr/>
      </w:r>
      <w:r>
        <w:rPr>
          <w:rFonts w:ascii="宋体" w:hAnsi="宋体" w:cs="宋体" w:eastAsia="宋体" w:hint="default"/>
          <w:b/>
          <w:bCs/>
          <w:sz w:val="24"/>
          <w:szCs w:val="24"/>
        </w:rPr>
        <w:t>九、关联方及关联交易</w:t>
      </w:r>
      <w:r>
        <w:rPr>
          <w:rFonts w:ascii="宋体" w:hAnsi="宋体" w:cs="宋体" w:eastAsia="宋体" w:hint="default"/>
          <w:b/>
          <w:bCs/>
          <w:w w:val="99"/>
          <w:sz w:val="24"/>
          <w:szCs w:val="24"/>
        </w:rPr>
        <w:t> </w:t>
      </w:r>
      <w:bookmarkStart w:name="1、本企业的母公司情况" w:id="344"/>
      <w:bookmarkEnd w:id="344"/>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b/>
          <w:bCs/>
          <w:w w:val="99"/>
          <w:sz w:val="21"/>
          <w:szCs w:val="21"/>
        </w:rPr>
        <w:t> </w:t>
      </w:r>
      <w:r>
        <w:rPr>
          <w:rFonts w:ascii="宋体" w:hAnsi="宋体" w:cs="宋体" w:eastAsia="宋体" w:hint="default"/>
          <w:sz w:val="18"/>
          <w:szCs w:val="18"/>
        </w:rPr>
        <w:t>本企业的母公司情况的说明</w:t>
      </w:r>
    </w:p>
    <w:p>
      <w:pPr>
        <w:pStyle w:val="BodyText"/>
        <w:spacing w:line="242" w:lineRule="exact" w:before="0"/>
        <w:ind w:left="1553" w:right="0"/>
        <w:jc w:val="left"/>
      </w:pPr>
      <w:r>
        <w:rPr/>
        <w:t>本企业最终控制方是任红军、钟超。</w:t>
      </w:r>
    </w:p>
    <w:p>
      <w:pPr>
        <w:spacing w:line="240" w:lineRule="auto" w:before="11"/>
        <w:rPr>
          <w:rFonts w:ascii="宋体" w:hAnsi="宋体" w:cs="宋体" w:eastAsia="宋体" w:hint="default"/>
          <w:sz w:val="13"/>
          <w:szCs w:val="13"/>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本企业的子公司情况" w:id="345"/>
      <w:bookmarkEnd w:id="345"/>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before="0"/>
        <w:ind w:left="1553" w:right="0"/>
        <w:jc w:val="left"/>
      </w:pPr>
      <w:r>
        <w:rPr/>
        <w:t>本企业子公司的情况详见附注八、在其他主体中的权益</w:t>
      </w:r>
      <w:r>
        <w:rPr>
          <w:spacing w:val="-54"/>
        </w:rPr>
        <w:t> </w:t>
      </w:r>
      <w:r>
        <w:rPr>
          <w:rFonts w:ascii="宋体" w:hAnsi="宋体" w:cs="宋体" w:eastAsia="宋体" w:hint="default"/>
        </w:rPr>
        <w:t>1</w:t>
      </w:r>
      <w:r>
        <w:rPr/>
        <w:t>、在子公司的权益。</w:t>
      </w:r>
    </w:p>
    <w:p>
      <w:pPr>
        <w:spacing w:line="240" w:lineRule="auto" w:before="0"/>
        <w:rPr>
          <w:rFonts w:ascii="宋体" w:hAnsi="宋体" w:cs="宋体" w:eastAsia="宋体" w:hint="default"/>
          <w:sz w:val="20"/>
          <w:szCs w:val="20"/>
        </w:rPr>
      </w:pPr>
    </w:p>
    <w:p>
      <w:pPr>
        <w:pStyle w:val="Heading4"/>
        <w:spacing w:line="240" w:lineRule="auto" w:before="154"/>
        <w:ind w:right="0"/>
        <w:jc w:val="left"/>
        <w:rPr>
          <w:b w:val="0"/>
          <w:bCs w:val="0"/>
        </w:rPr>
      </w:pPr>
      <w:bookmarkStart w:name="3、本企业合营和联营企业情况" w:id="346"/>
      <w:bookmarkEnd w:id="346"/>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8"/>
        <w:rPr>
          <w:rFonts w:ascii="宋体" w:hAnsi="宋体" w:cs="宋体" w:eastAsia="宋体" w:hint="default"/>
          <w:b/>
          <w:bCs/>
          <w:sz w:val="26"/>
          <w:szCs w:val="26"/>
        </w:rPr>
      </w:pPr>
    </w:p>
    <w:p>
      <w:pPr>
        <w:spacing w:line="357" w:lineRule="auto" w:before="0"/>
        <w:ind w:left="1133" w:right="2293" w:firstLine="0"/>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本企业重要的合营或联营企业详见附注八、在其他主体中的权益。 本期与本公司发生关联方交易，或前期与本公司发生关联方交易形成余额的其他合营或联营企业情况如下：</w:t>
      </w: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郑州高新梧桐水务有限公司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河南中盾云安信息科技有限公司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泰瑞数创科技（北京）有限公司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spacing w:before="68"/>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4、其他关联方情况" w:id="347"/>
      <w:bookmarkEnd w:id="347"/>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董事、监事及高级管理人员</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关联交易情况" w:id="348"/>
      <w:bookmarkEnd w:id="348"/>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0"/>
        <w:jc w:val="left"/>
        <w:rPr>
          <w:b w:val="0"/>
          <w:bCs w:val="0"/>
        </w:rPr>
      </w:pPr>
      <w:bookmarkStart w:name="（1）购销商品、提供和接受劳务的关联交易" w:id="349"/>
      <w:bookmarkEnd w:id="349"/>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spacing w:before="44"/>
        <w:ind w:left="1134" w:right="0"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553"/>
        <w:gridCol w:w="1276"/>
        <w:gridCol w:w="1134"/>
        <w:gridCol w:w="1559"/>
        <w:gridCol w:w="1844"/>
        <w:gridCol w:w="1193"/>
      </w:tblGrid>
      <w:tr>
        <w:trPr>
          <w:trHeight w:val="402"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553"/>
        <w:gridCol w:w="1276"/>
        <w:gridCol w:w="1134"/>
        <w:gridCol w:w="1559"/>
        <w:gridCol w:w="1844"/>
        <w:gridCol w:w="1205"/>
      </w:tblGrid>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郑州高新梧桐水务有限公司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自来水</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33,933,267.00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29,519,524.50</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2"/>
                <w:sz w:val="18"/>
                <w:szCs w:val="18"/>
              </w:rPr>
              <w:t>泰瑞数创科技（北京）有限公司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数据采集</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4,871,698.10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购销商品、提供和接受劳务的关联交易说明</w:t>
      </w:r>
    </w:p>
    <w:p>
      <w:pPr>
        <w:spacing w:line="240" w:lineRule="auto" w:before="11"/>
        <w:rPr>
          <w:rFonts w:ascii="宋体" w:hAnsi="宋体" w:cs="宋体" w:eastAsia="宋体" w:hint="default"/>
          <w:sz w:val="26"/>
          <w:szCs w:val="26"/>
        </w:rPr>
      </w:pPr>
    </w:p>
    <w:p>
      <w:pPr>
        <w:pStyle w:val="Heading4"/>
        <w:spacing w:line="240" w:lineRule="auto"/>
        <w:ind w:left="1134" w:right="0"/>
        <w:jc w:val="left"/>
        <w:rPr>
          <w:b w:val="0"/>
          <w:bCs w:val="0"/>
        </w:rPr>
      </w:pPr>
      <w:bookmarkStart w:name="（2）关联担保情况" w:id="350"/>
      <w:bookmarkEnd w:id="350"/>
      <w:r>
        <w:rPr>
          <w:b w:val="0"/>
          <w:bCs w:val="0"/>
        </w:rPr>
      </w:r>
      <w:r>
        <w:rPr/>
        <w:t>（</w:t>
      </w:r>
      <w:r>
        <w:rPr>
          <w:rFonts w:ascii="Times New Roman" w:hAnsi="Times New Roman" w:cs="Times New Roman" w:eastAsia="Times New Roman" w:hint="default"/>
        </w:rPr>
        <w:t>2</w:t>
      </w:r>
      <w:r>
        <w:rPr/>
        <w:t>）关联担保情况</w:t>
      </w:r>
      <w:r>
        <w:rPr>
          <w:b w:val="0"/>
          <w:bCs w:val="0"/>
        </w:rPr>
      </w:r>
    </w:p>
    <w:p>
      <w:pPr>
        <w:spacing w:line="240" w:lineRule="auto" w:before="4"/>
        <w:rPr>
          <w:rFonts w:ascii="宋体" w:hAnsi="宋体" w:cs="宋体" w:eastAsia="宋体" w:hint="default"/>
          <w:b/>
          <w:bCs/>
          <w:sz w:val="23"/>
          <w:szCs w:val="23"/>
        </w:rPr>
      </w:pPr>
    </w:p>
    <w:p>
      <w:pPr>
        <w:spacing w:before="44"/>
        <w:ind w:left="1134" w:right="0"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10"/>
        <w:gridCol w:w="1419"/>
        <w:gridCol w:w="1914"/>
        <w:gridCol w:w="1914"/>
        <w:gridCol w:w="1914"/>
      </w:tblGrid>
      <w:tr>
        <w:trPr>
          <w:trHeight w:val="401"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4"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郑州高新梧桐水务有限公司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51" w:right="0"/>
              <w:jc w:val="left"/>
              <w:rPr>
                <w:rFonts w:ascii="Times New Roman" w:hAnsi="Times New Roman" w:cs="Times New Roman" w:eastAsia="Times New Roman" w:hint="default"/>
                <w:sz w:val="18"/>
                <w:szCs w:val="18"/>
              </w:rPr>
            </w:pPr>
            <w:r>
              <w:rPr>
                <w:rFonts w:ascii="Times New Roman"/>
                <w:sz w:val="18"/>
              </w:rPr>
              <w:t>49,000,000.00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spacing w:line="240" w:lineRule="auto" w:before="10"/>
        <w:rPr>
          <w:rFonts w:ascii="宋体" w:hAnsi="宋体" w:cs="宋体" w:eastAsia="宋体" w:hint="default"/>
          <w:sz w:val="26"/>
          <w:szCs w:val="26"/>
        </w:rPr>
      </w:pPr>
    </w:p>
    <w:p>
      <w:pPr>
        <w:pStyle w:val="Heading4"/>
        <w:spacing w:line="240" w:lineRule="auto"/>
        <w:ind w:left="1134" w:right="0"/>
        <w:jc w:val="left"/>
        <w:rPr>
          <w:b w:val="0"/>
          <w:bCs w:val="0"/>
        </w:rPr>
      </w:pPr>
      <w:bookmarkStart w:name="（3）关键管理人员报酬" w:id="351"/>
      <w:bookmarkEnd w:id="351"/>
      <w:r>
        <w:rPr>
          <w:b w:val="0"/>
          <w:bCs w:val="0"/>
        </w:rPr>
      </w:r>
      <w:r>
        <w:rPr/>
        <w:t>（</w:t>
      </w:r>
      <w:r>
        <w:rPr>
          <w:rFonts w:ascii="Times New Roman" w:hAnsi="Times New Roman" w:cs="Times New Roman" w:eastAsia="Times New Roman" w:hint="default"/>
        </w:rPr>
        <w:t>3</w:t>
      </w:r>
      <w:r>
        <w:rPr/>
        <w:t>）关键管理人员报酬</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5,363,800.00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4,556,700.00</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6、关联方应收应付款项" w:id="352"/>
      <w:bookmarkEnd w:id="352"/>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134" w:right="0"/>
        <w:jc w:val="left"/>
        <w:rPr>
          <w:b w:val="0"/>
          <w:bCs w:val="0"/>
        </w:rPr>
      </w:pPr>
      <w:bookmarkStart w:name="（1）应收项目" w:id="353"/>
      <w:bookmarkEnd w:id="353"/>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2）应付项目" w:id="354"/>
      <w:bookmarkEnd w:id="354"/>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844"/>
        <w:gridCol w:w="2942"/>
        <w:gridCol w:w="2392"/>
        <w:gridCol w:w="2392"/>
      </w:tblGrid>
      <w:tr>
        <w:trPr>
          <w:trHeight w:val="401"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泰瑞数创科技（北京）有限公司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14" w:right="0"/>
              <w:jc w:val="left"/>
              <w:rPr>
                <w:rFonts w:ascii="Times New Roman" w:hAnsi="Times New Roman" w:cs="Times New Roman" w:eastAsia="Times New Roman" w:hint="default"/>
                <w:sz w:val="18"/>
                <w:szCs w:val="18"/>
              </w:rPr>
            </w:pPr>
            <w:r>
              <w:rPr>
                <w:rFonts w:ascii="Times New Roman"/>
                <w:sz w:val="18"/>
              </w:rPr>
              <w:t>5,164,000.00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7、关联方承诺" w:id="355"/>
      <w:bookmarkEnd w:id="355"/>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7"/>
        <w:rPr>
          <w:rFonts w:ascii="宋体" w:hAnsi="宋体" w:cs="宋体" w:eastAsia="宋体" w:hint="default"/>
          <w:b/>
          <w:bCs/>
          <w:sz w:val="30"/>
          <w:szCs w:val="30"/>
        </w:rPr>
      </w:pPr>
    </w:p>
    <w:p>
      <w:pPr>
        <w:pStyle w:val="BodyText"/>
        <w:spacing w:line="240" w:lineRule="auto" w:before="0"/>
        <w:ind w:left="1554" w:right="0"/>
        <w:jc w:val="left"/>
      </w:pPr>
      <w:r>
        <w:rPr/>
        <w:t>本企业关联方承诺详见第五节、重要事项二、承诺事项履行情况。</w:t>
      </w:r>
    </w:p>
    <w:p>
      <w:pPr>
        <w:spacing w:line="240" w:lineRule="auto" w:before="0"/>
        <w:rPr>
          <w:rFonts w:ascii="宋体" w:hAnsi="宋体" w:cs="宋体" w:eastAsia="宋体" w:hint="default"/>
          <w:sz w:val="20"/>
          <w:szCs w:val="20"/>
        </w:rPr>
      </w:pPr>
    </w:p>
    <w:p>
      <w:pPr>
        <w:spacing w:line="506" w:lineRule="auto" w:before="131"/>
        <w:ind w:left="1133" w:right="8413" w:firstLine="0"/>
        <w:jc w:val="left"/>
        <w:rPr>
          <w:rFonts w:ascii="宋体" w:hAnsi="宋体" w:cs="宋体" w:eastAsia="宋体" w:hint="default"/>
          <w:sz w:val="18"/>
          <w:szCs w:val="18"/>
        </w:rPr>
      </w:pPr>
      <w:bookmarkStart w:name="十、承诺及或有事项" w:id="356"/>
      <w:bookmarkEnd w:id="356"/>
      <w:r>
        <w:rPr/>
      </w:r>
      <w:r>
        <w:rPr>
          <w:rFonts w:ascii="宋体" w:hAnsi="宋体" w:cs="宋体" w:eastAsia="宋体" w:hint="default"/>
          <w:b/>
          <w:bCs/>
          <w:sz w:val="24"/>
          <w:szCs w:val="24"/>
        </w:rPr>
        <w:t>十、承诺及或有事项</w:t>
      </w:r>
      <w:r>
        <w:rPr>
          <w:rFonts w:ascii="宋体" w:hAnsi="宋体" w:cs="宋体" w:eastAsia="宋体" w:hint="default"/>
          <w:b/>
          <w:bCs/>
          <w:w w:val="99"/>
          <w:sz w:val="24"/>
          <w:szCs w:val="24"/>
        </w:rPr>
        <w:t> </w:t>
      </w:r>
      <w:bookmarkStart w:name="1、重要承诺事项" w:id="357"/>
      <w:bookmarkEnd w:id="357"/>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b/>
          <w:bCs/>
          <w:w w:val="99"/>
          <w:sz w:val="21"/>
          <w:szCs w:val="21"/>
        </w:rPr>
        <w:t> </w:t>
      </w:r>
      <w:r>
        <w:rPr>
          <w:rFonts w:ascii="宋体" w:hAnsi="宋体" w:cs="宋体" w:eastAsia="宋体" w:hint="default"/>
          <w:sz w:val="18"/>
          <w:szCs w:val="18"/>
        </w:rPr>
        <w:t>资产负债表日存在的重要承诺</w:t>
      </w:r>
    </w:p>
    <w:p>
      <w:pPr>
        <w:pStyle w:val="BodyText"/>
        <w:spacing w:line="243" w:lineRule="exact" w:before="0"/>
        <w:ind w:left="1554" w:right="0"/>
        <w:jc w:val="left"/>
      </w:pPr>
      <w:r>
        <w:rPr/>
        <w:t>报告期无重要的承诺事项。</w:t>
      </w:r>
    </w:p>
    <w:p>
      <w:pPr>
        <w:spacing w:after="0" w:line="243" w:lineRule="exact"/>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或有事项" w:id="358"/>
      <w:bookmarkEnd w:id="358"/>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资产负债表日存在的重要或有事项" w:id="359"/>
      <w:bookmarkEnd w:id="359"/>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30"/>
          <w:szCs w:val="30"/>
        </w:rPr>
      </w:pPr>
    </w:p>
    <w:p>
      <w:pPr>
        <w:pStyle w:val="BodyText"/>
        <w:spacing w:line="240" w:lineRule="auto" w:before="0"/>
        <w:ind w:left="0" w:right="1130"/>
        <w:jc w:val="right"/>
      </w:pPr>
      <w:r>
        <w:rPr>
          <w:rFonts w:ascii="宋体" w:hAnsi="宋体" w:cs="宋体" w:eastAsia="宋体" w:hint="default"/>
        </w:rPr>
        <w:t>2015</w:t>
      </w:r>
      <w:r>
        <w:rPr>
          <w:rFonts w:ascii="宋体" w:hAnsi="宋体" w:cs="宋体" w:eastAsia="宋体" w:hint="default"/>
          <w:spacing w:val="-50"/>
        </w:rPr>
        <w:t> </w:t>
      </w:r>
      <w:r>
        <w:rPr/>
        <w:t>年</w:t>
      </w:r>
      <w:r>
        <w:rPr>
          <w:spacing w:val="-51"/>
        </w:rPr>
        <w:t> </w:t>
      </w:r>
      <w:r>
        <w:rPr>
          <w:rFonts w:ascii="宋体" w:hAnsi="宋体" w:cs="宋体" w:eastAsia="宋体" w:hint="default"/>
        </w:rPr>
        <w:t>6</w:t>
      </w:r>
      <w:r>
        <w:rPr>
          <w:rFonts w:ascii="宋体" w:hAnsi="宋体" w:cs="宋体" w:eastAsia="宋体" w:hint="default"/>
          <w:spacing w:val="-51"/>
        </w:rPr>
        <w:t> </w:t>
      </w:r>
      <w:r>
        <w:rPr/>
        <w:t>月</w:t>
      </w:r>
      <w:r>
        <w:rPr>
          <w:spacing w:val="-52"/>
        </w:rPr>
        <w:t> </w:t>
      </w:r>
      <w:r>
        <w:rPr>
          <w:rFonts w:ascii="宋体" w:hAnsi="宋体" w:cs="宋体" w:eastAsia="宋体" w:hint="default"/>
        </w:rPr>
        <w:t>23</w:t>
      </w:r>
      <w:r>
        <w:rPr>
          <w:rFonts w:ascii="宋体" w:hAnsi="宋体" w:cs="宋体" w:eastAsia="宋体" w:hint="default"/>
          <w:spacing w:val="-50"/>
        </w:rPr>
        <w:t> </w:t>
      </w:r>
      <w:r>
        <w:rPr>
          <w:spacing w:val="-3"/>
        </w:rPr>
        <w:t>日，公司孙公司高新供水为其合营公司郑州高新梧桐水务有限公司借款</w:t>
      </w:r>
      <w:r>
        <w:rPr>
          <w:spacing w:val="-50"/>
        </w:rPr>
        <w:t> </w:t>
      </w:r>
      <w:r>
        <w:rPr>
          <w:rFonts w:ascii="宋体" w:hAnsi="宋体" w:cs="宋体" w:eastAsia="宋体" w:hint="default"/>
        </w:rPr>
        <w:t>6,500.00</w:t>
      </w:r>
      <w:r>
        <w:rPr>
          <w:rFonts w:ascii="宋体" w:hAnsi="宋体" w:cs="宋体" w:eastAsia="宋体" w:hint="default"/>
          <w:spacing w:val="-51"/>
        </w:rPr>
        <w:t> </w:t>
      </w:r>
      <w:r>
        <w:rPr/>
        <w:t>万元</w:t>
      </w:r>
    </w:p>
    <w:p>
      <w:pPr>
        <w:spacing w:line="240" w:lineRule="auto" w:before="10"/>
        <w:rPr>
          <w:rFonts w:ascii="宋体" w:hAnsi="宋体" w:cs="宋体" w:eastAsia="宋体" w:hint="default"/>
          <w:sz w:val="14"/>
          <w:szCs w:val="14"/>
        </w:rPr>
      </w:pPr>
    </w:p>
    <w:p>
      <w:pPr>
        <w:pStyle w:val="BodyText"/>
        <w:spacing w:line="408" w:lineRule="auto" w:before="0"/>
        <w:ind w:right="1127"/>
        <w:jc w:val="left"/>
      </w:pPr>
      <w:r>
        <w:rPr/>
        <w:t>提供担保，该项借款截止</w:t>
      </w:r>
      <w:r>
        <w:rPr>
          <w:spacing w:val="-56"/>
        </w:rPr>
        <w:t> </w:t>
      </w:r>
      <w:r>
        <w:rPr>
          <w:rFonts w:ascii="宋体" w:hAnsi="宋体" w:cs="宋体" w:eastAsia="宋体" w:hint="default"/>
        </w:rPr>
        <w:t>2017</w:t>
      </w:r>
      <w:r>
        <w:rPr>
          <w:rFonts w:ascii="宋体" w:hAnsi="宋体" w:cs="宋体" w:eastAsia="宋体" w:hint="default"/>
          <w:spacing w:val="-57"/>
        </w:rPr>
        <w:t> </w:t>
      </w:r>
      <w:r>
        <w:rPr/>
        <w:t>年</w:t>
      </w:r>
      <w:r>
        <w:rPr>
          <w:spacing w:val="-57"/>
        </w:rPr>
        <w:t> </w:t>
      </w:r>
      <w:r>
        <w:rPr>
          <w:rFonts w:ascii="宋体" w:hAnsi="宋体" w:cs="宋体" w:eastAsia="宋体" w:hint="default"/>
        </w:rPr>
        <w:t>12</w:t>
      </w:r>
      <w:r>
        <w:rPr>
          <w:rFonts w:ascii="宋体" w:hAnsi="宋体" w:cs="宋体" w:eastAsia="宋体" w:hint="default"/>
          <w:spacing w:val="-56"/>
        </w:rPr>
        <w:t> </w:t>
      </w:r>
      <w:r>
        <w:rPr/>
        <w:t>月</w:t>
      </w:r>
      <w:r>
        <w:rPr>
          <w:spacing w:val="-58"/>
        </w:rPr>
        <w:t> </w:t>
      </w:r>
      <w:r>
        <w:rPr>
          <w:rFonts w:ascii="宋体" w:hAnsi="宋体" w:cs="宋体" w:eastAsia="宋体" w:hint="default"/>
        </w:rPr>
        <w:t>31</w:t>
      </w:r>
      <w:r>
        <w:rPr>
          <w:rFonts w:ascii="宋体" w:hAnsi="宋体" w:cs="宋体" w:eastAsia="宋体" w:hint="default"/>
          <w:spacing w:val="-56"/>
        </w:rPr>
        <w:t> </w:t>
      </w:r>
      <w:r>
        <w:rPr/>
        <w:t>日尚未到期，借款余额</w:t>
      </w:r>
      <w:r>
        <w:rPr>
          <w:spacing w:val="-57"/>
        </w:rPr>
        <w:t> </w:t>
      </w:r>
      <w:r>
        <w:rPr>
          <w:rFonts w:ascii="宋体" w:hAnsi="宋体" w:cs="宋体" w:eastAsia="宋体" w:hint="default"/>
        </w:rPr>
        <w:t>4,900.00</w:t>
      </w:r>
      <w:r>
        <w:rPr>
          <w:rFonts w:ascii="宋体" w:hAnsi="宋体" w:cs="宋体" w:eastAsia="宋体" w:hint="default"/>
          <w:spacing w:val="-57"/>
        </w:rPr>
        <w:t> </w:t>
      </w:r>
      <w:r>
        <w:rPr/>
        <w:t>万元。截止报告期末，郑州高 新梧桐水务有限公司经营及财务状况正常，公司无需确认或有负债。</w:t>
      </w:r>
    </w:p>
    <w:p>
      <w:pPr>
        <w:spacing w:line="240" w:lineRule="auto" w:before="8"/>
        <w:rPr>
          <w:rFonts w:ascii="宋体" w:hAnsi="宋体" w:cs="宋体" w:eastAsia="宋体" w:hint="default"/>
          <w:sz w:val="20"/>
          <w:szCs w:val="20"/>
        </w:rPr>
      </w:pPr>
    </w:p>
    <w:p>
      <w:pPr>
        <w:spacing w:line="568" w:lineRule="auto" w:before="0"/>
        <w:ind w:left="1553" w:right="5588" w:hanging="420"/>
        <w:jc w:val="left"/>
        <w:rPr>
          <w:rFonts w:ascii="宋体" w:hAnsi="宋体" w:cs="宋体" w:eastAsia="宋体" w:hint="default"/>
          <w:sz w:val="21"/>
          <w:szCs w:val="21"/>
        </w:rPr>
      </w:pPr>
      <w:bookmarkStart w:name="（2）公司没有需要披露的重要或有事项，也应予以说明" w:id="360"/>
      <w:bookmarkEnd w:id="36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）公司没有需要披露的重要或有事项，也应予以说明</w:t>
      </w:r>
      <w:r>
        <w:rPr>
          <w:rFonts w:ascii="宋体" w:hAnsi="宋体" w:cs="宋体" w:eastAsia="宋体" w:hint="default"/>
          <w:b/>
          <w:bCs/>
          <w:w w:val="99"/>
          <w:sz w:val="21"/>
          <w:szCs w:val="21"/>
        </w:rPr>
        <w:t> </w:t>
      </w:r>
      <w:r>
        <w:rPr>
          <w:rFonts w:ascii="宋体" w:hAnsi="宋体" w:cs="宋体" w:eastAsia="宋体" w:hint="default"/>
          <w:sz w:val="21"/>
          <w:szCs w:val="21"/>
        </w:rPr>
        <w:t>公司不存在需要披露的重要或有事项。</w:t>
      </w:r>
    </w:p>
    <w:p>
      <w:pPr>
        <w:pStyle w:val="Heading2"/>
        <w:spacing w:line="240" w:lineRule="auto" w:before="105"/>
        <w:ind w:right="0"/>
        <w:jc w:val="left"/>
        <w:rPr>
          <w:b w:val="0"/>
          <w:bCs w:val="0"/>
        </w:rPr>
      </w:pPr>
      <w:bookmarkStart w:name="十一、资产负债表日后事项" w:id="361"/>
      <w:bookmarkEnd w:id="361"/>
      <w:r>
        <w:rPr>
          <w:b w:val="0"/>
          <w:bCs w:val="0"/>
        </w:rPr>
      </w:r>
      <w:r>
        <w:rPr/>
        <w:t>十一、资产负债表日后事项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利润分配情况" w:id="362"/>
      <w:bookmarkEnd w:id="362"/>
      <w:r>
        <w:rPr>
          <w:b w:val="0"/>
          <w:bCs w:val="0"/>
        </w:rPr>
      </w:r>
      <w:r>
        <w:rPr>
          <w:rFonts w:ascii="Times New Roman" w:hAnsi="Times New Roman" w:cs="Times New Roman" w:eastAsia="Times New Roman" w:hint="default"/>
        </w:rPr>
        <w:t>1</w:t>
      </w:r>
      <w:r>
        <w:rPr/>
        <w:t>、利润分配情况</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13,186,026.27</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13,186,026.27</w:t>
            </w:r>
          </w:p>
        </w:tc>
      </w:tr>
    </w:tbl>
    <w:p>
      <w:pPr>
        <w:spacing w:line="240" w:lineRule="auto" w:before="3"/>
        <w:rPr>
          <w:rFonts w:ascii="宋体" w:hAnsi="宋体" w:cs="宋体" w:eastAsia="宋体" w:hint="default"/>
          <w:sz w:val="19"/>
          <w:szCs w:val="19"/>
        </w:rPr>
      </w:pPr>
    </w:p>
    <w:p>
      <w:pPr>
        <w:pStyle w:val="Heading4"/>
        <w:spacing w:line="240" w:lineRule="auto" w:before="35"/>
        <w:ind w:left="1134" w:right="0"/>
        <w:jc w:val="left"/>
        <w:rPr>
          <w:b w:val="0"/>
          <w:bCs w:val="0"/>
        </w:rPr>
      </w:pPr>
      <w:bookmarkStart w:name="2、其他资产负债表日后事项说明" w:id="363"/>
      <w:bookmarkEnd w:id="363"/>
      <w:r>
        <w:rPr>
          <w:b w:val="0"/>
          <w:bCs w:val="0"/>
        </w:rPr>
      </w:r>
      <w:r>
        <w:rPr>
          <w:rFonts w:ascii="Times New Roman" w:hAnsi="Times New Roman" w:cs="Times New Roman" w:eastAsia="Times New Roman" w:hint="default"/>
        </w:rPr>
        <w:t>2</w:t>
      </w:r>
      <w:r>
        <w:rPr/>
        <w:t>、其他资产负债表日后事项说明</w:t>
      </w:r>
      <w:r>
        <w:rPr>
          <w:b w:val="0"/>
          <w:bCs w:val="0"/>
        </w:rPr>
      </w:r>
    </w:p>
    <w:p>
      <w:pPr>
        <w:spacing w:line="240" w:lineRule="auto" w:before="7"/>
        <w:rPr>
          <w:rFonts w:ascii="宋体" w:hAnsi="宋体" w:cs="宋体" w:eastAsia="宋体" w:hint="default"/>
          <w:b/>
          <w:bCs/>
          <w:sz w:val="30"/>
          <w:szCs w:val="30"/>
        </w:rPr>
      </w:pPr>
    </w:p>
    <w:p>
      <w:pPr>
        <w:pStyle w:val="BodyText"/>
        <w:spacing w:line="240" w:lineRule="auto" w:before="0"/>
        <w:ind w:left="1554" w:right="0"/>
        <w:jc w:val="left"/>
      </w:pPr>
      <w:r>
        <w:rPr>
          <w:rFonts w:ascii="宋体" w:hAnsi="宋体" w:cs="宋体" w:eastAsia="宋体" w:hint="default"/>
        </w:rPr>
        <w:t>1</w:t>
      </w:r>
      <w:r>
        <w:rPr/>
        <w:t>、子公司处置资产暨签署拆迁补偿协议</w:t>
      </w:r>
    </w:p>
    <w:p>
      <w:pPr>
        <w:spacing w:line="240" w:lineRule="auto" w:before="10"/>
        <w:rPr>
          <w:rFonts w:ascii="宋体" w:hAnsi="宋体" w:cs="宋体" w:eastAsia="宋体" w:hint="default"/>
          <w:sz w:val="14"/>
          <w:szCs w:val="14"/>
        </w:rPr>
      </w:pPr>
    </w:p>
    <w:p>
      <w:pPr>
        <w:pStyle w:val="BodyText"/>
        <w:spacing w:line="408" w:lineRule="auto" w:before="0"/>
        <w:ind w:left="1134" w:right="1132" w:firstLine="420"/>
        <w:jc w:val="both"/>
      </w:pPr>
      <w:r>
        <w:rPr>
          <w:rFonts w:ascii="宋体" w:hAnsi="宋体" w:cs="宋体" w:eastAsia="宋体" w:hint="default"/>
        </w:rPr>
        <w:t>2018</w:t>
      </w:r>
      <w:r>
        <w:rPr>
          <w:rFonts w:ascii="宋体" w:hAnsi="宋体" w:cs="宋体" w:eastAsia="宋体" w:hint="default"/>
          <w:spacing w:val="-45"/>
        </w:rPr>
        <w:t> </w:t>
      </w:r>
      <w:r>
        <w:rPr/>
        <w:t>年</w:t>
      </w:r>
      <w:r>
        <w:rPr>
          <w:spacing w:val="-47"/>
        </w:rPr>
        <w:t> </w:t>
      </w:r>
      <w:r>
        <w:rPr>
          <w:rFonts w:ascii="宋体" w:hAnsi="宋体" w:cs="宋体" w:eastAsia="宋体" w:hint="default"/>
        </w:rPr>
        <w:t>1</w:t>
      </w:r>
      <w:r>
        <w:rPr>
          <w:rFonts w:ascii="宋体" w:hAnsi="宋体" w:cs="宋体" w:eastAsia="宋体" w:hint="default"/>
          <w:spacing w:val="-47"/>
        </w:rPr>
        <w:t> </w:t>
      </w:r>
      <w:r>
        <w:rPr/>
        <w:t>月</w:t>
      </w:r>
      <w:r>
        <w:rPr>
          <w:spacing w:val="-48"/>
        </w:rPr>
        <w:t> </w:t>
      </w:r>
      <w:r>
        <w:rPr>
          <w:rFonts w:ascii="宋体" w:hAnsi="宋体" w:cs="宋体" w:eastAsia="宋体" w:hint="default"/>
        </w:rPr>
        <w:t>8</w:t>
      </w:r>
      <w:r>
        <w:rPr>
          <w:rFonts w:ascii="宋体" w:hAnsi="宋体" w:cs="宋体" w:eastAsia="宋体" w:hint="default"/>
          <w:spacing w:val="-45"/>
        </w:rPr>
        <w:t> </w:t>
      </w:r>
      <w:r>
        <w:rPr>
          <w:spacing w:val="-3"/>
        </w:rPr>
        <w:t>日，根据郑州市高新区新型城镇化建设总体工作部署，公司子公司高新热力与郑州高新</w:t>
      </w:r>
      <w:r>
        <w:rPr/>
        <w:t> </w:t>
      </w:r>
      <w:r>
        <w:rPr>
          <w:spacing w:val="-1"/>
        </w:rPr>
        <w:t>区梧桐办事处秦庄村拆迁改造指挥部签署《拆迁补偿协议》，拆迁对象为高新热力拥有的位于郑州市秦庄</w:t>
      </w:r>
      <w:r>
        <w:rPr>
          <w:spacing w:val="-94"/>
        </w:rPr>
        <w:t> </w:t>
      </w:r>
      <w:r>
        <w:rPr>
          <w:spacing w:val="-94"/>
        </w:rPr>
      </w:r>
      <w:r>
        <w:rPr>
          <w:spacing w:val="8"/>
        </w:rPr>
        <w:t>片区项目改造范围内的郑州市高新区冬青街石楠路的一处厂院，协议双方确认本次拆迁的补偿金额为</w:t>
      </w:r>
      <w:r>
        <w:rPr>
          <w:spacing w:val="-81"/>
        </w:rPr>
        <w:t> </w:t>
      </w:r>
      <w:r>
        <w:rPr>
          <w:spacing w:val="-81"/>
        </w:rPr>
      </w:r>
      <w:r>
        <w:rPr>
          <w:rFonts w:ascii="宋体" w:hAnsi="宋体" w:cs="宋体" w:eastAsia="宋体" w:hint="default"/>
        </w:rPr>
        <w:t>2,486</w:t>
      </w:r>
      <w:r>
        <w:rPr>
          <w:rFonts w:ascii="宋体" w:hAnsi="宋体" w:cs="宋体" w:eastAsia="宋体" w:hint="default"/>
          <w:spacing w:val="-54"/>
        </w:rPr>
        <w:t> </w:t>
      </w:r>
      <w:r>
        <w:rPr/>
        <w:t>万元。本次子公司处置资产暨签署拆迁补偿协议已经公司第四届董事会第十二次会议审议通过。</w:t>
      </w:r>
    </w:p>
    <w:p>
      <w:pPr>
        <w:pStyle w:val="BodyText"/>
        <w:spacing w:line="408" w:lineRule="auto"/>
        <w:ind w:left="1134" w:right="1130" w:firstLine="420"/>
        <w:jc w:val="both"/>
      </w:pPr>
      <w:r>
        <w:rPr>
          <w:rFonts w:ascii="宋体" w:hAnsi="宋体" w:cs="宋体" w:eastAsia="宋体" w:hint="default"/>
        </w:rPr>
        <w:t>2</w:t>
      </w:r>
      <w:r>
        <w:rPr/>
        <w:t>、根据</w:t>
      </w:r>
      <w:r>
        <w:rPr>
          <w:spacing w:val="-34"/>
        </w:rPr>
        <w:t> </w:t>
      </w:r>
      <w:r>
        <w:rPr>
          <w:rFonts w:ascii="宋体" w:hAnsi="宋体" w:cs="宋体" w:eastAsia="宋体" w:hint="default"/>
        </w:rPr>
        <w:t>2018</w:t>
      </w:r>
      <w:r>
        <w:rPr>
          <w:rFonts w:ascii="宋体" w:hAnsi="宋体" w:cs="宋体" w:eastAsia="宋体" w:hint="default"/>
          <w:spacing w:val="-34"/>
        </w:rPr>
        <w:t> </w:t>
      </w:r>
      <w:r>
        <w:rPr/>
        <w:t>年</w:t>
      </w:r>
      <w:r>
        <w:rPr>
          <w:spacing w:val="-34"/>
        </w:rPr>
        <w:t> </w:t>
      </w:r>
      <w:r>
        <w:rPr>
          <w:rFonts w:ascii="宋体" w:hAnsi="宋体" w:cs="宋体" w:eastAsia="宋体" w:hint="default"/>
        </w:rPr>
        <w:t>1</w:t>
      </w:r>
      <w:r>
        <w:rPr>
          <w:rFonts w:ascii="宋体" w:hAnsi="宋体" w:cs="宋体" w:eastAsia="宋体" w:hint="default"/>
          <w:spacing w:val="-34"/>
        </w:rPr>
        <w:t> </w:t>
      </w:r>
      <w:r>
        <w:rPr/>
        <w:t>月</w:t>
      </w:r>
      <w:r>
        <w:rPr>
          <w:spacing w:val="-34"/>
        </w:rPr>
        <w:t> </w:t>
      </w:r>
      <w:r>
        <w:rPr>
          <w:rFonts w:ascii="宋体" w:hAnsi="宋体" w:cs="宋体" w:eastAsia="宋体" w:hint="default"/>
        </w:rPr>
        <w:t>8</w:t>
      </w:r>
      <w:r>
        <w:rPr>
          <w:rFonts w:ascii="宋体" w:hAnsi="宋体" w:cs="宋体" w:eastAsia="宋体" w:hint="default"/>
          <w:spacing w:val="-34"/>
        </w:rPr>
        <w:t> </w:t>
      </w:r>
      <w:r>
        <w:rPr>
          <w:spacing w:val="-4"/>
        </w:rPr>
        <w:t>日本公司与招商证券资产管理有限公司签订的《股权转让及回购协议》，公司</w:t>
      </w:r>
      <w:r>
        <w:rPr/>
        <w:t> 拟在股权回购前提下通过向招商证券资产管理有限公司转让公司持有的控股子公司嘉园环保</w:t>
      </w:r>
      <w:r>
        <w:rPr>
          <w:spacing w:val="-21"/>
        </w:rPr>
        <w:t> </w:t>
      </w:r>
      <w:r>
        <w:rPr>
          <w:rFonts w:ascii="宋体" w:hAnsi="宋体" w:cs="宋体" w:eastAsia="宋体" w:hint="default"/>
        </w:rPr>
        <w:t>29%</w:t>
      </w:r>
      <w:r>
        <w:rPr/>
        <w:t>股权的方 式向招商证券资产管理有限公司申请融资</w:t>
      </w:r>
      <w:r>
        <w:rPr>
          <w:spacing w:val="-60"/>
        </w:rPr>
        <w:t> </w:t>
      </w:r>
      <w:r>
        <w:rPr>
          <w:rFonts w:ascii="宋体" w:hAnsi="宋体" w:cs="宋体" w:eastAsia="宋体" w:hint="default"/>
        </w:rPr>
        <w:t>30,000</w:t>
      </w:r>
      <w:r>
        <w:rPr>
          <w:rFonts w:ascii="宋体" w:hAnsi="宋体" w:cs="宋体" w:eastAsia="宋体" w:hint="default"/>
          <w:spacing w:val="-60"/>
        </w:rPr>
        <w:t> </w:t>
      </w:r>
      <w:r>
        <w:rPr/>
        <w:t>万元，期限为</w:t>
      </w:r>
      <w:r>
        <w:rPr>
          <w:spacing w:val="-60"/>
        </w:rPr>
        <w:t> </w:t>
      </w:r>
      <w:r>
        <w:rPr>
          <w:rFonts w:ascii="宋体" w:hAnsi="宋体" w:cs="宋体" w:eastAsia="宋体" w:hint="default"/>
        </w:rPr>
        <w:t>36</w:t>
      </w:r>
      <w:r>
        <w:rPr>
          <w:rFonts w:ascii="宋体" w:hAnsi="宋体" w:cs="宋体" w:eastAsia="宋体" w:hint="default"/>
          <w:spacing w:val="-60"/>
        </w:rPr>
        <w:t> </w:t>
      </w:r>
      <w:r>
        <w:rPr/>
        <w:t>个月。转让完成后，嘉园环保仍为公司</w:t>
      </w:r>
    </w:p>
    <w:p>
      <w:pPr>
        <w:pStyle w:val="BodyText"/>
        <w:spacing w:line="240" w:lineRule="auto"/>
        <w:ind w:left="1134" w:right="0"/>
        <w:jc w:val="left"/>
      </w:pPr>
      <w:r>
        <w:rPr/>
        <w:t>控股子公司。本次股权融资事项经公司</w:t>
      </w:r>
      <w:r>
        <w:rPr>
          <w:spacing w:val="-53"/>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8</w:t>
      </w:r>
      <w:r>
        <w:rPr>
          <w:rFonts w:ascii="宋体" w:hAnsi="宋体" w:cs="宋体" w:eastAsia="宋体" w:hint="default"/>
          <w:spacing w:val="-53"/>
        </w:rPr>
        <w:t> </w:t>
      </w:r>
      <w:r>
        <w:rPr/>
        <w:t>日第四届董事会第十二次会议审议通过。</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十二、其他重要事项" w:id="364"/>
      <w:bookmarkEnd w:id="364"/>
      <w:r>
        <w:rPr>
          <w:b w:val="0"/>
          <w:bCs w:val="0"/>
        </w:rPr>
      </w:r>
      <w:r>
        <w:rPr/>
        <w:t>十二、其他重要事项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债务重组" w:id="365"/>
      <w:bookmarkEnd w:id="365"/>
      <w:r>
        <w:rPr>
          <w:b w:val="0"/>
          <w:bCs w:val="0"/>
        </w:rPr>
      </w:r>
      <w:r>
        <w:rPr>
          <w:rFonts w:ascii="Times New Roman" w:hAnsi="Times New Roman" w:cs="Times New Roman" w:eastAsia="Times New Roman" w:hint="default"/>
        </w:rPr>
        <w:t>1</w:t>
      </w:r>
      <w:r>
        <w:rPr/>
        <w:t>、债务重组</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2、分部信息" w:id="366"/>
      <w:bookmarkEnd w:id="366"/>
      <w:r>
        <w:rPr>
          <w:b w:val="0"/>
          <w:bCs w:val="0"/>
        </w:rPr>
      </w:r>
      <w:r>
        <w:rPr>
          <w:rFonts w:ascii="Times New Roman" w:hAnsi="Times New Roman" w:cs="Times New Roman" w:eastAsia="Times New Roman" w:hint="default"/>
        </w:rPr>
        <w:t>2</w:t>
      </w:r>
      <w:r>
        <w:rPr/>
        <w:t>、分部信息</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报告分部的确定依据与会计政策" w:id="367"/>
      <w:bookmarkEnd w:id="367"/>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1553" w:right="0"/>
        <w:jc w:val="left"/>
      </w:pPr>
      <w:r>
        <w:rPr/>
        <w:t>本公司以内部组织结构、管理要求、内部报告制度为依据确定业务分部。 </w:t>
      </w:r>
      <w:r>
        <w:rPr>
          <w:spacing w:val="-1"/>
        </w:rPr>
        <w:t>本公司的业务分部是指同时满足下列条件的组成部分：该组成部分能够在日常活动中产生收入、发生</w:t>
      </w:r>
    </w:p>
    <w:p>
      <w:pPr>
        <w:pStyle w:val="BodyText"/>
        <w:spacing w:line="408" w:lineRule="auto"/>
        <w:ind w:right="0"/>
        <w:jc w:val="left"/>
      </w:pPr>
      <w:r>
        <w:rPr>
          <w:spacing w:val="-1"/>
        </w:rPr>
        <w:t>费用；管理层能够定期评价该组成部分的经营成果，以决定向其配置资源、评价其业绩；能够取得该组成</w:t>
      </w:r>
      <w:r>
        <w:rPr>
          <w:spacing w:val="-86"/>
        </w:rPr>
        <w:t> </w:t>
      </w:r>
      <w:r>
        <w:rPr>
          <w:spacing w:val="-86"/>
        </w:rPr>
      </w:r>
      <w:r>
        <w:rPr/>
        <w:t>部分的财务状况、经营成果和现金流量等有关会计信息。</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bookmarkStart w:name="（2）报告分部的财务信息" w:id="368"/>
      <w:bookmarkEnd w:id="368"/>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1"/>
              <w:ind w:left="396" w:right="0"/>
              <w:jc w:val="left"/>
              <w:rPr>
                <w:rFonts w:ascii="宋体" w:hAnsi="宋体" w:cs="宋体" w:eastAsia="宋体" w:hint="default"/>
                <w:sz w:val="18"/>
                <w:szCs w:val="18"/>
              </w:rPr>
            </w:pPr>
            <w:r>
              <w:rPr>
                <w:rFonts w:ascii="宋体" w:hAnsi="宋体" w:cs="宋体" w:eastAsia="宋体" w:hint="default"/>
                <w:sz w:val="18"/>
                <w:szCs w:val="18"/>
              </w:rPr>
              <w:t>传感器</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智慧安全</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智慧市政</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智慧环保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8"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一、主营业务收 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166,928,814.56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269,626,441.43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606,270,921.33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386,905,427.12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-27,757,912.92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1,401,973,691.52</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二、主营业务成 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80,736,142.25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141,782,506.23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422,430,917.84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262,987,463.82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-27,572,322.69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880,364,707.45</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三、对联营和合 营企业的投资收 益</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4,726,890.10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321,410.47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5,048,300.57</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四、资产减值损 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378,913.19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28,341,284.70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7,370,505.70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3,051,066.10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-2,794,464.15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36,347,305.54</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五、折旧费和摊 销费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2,658,328.26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27,406,513.54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44,828,630.79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30,719,229.04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-571,137.09</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105,041,564.54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六、利润总额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46,574,835.02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5,339,513.95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124,023,218.28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43,878,708.75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-33,253,916.12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186,562,359.88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七、所得税费用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5,721,367.31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-1,504,250.50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29,644,818.70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3,676,286.48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-211,071.27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37,327,150.72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八、净利润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40,853,467.71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6,843,764.45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94,378,399.58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40,202,422.27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-33,042,844.85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149,235,209.16</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九、资产总额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156,563,835.00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3,040,460,227.26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2,924,602,901.03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836,751,379.78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-2,679,405,548.6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4,278,972,794.41</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十、负债总额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35,456,625.64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1,873,625,145.94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1,489,034,111.94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402,201,847.13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-1,428,474,774.4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2,371,842,956.16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十三、母公司财务报表主要项目注释" w:id="369"/>
      <w:bookmarkEnd w:id="369"/>
      <w:r>
        <w:rPr>
          <w:b w:val="0"/>
          <w:bCs w:val="0"/>
        </w:rPr>
      </w:r>
      <w:r>
        <w:rPr/>
        <w:t>十三、母公司财务报表主要项目注释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应收账款" w:id="370"/>
      <w:bookmarkEnd w:id="370"/>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应收账款分类披露" w:id="371"/>
      <w:bookmarkEnd w:id="371"/>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164,339,</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443.58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19,363,1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01.74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1" w:right="0"/>
              <w:jc w:val="left"/>
              <w:rPr>
                <w:rFonts w:ascii="Times New Roman" w:hAnsi="Times New Roman" w:cs="Times New Roman" w:eastAsia="Times New Roman" w:hint="default"/>
                <w:sz w:val="18"/>
                <w:szCs w:val="18"/>
              </w:rPr>
            </w:pPr>
            <w:r>
              <w:rPr>
                <w:rFonts w:ascii="Times New Roman"/>
                <w:sz w:val="18"/>
              </w:rPr>
              <w:t>11.78%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144,976,3</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41.84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149,843</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,432.50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18,453,50</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2.38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12.32%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131,389,93</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0.12</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164,339,</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443.58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19,363,1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01.74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1" w:right="0"/>
              <w:jc w:val="left"/>
              <w:rPr>
                <w:rFonts w:ascii="Times New Roman" w:hAnsi="Times New Roman" w:cs="Times New Roman" w:eastAsia="Times New Roman" w:hint="default"/>
                <w:sz w:val="18"/>
                <w:szCs w:val="18"/>
              </w:rPr>
            </w:pPr>
            <w:r>
              <w:rPr>
                <w:rFonts w:ascii="Times New Roman"/>
                <w:sz w:val="18"/>
              </w:rPr>
              <w:t>11.78%</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144,976,3</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41.84</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149,843</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,432.50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18,453,50</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2.38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12.32%</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131,389,93</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0.12</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before="51"/>
        <w:ind w:left="113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38" w:lineRule="auto" w:before="117"/>
        <w:ind w:left="113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42"/>
        <w:ind w:left="113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 元</w:t>
      </w:r>
    </w:p>
    <w:p>
      <w:pPr>
        <w:spacing w:after="0"/>
        <w:jc w:val="center"/>
        <w:rPr>
          <w:rFonts w:ascii="宋体" w:hAnsi="宋体" w:cs="宋体" w:eastAsia="宋体" w:hint="default"/>
          <w:sz w:val="18"/>
          <w:szCs w:val="18"/>
        </w:rPr>
        <w:sectPr>
          <w:type w:val="continuous"/>
          <w:pgSz w:w="11910" w:h="16840"/>
          <w:pgMar w:top="1060" w:bottom="1160" w:left="0" w:right="0"/>
          <w:cols w:num="2" w:equalWidth="0">
            <w:col w:w="5275" w:space="3555"/>
            <w:col w:w="3080"/>
          </w:cols>
        </w:sectPr>
      </w:pP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482"/>
        <w:gridCol w:w="2295"/>
        <w:gridCol w:w="2391"/>
        <w:gridCol w:w="2390"/>
      </w:tblGrid>
      <w:tr>
        <w:trPr>
          <w:trHeight w:val="206" w:hRule="exact"/>
        </w:trPr>
        <w:tc>
          <w:tcPr>
            <w:tcW w:w="24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82"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2"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106,410,031.18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5,320,501.56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11,280,946.17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1,128,094.62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5,096,749.15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1,019,349.82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16,099,200.23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11,895,155.74</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3,878,295.75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1,163,488.73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2,978,474.94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1,489,237.47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9,242,429.54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9,242,429.54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138,886,926.73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19,363,101.74</w:t>
            </w:r>
          </w:p>
        </w:tc>
        <w:tc>
          <w:tcPr>
            <w:tcW w:w="2390"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51"/>
        <w:ind w:left="1134" w:right="643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40" w:lineRule="auto" w:before="26"/>
        <w:ind w:left="113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pStyle w:val="BodyText"/>
        <w:spacing w:line="240" w:lineRule="auto" w:before="92"/>
        <w:ind w:left="1553" w:right="0"/>
        <w:jc w:val="left"/>
      </w:pPr>
      <w:r>
        <w:rPr/>
        <w:t>采用个别认定法计提坏账准备的应收账款</w:t>
      </w:r>
    </w:p>
    <w:p>
      <w:pPr>
        <w:spacing w:after="0" w:line="240" w:lineRule="auto"/>
        <w:jc w:val="left"/>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13" w:type="dxa"/>
        <w:tblLayout w:type="fixed"/>
        <w:tblCellMar>
          <w:top w:w="0" w:type="dxa"/>
          <w:left w:w="0" w:type="dxa"/>
          <w:bottom w:w="0" w:type="dxa"/>
          <w:right w:w="0" w:type="dxa"/>
        </w:tblCellMar>
        <w:tblLook w:val="01E0"/>
      </w:tblPr>
      <w:tblGrid>
        <w:gridCol w:w="1667"/>
        <w:gridCol w:w="1702"/>
        <w:gridCol w:w="1370"/>
        <w:gridCol w:w="1121"/>
        <w:gridCol w:w="1317"/>
        <w:gridCol w:w="1369"/>
        <w:gridCol w:w="1125"/>
      </w:tblGrid>
      <w:tr>
        <w:trPr>
          <w:trHeight w:val="352" w:hRule="exact"/>
        </w:trPr>
        <w:tc>
          <w:tcPr>
            <w:tcW w:w="1667" w:type="dxa"/>
            <w:vMerge w:val="restart"/>
            <w:tcBorders>
              <w:top w:val="single" w:sz="12" w:space="0" w:color="000000"/>
              <w:left w:val="single" w:sz="12" w:space="0" w:color="000000"/>
              <w:right w:val="single" w:sz="4" w:space="0" w:color="000000"/>
            </w:tcBorders>
          </w:tcPr>
          <w:p>
            <w:pPr>
              <w:pStyle w:val="TableParagraph"/>
              <w:spacing w:line="240" w:lineRule="auto" w:before="4"/>
              <w:ind w:left="422" w:right="0"/>
              <w:jc w:val="left"/>
              <w:rPr>
                <w:rFonts w:ascii="宋体" w:hAnsi="宋体" w:cs="宋体" w:eastAsia="宋体" w:hint="default"/>
                <w:sz w:val="20"/>
                <w:szCs w:val="20"/>
              </w:rPr>
            </w:pPr>
            <w:r>
              <w:rPr>
                <w:rFonts w:ascii="宋体" w:hAnsi="宋体" w:cs="宋体" w:eastAsia="宋体" w:hint="default"/>
                <w:sz w:val="20"/>
                <w:szCs w:val="20"/>
              </w:rPr>
              <w:t>组合名称</w:t>
            </w:r>
          </w:p>
        </w:tc>
        <w:tc>
          <w:tcPr>
            <w:tcW w:w="4192"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0"/>
                <w:szCs w:val="20"/>
              </w:rPr>
            </w:pPr>
            <w:r>
              <w:rPr>
                <w:rFonts w:ascii="宋体" w:hAnsi="宋体" w:cs="宋体" w:eastAsia="宋体" w:hint="default"/>
                <w:sz w:val="20"/>
                <w:szCs w:val="20"/>
              </w:rPr>
              <w:t>期末数</w:t>
            </w:r>
          </w:p>
        </w:tc>
        <w:tc>
          <w:tcPr>
            <w:tcW w:w="3811" w:type="dxa"/>
            <w:gridSpan w:val="3"/>
            <w:tcBorders>
              <w:top w:val="single" w:sz="12" w:space="0" w:color="000000"/>
              <w:left w:val="single" w:sz="4" w:space="0" w:color="000000"/>
              <w:bottom w:val="single" w:sz="4" w:space="0" w:color="000000"/>
              <w:right w:val="single" w:sz="12" w:space="0" w:color="000000"/>
            </w:tcBorders>
          </w:tcPr>
          <w:p>
            <w:pPr>
              <w:pStyle w:val="TableParagraph"/>
              <w:spacing w:line="240" w:lineRule="auto" w:before="4"/>
              <w:ind w:left="10" w:right="0"/>
              <w:jc w:val="center"/>
              <w:rPr>
                <w:rFonts w:ascii="宋体" w:hAnsi="宋体" w:cs="宋体" w:eastAsia="宋体" w:hint="default"/>
                <w:sz w:val="20"/>
                <w:szCs w:val="20"/>
              </w:rPr>
            </w:pPr>
            <w:r>
              <w:rPr>
                <w:rFonts w:ascii="宋体" w:hAnsi="宋体" w:cs="宋体" w:eastAsia="宋体" w:hint="default"/>
                <w:sz w:val="20"/>
                <w:szCs w:val="20"/>
              </w:rPr>
              <w:t>期初数</w:t>
            </w:r>
          </w:p>
        </w:tc>
      </w:tr>
      <w:tr>
        <w:trPr>
          <w:trHeight w:val="342" w:hRule="exact"/>
        </w:trPr>
        <w:tc>
          <w:tcPr>
            <w:tcW w:w="1667" w:type="dxa"/>
            <w:vMerge/>
            <w:tcBorders>
              <w:left w:val="single" w:sz="12"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46" w:right="0"/>
              <w:jc w:val="left"/>
              <w:rPr>
                <w:rFonts w:ascii="宋体" w:hAnsi="宋体" w:cs="宋体" w:eastAsia="宋体" w:hint="default"/>
                <w:sz w:val="20"/>
                <w:szCs w:val="20"/>
              </w:rPr>
            </w:pPr>
            <w:r>
              <w:rPr>
                <w:rFonts w:ascii="宋体" w:hAnsi="宋体" w:cs="宋体" w:eastAsia="宋体" w:hint="default"/>
                <w:sz w:val="20"/>
                <w:szCs w:val="20"/>
              </w:rPr>
              <w:t>账面余额</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Times New Roman" w:hAnsi="Times New Roman" w:cs="Times New Roman" w:eastAsia="Times New Roman" w:hint="default"/>
                <w:sz w:val="18"/>
                <w:szCs w:val="18"/>
              </w:rPr>
            </w:pPr>
            <w:r>
              <w:rPr>
                <w:rFonts w:ascii="宋体" w:hAnsi="宋体" w:cs="宋体" w:eastAsia="宋体" w:hint="default"/>
                <w:sz w:val="20"/>
                <w:szCs w:val="20"/>
              </w:rPr>
              <w:t>计提比例</w:t>
            </w:r>
            <w:r>
              <w:rPr>
                <w:rFonts w:ascii="Times New Roman" w:hAnsi="Times New Roman" w:cs="Times New Roman" w:eastAsia="Times New Roman" w:hint="default"/>
                <w:sz w:val="18"/>
                <w:szCs w:val="18"/>
              </w:rPr>
              <w:t>(%)</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54" w:right="0"/>
              <w:jc w:val="left"/>
              <w:rPr>
                <w:rFonts w:ascii="宋体" w:hAnsi="宋体" w:cs="宋体" w:eastAsia="宋体" w:hint="default"/>
                <w:sz w:val="20"/>
                <w:szCs w:val="20"/>
              </w:rPr>
            </w:pPr>
            <w:r>
              <w:rPr>
                <w:rFonts w:ascii="宋体" w:hAnsi="宋体" w:cs="宋体" w:eastAsia="宋体" w:hint="default"/>
                <w:sz w:val="20"/>
                <w:szCs w:val="20"/>
              </w:rPr>
              <w:t>坏账准备</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53" w:right="0"/>
              <w:jc w:val="left"/>
              <w:rPr>
                <w:rFonts w:ascii="宋体" w:hAnsi="宋体" w:cs="宋体" w:eastAsia="宋体" w:hint="default"/>
                <w:sz w:val="20"/>
                <w:szCs w:val="20"/>
              </w:rPr>
            </w:pPr>
            <w:r>
              <w:rPr>
                <w:rFonts w:ascii="宋体" w:hAnsi="宋体" w:cs="宋体" w:eastAsia="宋体" w:hint="default"/>
                <w:sz w:val="20"/>
                <w:szCs w:val="20"/>
              </w:rPr>
              <w:t>账面余额</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Times New Roman" w:hAnsi="Times New Roman" w:cs="Times New Roman" w:eastAsia="Times New Roman" w:hint="default"/>
                <w:sz w:val="18"/>
                <w:szCs w:val="18"/>
              </w:rPr>
            </w:pPr>
            <w:r>
              <w:rPr>
                <w:rFonts w:ascii="宋体" w:hAnsi="宋体" w:cs="宋体" w:eastAsia="宋体" w:hint="default"/>
                <w:sz w:val="20"/>
                <w:szCs w:val="20"/>
              </w:rPr>
              <w:t>计提比例</w:t>
            </w:r>
            <w:r>
              <w:rPr>
                <w:rFonts w:ascii="Times New Roman" w:hAnsi="Times New Roman" w:cs="Times New Roman" w:eastAsia="Times New Roman" w:hint="default"/>
                <w:sz w:val="18"/>
                <w:szCs w:val="18"/>
              </w:rPr>
              <w:t>(%)</w:t>
            </w:r>
          </w:p>
        </w:tc>
        <w:tc>
          <w:tcPr>
            <w:tcW w:w="112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
              <w:ind w:right="144"/>
              <w:jc w:val="right"/>
              <w:rPr>
                <w:rFonts w:ascii="宋体" w:hAnsi="宋体" w:cs="宋体" w:eastAsia="宋体" w:hint="default"/>
                <w:sz w:val="20"/>
                <w:szCs w:val="20"/>
              </w:rPr>
            </w:pPr>
            <w:r>
              <w:rPr>
                <w:rFonts w:ascii="宋体" w:hAnsi="宋体" w:cs="宋体" w:eastAsia="宋体" w:hint="default"/>
                <w:sz w:val="20"/>
                <w:szCs w:val="20"/>
              </w:rPr>
              <w:t>坏账准备</w:t>
            </w:r>
          </w:p>
        </w:tc>
      </w:tr>
      <w:tr>
        <w:trPr>
          <w:trHeight w:val="342" w:hRule="exact"/>
        </w:trPr>
        <w:tc>
          <w:tcPr>
            <w:tcW w:w="166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应收关联方款项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25,452,516.85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20"/>
                <w:szCs w:val="20"/>
              </w:rPr>
            </w:pPr>
            <w:r>
              <w:rPr>
                <w:rFonts w:ascii="Times New Roman"/>
                <w:w w:val="100"/>
                <w:sz w:val="20"/>
              </w:rPr>
              <w:t>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655" w:right="0"/>
              <w:jc w:val="left"/>
              <w:rPr>
                <w:rFonts w:ascii="Times New Roman" w:hAnsi="Times New Roman" w:cs="Times New Roman" w:eastAsia="Times New Roman" w:hint="default"/>
                <w:sz w:val="18"/>
                <w:szCs w:val="18"/>
              </w:rPr>
            </w:pPr>
            <w:r>
              <w:rPr>
                <w:rFonts w:ascii="Times New Roman"/>
                <w:sz w:val="18"/>
              </w:rPr>
              <w:t>0</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67" w:right="0"/>
              <w:jc w:val="left"/>
              <w:rPr>
                <w:rFonts w:ascii="Times New Roman" w:hAnsi="Times New Roman" w:cs="Times New Roman" w:eastAsia="Times New Roman" w:hint="default"/>
                <w:sz w:val="18"/>
                <w:szCs w:val="18"/>
              </w:rPr>
            </w:pPr>
            <w:r>
              <w:rPr>
                <w:rFonts w:ascii="Times New Roman"/>
                <w:sz w:val="18"/>
              </w:rPr>
              <w:t>23,555,836.78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20"/>
                <w:szCs w:val="20"/>
              </w:rPr>
            </w:pPr>
            <w:r>
              <w:rPr>
                <w:rFonts w:ascii="Times New Roman"/>
                <w:w w:val="100"/>
                <w:sz w:val="20"/>
              </w:rPr>
              <w:t>0</w:t>
            </w:r>
          </w:p>
        </w:tc>
        <w:tc>
          <w:tcPr>
            <w:tcW w:w="112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left="655" w:right="0"/>
              <w:jc w:val="left"/>
              <w:rPr>
                <w:rFonts w:ascii="Times New Roman" w:hAnsi="Times New Roman" w:cs="Times New Roman" w:eastAsia="Times New Roman" w:hint="default"/>
                <w:sz w:val="18"/>
                <w:szCs w:val="18"/>
              </w:rPr>
            </w:pPr>
            <w:r>
              <w:rPr>
                <w:rFonts w:ascii="Times New Roman"/>
                <w:sz w:val="18"/>
              </w:rPr>
              <w:t>0</w:t>
            </w:r>
          </w:p>
        </w:tc>
      </w:tr>
      <w:tr>
        <w:trPr>
          <w:trHeight w:val="353" w:hRule="exact"/>
        </w:trPr>
        <w:tc>
          <w:tcPr>
            <w:tcW w:w="1667"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17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25,452,516.85</w:t>
            </w:r>
          </w:p>
        </w:tc>
        <w:tc>
          <w:tcPr>
            <w:tcW w:w="137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1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0"/>
              <w:ind w:left="65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3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0"/>
              <w:ind w:left="267" w:right="0"/>
              <w:jc w:val="left"/>
              <w:rPr>
                <w:rFonts w:ascii="Times New Roman" w:hAnsi="Times New Roman" w:cs="Times New Roman" w:eastAsia="Times New Roman" w:hint="default"/>
                <w:sz w:val="18"/>
                <w:szCs w:val="18"/>
              </w:rPr>
            </w:pPr>
            <w:r>
              <w:rPr>
                <w:rFonts w:ascii="Times New Roman"/>
                <w:sz w:val="18"/>
              </w:rPr>
              <w:t>23,555,836.78</w:t>
            </w:r>
          </w:p>
        </w:tc>
        <w:tc>
          <w:tcPr>
            <w:tcW w:w="13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12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60"/>
              <w:ind w:right="161"/>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本期计提、收回或转回的坏账准备情况" w:id="372"/>
      <w:bookmarkEnd w:id="372"/>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1,335,963.36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本期实际核销的应收账款情况" w:id="373"/>
      <w:bookmarkEnd w:id="373"/>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应收账款合计</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户</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426,364.00</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240" w:lineRule="auto" w:before="12"/>
        <w:rPr>
          <w:rFonts w:ascii="宋体" w:hAnsi="宋体" w:cs="宋体" w:eastAsia="宋体" w:hint="default"/>
          <w:sz w:val="12"/>
          <w:szCs w:val="12"/>
        </w:rPr>
      </w:pPr>
    </w:p>
    <w:p>
      <w:pPr>
        <w:pStyle w:val="BodyText"/>
        <w:spacing w:line="240" w:lineRule="auto" w:before="0"/>
        <w:ind w:left="1553" w:right="0"/>
        <w:jc w:val="left"/>
      </w:pPr>
      <w:r>
        <w:rPr/>
        <w:t>由于货款的结算尾款无法收回，由管理层审批核销。</w:t>
      </w:r>
    </w:p>
    <w:p>
      <w:pPr>
        <w:spacing w:line="240" w:lineRule="auto" w:before="0"/>
        <w:rPr>
          <w:rFonts w:ascii="宋体" w:hAnsi="宋体" w:cs="宋体" w:eastAsia="宋体" w:hint="default"/>
          <w:sz w:val="20"/>
          <w:szCs w:val="20"/>
        </w:rPr>
      </w:pPr>
    </w:p>
    <w:p>
      <w:pPr>
        <w:pStyle w:val="Heading4"/>
        <w:spacing w:line="240" w:lineRule="auto" w:before="154"/>
        <w:ind w:right="0"/>
        <w:jc w:val="left"/>
        <w:rPr>
          <w:b w:val="0"/>
          <w:bCs w:val="0"/>
        </w:rPr>
      </w:pPr>
      <w:bookmarkStart w:name="（4）按欠款方归集的期末余额前五名的应收账款情况" w:id="374"/>
      <w:bookmarkEnd w:id="374"/>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13" w:type="dxa"/>
        <w:tblLayout w:type="fixed"/>
        <w:tblCellMar>
          <w:top w:w="0" w:type="dxa"/>
          <w:left w:w="0" w:type="dxa"/>
          <w:bottom w:w="0" w:type="dxa"/>
          <w:right w:w="0" w:type="dxa"/>
        </w:tblCellMar>
        <w:tblLook w:val="01E0"/>
      </w:tblPr>
      <w:tblGrid>
        <w:gridCol w:w="3422"/>
        <w:gridCol w:w="1886"/>
        <w:gridCol w:w="2672"/>
        <w:gridCol w:w="1690"/>
      </w:tblGrid>
      <w:tr>
        <w:trPr>
          <w:trHeight w:val="352" w:hRule="exact"/>
        </w:trPr>
        <w:tc>
          <w:tcPr>
            <w:tcW w:w="3422"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88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1"/>
              <w:ind w:left="57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67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1"/>
              <w:ind w:left="29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c>
          <w:tcPr>
            <w:tcW w:w="1690"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21"/>
              <w:ind w:left="299" w:right="0"/>
              <w:jc w:val="left"/>
              <w:rPr>
                <w:rFonts w:ascii="宋体" w:hAnsi="宋体" w:cs="宋体" w:eastAsia="宋体" w:hint="default"/>
                <w:sz w:val="18"/>
                <w:szCs w:val="18"/>
              </w:rPr>
            </w:pPr>
            <w:r>
              <w:rPr>
                <w:rFonts w:ascii="宋体" w:hAnsi="宋体" w:cs="宋体" w:eastAsia="宋体" w:hint="default"/>
                <w:sz w:val="18"/>
                <w:szCs w:val="18"/>
              </w:rPr>
              <w:t>坏账准备余额</w:t>
            </w:r>
          </w:p>
        </w:tc>
      </w:tr>
      <w:tr>
        <w:trPr>
          <w:trHeight w:val="423" w:hRule="exact"/>
        </w:trPr>
        <w:tc>
          <w:tcPr>
            <w:tcW w:w="342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2"/>
              <w:ind w:right="0"/>
              <w:jc w:val="left"/>
              <w:rPr>
                <w:rFonts w:ascii="宋体" w:hAnsi="宋体" w:cs="宋体" w:eastAsia="宋体" w:hint="default"/>
                <w:sz w:val="18"/>
                <w:szCs w:val="18"/>
              </w:rPr>
            </w:pPr>
            <w:r>
              <w:rPr>
                <w:rFonts w:ascii="宋体" w:hAnsi="宋体" w:cs="宋体" w:eastAsia="宋体" w:hint="default"/>
                <w:sz w:val="18"/>
                <w:szCs w:val="18"/>
              </w:rPr>
              <w:t>郑州市公安局交通警察支队</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pacing w:val="-1"/>
                <w:sz w:val="18"/>
              </w:rPr>
              <w:t>19,485,524.31</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11.86</w:t>
            </w:r>
          </w:p>
        </w:tc>
        <w:tc>
          <w:tcPr>
            <w:tcW w:w="169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2"/>
              <w:ind w:right="-6"/>
              <w:jc w:val="right"/>
              <w:rPr>
                <w:rFonts w:ascii="Times New Roman" w:hAnsi="Times New Roman" w:cs="Times New Roman" w:eastAsia="Times New Roman" w:hint="default"/>
                <w:sz w:val="18"/>
                <w:szCs w:val="18"/>
              </w:rPr>
            </w:pPr>
            <w:r>
              <w:rPr>
                <w:rFonts w:ascii="Times New Roman"/>
                <w:sz w:val="18"/>
              </w:rPr>
              <w:t>996,223.63</w:t>
            </w:r>
          </w:p>
        </w:tc>
      </w:tr>
      <w:tr>
        <w:trPr>
          <w:trHeight w:val="421" w:hRule="exact"/>
        </w:trPr>
        <w:tc>
          <w:tcPr>
            <w:tcW w:w="342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1"/>
              <w:ind w:right="0"/>
              <w:jc w:val="left"/>
              <w:rPr>
                <w:rFonts w:ascii="宋体" w:hAnsi="宋体" w:cs="宋体" w:eastAsia="宋体" w:hint="default"/>
                <w:sz w:val="18"/>
                <w:szCs w:val="18"/>
              </w:rPr>
            </w:pPr>
            <w:r>
              <w:rPr>
                <w:rFonts w:ascii="宋体" w:hAnsi="宋体" w:cs="宋体" w:eastAsia="宋体" w:hint="default"/>
                <w:sz w:val="18"/>
                <w:szCs w:val="18"/>
              </w:rPr>
              <w:t>沈阳金建</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pacing w:val="-1"/>
                <w:sz w:val="18"/>
              </w:rPr>
              <w:t>10,707,602.70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6.52</w:t>
            </w:r>
          </w:p>
        </w:tc>
        <w:tc>
          <w:tcPr>
            <w:tcW w:w="1690" w:type="dxa"/>
            <w:tcBorders>
              <w:top w:val="single" w:sz="4" w:space="0" w:color="000000"/>
              <w:left w:val="single" w:sz="4" w:space="0" w:color="000000"/>
              <w:bottom w:val="single" w:sz="4" w:space="0" w:color="000000"/>
              <w:right w:val="single" w:sz="12" w:space="0" w:color="000000"/>
            </w:tcBorders>
          </w:tcPr>
          <w:p>
            <w:pPr/>
          </w:p>
        </w:tc>
      </w:tr>
      <w:tr>
        <w:trPr>
          <w:trHeight w:val="422" w:hRule="exact"/>
        </w:trPr>
        <w:tc>
          <w:tcPr>
            <w:tcW w:w="342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2"/>
              <w:ind w:right="0"/>
              <w:jc w:val="left"/>
              <w:rPr>
                <w:rFonts w:ascii="宋体" w:hAnsi="宋体" w:cs="宋体" w:eastAsia="宋体" w:hint="default"/>
                <w:sz w:val="18"/>
                <w:szCs w:val="18"/>
              </w:rPr>
            </w:pPr>
            <w:r>
              <w:rPr>
                <w:rFonts w:ascii="宋体" w:hAnsi="宋体" w:cs="宋体" w:eastAsia="宋体" w:hint="default"/>
                <w:sz w:val="18"/>
                <w:szCs w:val="18"/>
              </w:rPr>
              <w:t>汉威智慧安全</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pacing w:val="-1"/>
                <w:sz w:val="18"/>
              </w:rPr>
              <w:t>7,091,347.20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4.32</w:t>
            </w:r>
          </w:p>
        </w:tc>
        <w:tc>
          <w:tcPr>
            <w:tcW w:w="1690" w:type="dxa"/>
            <w:tcBorders>
              <w:top w:val="single" w:sz="4" w:space="0" w:color="000000"/>
              <w:left w:val="single" w:sz="4" w:space="0" w:color="000000"/>
              <w:bottom w:val="single" w:sz="4" w:space="0" w:color="000000"/>
              <w:right w:val="single" w:sz="12" w:space="0" w:color="000000"/>
            </w:tcBorders>
          </w:tcPr>
          <w:p>
            <w:pPr/>
          </w:p>
        </w:tc>
      </w:tr>
      <w:tr>
        <w:trPr>
          <w:trHeight w:val="422" w:hRule="exact"/>
        </w:trPr>
        <w:tc>
          <w:tcPr>
            <w:tcW w:w="342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2"/>
              <w:ind w:right="0"/>
              <w:jc w:val="left"/>
              <w:rPr>
                <w:rFonts w:ascii="宋体" w:hAnsi="宋体" w:cs="宋体" w:eastAsia="宋体" w:hint="default"/>
                <w:sz w:val="18"/>
                <w:szCs w:val="18"/>
              </w:rPr>
            </w:pPr>
            <w:r>
              <w:rPr>
                <w:rFonts w:ascii="宋体" w:hAnsi="宋体" w:cs="宋体" w:eastAsia="宋体" w:hint="default"/>
                <w:sz w:val="18"/>
                <w:szCs w:val="18"/>
              </w:rPr>
              <w:t>北京威果</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pacing w:val="-1"/>
                <w:sz w:val="18"/>
              </w:rPr>
              <w:t>4,468,875.79</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2.72</w:t>
            </w:r>
          </w:p>
        </w:tc>
        <w:tc>
          <w:tcPr>
            <w:tcW w:w="1690" w:type="dxa"/>
            <w:tcBorders>
              <w:top w:val="single" w:sz="4" w:space="0" w:color="000000"/>
              <w:left w:val="single" w:sz="4" w:space="0" w:color="000000"/>
              <w:bottom w:val="single" w:sz="4" w:space="0" w:color="000000"/>
              <w:right w:val="single" w:sz="12" w:space="0" w:color="000000"/>
            </w:tcBorders>
          </w:tcPr>
          <w:p>
            <w:pPr/>
          </w:p>
        </w:tc>
      </w:tr>
      <w:tr>
        <w:trPr>
          <w:trHeight w:val="421" w:hRule="exact"/>
        </w:trPr>
        <w:tc>
          <w:tcPr>
            <w:tcW w:w="342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1"/>
              <w:ind w:right="0"/>
              <w:jc w:val="left"/>
              <w:rPr>
                <w:rFonts w:ascii="宋体" w:hAnsi="宋体" w:cs="宋体" w:eastAsia="宋体" w:hint="default"/>
                <w:sz w:val="18"/>
                <w:szCs w:val="18"/>
              </w:rPr>
            </w:pPr>
            <w:r>
              <w:rPr>
                <w:rFonts w:ascii="宋体" w:hAnsi="宋体" w:cs="宋体" w:eastAsia="宋体" w:hint="default"/>
                <w:sz w:val="18"/>
                <w:szCs w:val="18"/>
              </w:rPr>
              <w:t>五矿邯邢矿业有限公司西石门铁矿</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pacing w:val="-1"/>
                <w:sz w:val="18"/>
              </w:rPr>
              <w:t>3,581,710.00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2.18</w:t>
            </w:r>
          </w:p>
        </w:tc>
        <w:tc>
          <w:tcPr>
            <w:tcW w:w="169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0"/>
              <w:ind w:right="-6"/>
              <w:jc w:val="right"/>
              <w:rPr>
                <w:rFonts w:ascii="Times New Roman" w:hAnsi="Times New Roman" w:cs="Times New Roman" w:eastAsia="Times New Roman" w:hint="default"/>
                <w:sz w:val="18"/>
                <w:szCs w:val="18"/>
              </w:rPr>
            </w:pPr>
            <w:r>
              <w:rPr>
                <w:rFonts w:ascii="Times New Roman"/>
                <w:sz w:val="18"/>
              </w:rPr>
              <w:t>818,678.50</w:t>
            </w:r>
          </w:p>
        </w:tc>
      </w:tr>
      <w:tr>
        <w:trPr>
          <w:trHeight w:val="433" w:hRule="exact"/>
        </w:trPr>
        <w:tc>
          <w:tcPr>
            <w:tcW w:w="3422"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pacing w:val="-1"/>
                <w:sz w:val="18"/>
              </w:rPr>
              <w:t>45,335,060.00</w:t>
            </w:r>
          </w:p>
        </w:tc>
        <w:tc>
          <w:tcPr>
            <w:tcW w:w="26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27.59</w:t>
            </w:r>
          </w:p>
        </w:tc>
        <w:tc>
          <w:tcPr>
            <w:tcW w:w="169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02"/>
              <w:ind w:right="-6"/>
              <w:jc w:val="right"/>
              <w:rPr>
                <w:rFonts w:ascii="Times New Roman" w:hAnsi="Times New Roman" w:cs="Times New Roman" w:eastAsia="Times New Roman" w:hint="default"/>
                <w:sz w:val="18"/>
                <w:szCs w:val="18"/>
              </w:rPr>
            </w:pPr>
            <w:r>
              <w:rPr>
                <w:rFonts w:ascii="Times New Roman"/>
                <w:spacing w:val="-1"/>
                <w:sz w:val="18"/>
              </w:rPr>
              <w:t>1,814,902.13</w:t>
            </w:r>
          </w:p>
        </w:tc>
      </w:tr>
    </w:tbl>
    <w:p>
      <w:pPr>
        <w:spacing w:line="240" w:lineRule="auto" w:before="2"/>
        <w:rPr>
          <w:rFonts w:ascii="宋体" w:hAnsi="宋体" w:cs="宋体" w:eastAsia="宋体" w:hint="default"/>
          <w:b/>
          <w:bCs/>
          <w:sz w:val="19"/>
          <w:szCs w:val="19"/>
        </w:rPr>
      </w:pPr>
    </w:p>
    <w:p>
      <w:pPr>
        <w:pStyle w:val="Heading4"/>
        <w:spacing w:line="240" w:lineRule="auto" w:before="35"/>
        <w:ind w:left="1134" w:right="0"/>
        <w:jc w:val="left"/>
        <w:rPr>
          <w:b w:val="0"/>
          <w:bCs w:val="0"/>
        </w:rPr>
      </w:pPr>
      <w:bookmarkStart w:name="2、其他应收款" w:id="375"/>
      <w:bookmarkEnd w:id="375"/>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1）其他应收款分类披露" w:id="376"/>
      <w:bookmarkEnd w:id="376"/>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403"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1"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108,792,</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802.78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831,043.</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48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0.76%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107,961,7</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59.30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48,915,</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252.57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687,506.9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1.41%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48,227,745.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108,792,</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802.78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831,043.</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48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0.76%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107,961,7</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59.30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48,915,</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252.57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687,506.9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1.41%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48,227,745.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before="51"/>
        <w:ind w:left="113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38" w:lineRule="auto" w:before="117"/>
        <w:ind w:left="113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before="43"/>
        <w:ind w:left="113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 元</w:t>
      </w:r>
    </w:p>
    <w:p>
      <w:pPr>
        <w:spacing w:after="0"/>
        <w:jc w:val="center"/>
        <w:rPr>
          <w:rFonts w:ascii="宋体" w:hAnsi="宋体" w:cs="宋体" w:eastAsia="宋体" w:hint="default"/>
          <w:sz w:val="18"/>
          <w:szCs w:val="18"/>
        </w:rPr>
        <w:sectPr>
          <w:type w:val="continuous"/>
          <w:pgSz w:w="11910" w:h="16840"/>
          <w:pgMar w:top="1060" w:bottom="1160" w:left="0" w:right="0"/>
          <w:cols w:num="2" w:equalWidth="0">
            <w:col w:w="5455" w:space="3375"/>
            <w:col w:w="3080"/>
          </w:cols>
        </w:sectPr>
      </w:pP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482"/>
        <w:gridCol w:w="2295"/>
        <w:gridCol w:w="2391"/>
        <w:gridCol w:w="2390"/>
      </w:tblGrid>
      <w:tr>
        <w:trPr>
          <w:trHeight w:val="206" w:hRule="exact"/>
        </w:trPr>
        <w:tc>
          <w:tcPr>
            <w:tcW w:w="24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482"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6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2"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2,698,708.00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134,935.40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2,199,163.00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219,916.30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415,073.05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83,014.61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740,314.33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393,177.17</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385,000.00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115,500.00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155,274.33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77,637.17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200,040.00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200,040.00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6,053,258.38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831,043.48</w:t>
            </w:r>
          </w:p>
        </w:tc>
        <w:tc>
          <w:tcPr>
            <w:tcW w:w="2390"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51"/>
        <w:ind w:left="1134" w:right="625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38" w:lineRule="auto" w:before="29"/>
        <w:ind w:left="113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2"/>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155"/>
        <w:ind w:left="1553" w:right="0"/>
        <w:jc w:val="left"/>
      </w:pPr>
      <w:r>
        <w:rPr/>
        <w:t>采用个别认定法计提坏账准备的其他应收款</w:t>
      </w:r>
    </w:p>
    <w:p>
      <w:pPr>
        <w:spacing w:line="240" w:lineRule="auto" w:before="12"/>
        <w:rPr>
          <w:rFonts w:ascii="宋体" w:hAnsi="宋体" w:cs="宋体" w:eastAsia="宋体" w:hint="default"/>
          <w:sz w:val="9"/>
          <w:szCs w:val="9"/>
        </w:rPr>
      </w:pPr>
    </w:p>
    <w:tbl>
      <w:tblPr>
        <w:tblW w:w="0" w:type="auto"/>
        <w:jc w:val="left"/>
        <w:tblInd w:w="1113" w:type="dxa"/>
        <w:tblLayout w:type="fixed"/>
        <w:tblCellMar>
          <w:top w:w="0" w:type="dxa"/>
          <w:left w:w="0" w:type="dxa"/>
          <w:bottom w:w="0" w:type="dxa"/>
          <w:right w:w="0" w:type="dxa"/>
        </w:tblCellMar>
        <w:tblLook w:val="01E0"/>
      </w:tblPr>
      <w:tblGrid>
        <w:gridCol w:w="1668"/>
        <w:gridCol w:w="1894"/>
        <w:gridCol w:w="1178"/>
        <w:gridCol w:w="1121"/>
        <w:gridCol w:w="1318"/>
        <w:gridCol w:w="1369"/>
        <w:gridCol w:w="1123"/>
      </w:tblGrid>
      <w:tr>
        <w:trPr>
          <w:trHeight w:val="351" w:hRule="exact"/>
        </w:trPr>
        <w:tc>
          <w:tcPr>
            <w:tcW w:w="1668" w:type="dxa"/>
            <w:vMerge w:val="restart"/>
            <w:tcBorders>
              <w:top w:val="single" w:sz="12" w:space="0" w:color="000000"/>
              <w:left w:val="single" w:sz="12" w:space="0" w:color="000000"/>
              <w:right w:val="single" w:sz="4" w:space="0" w:color="000000"/>
            </w:tcBorders>
          </w:tcPr>
          <w:p>
            <w:pPr>
              <w:pStyle w:val="TableParagraph"/>
              <w:spacing w:line="240" w:lineRule="auto" w:before="4"/>
              <w:ind w:left="423" w:right="0"/>
              <w:jc w:val="left"/>
              <w:rPr>
                <w:rFonts w:ascii="宋体" w:hAnsi="宋体" w:cs="宋体" w:eastAsia="宋体" w:hint="default"/>
                <w:sz w:val="20"/>
                <w:szCs w:val="20"/>
              </w:rPr>
            </w:pPr>
            <w:r>
              <w:rPr>
                <w:rFonts w:ascii="宋体" w:hAnsi="宋体" w:cs="宋体" w:eastAsia="宋体" w:hint="default"/>
                <w:sz w:val="20"/>
                <w:szCs w:val="20"/>
              </w:rPr>
              <w:t>组合名称</w:t>
            </w:r>
          </w:p>
        </w:tc>
        <w:tc>
          <w:tcPr>
            <w:tcW w:w="4192"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期末数</w:t>
            </w:r>
          </w:p>
        </w:tc>
        <w:tc>
          <w:tcPr>
            <w:tcW w:w="3810" w:type="dxa"/>
            <w:gridSpan w:val="3"/>
            <w:tcBorders>
              <w:top w:val="single" w:sz="12" w:space="0" w:color="000000"/>
              <w:left w:val="single" w:sz="4" w:space="0" w:color="000000"/>
              <w:bottom w:val="single" w:sz="4" w:space="0" w:color="000000"/>
              <w:right w:val="single" w:sz="12" w:space="0" w:color="000000"/>
            </w:tcBorders>
          </w:tcPr>
          <w:p>
            <w:pPr>
              <w:pStyle w:val="TableParagraph"/>
              <w:spacing w:line="240" w:lineRule="auto" w:before="4"/>
              <w:ind w:left="11" w:right="0"/>
              <w:jc w:val="center"/>
              <w:rPr>
                <w:rFonts w:ascii="宋体" w:hAnsi="宋体" w:cs="宋体" w:eastAsia="宋体" w:hint="default"/>
                <w:sz w:val="20"/>
                <w:szCs w:val="20"/>
              </w:rPr>
            </w:pPr>
            <w:r>
              <w:rPr>
                <w:rFonts w:ascii="宋体" w:hAnsi="宋体" w:cs="宋体" w:eastAsia="宋体" w:hint="default"/>
                <w:sz w:val="20"/>
                <w:szCs w:val="20"/>
              </w:rPr>
              <w:t>期初数</w:t>
            </w:r>
          </w:p>
        </w:tc>
      </w:tr>
      <w:tr>
        <w:trPr>
          <w:trHeight w:val="342" w:hRule="exact"/>
        </w:trPr>
        <w:tc>
          <w:tcPr>
            <w:tcW w:w="1668" w:type="dxa"/>
            <w:vMerge/>
            <w:tcBorders>
              <w:left w:val="single" w:sz="12" w:space="0" w:color="000000"/>
              <w:bottom w:val="single" w:sz="4" w:space="0" w:color="000000"/>
              <w:right w:val="single" w:sz="4" w:space="0" w:color="000000"/>
            </w:tcBorders>
          </w:tcPr>
          <w:p>
            <w:pP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账面余额</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Times New Roman" w:hAnsi="Times New Roman" w:cs="Times New Roman" w:eastAsia="Times New Roman" w:hint="default"/>
                <w:sz w:val="18"/>
                <w:szCs w:val="18"/>
              </w:rPr>
            </w:pPr>
            <w:r>
              <w:rPr>
                <w:rFonts w:ascii="宋体" w:hAnsi="宋体" w:cs="宋体" w:eastAsia="宋体" w:hint="default"/>
                <w:sz w:val="20"/>
                <w:szCs w:val="20"/>
              </w:rPr>
              <w:t>计提比例</w:t>
            </w:r>
            <w:r>
              <w:rPr>
                <w:rFonts w:ascii="Times New Roman" w:hAnsi="Times New Roman" w:cs="Times New Roman" w:eastAsia="Times New Roman" w:hint="default"/>
                <w:sz w:val="18"/>
                <w:szCs w:val="18"/>
              </w:rPr>
              <w:t>(%)</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坏账准备</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 w:right="0"/>
              <w:jc w:val="center"/>
              <w:rPr>
                <w:rFonts w:ascii="宋体" w:hAnsi="宋体" w:cs="宋体" w:eastAsia="宋体" w:hint="default"/>
                <w:sz w:val="20"/>
                <w:szCs w:val="20"/>
              </w:rPr>
            </w:pPr>
            <w:r>
              <w:rPr>
                <w:rFonts w:ascii="宋体" w:hAnsi="宋体" w:cs="宋体" w:eastAsia="宋体" w:hint="default"/>
                <w:sz w:val="20"/>
                <w:szCs w:val="20"/>
              </w:rPr>
              <w:t>账面余额</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Times New Roman" w:hAnsi="Times New Roman" w:cs="Times New Roman" w:eastAsia="Times New Roman" w:hint="default"/>
                <w:sz w:val="18"/>
                <w:szCs w:val="18"/>
              </w:rPr>
            </w:pPr>
            <w:r>
              <w:rPr>
                <w:rFonts w:ascii="宋体" w:hAnsi="宋体" w:cs="宋体" w:eastAsia="宋体" w:hint="default"/>
                <w:sz w:val="20"/>
                <w:szCs w:val="20"/>
              </w:rPr>
              <w:t>计提比例</w:t>
            </w:r>
            <w:r>
              <w:rPr>
                <w:rFonts w:ascii="Times New Roman" w:hAnsi="Times New Roman" w:cs="Times New Roman" w:eastAsia="Times New Roman" w:hint="default"/>
                <w:sz w:val="18"/>
                <w:szCs w:val="18"/>
              </w:rPr>
              <w:t>(%)</w:t>
            </w:r>
          </w:p>
        </w:tc>
        <w:tc>
          <w:tcPr>
            <w:tcW w:w="112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
              <w:ind w:left="10" w:right="0"/>
              <w:jc w:val="center"/>
              <w:rPr>
                <w:rFonts w:ascii="宋体" w:hAnsi="宋体" w:cs="宋体" w:eastAsia="宋体" w:hint="default"/>
                <w:sz w:val="20"/>
                <w:szCs w:val="20"/>
              </w:rPr>
            </w:pPr>
            <w:r>
              <w:rPr>
                <w:rFonts w:ascii="宋体" w:hAnsi="宋体" w:cs="宋体" w:eastAsia="宋体" w:hint="default"/>
                <w:sz w:val="20"/>
                <w:szCs w:val="20"/>
              </w:rPr>
              <w:t>坏账准备</w:t>
            </w:r>
          </w:p>
        </w:tc>
      </w:tr>
      <w:tr>
        <w:trPr>
          <w:trHeight w:val="342" w:hRule="exact"/>
        </w:trPr>
        <w:tc>
          <w:tcPr>
            <w:tcW w:w="166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1"/>
              <w:ind w:right="27"/>
              <w:jc w:val="center"/>
              <w:rPr>
                <w:rFonts w:ascii="宋体" w:hAnsi="宋体" w:cs="宋体" w:eastAsia="宋体" w:hint="default"/>
                <w:sz w:val="18"/>
                <w:szCs w:val="18"/>
              </w:rPr>
            </w:pPr>
            <w:r>
              <w:rPr>
                <w:rFonts w:ascii="宋体" w:hAnsi="宋体" w:cs="宋体" w:eastAsia="宋体" w:hint="default"/>
                <w:sz w:val="18"/>
                <w:szCs w:val="18"/>
              </w:rPr>
              <w:t>划分为低风险的款项</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102,739,544.40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w w:val="100"/>
                <w:sz w:val="20"/>
              </w:rPr>
              <w:t>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w w:val="100"/>
                <w:sz w:val="20"/>
              </w:rPr>
              <w:t>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42,437,369.36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w w:val="100"/>
                <w:sz w:val="20"/>
              </w:rPr>
              <w:t>0</w:t>
            </w:r>
          </w:p>
        </w:tc>
        <w:tc>
          <w:tcPr>
            <w:tcW w:w="112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10" w:right="0"/>
              <w:jc w:val="center"/>
              <w:rPr>
                <w:rFonts w:ascii="Times New Roman" w:hAnsi="Times New Roman" w:cs="Times New Roman" w:eastAsia="Times New Roman" w:hint="default"/>
                <w:sz w:val="20"/>
                <w:szCs w:val="20"/>
              </w:rPr>
            </w:pPr>
            <w:r>
              <w:rPr>
                <w:rFonts w:ascii="Times New Roman"/>
                <w:w w:val="100"/>
                <w:sz w:val="20"/>
              </w:rPr>
              <w:t>0</w:t>
            </w:r>
          </w:p>
        </w:tc>
      </w:tr>
      <w:tr>
        <w:trPr>
          <w:trHeight w:val="352" w:hRule="exact"/>
        </w:trPr>
        <w:tc>
          <w:tcPr>
            <w:tcW w:w="1668"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18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102,739,544.40</w:t>
            </w:r>
          </w:p>
        </w:tc>
        <w:tc>
          <w:tcPr>
            <w:tcW w:w="11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1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1"/>
              <w:ind w:right="67"/>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3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42,437,369.36</w:t>
            </w:r>
          </w:p>
        </w:tc>
        <w:tc>
          <w:tcPr>
            <w:tcW w:w="13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12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61"/>
              <w:ind w:right="56"/>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pStyle w:val="BodyText"/>
        <w:spacing w:line="408" w:lineRule="auto" w:before="63"/>
        <w:ind w:left="1134" w:right="1118" w:firstLine="420"/>
        <w:jc w:val="left"/>
      </w:pPr>
      <w:r>
        <w:rPr>
          <w:spacing w:val="3"/>
        </w:rPr>
        <w:t>注：期末划分为低风险的款项主要系重组事项或有对价补偿款及关联方款项，坏账准备计提比例为</w:t>
      </w:r>
      <w:r>
        <w:rPr/>
        <w:t> </w:t>
      </w:r>
      <w:r>
        <w:rPr>
          <w:rFonts w:ascii="宋体" w:hAnsi="宋体" w:cs="宋体" w:eastAsia="宋体" w:hint="default"/>
        </w:rPr>
        <w:t>0.00%</w:t>
      </w:r>
      <w:r>
        <w:rPr/>
        <w:t>。</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bookmarkStart w:name="（2）本期计提、收回或转回的坏账准备情况" w:id="377"/>
      <w:bookmarkEnd w:id="377"/>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173,536.52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3）其他应收款按款项性质分类情况" w:id="378"/>
      <w:bookmarkEnd w:id="378"/>
      <w:r>
        <w:rPr>
          <w:b w:val="0"/>
          <w:bCs w:val="0"/>
        </w:rPr>
      </w: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74,133,672.18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1,412,726.64</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押金和保证金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3,950,515.55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3,054,426.05</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484,946.60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571,138.16</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补偿款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28,605,872.22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41,123,169.36</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617,796.23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753,792.36</w:t>
            </w:r>
          </w:p>
        </w:tc>
      </w:tr>
      <w:tr>
        <w:trPr>
          <w:trHeight w:val="403"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108,792,802.78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48,915,252.57</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4）按欠款方归集的期末余额前五名的其他应收款情况" w:id="379"/>
      <w:bookmarkEnd w:id="379"/>
      <w:r>
        <w:rPr>
          <w:b w:val="0"/>
          <w:bCs w:val="0"/>
        </w:rPr>
      </w: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嘉园环保</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关联往来款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36.77%</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鞍山易兴</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关联往来款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24.82%</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陈泽枝</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补偿款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14,374,982.09</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13.21%</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李泽清</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补偿款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6,646,967.91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6.11%</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威研融创</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关联往来款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4,933,672.18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4.53%</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92,955,622.18</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85.44%</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3、长期股权投资" w:id="380"/>
      <w:bookmarkEnd w:id="380"/>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1,651,267,798.56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2,794,464.15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1,648,473,334.41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1,590,548,098.56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1,590,548,098.56</w:t>
            </w: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34,310,764.49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34,310,764.49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29,583,874.39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29,583,874.39</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1,685,578,563.05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2,794,464.15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1,682,784,098.90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1,620,131,972.95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1,620,131,972.95</w:t>
            </w:r>
          </w:p>
        </w:tc>
      </w:tr>
    </w:tbl>
    <w:p>
      <w:pPr>
        <w:spacing w:line="240" w:lineRule="auto" w:before="3"/>
        <w:rPr>
          <w:rFonts w:ascii="宋体" w:hAnsi="宋体" w:cs="宋体" w:eastAsia="宋体" w:hint="default"/>
          <w:sz w:val="19"/>
          <w:szCs w:val="19"/>
        </w:rPr>
      </w:pPr>
    </w:p>
    <w:p>
      <w:pPr>
        <w:pStyle w:val="Heading4"/>
        <w:spacing w:line="240" w:lineRule="auto" w:before="35"/>
        <w:ind w:left="1134" w:right="0"/>
        <w:jc w:val="left"/>
        <w:rPr>
          <w:b w:val="0"/>
          <w:bCs w:val="0"/>
        </w:rPr>
      </w:pPr>
      <w:bookmarkStart w:name="（1）对子公司投资" w:id="381"/>
      <w:bookmarkEnd w:id="381"/>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47"/>
        <w:gridCol w:w="1336"/>
        <w:gridCol w:w="1336"/>
        <w:gridCol w:w="1334"/>
        <w:gridCol w:w="1335"/>
        <w:gridCol w:w="1389"/>
        <w:gridCol w:w="1390"/>
      </w:tblGrid>
      <w:tr>
        <w:trPr>
          <w:trHeight w:val="402" w:hRule="exact"/>
        </w:trPr>
        <w:tc>
          <w:tcPr>
            <w:tcW w:w="1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59" w:right="0"/>
              <w:jc w:val="left"/>
              <w:rPr>
                <w:rFonts w:ascii="宋体" w:hAnsi="宋体" w:cs="宋体" w:eastAsia="宋体" w:hint="default"/>
                <w:sz w:val="18"/>
                <w:szCs w:val="18"/>
              </w:rPr>
            </w:pPr>
            <w:r>
              <w:rPr>
                <w:rFonts w:ascii="宋体" w:hAnsi="宋体" w:cs="宋体" w:eastAsia="宋体" w:hint="default"/>
                <w:sz w:val="18"/>
                <w:szCs w:val="18"/>
              </w:rPr>
              <w:t>本期计提减值准</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58" w:right="0"/>
              <w:jc w:val="left"/>
              <w:rPr>
                <w:rFonts w:ascii="宋体" w:hAnsi="宋体" w:cs="宋体" w:eastAsia="宋体" w:hint="default"/>
                <w:sz w:val="18"/>
                <w:szCs w:val="18"/>
              </w:rPr>
            </w:pPr>
            <w:r>
              <w:rPr>
                <w:rFonts w:ascii="宋体" w:hAnsi="宋体" w:cs="宋体" w:eastAsia="宋体" w:hint="default"/>
                <w:sz w:val="18"/>
                <w:szCs w:val="18"/>
              </w:rPr>
              <w:t>减值准备期末余</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36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额</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智威宇讯</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汉威智慧安全</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41,686,910.38</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41,686,910.38</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上海中威</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23,875,000.00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23,875,000.00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沈阳汉威</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炜盛电子</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40,238,715.82</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40,238,715.82</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沈阳金建</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100,367,990.51</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100,367,990.51</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上海英吉森</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22,015,900.00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22,015,900.00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鞍山易兴</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26,479,200.00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26,479,200.00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嘉园环保</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439,999,998.40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439,999,998.40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北京威果</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2,385,000.00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9,385,000.00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汉威智能仪表</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汉威公用</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295,406,900.00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295,406,900.00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广东龙泉</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20,981,961.00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20,981,961.00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苏州能斯达</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5,249,842.45</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5,249,842.45</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2,794,464.15</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2,794,464.15</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雪城软件</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36,478,700.00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61,878,700.00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汉威智源</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277,481,900.00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277,481,900.00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德析检测</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威研融创</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142,293,780.00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142,293,780.00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畅威物联</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百隆工程</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汉威祥云</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吉地艾斯</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306,000.00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306,000.00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1,590,548,098.56</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60,719,700.00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1,651,267,798.56</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2,794,464.15</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2,794,464.15</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对联营、合营企业投资" w:id="382"/>
      <w:bookmarkEnd w:id="382"/>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5"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41"/>
              <w:jc w:val="left"/>
              <w:rPr>
                <w:rFonts w:ascii="宋体" w:hAnsi="宋体" w:cs="宋体" w:eastAsia="宋体" w:hint="default"/>
                <w:sz w:val="18"/>
                <w:szCs w:val="18"/>
              </w:rPr>
            </w:pPr>
            <w:r>
              <w:rPr>
                <w:rFonts w:ascii="宋体" w:hAnsi="宋体" w:cs="宋体" w:eastAsia="宋体" w:hint="default"/>
                <w:sz w:val="18"/>
                <w:szCs w:val="18"/>
              </w:rPr>
              <w:t>河南中盾 云安信息</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132,450.7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6,132,450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.76</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0"/>
          <w:pgSz w:w="11910" w:h="16840"/>
          <w:pgMar w:footer="979" w:header="747" w:top="1060" w:bottom="1160" w:left="0" w:right="0"/>
          <w:pgNumType w:start="17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67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科技有限 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泰瑞数创 科技（北 京）有限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23,583,87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4.39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4,594,439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28,178,31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3.73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29,583,87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4.39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4,726,890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34,310,76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4.49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29,583,87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4.39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4,726,890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34,310,76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4.49</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4、营业收入和营业成本" w:id="383"/>
      <w:bookmarkEnd w:id="383"/>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971"/>
        <w:gridCol w:w="1850"/>
        <w:gridCol w:w="1913"/>
        <w:gridCol w:w="1913"/>
        <w:gridCol w:w="1913"/>
      </w:tblGrid>
      <w:tr>
        <w:trPr>
          <w:trHeight w:val="206" w:hRule="exact"/>
        </w:trPr>
        <w:tc>
          <w:tcPr>
            <w:tcW w:w="1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37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62"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71" w:type="dxa"/>
            <w:vMerge/>
            <w:tcBorders>
              <w:left w:val="single" w:sz="4" w:space="0" w:color="000000"/>
              <w:bottom w:val="nil" w:sz="6" w:space="0" w:color="auto"/>
              <w:right w:val="single" w:sz="4" w:space="0" w:color="000000"/>
            </w:tcBorders>
            <w:shd w:val="clear" w:color="auto" w:fill="D2D2D2"/>
          </w:tcPr>
          <w:p>
            <w:pPr/>
          </w:p>
        </w:tc>
        <w:tc>
          <w:tcPr>
            <w:tcW w:w="1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7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50"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236,604,966.32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135,547,435.31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206,658,709.85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119,356,496.01</w:t>
            </w: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35,161,681.80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15,835,060.34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35,379,247.63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13,213,025.65</w:t>
            </w:r>
          </w:p>
        </w:tc>
      </w:tr>
      <w:tr>
        <w:trPr>
          <w:trHeight w:val="403"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271,766,648.12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151,382,495.65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242,037,957.48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132,569,521.66</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5、投资收益" w:id="384"/>
      <w:bookmarkEnd w:id="384"/>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29,258,000.00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18,000,000.00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4,726,890.10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3,698,204.81</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1,207,469.68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509,656.24</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或有对价实现的投资收益</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10,950,000.00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41,123,169.36</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46,142,359.78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63,331,030.41</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十四、补充资料" w:id="385"/>
      <w:bookmarkEnd w:id="385"/>
      <w:r>
        <w:rPr>
          <w:b w:val="0"/>
          <w:bCs w:val="0"/>
        </w:rPr>
      </w:r>
      <w:r>
        <w:rPr/>
        <w:t>十四、补充资料</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当期非经常性损益明细表" w:id="386"/>
      <w:bookmarkEnd w:id="386"/>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spacing w:before="44"/>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4089"/>
        <w:gridCol w:w="1146"/>
        <w:gridCol w:w="4324"/>
      </w:tblGrid>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4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1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35" w:right="0"/>
              <w:jc w:val="left"/>
              <w:rPr>
                <w:rFonts w:ascii="Times New Roman" w:hAnsi="Times New Roman" w:cs="Times New Roman" w:eastAsia="Times New Roman" w:hint="default"/>
                <w:sz w:val="18"/>
                <w:szCs w:val="18"/>
              </w:rPr>
            </w:pPr>
            <w:r>
              <w:rPr>
                <w:rFonts w:ascii="Times New Roman"/>
                <w:sz w:val="18"/>
              </w:rPr>
              <w:t>-455,564.93</w:t>
            </w:r>
          </w:p>
        </w:tc>
        <w:tc>
          <w:tcPr>
            <w:tcW w:w="432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spacing w:before="44"/>
        <w:ind w:left="0" w:right="1139" w:firstLine="0"/>
        <w:jc w:val="right"/>
        <w:rPr>
          <w:rFonts w:ascii="宋体" w:hAnsi="宋体" w:cs="宋体" w:eastAsia="宋体" w:hint="default"/>
          <w:sz w:val="18"/>
          <w:szCs w:val="18"/>
        </w:rPr>
      </w:pPr>
      <w:r>
        <w:rPr/>
        <w:pict>
          <v:shape style="position:absolute;margin-left:56.459999pt;margin-top:-96.868256pt;width:479.25pt;height:208.1pt;mso-position-horizontal-relative:page;mso-position-vertical-relative:paragraph;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112"/>
                    <w:gridCol w:w="1134"/>
                    <w:gridCol w:w="4324"/>
                  </w:tblGrid>
                  <w:tr>
                    <w:trPr>
                      <w:trHeight w:val="714"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4"/>
                            <w:sz w:val="18"/>
                            <w:szCs w:val="18"/>
                          </w:rPr>
                          <w:t>计入当期损益的政府补助（与企业业务密切相关，按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照国家统一标准定额或定量享受的政府补助除外）</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54,650,429.06</w:t>
                        </w:r>
                      </w:p>
                    </w:tc>
                    <w:tc>
                      <w:tcPr>
                        <w:tcW w:w="43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14,792,196.80</w:t>
                        </w:r>
                      </w:p>
                    </w:tc>
                    <w:tc>
                      <w:tcPr>
                        <w:tcW w:w="43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-94,936.80</w:t>
                        </w:r>
                        <w:r>
                          <w:rPr>
                            <w:rFonts w:ascii="Times New Roman"/>
                            <w:sz w:val="18"/>
                          </w:rPr>
                        </w:r>
                      </w:p>
                    </w:tc>
                    <w:tc>
                      <w:tcPr>
                        <w:tcW w:w="43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33,248.66</w:t>
                        </w:r>
                      </w:p>
                    </w:tc>
                    <w:tc>
                      <w:tcPr>
                        <w:tcW w:w="432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5,206,928.81</w:t>
                        </w:r>
                      </w:p>
                    </w:tc>
                    <w:tc>
                      <w:tcPr>
                        <w:tcW w:w="43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59"/>
                          <w:jc w:val="both"/>
                          <w:rPr>
                            <w:rFonts w:ascii="宋体" w:hAnsi="宋体" w:cs="宋体" w:eastAsia="宋体" w:hint="default"/>
                            <w:sz w:val="18"/>
                            <w:szCs w:val="18"/>
                          </w:rPr>
                        </w:pPr>
                        <w:r>
                          <w:rPr>
                            <w:rFonts w:ascii="宋体" w:hAnsi="宋体" w:cs="宋体" w:eastAsia="宋体" w:hint="default"/>
                            <w:sz w:val="18"/>
                            <w:szCs w:val="18"/>
                          </w:rPr>
                          <w:t>此项目系</w:t>
                        </w:r>
                        <w:r>
                          <w:rPr>
                            <w:rFonts w:ascii="宋体" w:hAnsi="宋体" w:cs="宋体" w:eastAsia="宋体" w:hint="default"/>
                            <w:spacing w:val="-47"/>
                            <w:sz w:val="18"/>
                            <w:szCs w:val="18"/>
                          </w:rPr>
                          <w:t> </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、或有对价实现的投资收益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4,708,500.00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w:t>
                        </w:r>
                        <w:r>
                          <w:rPr>
                            <w:rFonts w:ascii="Times New Roman" w:hAnsi="Times New Roman" w:cs="Times New Roman" w:eastAsia="Times New Roman" w:hint="default"/>
                            <w:sz w:val="18"/>
                            <w:szCs w:val="18"/>
                          </w:rPr>
                          <w:t>2</w:t>
                        </w:r>
                        <w:r>
                          <w:rPr>
                            <w:rFonts w:ascii="宋体" w:hAnsi="宋体" w:cs="宋体" w:eastAsia="宋体" w:hint="default"/>
                            <w:sz w:val="18"/>
                            <w:szCs w:val="18"/>
                          </w:rPr>
                          <w:t>、联营及合营企业权益法核算的投资收益中属于非经 常性损益的部分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498,428.81 </w:t>
                        </w:r>
                        <w:r>
                          <w:rPr>
                            <w:rFonts w:ascii="宋体" w:hAnsi="宋体" w:cs="宋体" w:eastAsia="宋体" w:hint="default"/>
                            <w:sz w:val="18"/>
                            <w:szCs w:val="18"/>
                          </w:rPr>
                          <w:t>元。</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12,382,536.07</w:t>
                        </w:r>
                      </w:p>
                    </w:tc>
                    <w:tc>
                      <w:tcPr>
                        <w:tcW w:w="43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11,803,789.91</w:t>
                        </w:r>
                      </w:p>
                    </w:tc>
                    <w:tc>
                      <w:tcPr>
                        <w:tcW w:w="43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49,945,975.62</w:t>
                        </w:r>
                      </w:p>
                    </w:tc>
                    <w:tc>
                      <w:tcPr>
                        <w:tcW w:w="4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9"/>
          <w:szCs w:val="29"/>
        </w:rPr>
      </w:pPr>
    </w:p>
    <w:p>
      <w:pPr>
        <w:spacing w:before="44"/>
        <w:ind w:left="113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3"/>
        <w:ind w:left="113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69"/>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净资产收益率及每股收益" w:id="387"/>
      <w:bookmarkEnd w:id="387"/>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4242"/>
        <w:gridCol w:w="1489"/>
        <w:gridCol w:w="1913"/>
        <w:gridCol w:w="1913"/>
      </w:tblGrid>
      <w:tr>
        <w:trPr>
          <w:trHeight w:val="206" w:hRule="exact"/>
        </w:trPr>
        <w:tc>
          <w:tcPr>
            <w:tcW w:w="4242" w:type="dxa"/>
            <w:tcBorders>
              <w:top w:val="single" w:sz="4" w:space="0" w:color="000000"/>
              <w:left w:val="single" w:sz="4" w:space="0" w:color="000000"/>
              <w:bottom w:val="nil" w:sz="6" w:space="0" w:color="auto"/>
              <w:right w:val="single" w:sz="4" w:space="0" w:color="000000"/>
            </w:tcBorders>
            <w:shd w:val="clear" w:color="auto" w:fill="D2D2D2"/>
          </w:tcPr>
          <w:p>
            <w:pPr/>
          </w:p>
        </w:tc>
        <w:tc>
          <w:tcPr>
            <w:tcW w:w="148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7"/>
              <w:ind w:left="469" w:right="108" w:hanging="360"/>
              <w:jc w:val="left"/>
              <w:rPr>
                <w:rFonts w:ascii="宋体" w:hAnsi="宋体" w:cs="宋体" w:eastAsia="宋体" w:hint="default"/>
                <w:sz w:val="18"/>
                <w:szCs w:val="18"/>
              </w:rPr>
            </w:pPr>
            <w:r>
              <w:rPr>
                <w:rFonts w:ascii="宋体" w:hAnsi="宋体" w:cs="宋体" w:eastAsia="宋体" w:hint="default"/>
                <w:sz w:val="18"/>
                <w:szCs w:val="18"/>
              </w:rPr>
              <w:t>加权平均净资产 收益率</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42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 w:right="9"/>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1489" w:type="dxa"/>
            <w:vMerge/>
            <w:tcBorders>
              <w:left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4242" w:type="dxa"/>
            <w:vMerge/>
            <w:tcBorders>
              <w:left w:val="single" w:sz="4" w:space="0" w:color="000000"/>
              <w:bottom w:val="nil" w:sz="6" w:space="0" w:color="auto"/>
              <w:right w:val="single" w:sz="4" w:space="0" w:color="000000"/>
            </w:tcBorders>
            <w:shd w:val="clear" w:color="auto" w:fill="D2D2D2"/>
          </w:tcPr>
          <w:p>
            <w:pPr/>
          </w:p>
        </w:tc>
        <w:tc>
          <w:tcPr>
            <w:tcW w:w="1489" w:type="dxa"/>
            <w:vMerge/>
            <w:tcBorders>
              <w:left w:val="single" w:sz="4" w:space="0" w:color="000000"/>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4242" w:type="dxa"/>
            <w:tcBorders>
              <w:top w:val="nil" w:sz="6" w:space="0" w:color="auto"/>
              <w:left w:val="single" w:sz="4" w:space="0" w:color="000000"/>
              <w:bottom w:val="single" w:sz="4" w:space="0" w:color="000000"/>
              <w:right w:val="single" w:sz="4" w:space="0" w:color="000000"/>
            </w:tcBorders>
            <w:shd w:val="clear" w:color="auto" w:fill="D2D2D2"/>
          </w:tcPr>
          <w:p>
            <w:pPr/>
          </w:p>
        </w:tc>
        <w:tc>
          <w:tcPr>
            <w:tcW w:w="1489"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42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489" w:type="dxa"/>
            <w:tcBorders>
              <w:top w:val="single" w:sz="18" w:space="0" w:color="D2D2D2"/>
              <w:left w:val="single" w:sz="13" w:space="0" w:color="D2D2D2"/>
              <w:bottom w:val="single" w:sz="4" w:space="0" w:color="000000"/>
              <w:right w:val="single" w:sz="4" w:space="0" w:color="000000"/>
            </w:tcBorders>
          </w:tcPr>
          <w:p>
            <w:pPr>
              <w:pStyle w:val="TableParagraph"/>
              <w:spacing w:line="240" w:lineRule="auto" w:before="73"/>
              <w:ind w:right="21"/>
              <w:jc w:val="right"/>
              <w:rPr>
                <w:rFonts w:ascii="Times New Roman" w:hAnsi="Times New Roman" w:cs="Times New Roman" w:eastAsia="Times New Roman" w:hint="default"/>
                <w:sz w:val="18"/>
                <w:szCs w:val="18"/>
              </w:rPr>
            </w:pPr>
            <w:r>
              <w:rPr>
                <w:rFonts w:ascii="Times New Roman"/>
                <w:sz w:val="18"/>
              </w:rPr>
              <w:t>8.20%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0.38</w:t>
            </w:r>
          </w:p>
        </w:tc>
      </w:tr>
      <w:tr>
        <w:trPr>
          <w:trHeight w:val="402" w:hRule="exact"/>
        </w:trPr>
        <w:tc>
          <w:tcPr>
            <w:tcW w:w="42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tc>
        <w:tc>
          <w:tcPr>
            <w:tcW w:w="14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763" w:right="3764"/>
        <w:jc w:val="center"/>
        <w:rPr>
          <w:b w:val="0"/>
          <w:bCs w:val="0"/>
        </w:rPr>
      </w:pPr>
      <w:bookmarkStart w:name="第十二节 备查文件目录" w:id="388"/>
      <w:bookmarkEnd w:id="388"/>
      <w:r>
        <w:rPr>
          <w:b w:val="0"/>
          <w:bCs w:val="0"/>
        </w:rPr>
      </w:r>
      <w:bookmarkStart w:name="_bookmark11" w:id="389"/>
      <w:bookmarkEnd w:id="389"/>
      <w:r>
        <w:rPr>
          <w:b w:val="0"/>
          <w:bCs w:val="0"/>
        </w:rPr>
      </w:r>
      <w:r>
        <w:rPr/>
        <w:t>第十二节</w:t>
      </w:r>
      <w:r>
        <w:rPr>
          <w:spacing w:val="-8"/>
        </w:rPr>
        <w:t> </w:t>
      </w:r>
      <w:r>
        <w:rPr/>
        <w:t>备查文件目录</w:t>
      </w:r>
      <w:r>
        <w:rPr>
          <w:b w:val="0"/>
          <w:bCs w:val="0"/>
        </w:rPr>
      </w:r>
    </w:p>
    <w:p>
      <w:pPr>
        <w:spacing w:line="240" w:lineRule="auto" w:before="7"/>
        <w:rPr>
          <w:rFonts w:ascii="宋体" w:hAnsi="宋体" w:cs="宋体" w:eastAsia="宋体" w:hint="default"/>
          <w:b/>
          <w:bCs/>
          <w:sz w:val="46"/>
          <w:szCs w:val="46"/>
        </w:rPr>
      </w:pPr>
    </w:p>
    <w:p>
      <w:pPr>
        <w:pStyle w:val="BodyText"/>
        <w:spacing w:line="408" w:lineRule="auto" w:before="0"/>
        <w:ind w:left="1553" w:right="2143"/>
        <w:jc w:val="left"/>
      </w:pPr>
      <w:r>
        <w:rPr/>
        <w:t>一、载有法定代表人、主管会计工作负责人、会计机构负责人签名并盖章的财务报表。 二、载有会计师事务所盖章、注册会计师签名并盖章的审计报告原件。 三、报告期内在中国证监会指定网站上公开披露过的所有公司文件的正本及公告的原稿。 四、其他相关资料。</w:t>
      </w:r>
    </w:p>
    <w:p>
      <w:pPr>
        <w:pStyle w:val="BodyText"/>
        <w:spacing w:line="240" w:lineRule="auto"/>
        <w:ind w:left="1553" w:right="0"/>
        <w:jc w:val="left"/>
      </w:pPr>
      <w:r>
        <w:rPr/>
        <w:t>以上备查文件的备置地点：公司证券投资部办公室。</w:t>
      </w:r>
    </w:p>
    <w:sectPr>
      <w:pgSz w:w="11910" w:h="16840"/>
      <w:pgMar w:header="747" w:footer="979" w:top="1060" w:bottom="116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971824" type="#_x0000_t75" stroked="false">
          <v:imagedata r:id="rId1" o:title=""/>
        </v:shape>
      </w:pict>
    </w:r>
    <w:r>
      <w:rPr/>
      <w:pict>
        <v:shape style="position:absolute;margin-left:533.179993pt;margin-top:795.517944pt;width:6.5pt;height:11pt;mso-position-horizontal-relative:page;mso-position-vertical-relative:page;z-index:-97180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971776" type="#_x0000_t75" stroked="false">
          <v:imagedata r:id="rId1" o:title=""/>
        </v:shape>
      </w:pict>
    </w:r>
    <w:r>
      <w:rPr/>
      <w:pict>
        <v:shape style="position:absolute;margin-left:527.679993pt;margin-top:781.957947pt;width:13pt;height:11pt;mso-position-horizontal-relative:page;mso-position-vertical-relative:page;z-index:-9717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971728" type="#_x0000_t75" stroked="false">
          <v:imagedata r:id="rId1" o:title=""/>
        </v:shape>
      </w:pict>
    </w:r>
    <w:r>
      <w:rPr/>
      <w:pict>
        <v:shape style="position:absolute;margin-left:524.179993pt;margin-top:781.957947pt;width:15.5pt;height:11pt;mso-position-horizontal-relative:page;mso-position-vertical-relative:page;z-index:-97170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971680" type="#_x0000_t75" stroked="false">
          <v:imagedata r:id="rId1" o:title=""/>
        </v:shape>
      </w:pict>
    </w:r>
    <w:r>
      <w:rPr/>
      <w:pict>
        <v:shape style="position:absolute;margin-left:523.179993pt;margin-top:781.957947pt;width:17.5pt;height:11pt;mso-position-horizontal-relative:page;mso-position-vertical-relative:page;z-index:-9716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971632" type="#_x0000_t75" stroked="false">
          <v:imagedata r:id="rId1" o:title=""/>
        </v:shape>
      </w:pict>
    </w:r>
    <w:r>
      <w:rPr/>
      <w:pict>
        <v:shape style="position:absolute;margin-left:523.179993pt;margin-top:781.957947pt;width:17.5pt;height:11pt;mso-position-horizontal-relative:page;mso-position-vertical-relative:page;z-index:-9716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170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220001pt;margin-top:36.325607pt;width:195.5pt;height:11.5pt;mso-position-horizontal-relative:page;mso-position-vertical-relative:page;z-index:-97184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汉威科技集团股份有限公司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32"/>
      <w:ind w:left="1133"/>
    </w:pPr>
    <w:rPr>
      <w:rFonts w:ascii="宋体" w:hAnsi="宋体" w:eastAsia="宋体"/>
      <w:sz w:val="21"/>
      <w:szCs w:val="21"/>
    </w:rPr>
  </w:style>
  <w:style w:styleId="BodyText" w:type="paragraph">
    <w:name w:val="Body Text"/>
    <w:basedOn w:val="Normal"/>
    <w:uiPriority w:val="1"/>
    <w:qFormat/>
    <w:pPr>
      <w:spacing w:before="46"/>
      <w:ind w:left="1133"/>
    </w:pPr>
    <w:rPr>
      <w:rFonts w:ascii="宋体" w:hAnsi="宋体" w:eastAsia="宋体"/>
      <w:sz w:val="21"/>
      <w:szCs w:val="21"/>
    </w:rPr>
  </w:style>
  <w:style w:styleId="Heading1" w:type="paragraph">
    <w:name w:val="Heading 1"/>
    <w:basedOn w:val="Normal"/>
    <w:uiPriority w:val="1"/>
    <w:qFormat/>
    <w:pPr>
      <w:spacing w:before="1"/>
      <w:ind w:left="3764"/>
      <w:outlineLvl w:val="1"/>
    </w:pPr>
    <w:rPr>
      <w:rFonts w:ascii="宋体" w:hAnsi="宋体" w:eastAsia="宋体"/>
      <w:b/>
      <w:bCs/>
      <w:sz w:val="32"/>
      <w:szCs w:val="32"/>
    </w:rPr>
  </w:style>
  <w:style w:styleId="Heading2" w:type="paragraph">
    <w:name w:val="Heading 2"/>
    <w:basedOn w:val="Normal"/>
    <w:uiPriority w:val="1"/>
    <w:qFormat/>
    <w:pPr>
      <w:ind w:left="1133"/>
      <w:outlineLvl w:val="2"/>
    </w:pPr>
    <w:rPr>
      <w:rFonts w:ascii="宋体" w:hAnsi="宋体" w:eastAsia="宋体"/>
      <w:b/>
      <w:bCs/>
      <w:sz w:val="24"/>
      <w:szCs w:val="24"/>
    </w:rPr>
  </w:style>
  <w:style w:styleId="Heading3" w:type="paragraph">
    <w:name w:val="Heading 3"/>
    <w:basedOn w:val="Normal"/>
    <w:uiPriority w:val="1"/>
    <w:qFormat/>
    <w:pPr>
      <w:ind w:left="1553"/>
      <w:outlineLvl w:val="3"/>
    </w:pPr>
    <w:rPr>
      <w:rFonts w:ascii="黑体" w:hAnsi="黑体" w:eastAsia="黑体"/>
      <w:sz w:val="24"/>
      <w:szCs w:val="24"/>
    </w:rPr>
  </w:style>
  <w:style w:styleId="Heading4" w:type="paragraph">
    <w:name w:val="Heading 4"/>
    <w:basedOn w:val="Normal"/>
    <w:uiPriority w:val="1"/>
    <w:qFormat/>
    <w:pPr>
      <w:ind w:left="1133"/>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hanwei.cn/" TargetMode="External"/><Relationship Id="rId10" Type="http://schemas.openxmlformats.org/officeDocument/2006/relationships/hyperlink" Target="mailto:hwdz@hwsensor.com" TargetMode="External"/><Relationship Id="rId11" Type="http://schemas.openxmlformats.org/officeDocument/2006/relationships/hyperlink" Target="http://www.cninfo.com.cn/" TargetMode="External"/><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hyperlink" Target="http://rs.p5w.net/" TargetMode="External"/><Relationship Id="rId16" Type="http://schemas.openxmlformats.org/officeDocument/2006/relationships/hyperlink" Target="http://ircs.p5w.net/ircs/ssgs/index.do" TargetMode="External"/><Relationship Id="rId17" Type="http://schemas.openxmlformats.org/officeDocument/2006/relationships/footer" Target="footer3.xml"/><Relationship Id="rId18" Type="http://schemas.openxmlformats.org/officeDocument/2006/relationships/footer" Target="footer4.xml"/><Relationship Id="rId19" Type="http://schemas.openxmlformats.org/officeDocument/2006/relationships/hyperlink" Target="http://baike.baidu.com/view/3202081.htm" TargetMode="External"/><Relationship Id="rId20" Type="http://schemas.openxmlformats.org/officeDocument/2006/relationships/footer" Target="foot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汉威科技集团股份有限公司</dc:creator>
  <dc:title>汉威科技集团股份有限公司2017年年度报告全文</dc:title>
  <dcterms:created xsi:type="dcterms:W3CDTF">2020-05-02T23:35:31Z</dcterms:created>
  <dcterms:modified xsi:type="dcterms:W3CDTF">2020-05-02T23:35:31Z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2018-03-23T00:00:00Z</vt:filetime>
  </property>
  <property fmtid="{D5CDD505-2E9C-101B-9397-08002B2CF9AE}" pid="3" name="Creator">
    <vt:lpwstr>Microsoft® Office Word 2007</vt:lpwstr>
  </property>
  <property fmtid="{D5CDD505-2E9C-101B-9397-08002B2CF9AE}" pid="4" name="LastSaved">
    <vt:filetime>2020-05-02T00:00:00Z</vt:filetime>
  </property>
</Properties>
</file>